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000000" w:fill="auto"/>
        <w:jc w:val="left"/>
        <w:rPr>
          <w:rFonts w:ascii="宋体" w:hAnsi="宋体" w:cs="仿宋_GB2312"/>
          <w:color w:val="auto"/>
          <w:sz w:val="32"/>
          <w:szCs w:val="32"/>
          <w:highlight w:val="none"/>
        </w:rPr>
      </w:pPr>
      <w:r>
        <w:rPr>
          <w:rFonts w:ascii="宋体" w:hAnsi="宋体" w:cs="仿宋_GB2312"/>
          <w:color w:val="auto"/>
          <w:sz w:val="32"/>
          <w:szCs w:val="32"/>
          <w:highlight w:val="none"/>
        </w:rPr>
        <w:t>SF-2019-0204</w:t>
      </w:r>
    </w:p>
    <w:p>
      <w:pPr>
        <w:pStyle w:val="84"/>
        <w:shd w:val="clear" w:color="000000" w:fill="auto"/>
        <w:spacing w:line="640" w:lineRule="exact"/>
        <w:ind w:firstLine="5550" w:firstLineChars="1850"/>
        <w:rPr>
          <w:rFonts w:ascii="华文中宋" w:hAnsi="华文中宋" w:eastAsia="华文中宋" w:cs="华文中宋"/>
          <w:color w:val="auto"/>
          <w:sz w:val="32"/>
          <w:szCs w:val="32"/>
          <w:highlight w:val="none"/>
          <w:u w:val="single"/>
        </w:rPr>
      </w:pPr>
      <w:r>
        <w:rPr>
          <w:rFonts w:ascii="宋体"/>
          <w:color w:val="auto"/>
          <w:sz w:val="30"/>
          <w:szCs w:val="30"/>
          <w:highlight w:val="none"/>
        </w:rPr>
        <w:tab/>
      </w:r>
      <w:r>
        <w:rPr>
          <w:rFonts w:hint="eastAsia" w:ascii="华文中宋" w:hAnsi="华文中宋" w:eastAsia="华文中宋" w:cs="华文中宋"/>
          <w:color w:val="auto"/>
          <w:sz w:val="32"/>
          <w:szCs w:val="32"/>
          <w:highlight w:val="none"/>
        </w:rPr>
        <w:t>项目编码：</w:t>
      </w:r>
      <w:r>
        <w:rPr>
          <w:rFonts w:ascii="华文中宋" w:hAnsi="华文中宋" w:eastAsia="华文中宋" w:cs="华文中宋"/>
          <w:color w:val="auto"/>
          <w:sz w:val="32"/>
          <w:szCs w:val="32"/>
          <w:highlight w:val="none"/>
          <w:u w:val="single"/>
        </w:rPr>
        <w:t xml:space="preserve">      </w:t>
      </w:r>
      <w:r>
        <w:rPr>
          <w:rFonts w:hint="eastAsia" w:ascii="华文中宋" w:hAnsi="华文中宋" w:eastAsia="华文中宋" w:cs="华文中宋"/>
          <w:color w:val="auto"/>
          <w:sz w:val="32"/>
          <w:szCs w:val="32"/>
          <w:highlight w:val="none"/>
          <w:u w:val="single"/>
        </w:rPr>
        <w:t xml:space="preserve"> </w:t>
      </w:r>
      <w:r>
        <w:rPr>
          <w:rFonts w:ascii="华文中宋" w:hAnsi="华文中宋" w:eastAsia="华文中宋" w:cs="华文中宋"/>
          <w:color w:val="auto"/>
          <w:sz w:val="32"/>
          <w:szCs w:val="32"/>
          <w:highlight w:val="none"/>
          <w:u w:val="single"/>
        </w:rPr>
        <w:t xml:space="preserve">       </w:t>
      </w:r>
    </w:p>
    <w:p>
      <w:pPr>
        <w:pStyle w:val="84"/>
        <w:shd w:val="clear" w:color="000000" w:fill="auto"/>
        <w:spacing w:line="640" w:lineRule="exact"/>
        <w:ind w:firstLine="5920" w:firstLineChars="1850"/>
        <w:rPr>
          <w:rFonts w:ascii="华文中宋" w:hAnsi="华文中宋" w:eastAsia="华文中宋"/>
          <w:color w:val="auto"/>
          <w:sz w:val="32"/>
          <w:szCs w:val="32"/>
          <w:highlight w:val="none"/>
        </w:rPr>
      </w:pPr>
      <w:r>
        <w:rPr>
          <w:rFonts w:hint="eastAsia" w:ascii="华文中宋" w:hAnsi="华文中宋" w:eastAsia="华文中宋" w:cs="华文中宋"/>
          <w:color w:val="auto"/>
          <w:sz w:val="32"/>
          <w:szCs w:val="32"/>
          <w:highlight w:val="none"/>
        </w:rPr>
        <w:t>工程编码：</w:t>
      </w:r>
      <w:r>
        <w:rPr>
          <w:rFonts w:ascii="华文中宋" w:hAnsi="华文中宋" w:eastAsia="华文中宋" w:cs="华文中宋"/>
          <w:color w:val="auto"/>
          <w:sz w:val="32"/>
          <w:szCs w:val="32"/>
          <w:highlight w:val="none"/>
          <w:u w:val="single"/>
        </w:rPr>
        <w:t xml:space="preserve">      </w:t>
      </w:r>
      <w:r>
        <w:rPr>
          <w:rFonts w:hint="eastAsia" w:ascii="华文中宋" w:hAnsi="华文中宋" w:eastAsia="华文中宋" w:cs="华文中宋"/>
          <w:color w:val="auto"/>
          <w:sz w:val="32"/>
          <w:szCs w:val="32"/>
          <w:highlight w:val="none"/>
          <w:u w:val="single"/>
        </w:rPr>
        <w:t xml:space="preserve"> </w:t>
      </w:r>
      <w:r>
        <w:rPr>
          <w:rFonts w:ascii="华文中宋" w:hAnsi="华文中宋" w:eastAsia="华文中宋" w:cs="华文中宋"/>
          <w:color w:val="auto"/>
          <w:sz w:val="32"/>
          <w:szCs w:val="32"/>
          <w:highlight w:val="none"/>
          <w:u w:val="single"/>
        </w:rPr>
        <w:t xml:space="preserve">       </w:t>
      </w:r>
    </w:p>
    <w:p>
      <w:pPr>
        <w:pStyle w:val="84"/>
        <w:shd w:val="clear" w:color="000000" w:fill="auto"/>
        <w:spacing w:line="640" w:lineRule="exact"/>
        <w:ind w:firstLine="5920" w:firstLineChars="1850"/>
        <w:rPr>
          <w:rFonts w:ascii="华文中宋" w:hAnsi="华文中宋" w:eastAsia="华文中宋"/>
          <w:color w:val="auto"/>
          <w:sz w:val="32"/>
          <w:szCs w:val="32"/>
          <w:highlight w:val="none"/>
        </w:rPr>
      </w:pPr>
      <w:r>
        <w:rPr>
          <w:rFonts w:hint="eastAsia" w:ascii="华文中宋" w:hAnsi="华文中宋" w:eastAsia="华文中宋" w:cs="华文中宋"/>
          <w:color w:val="auto"/>
          <w:sz w:val="32"/>
          <w:szCs w:val="32"/>
          <w:highlight w:val="none"/>
        </w:rPr>
        <w:t>合同编号：</w:t>
      </w:r>
      <w:r>
        <w:rPr>
          <w:rFonts w:ascii="华文中宋" w:hAnsi="华文中宋" w:eastAsia="华文中宋" w:cs="华文中宋"/>
          <w:color w:val="auto"/>
          <w:sz w:val="32"/>
          <w:szCs w:val="32"/>
          <w:highlight w:val="none"/>
          <w:u w:val="single"/>
        </w:rPr>
        <w:t xml:space="preserve">       </w:t>
      </w:r>
      <w:r>
        <w:rPr>
          <w:rFonts w:hint="eastAsia" w:ascii="华文中宋" w:hAnsi="华文中宋" w:eastAsia="华文中宋" w:cs="华文中宋"/>
          <w:color w:val="auto"/>
          <w:sz w:val="32"/>
          <w:szCs w:val="32"/>
          <w:highlight w:val="none"/>
          <w:u w:val="single"/>
        </w:rPr>
        <w:t xml:space="preserve"> </w:t>
      </w:r>
      <w:r>
        <w:rPr>
          <w:rFonts w:ascii="华文中宋" w:hAnsi="华文中宋" w:eastAsia="华文中宋" w:cs="华文中宋"/>
          <w:color w:val="auto"/>
          <w:sz w:val="32"/>
          <w:szCs w:val="32"/>
          <w:highlight w:val="none"/>
          <w:u w:val="single"/>
        </w:rPr>
        <w:t xml:space="preserve">      </w:t>
      </w:r>
    </w:p>
    <w:p>
      <w:pPr>
        <w:shd w:val="clear" w:color="000000" w:fill="auto"/>
        <w:tabs>
          <w:tab w:val="left" w:pos="3900"/>
          <w:tab w:val="right" w:pos="10245"/>
        </w:tabs>
        <w:wordWrap w:val="0"/>
        <w:spacing w:line="360" w:lineRule="auto"/>
        <w:jc w:val="left"/>
        <w:rPr>
          <w:rFonts w:ascii="宋体" w:cs="Times New Roman"/>
          <w:color w:val="auto"/>
          <w:sz w:val="32"/>
          <w:szCs w:val="32"/>
          <w:highlight w:val="none"/>
          <w:u w:val="single"/>
        </w:rPr>
      </w:pPr>
    </w:p>
    <w:p>
      <w:pPr>
        <w:shd w:val="clear" w:color="000000" w:fill="auto"/>
        <w:spacing w:line="360" w:lineRule="auto"/>
        <w:jc w:val="right"/>
        <w:rPr>
          <w:rFonts w:ascii="宋体" w:cs="Times New Roman"/>
          <w:color w:val="auto"/>
          <w:sz w:val="32"/>
          <w:szCs w:val="32"/>
          <w:highlight w:val="none"/>
          <w:u w:val="single"/>
        </w:rPr>
      </w:pPr>
    </w:p>
    <w:p>
      <w:pPr>
        <w:shd w:val="clear" w:color="000000" w:fill="auto"/>
        <w:spacing w:line="360" w:lineRule="auto"/>
        <w:jc w:val="center"/>
        <w:rPr>
          <w:rFonts w:ascii="宋体" w:cs="Times New Roman"/>
          <w:b/>
          <w:bCs/>
          <w:color w:val="auto"/>
          <w:spacing w:val="-40"/>
          <w:kern w:val="0"/>
          <w:sz w:val="52"/>
          <w:szCs w:val="52"/>
          <w:highlight w:val="none"/>
        </w:rPr>
      </w:pPr>
      <w:r>
        <w:rPr>
          <w:rFonts w:hint="eastAsia" w:ascii="宋体" w:hAnsi="宋体" w:cs="宋体"/>
          <w:b/>
          <w:bCs/>
          <w:color w:val="auto"/>
          <w:spacing w:val="-40"/>
          <w:kern w:val="0"/>
          <w:sz w:val="52"/>
          <w:szCs w:val="52"/>
          <w:highlight w:val="none"/>
        </w:rPr>
        <w:t>广</w:t>
      </w:r>
      <w:r>
        <w:rPr>
          <w:rFonts w:ascii="宋体" w:hAnsi="宋体" w:cs="宋体"/>
          <w:b/>
          <w:bCs/>
          <w:color w:val="auto"/>
          <w:spacing w:val="-40"/>
          <w:kern w:val="0"/>
          <w:sz w:val="52"/>
          <w:szCs w:val="52"/>
          <w:highlight w:val="none"/>
        </w:rPr>
        <w:t xml:space="preserve"> </w:t>
      </w:r>
      <w:r>
        <w:rPr>
          <w:rFonts w:hint="eastAsia" w:ascii="宋体" w:hAnsi="宋体" w:cs="宋体"/>
          <w:b/>
          <w:bCs/>
          <w:color w:val="auto"/>
          <w:spacing w:val="-40"/>
          <w:kern w:val="0"/>
          <w:sz w:val="52"/>
          <w:szCs w:val="52"/>
          <w:highlight w:val="none"/>
        </w:rPr>
        <w:t>州</w:t>
      </w:r>
      <w:r>
        <w:rPr>
          <w:rFonts w:ascii="宋体" w:hAnsi="宋体" w:cs="宋体"/>
          <w:b/>
          <w:bCs/>
          <w:color w:val="auto"/>
          <w:spacing w:val="-40"/>
          <w:kern w:val="0"/>
          <w:sz w:val="52"/>
          <w:szCs w:val="52"/>
          <w:highlight w:val="none"/>
        </w:rPr>
        <w:t xml:space="preserve"> </w:t>
      </w:r>
      <w:r>
        <w:rPr>
          <w:rFonts w:hint="eastAsia" w:ascii="宋体" w:hAnsi="宋体" w:cs="宋体"/>
          <w:b/>
          <w:bCs/>
          <w:color w:val="auto"/>
          <w:spacing w:val="-40"/>
          <w:kern w:val="0"/>
          <w:sz w:val="52"/>
          <w:szCs w:val="52"/>
          <w:highlight w:val="none"/>
        </w:rPr>
        <w:t>市</w:t>
      </w:r>
      <w:r>
        <w:rPr>
          <w:rFonts w:ascii="宋体" w:hAnsi="宋体" w:cs="宋体"/>
          <w:b/>
          <w:bCs/>
          <w:color w:val="auto"/>
          <w:spacing w:val="-40"/>
          <w:kern w:val="0"/>
          <w:sz w:val="52"/>
          <w:szCs w:val="52"/>
          <w:highlight w:val="none"/>
        </w:rPr>
        <w:t xml:space="preserve"> </w:t>
      </w:r>
      <w:r>
        <w:rPr>
          <w:rFonts w:hint="eastAsia" w:ascii="宋体" w:hAnsi="宋体" w:cs="宋体"/>
          <w:b/>
          <w:bCs/>
          <w:color w:val="auto"/>
          <w:spacing w:val="-40"/>
          <w:kern w:val="0"/>
          <w:sz w:val="52"/>
          <w:szCs w:val="52"/>
          <w:highlight w:val="none"/>
        </w:rPr>
        <w:t>建</w:t>
      </w:r>
      <w:r>
        <w:rPr>
          <w:rFonts w:ascii="宋体" w:hAnsi="宋体" w:cs="宋体"/>
          <w:b/>
          <w:bCs/>
          <w:color w:val="auto"/>
          <w:spacing w:val="-40"/>
          <w:kern w:val="0"/>
          <w:sz w:val="52"/>
          <w:szCs w:val="52"/>
          <w:highlight w:val="none"/>
        </w:rPr>
        <w:t xml:space="preserve"> </w:t>
      </w:r>
      <w:r>
        <w:rPr>
          <w:rFonts w:hint="eastAsia" w:ascii="宋体" w:hAnsi="宋体" w:cs="宋体"/>
          <w:b/>
          <w:bCs/>
          <w:color w:val="auto"/>
          <w:spacing w:val="-40"/>
          <w:kern w:val="0"/>
          <w:sz w:val="52"/>
          <w:szCs w:val="52"/>
          <w:highlight w:val="none"/>
        </w:rPr>
        <w:t>设</w:t>
      </w:r>
      <w:r>
        <w:rPr>
          <w:rFonts w:ascii="宋体" w:hAnsi="宋体" w:cs="宋体"/>
          <w:b/>
          <w:bCs/>
          <w:color w:val="auto"/>
          <w:spacing w:val="-40"/>
          <w:kern w:val="0"/>
          <w:sz w:val="52"/>
          <w:szCs w:val="52"/>
          <w:highlight w:val="none"/>
        </w:rPr>
        <w:t xml:space="preserve"> </w:t>
      </w:r>
      <w:r>
        <w:rPr>
          <w:rFonts w:hint="eastAsia" w:ascii="宋体" w:hAnsi="宋体" w:cs="宋体"/>
          <w:b/>
          <w:bCs/>
          <w:color w:val="auto"/>
          <w:spacing w:val="-40"/>
          <w:kern w:val="0"/>
          <w:sz w:val="52"/>
          <w:szCs w:val="52"/>
          <w:highlight w:val="none"/>
        </w:rPr>
        <w:t>工</w:t>
      </w:r>
      <w:r>
        <w:rPr>
          <w:rFonts w:ascii="宋体" w:hAnsi="宋体" w:cs="宋体"/>
          <w:b/>
          <w:bCs/>
          <w:color w:val="auto"/>
          <w:spacing w:val="-40"/>
          <w:kern w:val="0"/>
          <w:sz w:val="52"/>
          <w:szCs w:val="52"/>
          <w:highlight w:val="none"/>
        </w:rPr>
        <w:t xml:space="preserve"> </w:t>
      </w:r>
      <w:r>
        <w:rPr>
          <w:rFonts w:hint="eastAsia" w:ascii="宋体" w:hAnsi="宋体" w:cs="宋体"/>
          <w:b/>
          <w:bCs/>
          <w:color w:val="auto"/>
          <w:spacing w:val="-40"/>
          <w:kern w:val="0"/>
          <w:sz w:val="52"/>
          <w:szCs w:val="52"/>
          <w:highlight w:val="none"/>
        </w:rPr>
        <w:t>程</w:t>
      </w:r>
      <w:r>
        <w:rPr>
          <w:rFonts w:ascii="宋体" w:hAnsi="宋体" w:cs="宋体"/>
          <w:b/>
          <w:bCs/>
          <w:color w:val="auto"/>
          <w:spacing w:val="-40"/>
          <w:kern w:val="0"/>
          <w:sz w:val="52"/>
          <w:szCs w:val="52"/>
          <w:highlight w:val="none"/>
        </w:rPr>
        <w:t xml:space="preserve"> </w:t>
      </w:r>
      <w:r>
        <w:rPr>
          <w:rFonts w:hint="eastAsia" w:ascii="宋体" w:hAnsi="宋体" w:cs="宋体"/>
          <w:b/>
          <w:bCs/>
          <w:color w:val="auto"/>
          <w:spacing w:val="-40"/>
          <w:kern w:val="0"/>
          <w:sz w:val="52"/>
          <w:szCs w:val="52"/>
          <w:highlight w:val="none"/>
        </w:rPr>
        <w:t>施</w:t>
      </w:r>
      <w:r>
        <w:rPr>
          <w:rFonts w:ascii="宋体" w:hAnsi="宋体" w:cs="宋体"/>
          <w:b/>
          <w:bCs/>
          <w:color w:val="auto"/>
          <w:spacing w:val="-40"/>
          <w:kern w:val="0"/>
          <w:sz w:val="52"/>
          <w:szCs w:val="52"/>
          <w:highlight w:val="none"/>
        </w:rPr>
        <w:t xml:space="preserve"> </w:t>
      </w:r>
      <w:r>
        <w:rPr>
          <w:rFonts w:hint="eastAsia" w:ascii="宋体" w:hAnsi="宋体" w:cs="宋体"/>
          <w:b/>
          <w:bCs/>
          <w:color w:val="auto"/>
          <w:spacing w:val="-40"/>
          <w:kern w:val="0"/>
          <w:sz w:val="52"/>
          <w:szCs w:val="52"/>
          <w:highlight w:val="none"/>
        </w:rPr>
        <w:t>工</w:t>
      </w:r>
      <w:r>
        <w:rPr>
          <w:rFonts w:ascii="宋体" w:hAnsi="宋体" w:cs="宋体"/>
          <w:b/>
          <w:bCs/>
          <w:color w:val="auto"/>
          <w:spacing w:val="-40"/>
          <w:kern w:val="0"/>
          <w:sz w:val="52"/>
          <w:szCs w:val="52"/>
          <w:highlight w:val="none"/>
        </w:rPr>
        <w:t xml:space="preserve"> </w:t>
      </w:r>
      <w:r>
        <w:rPr>
          <w:rFonts w:hint="eastAsia" w:ascii="宋体" w:hAnsi="宋体" w:cs="宋体"/>
          <w:b/>
          <w:bCs/>
          <w:color w:val="auto"/>
          <w:spacing w:val="-40"/>
          <w:kern w:val="0"/>
          <w:sz w:val="52"/>
          <w:szCs w:val="52"/>
          <w:highlight w:val="none"/>
        </w:rPr>
        <w:t>合</w:t>
      </w:r>
      <w:r>
        <w:rPr>
          <w:rFonts w:ascii="宋体" w:hAnsi="宋体" w:cs="宋体"/>
          <w:b/>
          <w:bCs/>
          <w:color w:val="auto"/>
          <w:spacing w:val="-40"/>
          <w:kern w:val="0"/>
          <w:sz w:val="52"/>
          <w:szCs w:val="52"/>
          <w:highlight w:val="none"/>
        </w:rPr>
        <w:t xml:space="preserve"> </w:t>
      </w:r>
      <w:r>
        <w:rPr>
          <w:rFonts w:hint="eastAsia" w:ascii="宋体" w:hAnsi="宋体" w:cs="宋体"/>
          <w:b/>
          <w:bCs/>
          <w:color w:val="auto"/>
          <w:spacing w:val="-40"/>
          <w:kern w:val="0"/>
          <w:sz w:val="52"/>
          <w:szCs w:val="52"/>
          <w:highlight w:val="none"/>
        </w:rPr>
        <w:t>同</w:t>
      </w:r>
    </w:p>
    <w:p>
      <w:pPr>
        <w:shd w:val="clear" w:color="000000" w:fill="auto"/>
        <w:tabs>
          <w:tab w:val="left" w:pos="1380"/>
        </w:tabs>
        <w:spacing w:line="360" w:lineRule="auto"/>
        <w:rPr>
          <w:rFonts w:ascii="宋体" w:cs="Times New Roman"/>
          <w:color w:val="auto"/>
          <w:sz w:val="32"/>
          <w:szCs w:val="32"/>
          <w:highlight w:val="none"/>
        </w:rPr>
      </w:pPr>
    </w:p>
    <w:p>
      <w:pPr>
        <w:shd w:val="clear" w:color="000000" w:fill="auto"/>
        <w:tabs>
          <w:tab w:val="left" w:pos="1380"/>
        </w:tabs>
        <w:spacing w:line="360" w:lineRule="auto"/>
        <w:rPr>
          <w:rFonts w:ascii="宋体" w:cs="Times New Roman"/>
          <w:color w:val="auto"/>
          <w:sz w:val="32"/>
          <w:szCs w:val="32"/>
          <w:highlight w:val="none"/>
        </w:rPr>
      </w:pPr>
      <w:r>
        <w:rPr>
          <w:rFonts w:ascii="宋体" w:cs="Times New Roman"/>
          <w:color w:val="auto"/>
          <w:sz w:val="32"/>
          <w:szCs w:val="32"/>
          <w:highlight w:val="none"/>
        </w:rPr>
        <w:tab/>
      </w:r>
    </w:p>
    <w:p>
      <w:pPr>
        <w:shd w:val="clear" w:color="000000" w:fill="auto"/>
        <w:spacing w:line="640" w:lineRule="exact"/>
        <w:ind w:firstLine="1699" w:firstLineChars="531"/>
        <w:rPr>
          <w:rFonts w:ascii="仿宋" w:hAnsi="仿宋" w:eastAsia="仿宋" w:cs="Times New Roman"/>
          <w:color w:val="auto"/>
          <w:sz w:val="32"/>
          <w:szCs w:val="32"/>
          <w:highlight w:val="none"/>
          <w:u w:val="single"/>
        </w:rPr>
      </w:pPr>
    </w:p>
    <w:p>
      <w:pPr>
        <w:shd w:val="clear" w:color="000000" w:fill="auto"/>
        <w:spacing w:line="640" w:lineRule="exact"/>
        <w:ind w:left="3428" w:leftChars="912" w:hanging="1513" w:hangingChars="473"/>
        <w:rPr>
          <w:rFonts w:hint="eastAsia" w:ascii="宋体" w:hAnsi="宋体" w:eastAsia="宋体" w:cs="仿宋"/>
          <w:color w:val="auto"/>
          <w:sz w:val="32"/>
          <w:szCs w:val="32"/>
          <w:highlight w:val="none"/>
          <w:u w:val="single"/>
          <w:lang w:eastAsia="zh-CN"/>
        </w:rPr>
      </w:pPr>
      <w:r>
        <w:rPr>
          <w:rFonts w:hint="eastAsia" w:ascii="宋体" w:hAnsi="宋体" w:cs="仿宋"/>
          <w:color w:val="auto"/>
          <w:sz w:val="32"/>
          <w:szCs w:val="32"/>
          <w:highlight w:val="none"/>
        </w:rPr>
        <w:t>工程名称：</w:t>
      </w:r>
      <w:r>
        <w:rPr>
          <w:rFonts w:hint="eastAsia" w:ascii="宋体" w:hAnsi="宋体" w:cs="仿宋"/>
          <w:color w:val="auto"/>
          <w:sz w:val="32"/>
          <w:szCs w:val="32"/>
          <w:highlight w:val="none"/>
          <w:u w:val="single"/>
          <w:lang w:eastAsia="zh-CN"/>
        </w:rPr>
        <w:t>原保卫处外墙及内部装修改造工程、智慧汽车学院实训基地装修改造工程、智能制造学院注塑实训室装修改造工程、A栋教师宿舍装修改造项目施工专业承包</w:t>
      </w:r>
    </w:p>
    <w:p>
      <w:pPr>
        <w:shd w:val="clear" w:color="000000" w:fill="auto"/>
        <w:spacing w:line="640" w:lineRule="exact"/>
        <w:ind w:left="2148" w:leftChars="912" w:hanging="233" w:hangingChars="73"/>
        <w:rPr>
          <w:rFonts w:ascii="宋体" w:hAnsi="宋体" w:cs="仿宋"/>
          <w:color w:val="auto"/>
          <w:sz w:val="32"/>
          <w:szCs w:val="32"/>
          <w:highlight w:val="none"/>
          <w:u w:val="single"/>
        </w:rPr>
      </w:pPr>
      <w:r>
        <w:rPr>
          <w:rFonts w:hint="eastAsia" w:ascii="宋体" w:hAnsi="宋体" w:cs="仿宋"/>
          <w:color w:val="auto"/>
          <w:sz w:val="32"/>
          <w:szCs w:val="32"/>
          <w:highlight w:val="none"/>
        </w:rPr>
        <w:t>工程地点：</w:t>
      </w:r>
      <w:r>
        <w:rPr>
          <w:rFonts w:ascii="宋体" w:hAnsi="宋体" w:cs="仿宋"/>
          <w:color w:val="auto"/>
          <w:sz w:val="32"/>
          <w:szCs w:val="32"/>
          <w:highlight w:val="none"/>
          <w:u w:val="single"/>
        </w:rPr>
        <w:t xml:space="preserve"> </w:t>
      </w:r>
      <w:r>
        <w:rPr>
          <w:rFonts w:hint="eastAsia" w:ascii="宋体" w:hAnsi="宋体" w:cs="仿宋"/>
          <w:color w:val="auto"/>
          <w:sz w:val="32"/>
          <w:szCs w:val="32"/>
          <w:highlight w:val="none"/>
          <w:u w:val="single"/>
        </w:rPr>
        <w:t xml:space="preserve"> 广州市番禺区市良路1342号             </w:t>
      </w:r>
      <w:r>
        <w:rPr>
          <w:rFonts w:ascii="宋体" w:hAnsi="宋体" w:cs="仿宋"/>
          <w:color w:val="auto"/>
          <w:sz w:val="32"/>
          <w:szCs w:val="32"/>
          <w:highlight w:val="none"/>
          <w:u w:val="single"/>
        </w:rPr>
        <w:t xml:space="preserve">  </w:t>
      </w:r>
    </w:p>
    <w:p>
      <w:pPr>
        <w:shd w:val="clear" w:color="000000" w:fill="auto"/>
        <w:spacing w:line="640" w:lineRule="exact"/>
        <w:ind w:left="2148" w:leftChars="912" w:hanging="233" w:hangingChars="73"/>
        <w:rPr>
          <w:rFonts w:ascii="宋体" w:hAnsi="宋体" w:cs="仿宋"/>
          <w:color w:val="auto"/>
          <w:sz w:val="32"/>
          <w:szCs w:val="32"/>
          <w:highlight w:val="none"/>
          <w:u w:val="single"/>
        </w:rPr>
      </w:pPr>
      <w:r>
        <w:rPr>
          <w:rFonts w:hint="eastAsia" w:ascii="宋体" w:hAnsi="宋体" w:cs="仿宋"/>
          <w:color w:val="auto"/>
          <w:sz w:val="32"/>
          <w:szCs w:val="32"/>
          <w:highlight w:val="none"/>
        </w:rPr>
        <w:t>发</w:t>
      </w:r>
      <w:r>
        <w:rPr>
          <w:rFonts w:ascii="宋体" w:hAnsi="宋体" w:cs="仿宋"/>
          <w:color w:val="auto"/>
          <w:sz w:val="32"/>
          <w:szCs w:val="32"/>
          <w:highlight w:val="none"/>
        </w:rPr>
        <w:t xml:space="preserve"> </w:t>
      </w:r>
      <w:r>
        <w:rPr>
          <w:rFonts w:hint="eastAsia" w:ascii="宋体" w:hAnsi="宋体" w:cs="仿宋"/>
          <w:color w:val="auto"/>
          <w:sz w:val="32"/>
          <w:szCs w:val="32"/>
          <w:highlight w:val="none"/>
        </w:rPr>
        <w:t>包</w:t>
      </w:r>
      <w:r>
        <w:rPr>
          <w:rFonts w:ascii="宋体" w:hAnsi="宋体" w:cs="仿宋"/>
          <w:color w:val="auto"/>
          <w:sz w:val="32"/>
          <w:szCs w:val="32"/>
          <w:highlight w:val="none"/>
        </w:rPr>
        <w:t xml:space="preserve"> </w:t>
      </w:r>
      <w:r>
        <w:rPr>
          <w:rFonts w:hint="eastAsia" w:ascii="宋体" w:hAnsi="宋体" w:cs="仿宋"/>
          <w:color w:val="auto"/>
          <w:sz w:val="32"/>
          <w:szCs w:val="32"/>
          <w:highlight w:val="none"/>
        </w:rPr>
        <w:t>人：</w:t>
      </w:r>
      <w:r>
        <w:rPr>
          <w:rFonts w:ascii="宋体" w:hAnsi="宋体" w:cs="仿宋"/>
          <w:color w:val="auto"/>
          <w:sz w:val="32"/>
          <w:szCs w:val="32"/>
          <w:highlight w:val="none"/>
          <w:u w:val="single"/>
        </w:rPr>
        <w:t xml:space="preserve">  </w:t>
      </w:r>
      <w:r>
        <w:rPr>
          <w:rFonts w:hint="eastAsia" w:ascii="宋体" w:hAnsi="宋体" w:cs="仿宋"/>
          <w:color w:val="auto"/>
          <w:sz w:val="32"/>
          <w:szCs w:val="32"/>
          <w:highlight w:val="none"/>
          <w:u w:val="single"/>
          <w:lang w:eastAsia="zh-CN"/>
        </w:rPr>
        <w:t>广州番禺职业技术学院</w:t>
      </w:r>
      <w:r>
        <w:rPr>
          <w:rFonts w:ascii="宋体" w:hAnsi="宋体" w:cs="仿宋"/>
          <w:color w:val="auto"/>
          <w:sz w:val="32"/>
          <w:szCs w:val="32"/>
          <w:highlight w:val="none"/>
          <w:u w:val="single"/>
        </w:rPr>
        <w:t xml:space="preserve">   </w:t>
      </w:r>
    </w:p>
    <w:p>
      <w:pPr>
        <w:shd w:val="clear" w:color="000000" w:fill="auto"/>
        <w:spacing w:line="640" w:lineRule="exact"/>
        <w:ind w:left="2148" w:leftChars="912" w:hanging="233" w:hangingChars="73"/>
        <w:rPr>
          <w:rFonts w:ascii="宋体" w:hAnsi="宋体" w:cs="仿宋"/>
          <w:color w:val="auto"/>
          <w:sz w:val="32"/>
          <w:szCs w:val="32"/>
          <w:highlight w:val="none"/>
          <w:u w:val="single"/>
        </w:rPr>
      </w:pPr>
      <w:r>
        <w:rPr>
          <w:rFonts w:hint="eastAsia" w:ascii="宋体" w:hAnsi="宋体" w:cs="仿宋"/>
          <w:color w:val="auto"/>
          <w:sz w:val="32"/>
          <w:szCs w:val="32"/>
          <w:highlight w:val="none"/>
        </w:rPr>
        <w:t>承</w:t>
      </w:r>
      <w:r>
        <w:rPr>
          <w:rFonts w:ascii="宋体" w:hAnsi="宋体" w:cs="仿宋"/>
          <w:color w:val="auto"/>
          <w:sz w:val="32"/>
          <w:szCs w:val="32"/>
          <w:highlight w:val="none"/>
        </w:rPr>
        <w:t xml:space="preserve"> </w:t>
      </w:r>
      <w:r>
        <w:rPr>
          <w:rFonts w:hint="eastAsia" w:ascii="宋体" w:hAnsi="宋体" w:cs="仿宋"/>
          <w:color w:val="auto"/>
          <w:sz w:val="32"/>
          <w:szCs w:val="32"/>
          <w:highlight w:val="none"/>
        </w:rPr>
        <w:t>包</w:t>
      </w:r>
      <w:r>
        <w:rPr>
          <w:rFonts w:ascii="宋体" w:hAnsi="宋体" w:cs="仿宋"/>
          <w:color w:val="auto"/>
          <w:sz w:val="32"/>
          <w:szCs w:val="32"/>
          <w:highlight w:val="none"/>
        </w:rPr>
        <w:t xml:space="preserve"> </w:t>
      </w:r>
      <w:r>
        <w:rPr>
          <w:rFonts w:hint="eastAsia" w:ascii="宋体" w:hAnsi="宋体" w:cs="仿宋"/>
          <w:color w:val="auto"/>
          <w:sz w:val="32"/>
          <w:szCs w:val="32"/>
          <w:highlight w:val="none"/>
        </w:rPr>
        <w:t>人：</w:t>
      </w:r>
      <w:r>
        <w:rPr>
          <w:rFonts w:ascii="宋体" w:hAnsi="宋体" w:cs="仿宋"/>
          <w:color w:val="auto"/>
          <w:sz w:val="32"/>
          <w:szCs w:val="32"/>
          <w:highlight w:val="none"/>
          <w:u w:val="single"/>
        </w:rPr>
        <w:t xml:space="preserve">   </w:t>
      </w:r>
      <w:r>
        <w:rPr>
          <w:rFonts w:hint="eastAsia" w:ascii="宋体" w:hAnsi="宋体" w:cs="仿宋"/>
          <w:color w:val="auto"/>
          <w:sz w:val="32"/>
          <w:szCs w:val="32"/>
          <w:highlight w:val="none"/>
          <w:u w:val="single"/>
        </w:rPr>
        <w:t xml:space="preserve">                        </w:t>
      </w:r>
      <w:r>
        <w:rPr>
          <w:rFonts w:ascii="宋体" w:hAnsi="宋体" w:cs="仿宋"/>
          <w:color w:val="auto"/>
          <w:sz w:val="32"/>
          <w:szCs w:val="32"/>
          <w:highlight w:val="none"/>
          <w:u w:val="single"/>
        </w:rPr>
        <w:t xml:space="preserve">      </w:t>
      </w:r>
    </w:p>
    <w:p>
      <w:pPr>
        <w:shd w:val="clear" w:color="000000" w:fill="auto"/>
        <w:spacing w:line="360" w:lineRule="auto"/>
        <w:ind w:left="708" w:leftChars="337" w:firstLine="900" w:firstLineChars="300"/>
        <w:rPr>
          <w:rFonts w:ascii="宋体" w:cs="Times New Roman"/>
          <w:color w:val="auto"/>
          <w:sz w:val="30"/>
          <w:szCs w:val="30"/>
          <w:highlight w:val="none"/>
          <w:u w:val="single"/>
        </w:rPr>
      </w:pPr>
    </w:p>
    <w:p>
      <w:pPr>
        <w:shd w:val="clear" w:color="000000" w:fill="auto"/>
        <w:spacing w:line="360" w:lineRule="auto"/>
        <w:ind w:firstLine="900" w:firstLineChars="300"/>
        <w:rPr>
          <w:rFonts w:ascii="宋体" w:cs="Times New Roman"/>
          <w:color w:val="auto"/>
          <w:sz w:val="30"/>
          <w:szCs w:val="30"/>
          <w:highlight w:val="none"/>
          <w:u w:val="single"/>
        </w:rPr>
      </w:pPr>
    </w:p>
    <w:p>
      <w:pPr>
        <w:shd w:val="clear" w:color="000000" w:fill="auto"/>
        <w:spacing w:line="240" w:lineRule="atLeast"/>
        <w:jc w:val="center"/>
        <w:rPr>
          <w:rFonts w:ascii="宋体" w:cs="Times New Roman"/>
          <w:b/>
          <w:bCs/>
          <w:color w:val="auto"/>
          <w:spacing w:val="50"/>
          <w:sz w:val="32"/>
          <w:szCs w:val="32"/>
          <w:highlight w:val="none"/>
        </w:rPr>
      </w:pPr>
      <w:r>
        <w:rPr>
          <w:rFonts w:hint="eastAsia" w:ascii="宋体" w:hAnsi="宋体" w:cs="宋体"/>
          <w:b/>
          <w:bCs/>
          <w:color w:val="auto"/>
          <w:spacing w:val="50"/>
          <w:sz w:val="32"/>
          <w:szCs w:val="32"/>
          <w:highlight w:val="none"/>
        </w:rPr>
        <w:t>广州市住房和城乡建设局</w:t>
      </w:r>
    </w:p>
    <w:p>
      <w:pPr>
        <w:shd w:val="clear" w:color="000000" w:fill="auto"/>
        <w:spacing w:line="240" w:lineRule="atLeast"/>
        <w:jc w:val="center"/>
        <w:rPr>
          <w:rFonts w:ascii="宋体" w:cs="Times New Roman"/>
          <w:b/>
          <w:bCs/>
          <w:color w:val="auto"/>
          <w:spacing w:val="20"/>
          <w:sz w:val="32"/>
          <w:szCs w:val="32"/>
          <w:highlight w:val="none"/>
        </w:rPr>
      </w:pPr>
      <w:r>
        <w:rPr>
          <w:rFonts w:ascii="宋体" w:hAnsi="宋体" w:cs="宋体"/>
          <w:b/>
          <w:bCs/>
          <w:color w:val="auto"/>
          <w:spacing w:val="20"/>
          <w:sz w:val="32"/>
          <w:szCs w:val="32"/>
          <w:highlight w:val="none"/>
        </w:rPr>
        <w:t xml:space="preserve">                            </w:t>
      </w:r>
      <w:r>
        <w:rPr>
          <w:rFonts w:hint="eastAsia" w:ascii="宋体" w:hAnsi="宋体" w:cs="宋体"/>
          <w:b/>
          <w:bCs/>
          <w:color w:val="auto"/>
          <w:spacing w:val="20"/>
          <w:sz w:val="32"/>
          <w:szCs w:val="32"/>
          <w:highlight w:val="none"/>
        </w:rPr>
        <w:t>制定</w:t>
      </w:r>
    </w:p>
    <w:p>
      <w:pPr>
        <w:shd w:val="clear" w:color="000000" w:fill="auto"/>
        <w:spacing w:line="240" w:lineRule="atLeast"/>
        <w:ind w:firstLine="2836" w:firstLineChars="607"/>
        <w:rPr>
          <w:rFonts w:ascii="宋体" w:cs="Times New Roman"/>
          <w:b/>
          <w:bCs/>
          <w:color w:val="auto"/>
          <w:spacing w:val="73"/>
          <w:sz w:val="32"/>
          <w:szCs w:val="32"/>
          <w:highlight w:val="none"/>
        </w:rPr>
      </w:pPr>
      <w:r>
        <w:rPr>
          <w:rFonts w:hint="eastAsia" w:ascii="宋体" w:hAnsi="宋体" w:cs="宋体"/>
          <w:b/>
          <w:bCs/>
          <w:color w:val="auto"/>
          <w:spacing w:val="73"/>
          <w:sz w:val="32"/>
          <w:szCs w:val="32"/>
          <w:highlight w:val="none"/>
        </w:rPr>
        <w:t>广州市市场监督管理局</w:t>
      </w:r>
    </w:p>
    <w:p>
      <w:pPr>
        <w:shd w:val="clear" w:color="000000" w:fill="auto"/>
        <w:spacing w:line="240" w:lineRule="atLeast"/>
        <w:jc w:val="center"/>
        <w:rPr>
          <w:rFonts w:ascii="宋体" w:cs="Times New Roman"/>
          <w:b/>
          <w:bCs/>
          <w:color w:val="auto"/>
          <w:spacing w:val="20"/>
          <w:sz w:val="32"/>
          <w:szCs w:val="32"/>
          <w:highlight w:val="none"/>
        </w:rPr>
      </w:pPr>
    </w:p>
    <w:p>
      <w:pPr>
        <w:shd w:val="clear" w:color="000000" w:fill="auto"/>
        <w:spacing w:line="240" w:lineRule="atLeast"/>
        <w:jc w:val="center"/>
        <w:rPr>
          <w:rFonts w:ascii="宋体" w:cs="Times New Roman"/>
          <w:color w:val="auto"/>
          <w:sz w:val="32"/>
          <w:szCs w:val="32"/>
          <w:highlight w:val="none"/>
          <w:u w:val="single"/>
        </w:rPr>
      </w:pPr>
    </w:p>
    <w:p>
      <w:pPr>
        <w:widowControl/>
        <w:shd w:val="clear" w:color="000000" w:fill="auto"/>
        <w:spacing w:line="360" w:lineRule="auto"/>
        <w:jc w:val="left"/>
        <w:rPr>
          <w:rFonts w:ascii="宋体" w:cs="Times New Roman"/>
          <w:b/>
          <w:bCs/>
          <w:color w:val="auto"/>
          <w:spacing w:val="80"/>
          <w:kern w:val="0"/>
          <w:sz w:val="36"/>
          <w:szCs w:val="36"/>
          <w:highlight w:val="none"/>
        </w:rPr>
        <w:sectPr>
          <w:footerReference r:id="rId3" w:type="default"/>
          <w:endnotePr>
            <w:numFmt w:val="decimal"/>
          </w:endnotePr>
          <w:pgSz w:w="11906" w:h="16838"/>
          <w:pgMar w:top="851" w:right="924" w:bottom="851" w:left="737" w:header="0" w:footer="0" w:gutter="0"/>
          <w:pgNumType w:start="1"/>
          <w:cols w:space="720" w:num="1"/>
        </w:sectPr>
      </w:pPr>
    </w:p>
    <w:p>
      <w:pPr>
        <w:jc w:val="center"/>
        <w:rPr>
          <w:b/>
          <w:bCs/>
          <w:color w:val="auto"/>
          <w:sz w:val="24"/>
          <w:szCs w:val="24"/>
          <w:highlight w:val="none"/>
        </w:rPr>
      </w:pPr>
      <w:bookmarkStart w:id="0" w:name="_Toc18985581"/>
      <w:bookmarkStart w:id="1" w:name="_Toc18985701"/>
      <w:bookmarkStart w:id="2" w:name="_Toc18985535"/>
      <w:bookmarkStart w:id="3" w:name="_Toc18984943"/>
      <w:r>
        <w:rPr>
          <w:rFonts w:ascii="宋体" w:hAnsi="宋体"/>
          <w:b/>
          <w:bCs/>
          <w:color w:val="auto"/>
          <w:sz w:val="24"/>
          <w:szCs w:val="24"/>
          <w:highlight w:val="none"/>
        </w:rPr>
        <w:t>目</w:t>
      </w:r>
      <w:r>
        <w:rPr>
          <w:rFonts w:hint="eastAsia" w:ascii="宋体" w:hAnsi="宋体"/>
          <w:b/>
          <w:bCs/>
          <w:color w:val="auto"/>
          <w:sz w:val="24"/>
          <w:szCs w:val="24"/>
          <w:highlight w:val="none"/>
        </w:rPr>
        <w:t xml:space="preserve">  </w:t>
      </w:r>
      <w:r>
        <w:rPr>
          <w:rFonts w:ascii="宋体" w:hAnsi="宋体"/>
          <w:b/>
          <w:bCs/>
          <w:color w:val="auto"/>
          <w:sz w:val="24"/>
          <w:szCs w:val="24"/>
          <w:highlight w:val="none"/>
        </w:rPr>
        <w:t>录</w:t>
      </w:r>
    </w:p>
    <w:p>
      <w:pPr>
        <w:pStyle w:val="29"/>
        <w:tabs>
          <w:tab w:val="right" w:leader="dot" w:pos="10204"/>
        </w:tabs>
        <w:spacing w:before="0" w:after="0"/>
        <w:rPr>
          <w:rFonts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fldChar w:fldCharType="begin"/>
      </w:r>
      <w:r>
        <w:rPr>
          <w:rFonts w:hint="eastAsia" w:asciiTheme="minorEastAsia" w:hAnsiTheme="minorEastAsia" w:eastAsiaTheme="minorEastAsia" w:cstheme="minorEastAsia"/>
          <w:b w:val="0"/>
          <w:bCs w:val="0"/>
          <w:color w:val="auto"/>
          <w:sz w:val="21"/>
          <w:szCs w:val="21"/>
          <w:highlight w:val="none"/>
        </w:rPr>
        <w:instrText xml:space="preserve">TOC \o "1-3" \h \u </w:instrText>
      </w:r>
      <w:r>
        <w:rPr>
          <w:rFonts w:hint="eastAsia" w:asciiTheme="minorEastAsia" w:hAnsiTheme="minorEastAsia" w:eastAsiaTheme="minorEastAsia" w:cstheme="minorEastAsia"/>
          <w:b w:val="0"/>
          <w:bCs w:val="0"/>
          <w:color w:val="auto"/>
          <w:sz w:val="21"/>
          <w:szCs w:val="21"/>
          <w:highlight w:val="none"/>
        </w:rPr>
        <w:fldChar w:fldCharType="separate"/>
      </w:r>
      <w:r>
        <w:rPr>
          <w:color w:val="auto"/>
          <w:highlight w:val="none"/>
        </w:rPr>
        <w:fldChar w:fldCharType="begin"/>
      </w:r>
      <w:r>
        <w:rPr>
          <w:color w:val="auto"/>
          <w:highlight w:val="none"/>
        </w:rPr>
        <w:instrText xml:space="preserve"> HYPERLINK \l "_Toc12048" </w:instrText>
      </w:r>
      <w:r>
        <w:rPr>
          <w:color w:val="auto"/>
          <w:highlight w:val="none"/>
        </w:rPr>
        <w:fldChar w:fldCharType="separate"/>
      </w:r>
      <w:r>
        <w:rPr>
          <w:rFonts w:hint="eastAsia" w:asciiTheme="minorEastAsia" w:hAnsiTheme="minorEastAsia" w:eastAsiaTheme="minorEastAsia" w:cstheme="minorEastAsia"/>
          <w:b w:val="0"/>
          <w:bCs w:val="0"/>
          <w:color w:val="auto"/>
          <w:sz w:val="21"/>
          <w:szCs w:val="21"/>
          <w:highlight w:val="none"/>
          <w:lang w:val="zh-CN"/>
        </w:rPr>
        <w:t>总  说  明</w:t>
      </w:r>
      <w:r>
        <w:rPr>
          <w:rFonts w:hint="eastAsia" w:asciiTheme="minorEastAsia" w:hAnsiTheme="minorEastAsia" w:eastAsiaTheme="minorEastAsia" w:cstheme="minorEastAsia"/>
          <w:b w:val="0"/>
          <w:bCs w:val="0"/>
          <w:color w:val="auto"/>
          <w:sz w:val="21"/>
          <w:szCs w:val="21"/>
          <w:highlight w:val="none"/>
        </w:rPr>
        <w:tab/>
      </w:r>
      <w:r>
        <w:rPr>
          <w:rFonts w:hint="eastAsia" w:asciiTheme="minorEastAsia" w:hAnsiTheme="minorEastAsia" w:eastAsiaTheme="minorEastAsia" w:cstheme="minorEastAsia"/>
          <w:b w:val="0"/>
          <w:bCs w:val="0"/>
          <w:color w:val="auto"/>
          <w:sz w:val="21"/>
          <w:szCs w:val="21"/>
          <w:highlight w:val="none"/>
        </w:rPr>
        <w:fldChar w:fldCharType="begin"/>
      </w:r>
      <w:r>
        <w:rPr>
          <w:rFonts w:hint="eastAsia" w:asciiTheme="minorEastAsia" w:hAnsiTheme="minorEastAsia" w:eastAsiaTheme="minorEastAsia" w:cstheme="minorEastAsia"/>
          <w:b w:val="0"/>
          <w:bCs w:val="0"/>
          <w:color w:val="auto"/>
          <w:sz w:val="21"/>
          <w:szCs w:val="21"/>
          <w:highlight w:val="none"/>
        </w:rPr>
        <w:instrText xml:space="preserve"> PAGEREF _Toc12048 \h </w:instrText>
      </w:r>
      <w:r>
        <w:rPr>
          <w:rFonts w:hint="eastAsia" w:asciiTheme="minorEastAsia" w:hAnsiTheme="minorEastAsia" w:eastAsiaTheme="minorEastAsia" w:cstheme="minorEastAsia"/>
          <w:b w:val="0"/>
          <w:bCs w:val="0"/>
          <w:color w:val="auto"/>
          <w:sz w:val="21"/>
          <w:szCs w:val="21"/>
          <w:highlight w:val="none"/>
        </w:rPr>
        <w:fldChar w:fldCharType="separate"/>
      </w:r>
      <w:r>
        <w:rPr>
          <w:rFonts w:hint="eastAsia" w:asciiTheme="minorEastAsia" w:hAnsiTheme="minorEastAsia" w:eastAsiaTheme="minorEastAsia" w:cstheme="minorEastAsia"/>
          <w:b w:val="0"/>
          <w:bCs w:val="0"/>
          <w:color w:val="auto"/>
          <w:sz w:val="21"/>
          <w:szCs w:val="21"/>
          <w:highlight w:val="none"/>
        </w:rPr>
        <w:t>5</w:t>
      </w:r>
      <w:r>
        <w:rPr>
          <w:rFonts w:hint="eastAsia" w:asciiTheme="minorEastAsia" w:hAnsiTheme="minorEastAsia" w:eastAsiaTheme="minorEastAsia" w:cstheme="minorEastAsia"/>
          <w:b w:val="0"/>
          <w:bCs w:val="0"/>
          <w:color w:val="auto"/>
          <w:sz w:val="21"/>
          <w:szCs w:val="21"/>
          <w:highlight w:val="none"/>
        </w:rPr>
        <w:fldChar w:fldCharType="end"/>
      </w:r>
      <w:r>
        <w:rPr>
          <w:rFonts w:hint="eastAsia" w:asciiTheme="minorEastAsia" w:hAnsiTheme="minorEastAsia" w:eastAsiaTheme="minorEastAsia" w:cstheme="minorEastAsia"/>
          <w:b w:val="0"/>
          <w:bCs w:val="0"/>
          <w:color w:val="auto"/>
          <w:sz w:val="21"/>
          <w:szCs w:val="21"/>
          <w:highlight w:val="none"/>
        </w:rPr>
        <w:fldChar w:fldCharType="end"/>
      </w:r>
    </w:p>
    <w:p>
      <w:pPr>
        <w:pStyle w:val="29"/>
        <w:tabs>
          <w:tab w:val="right" w:leader="dot" w:pos="10204"/>
        </w:tabs>
        <w:spacing w:before="0" w:after="0"/>
        <w:rPr>
          <w:rFonts w:asciiTheme="minorEastAsia" w:hAnsiTheme="minorEastAsia" w:eastAsiaTheme="minorEastAsia" w:cstheme="minorEastAsia"/>
          <w:b w:val="0"/>
          <w:bCs w:val="0"/>
          <w:color w:val="auto"/>
          <w:sz w:val="21"/>
          <w:szCs w:val="21"/>
          <w:highlight w:val="none"/>
        </w:rPr>
      </w:pPr>
      <w:r>
        <w:rPr>
          <w:color w:val="auto"/>
          <w:highlight w:val="none"/>
        </w:rPr>
        <w:fldChar w:fldCharType="begin"/>
      </w:r>
      <w:r>
        <w:rPr>
          <w:color w:val="auto"/>
          <w:highlight w:val="none"/>
        </w:rPr>
        <w:instrText xml:space="preserve"> HYPERLINK \l "_Toc10464" </w:instrText>
      </w:r>
      <w:r>
        <w:rPr>
          <w:color w:val="auto"/>
          <w:highlight w:val="none"/>
        </w:rPr>
        <w:fldChar w:fldCharType="separate"/>
      </w:r>
      <w:r>
        <w:rPr>
          <w:rFonts w:hint="eastAsia" w:asciiTheme="minorEastAsia" w:hAnsiTheme="minorEastAsia" w:eastAsiaTheme="minorEastAsia" w:cstheme="minorEastAsia"/>
          <w:b w:val="0"/>
          <w:bCs w:val="0"/>
          <w:color w:val="auto"/>
          <w:sz w:val="21"/>
          <w:szCs w:val="21"/>
          <w:highlight w:val="none"/>
        </w:rPr>
        <w:t>第一部分  协  议  书</w:t>
      </w:r>
      <w:r>
        <w:rPr>
          <w:rFonts w:hint="eastAsia" w:asciiTheme="minorEastAsia" w:hAnsiTheme="minorEastAsia" w:eastAsiaTheme="minorEastAsia" w:cstheme="minorEastAsia"/>
          <w:b w:val="0"/>
          <w:bCs w:val="0"/>
          <w:color w:val="auto"/>
          <w:sz w:val="21"/>
          <w:szCs w:val="21"/>
          <w:highlight w:val="none"/>
        </w:rPr>
        <w:tab/>
      </w:r>
      <w:r>
        <w:rPr>
          <w:rFonts w:hint="eastAsia" w:asciiTheme="minorEastAsia" w:hAnsiTheme="minorEastAsia" w:eastAsiaTheme="minorEastAsia" w:cstheme="minorEastAsia"/>
          <w:b w:val="0"/>
          <w:bCs w:val="0"/>
          <w:color w:val="auto"/>
          <w:sz w:val="21"/>
          <w:szCs w:val="21"/>
          <w:highlight w:val="none"/>
        </w:rPr>
        <w:fldChar w:fldCharType="begin"/>
      </w:r>
      <w:r>
        <w:rPr>
          <w:rFonts w:hint="eastAsia" w:asciiTheme="minorEastAsia" w:hAnsiTheme="minorEastAsia" w:eastAsiaTheme="minorEastAsia" w:cstheme="minorEastAsia"/>
          <w:b w:val="0"/>
          <w:bCs w:val="0"/>
          <w:color w:val="auto"/>
          <w:sz w:val="21"/>
          <w:szCs w:val="21"/>
          <w:highlight w:val="none"/>
        </w:rPr>
        <w:instrText xml:space="preserve"> PAGEREF _Toc10464 \h </w:instrText>
      </w:r>
      <w:r>
        <w:rPr>
          <w:rFonts w:hint="eastAsia" w:asciiTheme="minorEastAsia" w:hAnsiTheme="minorEastAsia" w:eastAsiaTheme="minorEastAsia" w:cstheme="minorEastAsia"/>
          <w:b w:val="0"/>
          <w:bCs w:val="0"/>
          <w:color w:val="auto"/>
          <w:sz w:val="21"/>
          <w:szCs w:val="21"/>
          <w:highlight w:val="none"/>
        </w:rPr>
        <w:fldChar w:fldCharType="separate"/>
      </w:r>
      <w:r>
        <w:rPr>
          <w:rFonts w:hint="eastAsia" w:asciiTheme="minorEastAsia" w:hAnsiTheme="minorEastAsia" w:eastAsiaTheme="minorEastAsia" w:cstheme="minorEastAsia"/>
          <w:b w:val="0"/>
          <w:bCs w:val="0"/>
          <w:color w:val="auto"/>
          <w:sz w:val="21"/>
          <w:szCs w:val="21"/>
          <w:highlight w:val="none"/>
        </w:rPr>
        <w:t>7</w:t>
      </w:r>
      <w:r>
        <w:rPr>
          <w:rFonts w:hint="eastAsia" w:asciiTheme="minorEastAsia" w:hAnsiTheme="minorEastAsia" w:eastAsiaTheme="minorEastAsia" w:cstheme="minorEastAsia"/>
          <w:b w:val="0"/>
          <w:bCs w:val="0"/>
          <w:color w:val="auto"/>
          <w:sz w:val="21"/>
          <w:szCs w:val="21"/>
          <w:highlight w:val="none"/>
        </w:rPr>
        <w:fldChar w:fldCharType="end"/>
      </w:r>
      <w:r>
        <w:rPr>
          <w:rFonts w:hint="eastAsia" w:asciiTheme="minorEastAsia" w:hAnsiTheme="minorEastAsia" w:eastAsiaTheme="minorEastAsia" w:cstheme="minorEastAsia"/>
          <w:b w:val="0"/>
          <w:bCs w:val="0"/>
          <w:color w:val="auto"/>
          <w:sz w:val="21"/>
          <w:szCs w:val="21"/>
          <w:highlight w:val="none"/>
        </w:rPr>
        <w:fldChar w:fldCharType="end"/>
      </w:r>
    </w:p>
    <w:p>
      <w:pPr>
        <w:pStyle w:val="34"/>
        <w:tabs>
          <w:tab w:val="right" w:leader="dot" w:pos="10204"/>
        </w:tabs>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"_Toc18707"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一、工程概况</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_Toc18707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7</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"_Toc19157"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二、工程内容与承包范围</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_Toc19157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7</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"_Toc16426"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三、合同工期</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_Toc16426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8</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"_Toc19276"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★四、质量标准</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_Toc19276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8</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29"/>
        <w:tabs>
          <w:tab w:val="right" w:leader="dot" w:pos="10204"/>
        </w:tabs>
        <w:spacing w:before="0" w:after="0"/>
        <w:ind w:firstLine="201" w:firstLineChars="100"/>
        <w:rPr>
          <w:rFonts w:asciiTheme="minorEastAsia" w:hAnsiTheme="minorEastAsia" w:eastAsiaTheme="minorEastAsia" w:cstheme="minorEastAsia"/>
          <w:b w:val="0"/>
          <w:bCs w:val="0"/>
          <w:color w:val="auto"/>
          <w:sz w:val="21"/>
          <w:szCs w:val="21"/>
          <w:highlight w:val="none"/>
        </w:rPr>
      </w:pPr>
      <w:r>
        <w:rPr>
          <w:color w:val="auto"/>
          <w:highlight w:val="none"/>
        </w:rPr>
        <w:fldChar w:fldCharType="begin"/>
      </w:r>
      <w:r>
        <w:rPr>
          <w:color w:val="auto"/>
          <w:highlight w:val="none"/>
        </w:rPr>
        <w:instrText xml:space="preserve"> HYPERLINK \l "_Toc6065" </w:instrText>
      </w:r>
      <w:r>
        <w:rPr>
          <w:color w:val="auto"/>
          <w:highlight w:val="none"/>
        </w:rPr>
        <w:fldChar w:fldCharType="separate"/>
      </w:r>
      <w:r>
        <w:rPr>
          <w:rFonts w:hint="eastAsia" w:asciiTheme="minorEastAsia" w:hAnsiTheme="minorEastAsia" w:eastAsiaTheme="minorEastAsia" w:cstheme="minorEastAsia"/>
          <w:b w:val="0"/>
          <w:bCs w:val="0"/>
          <w:color w:val="auto"/>
          <w:sz w:val="21"/>
          <w:szCs w:val="21"/>
          <w:highlight w:val="none"/>
        </w:rPr>
        <w:t>五、合同价款</w:t>
      </w:r>
      <w:r>
        <w:rPr>
          <w:rFonts w:hint="eastAsia" w:asciiTheme="minorEastAsia" w:hAnsiTheme="minorEastAsia" w:eastAsiaTheme="minorEastAsia" w:cstheme="minorEastAsia"/>
          <w:b w:val="0"/>
          <w:bCs w:val="0"/>
          <w:color w:val="auto"/>
          <w:sz w:val="21"/>
          <w:szCs w:val="21"/>
          <w:highlight w:val="none"/>
        </w:rPr>
        <w:tab/>
      </w:r>
      <w:r>
        <w:rPr>
          <w:rFonts w:hint="eastAsia" w:asciiTheme="minorEastAsia" w:hAnsiTheme="minorEastAsia" w:eastAsiaTheme="minorEastAsia" w:cstheme="minorEastAsia"/>
          <w:b w:val="0"/>
          <w:bCs w:val="0"/>
          <w:color w:val="auto"/>
          <w:sz w:val="21"/>
          <w:szCs w:val="21"/>
          <w:highlight w:val="none"/>
        </w:rPr>
        <w:fldChar w:fldCharType="begin"/>
      </w:r>
      <w:r>
        <w:rPr>
          <w:rFonts w:hint="eastAsia" w:asciiTheme="minorEastAsia" w:hAnsiTheme="minorEastAsia" w:eastAsiaTheme="minorEastAsia" w:cstheme="minorEastAsia"/>
          <w:b w:val="0"/>
          <w:bCs w:val="0"/>
          <w:color w:val="auto"/>
          <w:sz w:val="21"/>
          <w:szCs w:val="21"/>
          <w:highlight w:val="none"/>
        </w:rPr>
        <w:instrText xml:space="preserve"> PAGEREF _Toc6065 \h </w:instrText>
      </w:r>
      <w:r>
        <w:rPr>
          <w:rFonts w:hint="eastAsia" w:asciiTheme="minorEastAsia" w:hAnsiTheme="minorEastAsia" w:eastAsiaTheme="minorEastAsia" w:cstheme="minorEastAsia"/>
          <w:b w:val="0"/>
          <w:bCs w:val="0"/>
          <w:color w:val="auto"/>
          <w:sz w:val="21"/>
          <w:szCs w:val="21"/>
          <w:highlight w:val="none"/>
        </w:rPr>
        <w:fldChar w:fldCharType="separate"/>
      </w:r>
      <w:r>
        <w:rPr>
          <w:rFonts w:hint="eastAsia" w:asciiTheme="minorEastAsia" w:hAnsiTheme="minorEastAsia" w:eastAsiaTheme="minorEastAsia" w:cstheme="minorEastAsia"/>
          <w:b w:val="0"/>
          <w:bCs w:val="0"/>
          <w:color w:val="auto"/>
          <w:sz w:val="21"/>
          <w:szCs w:val="21"/>
          <w:highlight w:val="none"/>
        </w:rPr>
        <w:t>8</w:t>
      </w:r>
      <w:r>
        <w:rPr>
          <w:rFonts w:hint="eastAsia" w:asciiTheme="minorEastAsia" w:hAnsiTheme="minorEastAsia" w:eastAsiaTheme="minorEastAsia" w:cstheme="minorEastAsia"/>
          <w:b w:val="0"/>
          <w:bCs w:val="0"/>
          <w:color w:val="auto"/>
          <w:sz w:val="21"/>
          <w:szCs w:val="21"/>
          <w:highlight w:val="none"/>
        </w:rPr>
        <w:fldChar w:fldCharType="end"/>
      </w:r>
      <w:r>
        <w:rPr>
          <w:rFonts w:hint="eastAsia" w:asciiTheme="minorEastAsia" w:hAnsiTheme="minorEastAsia" w:eastAsiaTheme="minorEastAsia" w:cstheme="minorEastAsia"/>
          <w:b w:val="0"/>
          <w:bCs w:val="0"/>
          <w:color w:val="auto"/>
          <w:sz w:val="21"/>
          <w:szCs w:val="21"/>
          <w:highlight w:val="none"/>
        </w:rPr>
        <w:fldChar w:fldCharType="end"/>
      </w:r>
    </w:p>
    <w:p>
      <w:pPr>
        <w:pStyle w:val="29"/>
        <w:tabs>
          <w:tab w:val="right" w:leader="dot" w:pos="10204"/>
        </w:tabs>
        <w:spacing w:before="0" w:after="0"/>
        <w:ind w:firstLine="201" w:firstLineChars="100"/>
        <w:rPr>
          <w:rFonts w:asciiTheme="minorEastAsia" w:hAnsiTheme="minorEastAsia" w:eastAsiaTheme="minorEastAsia" w:cstheme="minorEastAsia"/>
          <w:b w:val="0"/>
          <w:bCs w:val="0"/>
          <w:color w:val="auto"/>
          <w:sz w:val="21"/>
          <w:szCs w:val="21"/>
          <w:highlight w:val="none"/>
        </w:rPr>
      </w:pPr>
      <w:r>
        <w:rPr>
          <w:color w:val="auto"/>
          <w:highlight w:val="none"/>
        </w:rPr>
        <w:fldChar w:fldCharType="begin"/>
      </w:r>
      <w:r>
        <w:rPr>
          <w:color w:val="auto"/>
          <w:highlight w:val="none"/>
        </w:rPr>
        <w:instrText xml:space="preserve"> HYPERLINK \l "_Toc32095" </w:instrText>
      </w:r>
      <w:r>
        <w:rPr>
          <w:color w:val="auto"/>
          <w:highlight w:val="none"/>
        </w:rPr>
        <w:fldChar w:fldCharType="separate"/>
      </w:r>
      <w:r>
        <w:rPr>
          <w:rFonts w:hint="eastAsia" w:asciiTheme="minorEastAsia" w:hAnsiTheme="minorEastAsia" w:eastAsiaTheme="minorEastAsia" w:cstheme="minorEastAsia"/>
          <w:b w:val="0"/>
          <w:bCs w:val="0"/>
          <w:color w:val="auto"/>
          <w:sz w:val="21"/>
          <w:szCs w:val="21"/>
          <w:highlight w:val="none"/>
          <w:lang w:val="en-US" w:eastAsia="zh-CN"/>
        </w:rPr>
        <w:t>六</w:t>
      </w:r>
      <w:r>
        <w:rPr>
          <w:rFonts w:hint="eastAsia" w:asciiTheme="minorEastAsia" w:hAnsiTheme="minorEastAsia" w:eastAsiaTheme="minorEastAsia" w:cstheme="minorEastAsia"/>
          <w:b w:val="0"/>
          <w:bCs w:val="0"/>
          <w:color w:val="auto"/>
          <w:sz w:val="21"/>
          <w:szCs w:val="21"/>
          <w:highlight w:val="none"/>
        </w:rPr>
        <w:t>、组成合同的文件</w:t>
      </w:r>
      <w:r>
        <w:rPr>
          <w:rFonts w:hint="eastAsia" w:asciiTheme="minorEastAsia" w:hAnsiTheme="minorEastAsia" w:eastAsiaTheme="minorEastAsia" w:cstheme="minorEastAsia"/>
          <w:b w:val="0"/>
          <w:bCs w:val="0"/>
          <w:color w:val="auto"/>
          <w:sz w:val="21"/>
          <w:szCs w:val="21"/>
          <w:highlight w:val="none"/>
        </w:rPr>
        <w:tab/>
      </w:r>
      <w:r>
        <w:rPr>
          <w:rFonts w:hint="eastAsia" w:asciiTheme="minorEastAsia" w:hAnsiTheme="minorEastAsia" w:eastAsiaTheme="minorEastAsia" w:cstheme="minorEastAsia"/>
          <w:b w:val="0"/>
          <w:bCs w:val="0"/>
          <w:color w:val="auto"/>
          <w:sz w:val="21"/>
          <w:szCs w:val="21"/>
          <w:highlight w:val="none"/>
        </w:rPr>
        <w:fldChar w:fldCharType="begin"/>
      </w:r>
      <w:r>
        <w:rPr>
          <w:rFonts w:hint="eastAsia" w:asciiTheme="minorEastAsia" w:hAnsiTheme="minorEastAsia" w:eastAsiaTheme="minorEastAsia" w:cstheme="minorEastAsia"/>
          <w:b w:val="0"/>
          <w:bCs w:val="0"/>
          <w:color w:val="auto"/>
          <w:sz w:val="21"/>
          <w:szCs w:val="21"/>
          <w:highlight w:val="none"/>
        </w:rPr>
        <w:instrText xml:space="preserve"> PAGEREF _Toc32095 \h </w:instrText>
      </w:r>
      <w:r>
        <w:rPr>
          <w:rFonts w:hint="eastAsia" w:asciiTheme="minorEastAsia" w:hAnsiTheme="minorEastAsia" w:eastAsiaTheme="minorEastAsia" w:cstheme="minorEastAsia"/>
          <w:b w:val="0"/>
          <w:bCs w:val="0"/>
          <w:color w:val="auto"/>
          <w:sz w:val="21"/>
          <w:szCs w:val="21"/>
          <w:highlight w:val="none"/>
        </w:rPr>
        <w:fldChar w:fldCharType="separate"/>
      </w:r>
      <w:r>
        <w:rPr>
          <w:rFonts w:hint="eastAsia" w:asciiTheme="minorEastAsia" w:hAnsiTheme="minorEastAsia" w:eastAsiaTheme="minorEastAsia" w:cstheme="minorEastAsia"/>
          <w:b w:val="0"/>
          <w:bCs w:val="0"/>
          <w:color w:val="auto"/>
          <w:sz w:val="21"/>
          <w:szCs w:val="21"/>
          <w:highlight w:val="none"/>
        </w:rPr>
        <w:t>8</w:t>
      </w:r>
      <w:r>
        <w:rPr>
          <w:rFonts w:hint="eastAsia" w:asciiTheme="minorEastAsia" w:hAnsiTheme="minorEastAsia" w:eastAsiaTheme="minorEastAsia" w:cstheme="minorEastAsia"/>
          <w:b w:val="0"/>
          <w:bCs w:val="0"/>
          <w:color w:val="auto"/>
          <w:sz w:val="21"/>
          <w:szCs w:val="21"/>
          <w:highlight w:val="none"/>
        </w:rPr>
        <w:fldChar w:fldCharType="end"/>
      </w:r>
      <w:r>
        <w:rPr>
          <w:rFonts w:hint="eastAsia" w:asciiTheme="minorEastAsia" w:hAnsiTheme="minorEastAsia" w:eastAsiaTheme="minorEastAsia" w:cstheme="minorEastAsia"/>
          <w:b w:val="0"/>
          <w:bCs w:val="0"/>
          <w:color w:val="auto"/>
          <w:sz w:val="21"/>
          <w:szCs w:val="21"/>
          <w:highlight w:val="none"/>
        </w:rPr>
        <w:fldChar w:fldCharType="end"/>
      </w:r>
    </w:p>
    <w:p>
      <w:pPr>
        <w:pStyle w:val="29"/>
        <w:tabs>
          <w:tab w:val="right" w:leader="dot" w:pos="10204"/>
        </w:tabs>
        <w:spacing w:before="0" w:after="0"/>
        <w:ind w:firstLine="201" w:firstLineChars="100"/>
        <w:rPr>
          <w:rFonts w:asciiTheme="minorEastAsia" w:hAnsiTheme="minorEastAsia" w:eastAsiaTheme="minorEastAsia" w:cstheme="minorEastAsia"/>
          <w:b w:val="0"/>
          <w:bCs w:val="0"/>
          <w:color w:val="auto"/>
          <w:sz w:val="21"/>
          <w:szCs w:val="21"/>
          <w:highlight w:val="none"/>
        </w:rPr>
      </w:pPr>
      <w:r>
        <w:rPr>
          <w:color w:val="auto"/>
          <w:highlight w:val="none"/>
        </w:rPr>
        <w:fldChar w:fldCharType="begin"/>
      </w:r>
      <w:r>
        <w:rPr>
          <w:color w:val="auto"/>
          <w:highlight w:val="none"/>
        </w:rPr>
        <w:instrText xml:space="preserve"> HYPERLINK \l "_Toc21897" </w:instrText>
      </w:r>
      <w:r>
        <w:rPr>
          <w:color w:val="auto"/>
          <w:highlight w:val="none"/>
        </w:rPr>
        <w:fldChar w:fldCharType="separate"/>
      </w:r>
      <w:r>
        <w:rPr>
          <w:rFonts w:hint="eastAsia" w:asciiTheme="minorEastAsia" w:hAnsiTheme="minorEastAsia" w:eastAsiaTheme="minorEastAsia" w:cstheme="minorEastAsia"/>
          <w:b w:val="0"/>
          <w:bCs w:val="0"/>
          <w:color w:val="auto"/>
          <w:sz w:val="21"/>
          <w:szCs w:val="21"/>
          <w:highlight w:val="none"/>
          <w:lang w:val="en-US" w:eastAsia="zh-CN"/>
        </w:rPr>
        <w:t>七</w:t>
      </w:r>
      <w:r>
        <w:rPr>
          <w:rFonts w:hint="eastAsia" w:asciiTheme="minorEastAsia" w:hAnsiTheme="minorEastAsia" w:eastAsiaTheme="minorEastAsia" w:cstheme="minorEastAsia"/>
          <w:b w:val="0"/>
          <w:bCs w:val="0"/>
          <w:color w:val="auto"/>
          <w:sz w:val="21"/>
          <w:szCs w:val="21"/>
          <w:highlight w:val="none"/>
        </w:rPr>
        <w:t>、词语含义</w:t>
      </w:r>
      <w:r>
        <w:rPr>
          <w:rFonts w:hint="eastAsia" w:asciiTheme="minorEastAsia" w:hAnsiTheme="minorEastAsia" w:eastAsiaTheme="minorEastAsia" w:cstheme="minorEastAsia"/>
          <w:b w:val="0"/>
          <w:bCs w:val="0"/>
          <w:color w:val="auto"/>
          <w:sz w:val="21"/>
          <w:szCs w:val="21"/>
          <w:highlight w:val="none"/>
        </w:rPr>
        <w:tab/>
      </w:r>
      <w:r>
        <w:rPr>
          <w:rFonts w:hint="eastAsia" w:asciiTheme="minorEastAsia" w:hAnsiTheme="minorEastAsia" w:eastAsiaTheme="minorEastAsia" w:cstheme="minorEastAsia"/>
          <w:b w:val="0"/>
          <w:bCs w:val="0"/>
          <w:color w:val="auto"/>
          <w:sz w:val="21"/>
          <w:szCs w:val="21"/>
          <w:highlight w:val="none"/>
        </w:rPr>
        <w:fldChar w:fldCharType="begin"/>
      </w:r>
      <w:r>
        <w:rPr>
          <w:rFonts w:hint="eastAsia" w:asciiTheme="minorEastAsia" w:hAnsiTheme="minorEastAsia" w:eastAsiaTheme="minorEastAsia" w:cstheme="minorEastAsia"/>
          <w:b w:val="0"/>
          <w:bCs w:val="0"/>
          <w:color w:val="auto"/>
          <w:sz w:val="21"/>
          <w:szCs w:val="21"/>
          <w:highlight w:val="none"/>
        </w:rPr>
        <w:instrText xml:space="preserve"> PAGEREF _Toc21897 \h </w:instrText>
      </w:r>
      <w:r>
        <w:rPr>
          <w:rFonts w:hint="eastAsia" w:asciiTheme="minorEastAsia" w:hAnsiTheme="minorEastAsia" w:eastAsiaTheme="minorEastAsia" w:cstheme="minorEastAsia"/>
          <w:b w:val="0"/>
          <w:bCs w:val="0"/>
          <w:color w:val="auto"/>
          <w:sz w:val="21"/>
          <w:szCs w:val="21"/>
          <w:highlight w:val="none"/>
        </w:rPr>
        <w:fldChar w:fldCharType="separate"/>
      </w:r>
      <w:r>
        <w:rPr>
          <w:rFonts w:hint="eastAsia" w:asciiTheme="minorEastAsia" w:hAnsiTheme="minorEastAsia" w:eastAsiaTheme="minorEastAsia" w:cstheme="minorEastAsia"/>
          <w:b w:val="0"/>
          <w:bCs w:val="0"/>
          <w:color w:val="auto"/>
          <w:sz w:val="21"/>
          <w:szCs w:val="21"/>
          <w:highlight w:val="none"/>
        </w:rPr>
        <w:t>9</w:t>
      </w:r>
      <w:r>
        <w:rPr>
          <w:rFonts w:hint="eastAsia" w:asciiTheme="minorEastAsia" w:hAnsiTheme="minorEastAsia" w:eastAsiaTheme="minorEastAsia" w:cstheme="minorEastAsia"/>
          <w:b w:val="0"/>
          <w:bCs w:val="0"/>
          <w:color w:val="auto"/>
          <w:sz w:val="21"/>
          <w:szCs w:val="21"/>
          <w:highlight w:val="none"/>
        </w:rPr>
        <w:fldChar w:fldCharType="end"/>
      </w:r>
      <w:r>
        <w:rPr>
          <w:rFonts w:hint="eastAsia" w:asciiTheme="minorEastAsia" w:hAnsiTheme="minorEastAsia" w:eastAsiaTheme="minorEastAsia" w:cstheme="minorEastAsia"/>
          <w:b w:val="0"/>
          <w:bCs w:val="0"/>
          <w:color w:val="auto"/>
          <w:sz w:val="21"/>
          <w:szCs w:val="21"/>
          <w:highlight w:val="none"/>
        </w:rPr>
        <w:fldChar w:fldCharType="end"/>
      </w:r>
    </w:p>
    <w:p>
      <w:pPr>
        <w:pStyle w:val="29"/>
        <w:tabs>
          <w:tab w:val="right" w:leader="dot" w:pos="10204"/>
        </w:tabs>
        <w:spacing w:before="0" w:after="0"/>
        <w:ind w:firstLine="201" w:firstLineChars="100"/>
        <w:rPr>
          <w:rFonts w:asciiTheme="minorEastAsia" w:hAnsiTheme="minorEastAsia" w:eastAsiaTheme="minorEastAsia" w:cstheme="minorEastAsia"/>
          <w:b w:val="0"/>
          <w:bCs w:val="0"/>
          <w:color w:val="auto"/>
          <w:sz w:val="21"/>
          <w:szCs w:val="21"/>
          <w:highlight w:val="none"/>
        </w:rPr>
      </w:pPr>
      <w:r>
        <w:rPr>
          <w:color w:val="auto"/>
          <w:highlight w:val="none"/>
        </w:rPr>
        <w:fldChar w:fldCharType="begin"/>
      </w:r>
      <w:r>
        <w:rPr>
          <w:color w:val="auto"/>
          <w:highlight w:val="none"/>
        </w:rPr>
        <w:instrText xml:space="preserve"> HYPERLINK \l "_Toc17065" </w:instrText>
      </w:r>
      <w:r>
        <w:rPr>
          <w:color w:val="auto"/>
          <w:highlight w:val="none"/>
        </w:rPr>
        <w:fldChar w:fldCharType="separate"/>
      </w:r>
      <w:r>
        <w:rPr>
          <w:rFonts w:hint="eastAsia" w:asciiTheme="minorEastAsia" w:hAnsiTheme="minorEastAsia" w:eastAsiaTheme="minorEastAsia" w:cstheme="minorEastAsia"/>
          <w:b w:val="0"/>
          <w:bCs w:val="0"/>
          <w:color w:val="auto"/>
          <w:sz w:val="21"/>
          <w:szCs w:val="21"/>
          <w:highlight w:val="none"/>
          <w:lang w:val="en-US" w:eastAsia="zh-CN"/>
        </w:rPr>
        <w:t>八</w:t>
      </w:r>
      <w:r>
        <w:rPr>
          <w:rFonts w:hint="eastAsia" w:asciiTheme="minorEastAsia" w:hAnsiTheme="minorEastAsia" w:eastAsiaTheme="minorEastAsia" w:cstheme="minorEastAsia"/>
          <w:b w:val="0"/>
          <w:bCs w:val="0"/>
          <w:color w:val="auto"/>
          <w:sz w:val="21"/>
          <w:szCs w:val="21"/>
          <w:highlight w:val="none"/>
        </w:rPr>
        <w:t>、承包人承诺</w:t>
      </w:r>
      <w:r>
        <w:rPr>
          <w:rFonts w:hint="eastAsia" w:asciiTheme="minorEastAsia" w:hAnsiTheme="minorEastAsia" w:eastAsiaTheme="minorEastAsia" w:cstheme="minorEastAsia"/>
          <w:b w:val="0"/>
          <w:bCs w:val="0"/>
          <w:color w:val="auto"/>
          <w:sz w:val="21"/>
          <w:szCs w:val="21"/>
          <w:highlight w:val="none"/>
        </w:rPr>
        <w:tab/>
      </w:r>
      <w:r>
        <w:rPr>
          <w:rFonts w:hint="eastAsia" w:asciiTheme="minorEastAsia" w:hAnsiTheme="minorEastAsia" w:eastAsiaTheme="minorEastAsia" w:cstheme="minorEastAsia"/>
          <w:b w:val="0"/>
          <w:bCs w:val="0"/>
          <w:color w:val="auto"/>
          <w:sz w:val="21"/>
          <w:szCs w:val="21"/>
          <w:highlight w:val="none"/>
        </w:rPr>
        <w:fldChar w:fldCharType="begin"/>
      </w:r>
      <w:r>
        <w:rPr>
          <w:rFonts w:hint="eastAsia" w:asciiTheme="minorEastAsia" w:hAnsiTheme="minorEastAsia" w:eastAsiaTheme="minorEastAsia" w:cstheme="minorEastAsia"/>
          <w:b w:val="0"/>
          <w:bCs w:val="0"/>
          <w:color w:val="auto"/>
          <w:sz w:val="21"/>
          <w:szCs w:val="21"/>
          <w:highlight w:val="none"/>
        </w:rPr>
        <w:instrText xml:space="preserve"> PAGEREF _Toc17065 \h </w:instrText>
      </w:r>
      <w:r>
        <w:rPr>
          <w:rFonts w:hint="eastAsia" w:asciiTheme="minorEastAsia" w:hAnsiTheme="minorEastAsia" w:eastAsiaTheme="minorEastAsia" w:cstheme="minorEastAsia"/>
          <w:b w:val="0"/>
          <w:bCs w:val="0"/>
          <w:color w:val="auto"/>
          <w:sz w:val="21"/>
          <w:szCs w:val="21"/>
          <w:highlight w:val="none"/>
        </w:rPr>
        <w:fldChar w:fldCharType="separate"/>
      </w:r>
      <w:r>
        <w:rPr>
          <w:rFonts w:hint="eastAsia" w:asciiTheme="minorEastAsia" w:hAnsiTheme="minorEastAsia" w:eastAsiaTheme="minorEastAsia" w:cstheme="minorEastAsia"/>
          <w:b w:val="0"/>
          <w:bCs w:val="0"/>
          <w:color w:val="auto"/>
          <w:sz w:val="21"/>
          <w:szCs w:val="21"/>
          <w:highlight w:val="none"/>
        </w:rPr>
        <w:t>9</w:t>
      </w:r>
      <w:r>
        <w:rPr>
          <w:rFonts w:hint="eastAsia" w:asciiTheme="minorEastAsia" w:hAnsiTheme="minorEastAsia" w:eastAsiaTheme="minorEastAsia" w:cstheme="minorEastAsia"/>
          <w:b w:val="0"/>
          <w:bCs w:val="0"/>
          <w:color w:val="auto"/>
          <w:sz w:val="21"/>
          <w:szCs w:val="21"/>
          <w:highlight w:val="none"/>
        </w:rPr>
        <w:fldChar w:fldCharType="end"/>
      </w:r>
      <w:r>
        <w:rPr>
          <w:rFonts w:hint="eastAsia" w:asciiTheme="minorEastAsia" w:hAnsiTheme="minorEastAsia" w:eastAsiaTheme="minorEastAsia" w:cstheme="minorEastAsia"/>
          <w:b w:val="0"/>
          <w:bCs w:val="0"/>
          <w:color w:val="auto"/>
          <w:sz w:val="21"/>
          <w:szCs w:val="21"/>
          <w:highlight w:val="none"/>
        </w:rPr>
        <w:fldChar w:fldCharType="end"/>
      </w:r>
    </w:p>
    <w:p>
      <w:pPr>
        <w:pStyle w:val="29"/>
        <w:tabs>
          <w:tab w:val="right" w:leader="dot" w:pos="10204"/>
        </w:tabs>
        <w:spacing w:before="0" w:after="0"/>
        <w:ind w:firstLine="201" w:firstLineChars="100"/>
        <w:rPr>
          <w:rFonts w:asciiTheme="minorEastAsia" w:hAnsiTheme="minorEastAsia" w:eastAsiaTheme="minorEastAsia" w:cstheme="minorEastAsia"/>
          <w:b w:val="0"/>
          <w:bCs w:val="0"/>
          <w:color w:val="auto"/>
          <w:sz w:val="21"/>
          <w:szCs w:val="21"/>
          <w:highlight w:val="none"/>
        </w:rPr>
      </w:pPr>
      <w:r>
        <w:rPr>
          <w:color w:val="auto"/>
          <w:highlight w:val="none"/>
        </w:rPr>
        <w:fldChar w:fldCharType="begin"/>
      </w:r>
      <w:r>
        <w:rPr>
          <w:color w:val="auto"/>
          <w:highlight w:val="none"/>
        </w:rPr>
        <w:instrText xml:space="preserve"> HYPERLINK \l "_Toc4062" </w:instrText>
      </w:r>
      <w:r>
        <w:rPr>
          <w:color w:val="auto"/>
          <w:highlight w:val="none"/>
        </w:rPr>
        <w:fldChar w:fldCharType="separate"/>
      </w:r>
      <w:r>
        <w:rPr>
          <w:rFonts w:hint="eastAsia" w:asciiTheme="minorEastAsia" w:hAnsiTheme="minorEastAsia" w:eastAsiaTheme="minorEastAsia" w:cstheme="minorEastAsia"/>
          <w:b w:val="0"/>
          <w:bCs w:val="0"/>
          <w:color w:val="auto"/>
          <w:sz w:val="21"/>
          <w:szCs w:val="21"/>
          <w:highlight w:val="none"/>
          <w:lang w:val="en-US" w:eastAsia="zh-CN"/>
        </w:rPr>
        <w:t>九</w:t>
      </w:r>
      <w:r>
        <w:rPr>
          <w:rFonts w:hint="eastAsia" w:asciiTheme="minorEastAsia" w:hAnsiTheme="minorEastAsia" w:eastAsiaTheme="minorEastAsia" w:cstheme="minorEastAsia"/>
          <w:b w:val="0"/>
          <w:bCs w:val="0"/>
          <w:color w:val="auto"/>
          <w:sz w:val="21"/>
          <w:szCs w:val="21"/>
          <w:highlight w:val="none"/>
        </w:rPr>
        <w:t>、发包人承诺</w:t>
      </w:r>
      <w:r>
        <w:rPr>
          <w:rFonts w:hint="eastAsia" w:asciiTheme="minorEastAsia" w:hAnsiTheme="minorEastAsia" w:eastAsiaTheme="minorEastAsia" w:cstheme="minorEastAsia"/>
          <w:b w:val="0"/>
          <w:bCs w:val="0"/>
          <w:color w:val="auto"/>
          <w:sz w:val="21"/>
          <w:szCs w:val="21"/>
          <w:highlight w:val="none"/>
        </w:rPr>
        <w:tab/>
      </w:r>
      <w:r>
        <w:rPr>
          <w:rFonts w:hint="eastAsia" w:asciiTheme="minorEastAsia" w:hAnsiTheme="minorEastAsia" w:eastAsiaTheme="minorEastAsia" w:cstheme="minorEastAsia"/>
          <w:b w:val="0"/>
          <w:bCs w:val="0"/>
          <w:color w:val="auto"/>
          <w:sz w:val="21"/>
          <w:szCs w:val="21"/>
          <w:highlight w:val="none"/>
        </w:rPr>
        <w:fldChar w:fldCharType="begin"/>
      </w:r>
      <w:r>
        <w:rPr>
          <w:rFonts w:hint="eastAsia" w:asciiTheme="minorEastAsia" w:hAnsiTheme="minorEastAsia" w:eastAsiaTheme="minorEastAsia" w:cstheme="minorEastAsia"/>
          <w:b w:val="0"/>
          <w:bCs w:val="0"/>
          <w:color w:val="auto"/>
          <w:sz w:val="21"/>
          <w:szCs w:val="21"/>
          <w:highlight w:val="none"/>
        </w:rPr>
        <w:instrText xml:space="preserve"> PAGEREF _Toc4062 \h </w:instrText>
      </w:r>
      <w:r>
        <w:rPr>
          <w:rFonts w:hint="eastAsia" w:asciiTheme="minorEastAsia" w:hAnsiTheme="minorEastAsia" w:eastAsiaTheme="minorEastAsia" w:cstheme="minorEastAsia"/>
          <w:b w:val="0"/>
          <w:bCs w:val="0"/>
          <w:color w:val="auto"/>
          <w:sz w:val="21"/>
          <w:szCs w:val="21"/>
          <w:highlight w:val="none"/>
        </w:rPr>
        <w:fldChar w:fldCharType="separate"/>
      </w:r>
      <w:r>
        <w:rPr>
          <w:rFonts w:hint="eastAsia" w:asciiTheme="minorEastAsia" w:hAnsiTheme="minorEastAsia" w:eastAsiaTheme="minorEastAsia" w:cstheme="minorEastAsia"/>
          <w:b w:val="0"/>
          <w:bCs w:val="0"/>
          <w:color w:val="auto"/>
          <w:sz w:val="21"/>
          <w:szCs w:val="21"/>
          <w:highlight w:val="none"/>
        </w:rPr>
        <w:t>9</w:t>
      </w:r>
      <w:r>
        <w:rPr>
          <w:rFonts w:hint="eastAsia" w:asciiTheme="minorEastAsia" w:hAnsiTheme="minorEastAsia" w:eastAsiaTheme="minorEastAsia" w:cstheme="minorEastAsia"/>
          <w:b w:val="0"/>
          <w:bCs w:val="0"/>
          <w:color w:val="auto"/>
          <w:sz w:val="21"/>
          <w:szCs w:val="21"/>
          <w:highlight w:val="none"/>
        </w:rPr>
        <w:fldChar w:fldCharType="end"/>
      </w:r>
      <w:r>
        <w:rPr>
          <w:rFonts w:hint="eastAsia" w:asciiTheme="minorEastAsia" w:hAnsiTheme="minorEastAsia" w:eastAsiaTheme="minorEastAsia" w:cstheme="minorEastAsia"/>
          <w:b w:val="0"/>
          <w:bCs w:val="0"/>
          <w:color w:val="auto"/>
          <w:sz w:val="21"/>
          <w:szCs w:val="21"/>
          <w:highlight w:val="none"/>
        </w:rPr>
        <w:fldChar w:fldCharType="end"/>
      </w:r>
    </w:p>
    <w:p>
      <w:pPr>
        <w:pStyle w:val="29"/>
        <w:tabs>
          <w:tab w:val="right" w:leader="dot" w:pos="10204"/>
        </w:tabs>
        <w:spacing w:before="0" w:after="0"/>
        <w:ind w:firstLine="201" w:firstLineChars="100"/>
        <w:rPr>
          <w:rFonts w:asciiTheme="minorEastAsia" w:hAnsiTheme="minorEastAsia" w:eastAsiaTheme="minorEastAsia" w:cstheme="minorEastAsia"/>
          <w:b w:val="0"/>
          <w:bCs w:val="0"/>
          <w:color w:val="auto"/>
          <w:sz w:val="21"/>
          <w:szCs w:val="21"/>
          <w:highlight w:val="none"/>
        </w:rPr>
      </w:pPr>
      <w:r>
        <w:rPr>
          <w:color w:val="auto"/>
          <w:highlight w:val="none"/>
        </w:rPr>
        <w:fldChar w:fldCharType="begin"/>
      </w:r>
      <w:r>
        <w:rPr>
          <w:color w:val="auto"/>
          <w:highlight w:val="none"/>
        </w:rPr>
        <w:instrText xml:space="preserve"> HYPERLINK \l "_Toc18995" </w:instrText>
      </w:r>
      <w:r>
        <w:rPr>
          <w:color w:val="auto"/>
          <w:highlight w:val="none"/>
        </w:rPr>
        <w:fldChar w:fldCharType="separate"/>
      </w:r>
      <w:r>
        <w:rPr>
          <w:rFonts w:hint="eastAsia" w:asciiTheme="minorEastAsia" w:hAnsiTheme="minorEastAsia" w:eastAsiaTheme="minorEastAsia" w:cstheme="minorEastAsia"/>
          <w:b w:val="0"/>
          <w:bCs w:val="0"/>
          <w:color w:val="auto"/>
          <w:sz w:val="21"/>
          <w:szCs w:val="21"/>
          <w:highlight w:val="none"/>
        </w:rPr>
        <w:t>十、合同生效</w:t>
      </w:r>
      <w:r>
        <w:rPr>
          <w:rFonts w:hint="eastAsia" w:asciiTheme="minorEastAsia" w:hAnsiTheme="minorEastAsia" w:eastAsiaTheme="minorEastAsia" w:cstheme="minorEastAsia"/>
          <w:b w:val="0"/>
          <w:bCs w:val="0"/>
          <w:color w:val="auto"/>
          <w:sz w:val="21"/>
          <w:szCs w:val="21"/>
          <w:highlight w:val="none"/>
        </w:rPr>
        <w:tab/>
      </w:r>
      <w:r>
        <w:rPr>
          <w:rFonts w:hint="eastAsia" w:asciiTheme="minorEastAsia" w:hAnsiTheme="minorEastAsia" w:eastAsiaTheme="minorEastAsia" w:cstheme="minorEastAsia"/>
          <w:b w:val="0"/>
          <w:bCs w:val="0"/>
          <w:color w:val="auto"/>
          <w:sz w:val="21"/>
          <w:szCs w:val="21"/>
          <w:highlight w:val="none"/>
        </w:rPr>
        <w:fldChar w:fldCharType="begin"/>
      </w:r>
      <w:r>
        <w:rPr>
          <w:rFonts w:hint="eastAsia" w:asciiTheme="minorEastAsia" w:hAnsiTheme="minorEastAsia" w:eastAsiaTheme="minorEastAsia" w:cstheme="minorEastAsia"/>
          <w:b w:val="0"/>
          <w:bCs w:val="0"/>
          <w:color w:val="auto"/>
          <w:sz w:val="21"/>
          <w:szCs w:val="21"/>
          <w:highlight w:val="none"/>
        </w:rPr>
        <w:instrText xml:space="preserve"> PAGEREF _Toc18995 \h </w:instrText>
      </w:r>
      <w:r>
        <w:rPr>
          <w:rFonts w:hint="eastAsia" w:asciiTheme="minorEastAsia" w:hAnsiTheme="minorEastAsia" w:eastAsiaTheme="minorEastAsia" w:cstheme="minorEastAsia"/>
          <w:b w:val="0"/>
          <w:bCs w:val="0"/>
          <w:color w:val="auto"/>
          <w:sz w:val="21"/>
          <w:szCs w:val="21"/>
          <w:highlight w:val="none"/>
        </w:rPr>
        <w:fldChar w:fldCharType="separate"/>
      </w:r>
      <w:r>
        <w:rPr>
          <w:rFonts w:hint="eastAsia" w:asciiTheme="minorEastAsia" w:hAnsiTheme="minorEastAsia" w:eastAsiaTheme="minorEastAsia" w:cstheme="minorEastAsia"/>
          <w:b w:val="0"/>
          <w:bCs w:val="0"/>
          <w:color w:val="auto"/>
          <w:sz w:val="21"/>
          <w:szCs w:val="21"/>
          <w:highlight w:val="none"/>
        </w:rPr>
        <w:t>9</w:t>
      </w:r>
      <w:r>
        <w:rPr>
          <w:rFonts w:hint="eastAsia" w:asciiTheme="minorEastAsia" w:hAnsiTheme="minorEastAsia" w:eastAsiaTheme="minorEastAsia" w:cstheme="minorEastAsia"/>
          <w:b w:val="0"/>
          <w:bCs w:val="0"/>
          <w:color w:val="auto"/>
          <w:sz w:val="21"/>
          <w:szCs w:val="21"/>
          <w:highlight w:val="none"/>
        </w:rPr>
        <w:fldChar w:fldCharType="end"/>
      </w:r>
      <w:r>
        <w:rPr>
          <w:rFonts w:hint="eastAsia" w:asciiTheme="minorEastAsia" w:hAnsiTheme="minorEastAsia" w:eastAsiaTheme="minorEastAsia" w:cstheme="minorEastAsia"/>
          <w:b w:val="0"/>
          <w:bCs w:val="0"/>
          <w:color w:val="auto"/>
          <w:sz w:val="21"/>
          <w:szCs w:val="21"/>
          <w:highlight w:val="none"/>
        </w:rPr>
        <w:fldChar w:fldCharType="end"/>
      </w:r>
    </w:p>
    <w:p>
      <w:pPr>
        <w:pStyle w:val="29"/>
        <w:tabs>
          <w:tab w:val="right" w:leader="dot" w:pos="10204"/>
        </w:tabs>
        <w:spacing w:before="0" w:after="0"/>
        <w:ind w:firstLine="201" w:firstLineChars="100"/>
        <w:rPr>
          <w:rFonts w:asciiTheme="minorEastAsia" w:hAnsiTheme="minorEastAsia" w:eastAsiaTheme="minorEastAsia" w:cstheme="minorEastAsia"/>
          <w:b w:val="0"/>
          <w:bCs w:val="0"/>
          <w:color w:val="auto"/>
          <w:sz w:val="21"/>
          <w:szCs w:val="21"/>
          <w:highlight w:val="none"/>
        </w:rPr>
      </w:pPr>
      <w:r>
        <w:rPr>
          <w:color w:val="auto"/>
          <w:highlight w:val="none"/>
        </w:rPr>
        <w:fldChar w:fldCharType="begin"/>
      </w:r>
      <w:r>
        <w:rPr>
          <w:color w:val="auto"/>
          <w:highlight w:val="none"/>
        </w:rPr>
        <w:instrText xml:space="preserve"> HYPERLINK \l "_Toc22088" </w:instrText>
      </w:r>
      <w:r>
        <w:rPr>
          <w:color w:val="auto"/>
          <w:highlight w:val="none"/>
        </w:rPr>
        <w:fldChar w:fldCharType="separate"/>
      </w:r>
      <w:r>
        <w:rPr>
          <w:rFonts w:hint="eastAsia" w:asciiTheme="minorEastAsia" w:hAnsiTheme="minorEastAsia" w:eastAsiaTheme="minorEastAsia" w:cstheme="minorEastAsia"/>
          <w:b w:val="0"/>
          <w:bCs w:val="0"/>
          <w:color w:val="auto"/>
          <w:sz w:val="21"/>
          <w:szCs w:val="21"/>
          <w:highlight w:val="none"/>
        </w:rPr>
        <w:t>十</w:t>
      </w:r>
      <w:r>
        <w:rPr>
          <w:rFonts w:hint="eastAsia" w:asciiTheme="minorEastAsia" w:hAnsiTheme="minorEastAsia" w:eastAsiaTheme="minorEastAsia" w:cstheme="minorEastAsia"/>
          <w:b w:val="0"/>
          <w:bCs w:val="0"/>
          <w:color w:val="auto"/>
          <w:sz w:val="21"/>
          <w:szCs w:val="21"/>
          <w:highlight w:val="none"/>
          <w:lang w:val="en-US" w:eastAsia="zh-CN"/>
        </w:rPr>
        <w:t>一</w:t>
      </w:r>
      <w:r>
        <w:rPr>
          <w:rFonts w:hint="eastAsia" w:asciiTheme="minorEastAsia" w:hAnsiTheme="minorEastAsia" w:eastAsiaTheme="minorEastAsia" w:cstheme="minorEastAsia"/>
          <w:b w:val="0"/>
          <w:bCs w:val="0"/>
          <w:color w:val="auto"/>
          <w:sz w:val="21"/>
          <w:szCs w:val="21"/>
          <w:highlight w:val="none"/>
        </w:rPr>
        <w:t>、合同份数</w:t>
      </w:r>
      <w:r>
        <w:rPr>
          <w:rFonts w:hint="eastAsia" w:asciiTheme="minorEastAsia" w:hAnsiTheme="minorEastAsia" w:eastAsiaTheme="minorEastAsia" w:cstheme="minorEastAsia"/>
          <w:b w:val="0"/>
          <w:bCs w:val="0"/>
          <w:color w:val="auto"/>
          <w:sz w:val="21"/>
          <w:szCs w:val="21"/>
          <w:highlight w:val="none"/>
        </w:rPr>
        <w:tab/>
      </w:r>
      <w:r>
        <w:rPr>
          <w:rFonts w:hint="eastAsia" w:asciiTheme="minorEastAsia" w:hAnsiTheme="minorEastAsia" w:eastAsiaTheme="minorEastAsia" w:cstheme="minorEastAsia"/>
          <w:b w:val="0"/>
          <w:bCs w:val="0"/>
          <w:color w:val="auto"/>
          <w:sz w:val="21"/>
          <w:szCs w:val="21"/>
          <w:highlight w:val="none"/>
        </w:rPr>
        <w:fldChar w:fldCharType="begin"/>
      </w:r>
      <w:r>
        <w:rPr>
          <w:rFonts w:hint="eastAsia" w:asciiTheme="minorEastAsia" w:hAnsiTheme="minorEastAsia" w:eastAsiaTheme="minorEastAsia" w:cstheme="minorEastAsia"/>
          <w:b w:val="0"/>
          <w:bCs w:val="0"/>
          <w:color w:val="auto"/>
          <w:sz w:val="21"/>
          <w:szCs w:val="21"/>
          <w:highlight w:val="none"/>
        </w:rPr>
        <w:instrText xml:space="preserve"> PAGEREF _Toc22088 \h </w:instrText>
      </w:r>
      <w:r>
        <w:rPr>
          <w:rFonts w:hint="eastAsia" w:asciiTheme="minorEastAsia" w:hAnsiTheme="minorEastAsia" w:eastAsiaTheme="minorEastAsia" w:cstheme="minorEastAsia"/>
          <w:b w:val="0"/>
          <w:bCs w:val="0"/>
          <w:color w:val="auto"/>
          <w:sz w:val="21"/>
          <w:szCs w:val="21"/>
          <w:highlight w:val="none"/>
        </w:rPr>
        <w:fldChar w:fldCharType="separate"/>
      </w:r>
      <w:r>
        <w:rPr>
          <w:rFonts w:hint="eastAsia" w:asciiTheme="minorEastAsia" w:hAnsiTheme="minorEastAsia" w:eastAsiaTheme="minorEastAsia" w:cstheme="minorEastAsia"/>
          <w:b w:val="0"/>
          <w:bCs w:val="0"/>
          <w:color w:val="auto"/>
          <w:sz w:val="21"/>
          <w:szCs w:val="21"/>
          <w:highlight w:val="none"/>
        </w:rPr>
        <w:t>9</w:t>
      </w:r>
      <w:r>
        <w:rPr>
          <w:rFonts w:hint="eastAsia" w:asciiTheme="minorEastAsia" w:hAnsiTheme="minorEastAsia" w:eastAsiaTheme="minorEastAsia" w:cstheme="minorEastAsia"/>
          <w:b w:val="0"/>
          <w:bCs w:val="0"/>
          <w:color w:val="auto"/>
          <w:sz w:val="21"/>
          <w:szCs w:val="21"/>
          <w:highlight w:val="none"/>
        </w:rPr>
        <w:fldChar w:fldCharType="end"/>
      </w:r>
      <w:r>
        <w:rPr>
          <w:rFonts w:hint="eastAsia" w:asciiTheme="minorEastAsia" w:hAnsiTheme="minorEastAsia" w:eastAsiaTheme="minorEastAsia" w:cstheme="minorEastAsia"/>
          <w:b w:val="0"/>
          <w:bCs w:val="0"/>
          <w:color w:val="auto"/>
          <w:sz w:val="21"/>
          <w:szCs w:val="21"/>
          <w:highlight w:val="none"/>
        </w:rPr>
        <w:fldChar w:fldCharType="end"/>
      </w:r>
    </w:p>
    <w:p>
      <w:pPr>
        <w:pStyle w:val="29"/>
        <w:tabs>
          <w:tab w:val="right" w:leader="dot" w:pos="10204"/>
        </w:tabs>
        <w:spacing w:before="0" w:after="0"/>
        <w:rPr>
          <w:rFonts w:asciiTheme="minorEastAsia" w:hAnsiTheme="minorEastAsia" w:eastAsiaTheme="minorEastAsia" w:cstheme="minorEastAsia"/>
          <w:b w:val="0"/>
          <w:bCs w:val="0"/>
          <w:color w:val="auto"/>
          <w:sz w:val="21"/>
          <w:szCs w:val="21"/>
          <w:highlight w:val="none"/>
        </w:rPr>
      </w:pPr>
      <w:r>
        <w:rPr>
          <w:color w:val="auto"/>
          <w:highlight w:val="none"/>
        </w:rPr>
        <w:fldChar w:fldCharType="begin"/>
      </w:r>
      <w:r>
        <w:rPr>
          <w:color w:val="auto"/>
          <w:highlight w:val="none"/>
        </w:rPr>
        <w:instrText xml:space="preserve"> HYPERLINK \l "_Toc27523" </w:instrText>
      </w:r>
      <w:r>
        <w:rPr>
          <w:color w:val="auto"/>
          <w:highlight w:val="none"/>
        </w:rPr>
        <w:fldChar w:fldCharType="separate"/>
      </w:r>
      <w:r>
        <w:rPr>
          <w:rFonts w:hint="eastAsia" w:asciiTheme="minorEastAsia" w:hAnsiTheme="minorEastAsia" w:eastAsiaTheme="minorEastAsia" w:cstheme="minorEastAsia"/>
          <w:b w:val="0"/>
          <w:bCs w:val="0"/>
          <w:color w:val="auto"/>
          <w:sz w:val="21"/>
          <w:szCs w:val="21"/>
          <w:highlight w:val="none"/>
        </w:rPr>
        <w:t>第二部分  通用条款</w:t>
      </w:r>
      <w:r>
        <w:rPr>
          <w:rFonts w:hint="eastAsia" w:asciiTheme="minorEastAsia" w:hAnsiTheme="minorEastAsia" w:eastAsiaTheme="minorEastAsia" w:cstheme="minorEastAsia"/>
          <w:b w:val="0"/>
          <w:bCs w:val="0"/>
          <w:color w:val="auto"/>
          <w:sz w:val="21"/>
          <w:szCs w:val="21"/>
          <w:highlight w:val="none"/>
        </w:rPr>
        <w:tab/>
      </w:r>
      <w:r>
        <w:rPr>
          <w:rFonts w:hint="eastAsia" w:asciiTheme="minorEastAsia" w:hAnsiTheme="minorEastAsia" w:eastAsiaTheme="minorEastAsia" w:cstheme="minorEastAsia"/>
          <w:b w:val="0"/>
          <w:bCs w:val="0"/>
          <w:color w:val="auto"/>
          <w:sz w:val="21"/>
          <w:szCs w:val="21"/>
          <w:highlight w:val="none"/>
        </w:rPr>
        <w:fldChar w:fldCharType="begin"/>
      </w:r>
      <w:r>
        <w:rPr>
          <w:rFonts w:hint="eastAsia" w:asciiTheme="minorEastAsia" w:hAnsiTheme="minorEastAsia" w:eastAsiaTheme="minorEastAsia" w:cstheme="minorEastAsia"/>
          <w:b w:val="0"/>
          <w:bCs w:val="0"/>
          <w:color w:val="auto"/>
          <w:sz w:val="21"/>
          <w:szCs w:val="21"/>
          <w:highlight w:val="none"/>
        </w:rPr>
        <w:instrText xml:space="preserve"> PAGEREF _Toc27523 \h </w:instrText>
      </w:r>
      <w:r>
        <w:rPr>
          <w:rFonts w:hint="eastAsia" w:asciiTheme="minorEastAsia" w:hAnsiTheme="minorEastAsia" w:eastAsiaTheme="minorEastAsia" w:cstheme="minorEastAsia"/>
          <w:b w:val="0"/>
          <w:bCs w:val="0"/>
          <w:color w:val="auto"/>
          <w:sz w:val="21"/>
          <w:szCs w:val="21"/>
          <w:highlight w:val="none"/>
        </w:rPr>
        <w:fldChar w:fldCharType="separate"/>
      </w:r>
      <w:r>
        <w:rPr>
          <w:rFonts w:hint="eastAsia" w:asciiTheme="minorEastAsia" w:hAnsiTheme="minorEastAsia" w:eastAsiaTheme="minorEastAsia" w:cstheme="minorEastAsia"/>
          <w:b w:val="0"/>
          <w:bCs w:val="0"/>
          <w:color w:val="auto"/>
          <w:sz w:val="21"/>
          <w:szCs w:val="21"/>
          <w:highlight w:val="none"/>
        </w:rPr>
        <w:t>10</w:t>
      </w:r>
      <w:r>
        <w:rPr>
          <w:rFonts w:hint="eastAsia" w:asciiTheme="minorEastAsia" w:hAnsiTheme="minorEastAsia" w:eastAsiaTheme="minorEastAsia" w:cstheme="minorEastAsia"/>
          <w:b w:val="0"/>
          <w:bCs w:val="0"/>
          <w:color w:val="auto"/>
          <w:sz w:val="21"/>
          <w:szCs w:val="21"/>
          <w:highlight w:val="none"/>
        </w:rPr>
        <w:fldChar w:fldCharType="end"/>
      </w:r>
      <w:r>
        <w:rPr>
          <w:rFonts w:hint="eastAsia" w:asciiTheme="minorEastAsia" w:hAnsiTheme="minorEastAsia" w:eastAsiaTheme="minorEastAsia" w:cstheme="minorEastAsia"/>
          <w:b w:val="0"/>
          <w:bCs w:val="0"/>
          <w:color w:val="auto"/>
          <w:sz w:val="21"/>
          <w:szCs w:val="21"/>
          <w:highlight w:val="none"/>
        </w:rPr>
        <w:fldChar w:fldCharType="end"/>
      </w:r>
    </w:p>
    <w:p>
      <w:pPr>
        <w:pStyle w:val="34"/>
        <w:tabs>
          <w:tab w:val="right" w:leader="dot" w:pos="10204"/>
        </w:tabs>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"_Toc7091"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一、总  则</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_Toc7091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10</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"_Toc27829"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1  定义</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_Toc27829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10</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"_Toc20779"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2  合同文件及解释</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_Toc20779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15</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"_Toc26821"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3  阅读、理解与接受</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_Toc26821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15</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"_Toc12468"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4  语言及适用的法律、标准与规范</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_Toc12468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16</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"_Toc21410"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5  施工设计图纸</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_Toc21410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16</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"_Toc17885"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6  通讯联络</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_Toc17885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17</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"_Toc15501"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7  工程分包</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_Toc15501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18</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"_Toc5385"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8  现场查勘</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_Toc5385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19</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"_Toc10209"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9  招标错失的修正</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_Toc10209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20</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"_Toc25762"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10  投标文件的完备性</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_Toc25762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20</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"_Toc12274"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11  文物和地下障碍物</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_Toc12274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21</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"_Toc25849"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12  事故处理</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_Toc25849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21</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"_Toc28145"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13  交通运输</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_Toc28145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22</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"_Toc21522"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14  专项批准事件的签认</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_Toc21522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23</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"_Toc29441"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15  专利技术</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_Toc29441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23</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"_Toc25840"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16  联合的责任</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_Toc25840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24</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"_Toc6878"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17  保障</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_Toc6878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24</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"_Toc11803"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18  财产</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_Toc11803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25</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34"/>
        <w:tabs>
          <w:tab w:val="right" w:leader="dot" w:pos="10204"/>
        </w:tabs>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"_Toc3262"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二、合同主体</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_Toc3262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25</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"_Toc16756"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19  发包人</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_Toc16756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25</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"_Toc9314"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20  承包人</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_Toc9314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26</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"_Toc24472"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21  现场管理人员任命和更换</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_Toc24472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29</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"_Toc3174"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22  发包人代表</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_Toc3174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30</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"_Toc2907"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23  监理工程师</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_Toc2907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30</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"_Toc23632"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24  造价工程师</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_Toc23632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32</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"_Toc9765"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25  承包人代表</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_Toc9765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33</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"_Toc24567"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26  指定分包人</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_Toc24567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34</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"_Toc17467"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27  承包人劳务</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_Toc17467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34</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34"/>
        <w:tabs>
          <w:tab w:val="right" w:leader="dot" w:pos="10204"/>
        </w:tabs>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"_Toc6962"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三、担保、保险与风险</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_Toc6962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36</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"_Toc8242"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28  工程担保</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_Toc8242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36</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"_Toc29682"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29  发包人风险</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_Toc29682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37</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"_Toc3875"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30  承包人风险</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_Toc3875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38</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"_Toc32305"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31  不可抗力</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_Toc32305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38</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"_Toc9047"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32  保险</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_Toc9047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39</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34"/>
        <w:tabs>
          <w:tab w:val="right" w:leader="dot" w:pos="10204"/>
        </w:tabs>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"_Toc96"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四、工  期</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_Toc96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40</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"_Toc22920"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33  进度计划和报告</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_Toc22920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40</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"_Toc15414"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34  开工</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_Toc15414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41</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"_Toc19687"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35  暂停施工和复工</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_Toc19687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42</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"_Toc10003"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36  工期和工期延误</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_Toc10003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43</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"_Toc4226"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37  加快进度</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_Toc4226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45</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"_Toc22095"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38  竣工日期</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_Toc22095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46</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"_Toc200"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39  提前竣工</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_Toc200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46</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"_Toc18222"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40  误期赔偿</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_Toc18222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47</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34"/>
        <w:tabs>
          <w:tab w:val="right" w:leader="dot" w:pos="10204"/>
        </w:tabs>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"_Toc13881"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五、质量与安全</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_Toc13881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47</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"_Toc10068"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★41  质量与安全管理</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_Toc10068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47</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"_Toc19074"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★42  质量标准</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_Toc19074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48</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"_Toc10728"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★43  工程质量创优</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_Toc10728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49</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"_Toc27545"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44  工程的照管</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_Toc27545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50</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"_Toc5834"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★45  绿色施工安全防护</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_Toc5834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50</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"_Toc21653"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46  测量放线</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_Toc21653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53</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"_Toc27788"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47  钻孔与勘探性开挖</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_Toc27788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54</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"_Toc16974"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48  发包人供应材料和工程设备</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_Toc16974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55</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"_Toc29447"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49  承包人采购材料和工程设备</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_Toc29447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56</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"_Toc27152"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50  材料和工程设备的检验试验</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_Toc27152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57</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"_Toc19396"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51  施工设备和临时设施</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_Toc19396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59</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"_Toc27372"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★52  工程质量检查</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_Toc27372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59</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"_Toc13975"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★53  隐蔽工程和中间验收</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_Toc13975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60</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"_Toc13919"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★54  重新验收和额外检查检验</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_Toc13919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61</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"_Toc13336"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55  工程试车</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_Toc13336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62</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"_Toc4973"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★56  工程变更</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_Toc4973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63</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"_Toc15583"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57  竣工验收条件</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_Toc15583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65</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"_Toc14181"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58  竣工验收</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_Toc14181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66</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"_Toc15282"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59  缺陷责任与质量保修</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_Toc15282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68</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34"/>
        <w:tabs>
          <w:tab w:val="right" w:leader="dot" w:pos="10204"/>
        </w:tabs>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"_Toc2529"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六、造  价</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_Toc2529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70</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"_Toc10752"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60  资金计划和安排</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_Toc10752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70</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"_Toc5579"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★61  工程量</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_Toc5579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70</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"_Toc26980"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★62  工程计量和计价</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_Toc26980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71</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"_Toc30561"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★63  暂列金额</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_Toc30561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72</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"_Toc2559"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★64  计日工</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_Toc2559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72</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"_Toc22423"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★65  暂估价</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_Toc22423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73</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"_Toc27884"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★66  提前竣工奖与误期赔偿费</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_Toc27884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74</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"_Toc18245"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★67  工程优质费</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_Toc18245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74</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"_Toc27426"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★68  合同价款的约定与调整</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_Toc27426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75</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"_Toc8448"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★69  后继法律变化事件</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_Toc8448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76</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"_Toc11382"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★70  项目特征描述不符事件</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_Toc11382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76</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"_Toc3735"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★71  分部分项工程量清单缺项漏项事件</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_Toc3735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77</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"_Toc30621"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★72  工程变更事件</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_Toc30621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77</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"_Toc30592"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★73  工程量偏差事件</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_Toc30592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79</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"_Toc19298"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★74  费用索赔事件</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_Toc19298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80</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"_Toc1991"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★75  现场签证事件</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_Toc1991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81</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"_Toc21101"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★76  物价涨落事件</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_Toc21101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82</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"_Toc15148"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★77  合同价款调整程序</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_Toc15148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84</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"_Toc3656"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★78  支付事项</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_Toc3656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84</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"_Toc30367"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★79  预付款</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_Toc30367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85</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"_Toc15237"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★80  绿色施工安全防护费</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_Toc15237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86</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"_Toc19009"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★81  进度款</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_Toc19009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88</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"_Toc16441"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★82  竣工结算</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_Toc16441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89</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"_Toc2170"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★83  结算款</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_Toc2170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91</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"_Toc16168"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★84  质量保证金</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_Toc16168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92</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"_Toc767"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85  最终清算款</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_Toc767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92</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34"/>
        <w:tabs>
          <w:tab w:val="right" w:leader="dot" w:pos="10204"/>
        </w:tabs>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"_Toc32072"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七、合同争议、解除与终止</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_Toc32072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93</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"_Toc1201"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86  合同争议</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_Toc1201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93</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"_Toc29846"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87  合同解除</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_Toc29846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95</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"_Toc6074"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88  合同解除的支付</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_Toc6074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97</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"_Toc1609"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89  合同终止</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_Toc1609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98</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34"/>
        <w:tabs>
          <w:tab w:val="right" w:leader="dot" w:pos="10204"/>
        </w:tabs>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"_Toc24919"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八、违 约 责 任</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_Toc24919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98</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"_Toc4074"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★90  承包人的违约责任</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_Toc4074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98</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"_Toc26926"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★91 发包人的违约责任</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_Toc26926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98</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"_Toc473"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★92  除外责任</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_Toc473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99</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34"/>
        <w:tabs>
          <w:tab w:val="right" w:leader="dot" w:pos="10204"/>
        </w:tabs>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"_Toc4134"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九、其  他</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_Toc4134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99</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"_Toc19267"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93  缴纳税费</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_Toc19267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99</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"_Toc23315"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94  保密要求</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_Toc23315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99</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"_Toc20127"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95 廉政建设</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_Toc20127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100</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"_Toc6072"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96  禁止转让</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_Toc6072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101</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"_Toc22257"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97  合同份数</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_Toc22257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101</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"_Toc19153"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98  合同管理</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_Toc19153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101</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9"/>
        <w:tabs>
          <w:tab w:val="right" w:leader="dot" w:pos="10204"/>
        </w:tabs>
        <w:spacing w:before="0" w:after="0"/>
        <w:rPr>
          <w:rFonts w:asciiTheme="minorEastAsia" w:hAnsiTheme="minorEastAsia" w:eastAsiaTheme="minorEastAsia" w:cstheme="minorEastAsia"/>
          <w:b w:val="0"/>
          <w:bCs w:val="0"/>
          <w:color w:val="auto"/>
          <w:sz w:val="21"/>
          <w:szCs w:val="21"/>
          <w:highlight w:val="none"/>
        </w:rPr>
      </w:pPr>
      <w:r>
        <w:rPr>
          <w:color w:val="auto"/>
          <w:highlight w:val="none"/>
        </w:rPr>
        <w:fldChar w:fldCharType="begin"/>
      </w:r>
      <w:r>
        <w:rPr>
          <w:color w:val="auto"/>
          <w:highlight w:val="none"/>
        </w:rPr>
        <w:instrText xml:space="preserve"> HYPERLINK \l "_Toc19707" </w:instrText>
      </w:r>
      <w:r>
        <w:rPr>
          <w:color w:val="auto"/>
          <w:highlight w:val="none"/>
        </w:rPr>
        <w:fldChar w:fldCharType="separate"/>
      </w:r>
      <w:r>
        <w:rPr>
          <w:rFonts w:hint="eastAsia" w:asciiTheme="minorEastAsia" w:hAnsiTheme="minorEastAsia" w:eastAsiaTheme="minorEastAsia" w:cstheme="minorEastAsia"/>
          <w:b w:val="0"/>
          <w:bCs w:val="0"/>
          <w:color w:val="auto"/>
          <w:sz w:val="21"/>
          <w:szCs w:val="21"/>
          <w:highlight w:val="none"/>
        </w:rPr>
        <w:t>第三部分    专用条款</w:t>
      </w:r>
      <w:r>
        <w:rPr>
          <w:rFonts w:hint="eastAsia" w:asciiTheme="minorEastAsia" w:hAnsiTheme="minorEastAsia" w:eastAsiaTheme="minorEastAsia" w:cstheme="minorEastAsia"/>
          <w:b w:val="0"/>
          <w:bCs w:val="0"/>
          <w:color w:val="auto"/>
          <w:sz w:val="21"/>
          <w:szCs w:val="21"/>
          <w:highlight w:val="none"/>
        </w:rPr>
        <w:tab/>
      </w:r>
      <w:r>
        <w:rPr>
          <w:rFonts w:hint="eastAsia" w:asciiTheme="minorEastAsia" w:hAnsiTheme="minorEastAsia" w:eastAsiaTheme="minorEastAsia" w:cstheme="minorEastAsia"/>
          <w:b w:val="0"/>
          <w:bCs w:val="0"/>
          <w:color w:val="auto"/>
          <w:sz w:val="21"/>
          <w:szCs w:val="21"/>
          <w:highlight w:val="none"/>
        </w:rPr>
        <w:fldChar w:fldCharType="begin"/>
      </w:r>
      <w:r>
        <w:rPr>
          <w:rFonts w:hint="eastAsia" w:asciiTheme="minorEastAsia" w:hAnsiTheme="minorEastAsia" w:eastAsiaTheme="minorEastAsia" w:cstheme="minorEastAsia"/>
          <w:b w:val="0"/>
          <w:bCs w:val="0"/>
          <w:color w:val="auto"/>
          <w:sz w:val="21"/>
          <w:szCs w:val="21"/>
          <w:highlight w:val="none"/>
        </w:rPr>
        <w:instrText xml:space="preserve"> PAGEREF _Toc19707 \h </w:instrText>
      </w:r>
      <w:r>
        <w:rPr>
          <w:rFonts w:hint="eastAsia" w:asciiTheme="minorEastAsia" w:hAnsiTheme="minorEastAsia" w:eastAsiaTheme="minorEastAsia" w:cstheme="minorEastAsia"/>
          <w:b w:val="0"/>
          <w:bCs w:val="0"/>
          <w:color w:val="auto"/>
          <w:sz w:val="21"/>
          <w:szCs w:val="21"/>
          <w:highlight w:val="none"/>
        </w:rPr>
        <w:fldChar w:fldCharType="separate"/>
      </w:r>
      <w:r>
        <w:rPr>
          <w:rFonts w:hint="eastAsia" w:asciiTheme="minorEastAsia" w:hAnsiTheme="minorEastAsia" w:eastAsiaTheme="minorEastAsia" w:cstheme="minorEastAsia"/>
          <w:b w:val="0"/>
          <w:bCs w:val="0"/>
          <w:color w:val="auto"/>
          <w:sz w:val="21"/>
          <w:szCs w:val="21"/>
          <w:highlight w:val="none"/>
        </w:rPr>
        <w:t>102</w:t>
      </w:r>
      <w:r>
        <w:rPr>
          <w:rFonts w:hint="eastAsia" w:asciiTheme="minorEastAsia" w:hAnsiTheme="minorEastAsia" w:eastAsiaTheme="minorEastAsia" w:cstheme="minorEastAsia"/>
          <w:b w:val="0"/>
          <w:bCs w:val="0"/>
          <w:color w:val="auto"/>
          <w:sz w:val="21"/>
          <w:szCs w:val="21"/>
          <w:highlight w:val="none"/>
        </w:rPr>
        <w:fldChar w:fldCharType="end"/>
      </w:r>
      <w:r>
        <w:rPr>
          <w:rFonts w:hint="eastAsia" w:asciiTheme="minorEastAsia" w:hAnsiTheme="minorEastAsia" w:eastAsiaTheme="minorEastAsia" w:cstheme="minorEastAsia"/>
          <w:b w:val="0"/>
          <w:bCs w:val="0"/>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"_Toc25107"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1．定义</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_Toc25107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102</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"_Toc28982"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2．合同文件及解释</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_Toc28982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102</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"_Toc13561"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4．语言及适用的法律、标准与规范</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_Toc13561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102</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"_Toc16607"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5. 施工设计图纸</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_Toc16607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102</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"_Toc2553"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6. 通信联络</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_Toc2553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103</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"_Toc13905"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7. 工程分包</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_Toc13905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103</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"_Toc5666"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13. 交通运输</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_Toc5666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103</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"_Toc22354"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14. 专项批准事件的签认</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_Toc22354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104</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"_Toc1100"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19. 发包人</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_Toc1100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104</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"_Toc13421"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20. 承包人</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_Toc13421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105</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"_Toc9417"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21. 现场管理人员任命和更换</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_Toc9417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108</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"_Toc8108"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22. 发包人代表</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_Toc8108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109</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"_Toc8336"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23. 监理工程师</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_Toc8336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110</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"_Toc2287"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24. 造价工程师</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_Toc2287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110</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"_Toc3998"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25. 承包人代表</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_Toc3998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110</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"_Toc31065"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26. 指定分包人</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_Toc31065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110</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"_Toc19265"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28. 工程担保</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_Toc19265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111</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"_Toc20203"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32. 保险</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_Toc20203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111</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"_Toc9143"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33. 进度计划和报告</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_Toc9143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111</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"_Toc25128"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34. 开工</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_Toc25128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111</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"_Toc7112"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35.暂停施工和复工</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_Toc7112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111</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"_Toc8779"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36. 工期及工期延误</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_Toc8779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112</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"_Toc4227"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38. 竣工日期</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_Toc4227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112</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"_Toc16564"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★42. 质量标准、目标</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_Toc16564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112</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"_Toc17477"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★45. 绿色施工安全防护</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_Toc17477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113</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"_Toc12054"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46. 测量放线</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_Toc12054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113</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"_Toc14404"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48.发包人供应材料和工程设备</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_Toc14404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114</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"_Toc327"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49. 承包人采购材料和工程设备</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_Toc327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114</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"_Toc29773"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50. 材料和工程设备的检验试验</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_Toc29773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114</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"_Toc32255"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51. 施工设备和临时设施</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_Toc32255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114</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"_Toc4554"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53. 隐蔽工程和中间验收</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_Toc4554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115</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"_Toc30772"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55. 工程试车</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_Toc30772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115</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"_Toc586"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56．工程变更</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_Toc586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115</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"_Toc1017"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★58. 竣工验收</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_Toc1017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115</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"_Toc22347"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59. 缺陷责任与质量保修</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_Toc22347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116</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"_Toc27559"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61. 工程量</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_Toc27559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116</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"_Toc32075"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★63. 暂列金额</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_Toc32075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116</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"_Toc12071"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★65. 暂估价</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_Toc12071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116</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"_Toc11371"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★66. 提前竣工奖与误期赔偿费</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_Toc11371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117</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"_Toc26246"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★67. 工程优质费、工程建设标准费用</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_Toc26246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117</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"_Toc9005"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★68. 合同价款的约定与调整</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_Toc9005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118</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"_Toc27203"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72. 工程变更事件</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_Toc27203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120</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"_Toc9230"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73. 工程量偏差事件</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_Toc9230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120</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"_Toc30454"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75. 现场签证事件</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_Toc30454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121</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"_Toc13583"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★76. 物价涨落事件</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_Toc13583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121</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"_Toc28480"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78. 支付事项</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_Toc28480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121</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"_Toc22635"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★79. 预付款</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_Toc22635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122</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"_Toc28679"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★80. 绿色施工安全防护费</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_Toc28679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122</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"_Toc17759"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★81. 进度款</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_Toc17759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123</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"_Toc25544"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82. 竣工结算</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_Toc25544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124</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"_Toc30564"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★83. 结算款</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_Toc30564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129</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"_Toc23195"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★84. 质量保证金</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_Toc23195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129</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"_Toc7024"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85. 最终清算款</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_Toc7024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129</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"_Toc2417"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86. 合同争议</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_Toc2417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129</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"_Toc7716"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94. 保密要求</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_Toc7716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130</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"_Toc13146"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97. 合同份数</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_Toc13146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130</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29"/>
        <w:tabs>
          <w:tab w:val="right" w:leader="dot" w:pos="10204"/>
        </w:tabs>
        <w:spacing w:before="0" w:after="0"/>
        <w:rPr>
          <w:rFonts w:asciiTheme="minorEastAsia" w:hAnsiTheme="minorEastAsia" w:eastAsiaTheme="minorEastAsia" w:cstheme="minorEastAsia"/>
          <w:b w:val="0"/>
          <w:bCs w:val="0"/>
          <w:color w:val="auto"/>
          <w:sz w:val="21"/>
          <w:szCs w:val="21"/>
          <w:highlight w:val="none"/>
        </w:rPr>
      </w:pPr>
      <w:r>
        <w:rPr>
          <w:color w:val="auto"/>
          <w:highlight w:val="none"/>
        </w:rPr>
        <w:fldChar w:fldCharType="begin"/>
      </w:r>
      <w:r>
        <w:rPr>
          <w:color w:val="auto"/>
          <w:highlight w:val="none"/>
        </w:rPr>
        <w:instrText xml:space="preserve"> HYPERLINK \l "_Toc27509" </w:instrText>
      </w:r>
      <w:r>
        <w:rPr>
          <w:color w:val="auto"/>
          <w:highlight w:val="none"/>
        </w:rPr>
        <w:fldChar w:fldCharType="separate"/>
      </w:r>
      <w:r>
        <w:rPr>
          <w:rFonts w:hint="eastAsia" w:asciiTheme="minorEastAsia" w:hAnsiTheme="minorEastAsia" w:eastAsiaTheme="minorEastAsia" w:cstheme="minorEastAsia"/>
          <w:b w:val="0"/>
          <w:bCs w:val="0"/>
          <w:color w:val="auto"/>
          <w:sz w:val="21"/>
          <w:szCs w:val="21"/>
          <w:highlight w:val="none"/>
        </w:rPr>
        <w:t>第四部分  附件与格式</w:t>
      </w:r>
      <w:r>
        <w:rPr>
          <w:rFonts w:hint="eastAsia" w:asciiTheme="minorEastAsia" w:hAnsiTheme="minorEastAsia" w:eastAsiaTheme="minorEastAsia" w:cstheme="minorEastAsia"/>
          <w:b w:val="0"/>
          <w:bCs w:val="0"/>
          <w:color w:val="auto"/>
          <w:sz w:val="21"/>
          <w:szCs w:val="21"/>
          <w:highlight w:val="none"/>
        </w:rPr>
        <w:tab/>
      </w:r>
      <w:r>
        <w:rPr>
          <w:rFonts w:hint="eastAsia" w:asciiTheme="minorEastAsia" w:hAnsiTheme="minorEastAsia" w:eastAsiaTheme="minorEastAsia" w:cstheme="minorEastAsia"/>
          <w:b w:val="0"/>
          <w:bCs w:val="0"/>
          <w:color w:val="auto"/>
          <w:sz w:val="21"/>
          <w:szCs w:val="21"/>
          <w:highlight w:val="none"/>
        </w:rPr>
        <w:fldChar w:fldCharType="begin"/>
      </w:r>
      <w:r>
        <w:rPr>
          <w:rFonts w:hint="eastAsia" w:asciiTheme="minorEastAsia" w:hAnsiTheme="minorEastAsia" w:eastAsiaTheme="minorEastAsia" w:cstheme="minorEastAsia"/>
          <w:b w:val="0"/>
          <w:bCs w:val="0"/>
          <w:color w:val="auto"/>
          <w:sz w:val="21"/>
          <w:szCs w:val="21"/>
          <w:highlight w:val="none"/>
        </w:rPr>
        <w:instrText xml:space="preserve"> PAGEREF _Toc27509 \h </w:instrText>
      </w:r>
      <w:r>
        <w:rPr>
          <w:rFonts w:hint="eastAsia" w:asciiTheme="minorEastAsia" w:hAnsiTheme="minorEastAsia" w:eastAsiaTheme="minorEastAsia" w:cstheme="minorEastAsia"/>
          <w:b w:val="0"/>
          <w:bCs w:val="0"/>
          <w:color w:val="auto"/>
          <w:sz w:val="21"/>
          <w:szCs w:val="21"/>
          <w:highlight w:val="none"/>
        </w:rPr>
        <w:fldChar w:fldCharType="separate"/>
      </w:r>
      <w:r>
        <w:rPr>
          <w:rFonts w:hint="eastAsia" w:asciiTheme="minorEastAsia" w:hAnsiTheme="minorEastAsia" w:eastAsiaTheme="minorEastAsia" w:cstheme="minorEastAsia"/>
          <w:b w:val="0"/>
          <w:bCs w:val="0"/>
          <w:color w:val="auto"/>
          <w:sz w:val="21"/>
          <w:szCs w:val="21"/>
          <w:highlight w:val="none"/>
        </w:rPr>
        <w:t>131</w:t>
      </w:r>
      <w:r>
        <w:rPr>
          <w:rFonts w:hint="eastAsia" w:asciiTheme="minorEastAsia" w:hAnsiTheme="minorEastAsia" w:eastAsiaTheme="minorEastAsia" w:cstheme="minorEastAsia"/>
          <w:b w:val="0"/>
          <w:bCs w:val="0"/>
          <w:color w:val="auto"/>
          <w:sz w:val="21"/>
          <w:szCs w:val="21"/>
          <w:highlight w:val="none"/>
        </w:rPr>
        <w:fldChar w:fldCharType="end"/>
      </w:r>
      <w:r>
        <w:rPr>
          <w:rFonts w:hint="eastAsia" w:asciiTheme="minorEastAsia" w:hAnsiTheme="minorEastAsia" w:eastAsiaTheme="minorEastAsia" w:cstheme="minorEastAsia"/>
          <w:b w:val="0"/>
          <w:bCs w:val="0"/>
          <w:color w:val="auto"/>
          <w:sz w:val="21"/>
          <w:szCs w:val="21"/>
          <w:highlight w:val="none"/>
        </w:rPr>
        <w:fldChar w:fldCharType="end"/>
      </w:r>
    </w:p>
    <w:p>
      <w:pPr>
        <w:shd w:val="clear" w:color="000000" w:fill="auto"/>
        <w:rPr>
          <w:rFonts w:cs="Times New Roman"/>
          <w:b/>
          <w:bCs/>
          <w:color w:val="auto"/>
          <w:highlight w:val="none"/>
        </w:rPr>
      </w:pPr>
      <w:r>
        <w:rPr>
          <w:rFonts w:hint="eastAsia" w:asciiTheme="minorEastAsia" w:hAnsiTheme="minorEastAsia" w:eastAsiaTheme="minorEastAsia" w:cstheme="minorEastAsia"/>
          <w:color w:val="auto"/>
          <w:highlight w:val="none"/>
        </w:rPr>
        <w:fldChar w:fldCharType="end"/>
      </w:r>
    </w:p>
    <w:p>
      <w:pPr>
        <w:widowControl/>
        <w:shd w:val="clear" w:color="000000" w:fill="auto"/>
        <w:jc w:val="left"/>
        <w:rPr>
          <w:rFonts w:ascii="宋体" w:cs="Times New Roman"/>
          <w:color w:val="auto"/>
          <w:kern w:val="0"/>
          <w:sz w:val="36"/>
          <w:szCs w:val="36"/>
          <w:highlight w:val="none"/>
        </w:rPr>
      </w:pPr>
      <w:bookmarkStart w:id="4" w:name="_Toc266892751"/>
    </w:p>
    <w:p>
      <w:pPr>
        <w:widowControl/>
        <w:shd w:val="clear" w:color="000000" w:fill="auto"/>
        <w:jc w:val="left"/>
        <w:rPr>
          <w:rFonts w:ascii="宋体" w:cs="Times New Roman"/>
          <w:color w:val="auto"/>
          <w:sz w:val="36"/>
          <w:szCs w:val="36"/>
          <w:highlight w:val="none"/>
        </w:rPr>
      </w:pPr>
    </w:p>
    <w:p>
      <w:pPr>
        <w:pStyle w:val="99"/>
        <w:shd w:val="clear" w:color="000000" w:fill="auto"/>
        <w:spacing w:before="0" w:after="0" w:line="500" w:lineRule="exact"/>
        <w:jc w:val="center"/>
        <w:outlineLvl w:val="0"/>
        <w:rPr>
          <w:rFonts w:ascii="仿宋" w:hAnsi="仿宋" w:eastAsia="仿宋" w:cs="Times New Roman"/>
          <w:color w:val="auto"/>
          <w:sz w:val="36"/>
          <w:szCs w:val="36"/>
          <w:highlight w:val="none"/>
          <w:lang w:val="zh-CN"/>
        </w:rPr>
      </w:pPr>
      <w:r>
        <w:rPr>
          <w:rFonts w:hint="eastAsia" w:ascii="仿宋" w:hAnsi="仿宋" w:eastAsia="仿宋" w:cs="仿宋"/>
          <w:color w:val="auto"/>
          <w:sz w:val="36"/>
          <w:szCs w:val="36"/>
          <w:highlight w:val="none"/>
          <w:lang w:val="zh-CN"/>
        </w:rPr>
        <w:br w:type="page"/>
      </w:r>
      <w:bookmarkStart w:id="5" w:name="_Toc18890"/>
      <w:bookmarkStart w:id="6" w:name="_Toc12048"/>
      <w:r>
        <w:rPr>
          <w:rFonts w:hint="eastAsia" w:ascii="仿宋" w:hAnsi="仿宋" w:eastAsia="仿宋" w:cs="仿宋"/>
          <w:color w:val="auto"/>
          <w:sz w:val="36"/>
          <w:szCs w:val="36"/>
          <w:highlight w:val="none"/>
          <w:lang w:val="zh-CN"/>
        </w:rPr>
        <w:t>总</w:t>
      </w:r>
      <w:r>
        <w:rPr>
          <w:rFonts w:ascii="仿宋" w:hAnsi="仿宋" w:eastAsia="仿宋" w:cs="仿宋"/>
          <w:color w:val="auto"/>
          <w:sz w:val="36"/>
          <w:szCs w:val="36"/>
          <w:highlight w:val="none"/>
          <w:lang w:val="zh-CN"/>
        </w:rPr>
        <w:t xml:space="preserve">  </w:t>
      </w:r>
      <w:r>
        <w:rPr>
          <w:rFonts w:hint="eastAsia" w:ascii="仿宋" w:hAnsi="仿宋" w:eastAsia="仿宋" w:cs="仿宋"/>
          <w:color w:val="auto"/>
          <w:sz w:val="36"/>
          <w:szCs w:val="36"/>
          <w:highlight w:val="none"/>
          <w:lang w:val="zh-CN"/>
        </w:rPr>
        <w:t>说</w:t>
      </w:r>
      <w:r>
        <w:rPr>
          <w:rFonts w:ascii="仿宋" w:hAnsi="仿宋" w:eastAsia="仿宋" w:cs="仿宋"/>
          <w:color w:val="auto"/>
          <w:sz w:val="36"/>
          <w:szCs w:val="36"/>
          <w:highlight w:val="none"/>
          <w:lang w:val="zh-CN"/>
        </w:rPr>
        <w:t xml:space="preserve">  </w:t>
      </w:r>
      <w:r>
        <w:rPr>
          <w:rFonts w:hint="eastAsia" w:ascii="仿宋" w:hAnsi="仿宋" w:eastAsia="仿宋" w:cs="仿宋"/>
          <w:color w:val="auto"/>
          <w:sz w:val="36"/>
          <w:szCs w:val="36"/>
          <w:highlight w:val="none"/>
          <w:lang w:val="zh-CN"/>
        </w:rPr>
        <w:t>明</w:t>
      </w:r>
      <w:bookmarkEnd w:id="5"/>
      <w:bookmarkEnd w:id="6"/>
    </w:p>
    <w:p>
      <w:pPr>
        <w:shd w:val="clear" w:color="000000" w:fill="auto"/>
        <w:rPr>
          <w:rFonts w:cs="Times New Roman"/>
          <w:color w:val="auto"/>
          <w:highlight w:val="none"/>
          <w:lang w:val="zh-CN"/>
        </w:rPr>
      </w:pPr>
    </w:p>
    <w:p>
      <w:pPr>
        <w:shd w:val="clear" w:color="000000" w:fill="auto"/>
        <w:spacing w:line="500" w:lineRule="exact"/>
        <w:ind w:firstLine="480" w:firstLineChars="2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为了指导建设工程施工合同当事人的签约行为，维护合同当事人的合法权益，依据《中华人民共和国民法典》、《中华人民共和国建筑法》、《中华人民共和国招标投标法》以及相关法律法规，参照《建设工程施工合同（示范文本）》（</w:t>
      </w:r>
      <w:r>
        <w:rPr>
          <w:rFonts w:ascii="仿宋" w:hAnsi="仿宋" w:eastAsia="仿宋" w:cs="仿宋"/>
          <w:color w:val="auto"/>
          <w:sz w:val="24"/>
          <w:szCs w:val="24"/>
          <w:highlight w:val="none"/>
        </w:rPr>
        <w:t>GF—2017—0201</w:t>
      </w:r>
      <w:r>
        <w:rPr>
          <w:rFonts w:hint="eastAsia" w:ascii="仿宋" w:hAnsi="仿宋" w:eastAsia="仿宋" w:cs="仿宋"/>
          <w:color w:val="auto"/>
          <w:sz w:val="24"/>
          <w:szCs w:val="24"/>
          <w:highlight w:val="none"/>
        </w:rPr>
        <w:t>）、《广东省建设工程标准施工合同（</w:t>
      </w:r>
      <w:r>
        <w:rPr>
          <w:rFonts w:ascii="仿宋" w:hAnsi="仿宋" w:eastAsia="仿宋" w:cs="仿宋"/>
          <w:color w:val="auto"/>
          <w:sz w:val="24"/>
          <w:szCs w:val="24"/>
          <w:highlight w:val="none"/>
        </w:rPr>
        <w:t>2009</w:t>
      </w:r>
      <w:r>
        <w:rPr>
          <w:rFonts w:hint="eastAsia" w:ascii="仿宋" w:hAnsi="仿宋" w:eastAsia="仿宋" w:cs="仿宋"/>
          <w:color w:val="auto"/>
          <w:sz w:val="24"/>
          <w:szCs w:val="24"/>
          <w:highlight w:val="none"/>
        </w:rPr>
        <w:t>年版）》等合同范本，广州市住房和城乡建设局、广州市市场监督管理局联合制定了合同示范文本《广州市建设工程施工合同》（</w:t>
      </w:r>
      <w:r>
        <w:rPr>
          <w:rFonts w:ascii="仿宋" w:hAnsi="仿宋" w:eastAsia="仿宋" w:cs="仿宋"/>
          <w:color w:val="auto"/>
          <w:sz w:val="24"/>
          <w:szCs w:val="24"/>
          <w:highlight w:val="none"/>
        </w:rPr>
        <w:t>SF-2019-0204</w:t>
      </w:r>
      <w:r>
        <w:rPr>
          <w:rFonts w:hint="eastAsia" w:ascii="仿宋" w:hAnsi="仿宋" w:eastAsia="仿宋" w:cs="仿宋"/>
          <w:color w:val="auto"/>
          <w:sz w:val="24"/>
          <w:szCs w:val="24"/>
          <w:highlight w:val="none"/>
        </w:rPr>
        <w:t>）。为了便于合同当事人使用《广州市建设工程施工合同》（</w:t>
      </w:r>
      <w:r>
        <w:rPr>
          <w:rFonts w:ascii="仿宋" w:hAnsi="仿宋" w:eastAsia="仿宋" w:cs="仿宋"/>
          <w:color w:val="auto"/>
          <w:sz w:val="24"/>
          <w:szCs w:val="24"/>
          <w:highlight w:val="none"/>
        </w:rPr>
        <w:t>SF-2019-0204</w:t>
      </w:r>
      <w:r>
        <w:rPr>
          <w:rFonts w:hint="eastAsia" w:ascii="仿宋" w:hAnsi="仿宋" w:eastAsia="仿宋" w:cs="仿宋"/>
          <w:color w:val="auto"/>
          <w:sz w:val="24"/>
          <w:szCs w:val="24"/>
          <w:highlight w:val="none"/>
        </w:rPr>
        <w:t>），现就有关问题说明如下：</w:t>
      </w:r>
    </w:p>
    <w:p>
      <w:pPr>
        <w:shd w:val="clear" w:color="000000" w:fill="auto"/>
        <w:spacing w:line="500" w:lineRule="exact"/>
        <w:ind w:firstLine="480" w:firstLineChars="200"/>
        <w:outlineLvl w:val="0"/>
        <w:rPr>
          <w:rFonts w:ascii="仿宋" w:hAnsi="仿宋" w:eastAsia="仿宋" w:cs="Times New Roman"/>
          <w:color w:val="auto"/>
          <w:sz w:val="24"/>
          <w:szCs w:val="24"/>
          <w:highlight w:val="none"/>
        </w:rPr>
      </w:pPr>
      <w:bookmarkStart w:id="7" w:name="_Toc30894"/>
      <w:bookmarkStart w:id="8" w:name="_Toc15468"/>
      <w:bookmarkStart w:id="9" w:name="_Toc25294"/>
      <w:bookmarkStart w:id="10" w:name="_Toc10120"/>
      <w:bookmarkStart w:id="11" w:name="_Toc16102"/>
      <w:r>
        <w:rPr>
          <w:rFonts w:hint="eastAsia" w:ascii="仿宋" w:hAnsi="仿宋" w:eastAsia="仿宋" w:cs="仿宋"/>
          <w:color w:val="auto"/>
          <w:sz w:val="24"/>
          <w:szCs w:val="24"/>
          <w:highlight w:val="none"/>
        </w:rPr>
        <w:t>一、项目业主首要责任制</w:t>
      </w:r>
      <w:bookmarkEnd w:id="7"/>
      <w:bookmarkEnd w:id="8"/>
      <w:bookmarkEnd w:id="9"/>
      <w:bookmarkEnd w:id="10"/>
      <w:bookmarkEnd w:id="11"/>
    </w:p>
    <w:p>
      <w:pPr>
        <w:shd w:val="clear" w:color="000000" w:fill="auto"/>
        <w:spacing w:line="500" w:lineRule="exact"/>
        <w:ind w:firstLine="480" w:firstLineChars="2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项目业主或发包方应履行基本建设程序，按照先勘察、后设计、再施工的原则实施工程建设，及时办理各项建设工程手续，并具备法律法规规定的开工条件，在依法领取施工许可证等有关证件后再开工建设；同时需负责整个建设项目全过程的安全管理，包括对设备厂家、设计单位、监理单位、检测单位及各施工单位安全监督管理。</w:t>
      </w:r>
    </w:p>
    <w:p>
      <w:pPr>
        <w:shd w:val="clear" w:color="000000" w:fill="auto"/>
        <w:spacing w:line="500" w:lineRule="exact"/>
        <w:ind w:firstLine="480" w:firstLineChars="200"/>
        <w:outlineLvl w:val="0"/>
        <w:rPr>
          <w:rFonts w:ascii="仿宋" w:hAnsi="仿宋" w:eastAsia="仿宋" w:cs="Times New Roman"/>
          <w:color w:val="auto"/>
          <w:sz w:val="24"/>
          <w:szCs w:val="24"/>
          <w:highlight w:val="none"/>
        </w:rPr>
      </w:pPr>
      <w:bookmarkStart w:id="12" w:name="_Toc28601"/>
      <w:bookmarkStart w:id="13" w:name="_Toc29410"/>
      <w:bookmarkStart w:id="14" w:name="_Toc24511"/>
      <w:bookmarkStart w:id="15" w:name="_Toc9250"/>
      <w:bookmarkStart w:id="16" w:name="_Toc5557"/>
      <w:r>
        <w:rPr>
          <w:rFonts w:hint="eastAsia" w:ascii="仿宋" w:hAnsi="仿宋" w:eastAsia="仿宋" w:cs="仿宋"/>
          <w:color w:val="auto"/>
          <w:sz w:val="24"/>
          <w:szCs w:val="24"/>
          <w:highlight w:val="none"/>
        </w:rPr>
        <w:t>二、《广州市建设工程施工合同》（</w:t>
      </w:r>
      <w:r>
        <w:rPr>
          <w:rFonts w:ascii="仿宋" w:hAnsi="仿宋" w:eastAsia="仿宋" w:cs="仿宋"/>
          <w:color w:val="auto"/>
          <w:sz w:val="24"/>
          <w:szCs w:val="24"/>
          <w:highlight w:val="none"/>
        </w:rPr>
        <w:t>SF-2019-0204</w:t>
      </w:r>
      <w:r>
        <w:rPr>
          <w:rFonts w:hint="eastAsia" w:ascii="仿宋" w:hAnsi="仿宋" w:eastAsia="仿宋" w:cs="仿宋"/>
          <w:color w:val="auto"/>
          <w:sz w:val="24"/>
          <w:szCs w:val="24"/>
          <w:highlight w:val="none"/>
        </w:rPr>
        <w:t>）的组成</w:t>
      </w:r>
      <w:bookmarkEnd w:id="12"/>
      <w:bookmarkEnd w:id="13"/>
      <w:bookmarkEnd w:id="14"/>
      <w:bookmarkEnd w:id="15"/>
      <w:bookmarkEnd w:id="16"/>
    </w:p>
    <w:p>
      <w:pPr>
        <w:shd w:val="clear" w:color="000000" w:fill="auto"/>
        <w:spacing w:line="500" w:lineRule="exact"/>
        <w:ind w:firstLine="480" w:firstLineChars="2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《广州市建设工程施工合同》（</w:t>
      </w:r>
      <w:r>
        <w:rPr>
          <w:rFonts w:ascii="仿宋" w:hAnsi="仿宋" w:eastAsia="仿宋" w:cs="仿宋"/>
          <w:color w:val="auto"/>
          <w:sz w:val="24"/>
          <w:szCs w:val="24"/>
          <w:highlight w:val="none"/>
        </w:rPr>
        <w:t>SF-2019-0204</w:t>
      </w:r>
      <w:r>
        <w:rPr>
          <w:rFonts w:hint="eastAsia" w:ascii="仿宋" w:hAnsi="仿宋" w:eastAsia="仿宋" w:cs="仿宋"/>
          <w:color w:val="auto"/>
          <w:sz w:val="24"/>
          <w:szCs w:val="24"/>
          <w:highlight w:val="none"/>
        </w:rPr>
        <w:t>）由协议书、通用条款和专用条款三部分组成。</w:t>
      </w:r>
    </w:p>
    <w:p>
      <w:pPr>
        <w:shd w:val="clear" w:color="000000" w:fill="auto"/>
        <w:spacing w:line="500" w:lineRule="exact"/>
        <w:ind w:firstLine="480" w:firstLineChars="200"/>
        <w:outlineLvl w:val="1"/>
        <w:rPr>
          <w:rFonts w:ascii="仿宋" w:hAnsi="仿宋" w:eastAsia="仿宋" w:cs="Times New Roman"/>
          <w:color w:val="auto"/>
          <w:sz w:val="24"/>
          <w:szCs w:val="24"/>
          <w:highlight w:val="none"/>
        </w:rPr>
      </w:pPr>
      <w:bookmarkStart w:id="17" w:name="_Toc1537"/>
      <w:bookmarkStart w:id="18" w:name="_Toc24559"/>
      <w:bookmarkStart w:id="19" w:name="_Toc17262"/>
      <w:bookmarkStart w:id="20" w:name="_Toc12084"/>
      <w:bookmarkStart w:id="21" w:name="_Toc17256"/>
      <w:r>
        <w:rPr>
          <w:rFonts w:hint="eastAsia" w:ascii="仿宋" w:hAnsi="仿宋" w:eastAsia="仿宋" w:cs="仿宋"/>
          <w:color w:val="auto"/>
          <w:sz w:val="24"/>
          <w:szCs w:val="24"/>
          <w:highlight w:val="none"/>
        </w:rPr>
        <w:t>（一）协议书</w:t>
      </w:r>
      <w:bookmarkEnd w:id="17"/>
      <w:bookmarkEnd w:id="18"/>
      <w:bookmarkEnd w:id="19"/>
      <w:bookmarkEnd w:id="20"/>
      <w:bookmarkEnd w:id="21"/>
    </w:p>
    <w:p>
      <w:pPr>
        <w:shd w:val="clear" w:color="000000" w:fill="auto"/>
        <w:spacing w:line="500" w:lineRule="exact"/>
        <w:ind w:left="147" w:leftChars="70" w:firstLine="360" w:firstLineChars="15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《广州市建设工程施工合同》（</w:t>
      </w:r>
      <w:r>
        <w:rPr>
          <w:rFonts w:ascii="仿宋" w:hAnsi="仿宋" w:eastAsia="仿宋" w:cs="仿宋"/>
          <w:color w:val="auto"/>
          <w:sz w:val="24"/>
          <w:szCs w:val="24"/>
          <w:highlight w:val="none"/>
        </w:rPr>
        <w:t>SF-2019-0204</w:t>
      </w:r>
      <w:r>
        <w:rPr>
          <w:rFonts w:hint="eastAsia" w:ascii="仿宋" w:hAnsi="仿宋" w:eastAsia="仿宋" w:cs="仿宋"/>
          <w:color w:val="auto"/>
          <w:sz w:val="24"/>
          <w:szCs w:val="24"/>
          <w:highlight w:val="none"/>
        </w:rPr>
        <w:t>）协议书集中约定了合同当事人基本的合同权利义务。</w:t>
      </w:r>
    </w:p>
    <w:p>
      <w:pPr>
        <w:shd w:val="clear" w:color="000000" w:fill="auto"/>
        <w:spacing w:line="500" w:lineRule="exact"/>
        <w:ind w:firstLine="480" w:firstLineChars="200"/>
        <w:outlineLvl w:val="1"/>
        <w:rPr>
          <w:rFonts w:ascii="仿宋" w:hAnsi="仿宋" w:eastAsia="仿宋" w:cs="Times New Roman"/>
          <w:color w:val="auto"/>
          <w:sz w:val="24"/>
          <w:szCs w:val="24"/>
          <w:highlight w:val="none"/>
        </w:rPr>
      </w:pPr>
      <w:bookmarkStart w:id="22" w:name="_Toc15841"/>
      <w:bookmarkStart w:id="23" w:name="_Toc23596"/>
      <w:bookmarkStart w:id="24" w:name="_Toc22671"/>
      <w:bookmarkStart w:id="25" w:name="_Toc7369"/>
      <w:bookmarkStart w:id="26" w:name="_Toc2069"/>
      <w:r>
        <w:rPr>
          <w:rFonts w:hint="eastAsia" w:ascii="仿宋" w:hAnsi="仿宋" w:eastAsia="仿宋" w:cs="仿宋"/>
          <w:color w:val="auto"/>
          <w:sz w:val="24"/>
          <w:szCs w:val="24"/>
          <w:highlight w:val="none"/>
        </w:rPr>
        <w:t>（二）通用条款</w:t>
      </w:r>
      <w:bookmarkEnd w:id="22"/>
      <w:bookmarkEnd w:id="23"/>
      <w:bookmarkEnd w:id="24"/>
      <w:bookmarkEnd w:id="25"/>
      <w:bookmarkEnd w:id="26"/>
    </w:p>
    <w:p>
      <w:pPr>
        <w:shd w:val="clear" w:color="000000" w:fill="auto"/>
        <w:spacing w:line="500" w:lineRule="exact"/>
        <w:ind w:firstLine="480" w:firstLineChars="2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通用条款是合同当事人根据《中华人民共和国民法典》、《中华人民共和国建筑法》等法律法规的规定，就工程施工的实施及相关事项，对合同当事人的权利义务作出的原则性约定。</w:t>
      </w:r>
    </w:p>
    <w:p>
      <w:pPr>
        <w:shd w:val="clear" w:color="000000" w:fill="auto"/>
        <w:spacing w:line="500" w:lineRule="exact"/>
        <w:ind w:firstLine="480" w:firstLineChars="2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通用条款既考虑了现行法律法规对工程发承包计价的有关要求，也考虑了工程施工管理的特殊需要。</w:t>
      </w:r>
    </w:p>
    <w:p>
      <w:pPr>
        <w:shd w:val="clear" w:color="000000" w:fill="auto"/>
        <w:spacing w:line="500" w:lineRule="exact"/>
        <w:ind w:firstLine="480" w:firstLineChars="200"/>
        <w:outlineLvl w:val="1"/>
        <w:rPr>
          <w:rFonts w:ascii="仿宋" w:hAnsi="仿宋" w:eastAsia="仿宋" w:cs="Times New Roman"/>
          <w:color w:val="auto"/>
          <w:sz w:val="24"/>
          <w:szCs w:val="24"/>
          <w:highlight w:val="none"/>
        </w:rPr>
      </w:pPr>
      <w:bookmarkStart w:id="27" w:name="_Toc7584"/>
      <w:bookmarkStart w:id="28" w:name="_Toc16904"/>
      <w:bookmarkStart w:id="29" w:name="_Toc32502"/>
      <w:bookmarkStart w:id="30" w:name="_Toc10232"/>
      <w:bookmarkStart w:id="31" w:name="_Toc22790"/>
      <w:r>
        <w:rPr>
          <w:rFonts w:hint="eastAsia" w:ascii="仿宋" w:hAnsi="仿宋" w:eastAsia="仿宋" w:cs="仿宋"/>
          <w:color w:val="auto"/>
          <w:sz w:val="24"/>
          <w:szCs w:val="24"/>
          <w:highlight w:val="none"/>
        </w:rPr>
        <w:t>（三）专用条款</w:t>
      </w:r>
      <w:bookmarkEnd w:id="27"/>
      <w:bookmarkEnd w:id="28"/>
      <w:bookmarkEnd w:id="29"/>
      <w:bookmarkEnd w:id="30"/>
      <w:bookmarkEnd w:id="31"/>
    </w:p>
    <w:p>
      <w:pPr>
        <w:shd w:val="clear" w:color="000000" w:fill="auto"/>
        <w:spacing w:line="500" w:lineRule="exact"/>
        <w:ind w:firstLine="480" w:firstLineChars="2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专用条款是对通用条款原则性约定的细化、完善、补充、修改或另行约定的条款。合同当事人可以根据不同建设工程的特点及发承包计价的具体情况，通过双方的谈判、协商对相应的专用条款进行修改补充。在使用专用条款时，应注意以下事项：</w:t>
      </w:r>
    </w:p>
    <w:p>
      <w:pPr>
        <w:shd w:val="clear" w:color="000000" w:fill="auto"/>
        <w:spacing w:line="500" w:lineRule="exact"/>
        <w:ind w:right="25" w:rightChars="12"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专用条款的编号应与相应的通用条款的编号一致；</w:t>
      </w:r>
    </w:p>
    <w:p>
      <w:pPr>
        <w:shd w:val="clear" w:color="000000" w:fill="auto"/>
        <w:spacing w:line="500" w:lineRule="exact"/>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合同当事人可以通过对专用条款的修改，满足具体工程的特殊要求，避免直接修改通用条款；</w:t>
      </w:r>
    </w:p>
    <w:p>
      <w:pPr>
        <w:shd w:val="clear" w:color="000000" w:fill="auto"/>
        <w:spacing w:line="500" w:lineRule="exact"/>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在专用条款中有横道线的地方，合同当事人可针对相应的通用条款进行细化、完善、补充、修改或另行约定；如无细化、完善、补充、修改或另行约定，则填写“无”或划“</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w:t>
      </w:r>
    </w:p>
    <w:p>
      <w:pPr>
        <w:shd w:val="clear" w:color="000000" w:fill="auto"/>
        <w:spacing w:line="500" w:lineRule="exact"/>
        <w:ind w:firstLine="480" w:firstLineChars="200"/>
        <w:outlineLvl w:val="0"/>
        <w:rPr>
          <w:rFonts w:ascii="仿宋" w:hAnsi="仿宋" w:eastAsia="仿宋" w:cs="Times New Roman"/>
          <w:b/>
          <w:bCs/>
          <w:color w:val="auto"/>
          <w:sz w:val="24"/>
          <w:szCs w:val="24"/>
          <w:highlight w:val="none"/>
        </w:rPr>
      </w:pPr>
      <w:bookmarkStart w:id="32" w:name="_Toc4933"/>
      <w:bookmarkStart w:id="33" w:name="_Toc3159"/>
      <w:bookmarkStart w:id="34" w:name="_Toc26764"/>
      <w:bookmarkStart w:id="35" w:name="_Toc12395"/>
      <w:bookmarkStart w:id="36" w:name="_Toc32040"/>
      <w:r>
        <w:rPr>
          <w:rFonts w:hint="eastAsia" w:ascii="仿宋" w:hAnsi="仿宋" w:eastAsia="仿宋" w:cs="仿宋"/>
          <w:color w:val="auto"/>
          <w:sz w:val="24"/>
          <w:szCs w:val="24"/>
          <w:highlight w:val="none"/>
        </w:rPr>
        <w:t>三、《广州市建设工程施工合同》（</w:t>
      </w:r>
      <w:r>
        <w:rPr>
          <w:rFonts w:ascii="仿宋" w:hAnsi="仿宋" w:eastAsia="仿宋" w:cs="仿宋"/>
          <w:color w:val="auto"/>
          <w:sz w:val="24"/>
          <w:szCs w:val="24"/>
          <w:highlight w:val="none"/>
        </w:rPr>
        <w:t>SF-2019-0204</w:t>
      </w:r>
      <w:r>
        <w:rPr>
          <w:rFonts w:hint="eastAsia" w:ascii="仿宋" w:hAnsi="仿宋" w:eastAsia="仿宋" w:cs="仿宋"/>
          <w:color w:val="auto"/>
          <w:sz w:val="24"/>
          <w:szCs w:val="24"/>
          <w:highlight w:val="none"/>
        </w:rPr>
        <w:t>）的适用范围</w:t>
      </w:r>
      <w:bookmarkEnd w:id="32"/>
      <w:bookmarkEnd w:id="33"/>
      <w:bookmarkEnd w:id="34"/>
      <w:bookmarkEnd w:id="35"/>
      <w:bookmarkEnd w:id="36"/>
    </w:p>
    <w:p>
      <w:pPr>
        <w:shd w:val="clear" w:color="000000" w:fill="auto"/>
        <w:spacing w:line="500" w:lineRule="exact"/>
        <w:ind w:firstLine="480" w:firstLineChars="2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《广州市建设工程施工合同》（</w:t>
      </w:r>
      <w:r>
        <w:rPr>
          <w:rFonts w:ascii="仿宋" w:hAnsi="仿宋" w:eastAsia="仿宋" w:cs="仿宋"/>
          <w:color w:val="auto"/>
          <w:sz w:val="24"/>
          <w:szCs w:val="24"/>
          <w:highlight w:val="none"/>
        </w:rPr>
        <w:t>SF-2019-0204</w:t>
      </w:r>
      <w:r>
        <w:rPr>
          <w:rFonts w:hint="eastAsia" w:ascii="仿宋" w:hAnsi="仿宋" w:eastAsia="仿宋" w:cs="仿宋"/>
          <w:color w:val="auto"/>
          <w:sz w:val="24"/>
          <w:szCs w:val="24"/>
          <w:highlight w:val="none"/>
        </w:rPr>
        <w:t>）适用于广州市行政区域内建设工程的新建、扩建、改建、装修、修缮等施工项目的合同订立。其中，通用条款中带</w:t>
      </w:r>
      <w:r>
        <w:rPr>
          <w:rFonts w:hint="eastAsia" w:ascii="仿宋" w:hAnsi="仿宋" w:eastAsia="仿宋" w:cs="仿宋"/>
          <w:b/>
          <w:bCs/>
          <w:color w:val="auto"/>
          <w:sz w:val="24"/>
          <w:szCs w:val="24"/>
          <w:highlight w:val="none"/>
        </w:rPr>
        <w:t>★</w:t>
      </w:r>
      <w:r>
        <w:rPr>
          <w:rFonts w:hint="eastAsia" w:ascii="仿宋" w:hAnsi="仿宋" w:eastAsia="仿宋" w:cs="仿宋"/>
          <w:color w:val="auto"/>
          <w:sz w:val="24"/>
          <w:szCs w:val="24"/>
          <w:highlight w:val="none"/>
        </w:rPr>
        <w:t>号的条文，其内容是完整不可分割的，与法律、法规、规范有关联的条款，原则上应不进行删减，只能在专用条款中根据实际情况选择或在不违反原条款实质的前提下增加细化内容。其他内容合同当事人可结合建设工程具体情况，按照法律法规规定，根据《广州市建设工程施工合同》（</w:t>
      </w:r>
      <w:r>
        <w:rPr>
          <w:rFonts w:ascii="仿宋" w:hAnsi="仿宋" w:eastAsia="仿宋" w:cs="仿宋"/>
          <w:color w:val="auto"/>
          <w:sz w:val="24"/>
          <w:szCs w:val="24"/>
          <w:highlight w:val="none"/>
        </w:rPr>
        <w:t>SF-2019-0204</w:t>
      </w:r>
      <w:r>
        <w:rPr>
          <w:rFonts w:hint="eastAsia" w:ascii="仿宋" w:hAnsi="仿宋" w:eastAsia="仿宋" w:cs="仿宋"/>
          <w:color w:val="auto"/>
          <w:sz w:val="24"/>
          <w:szCs w:val="24"/>
          <w:highlight w:val="none"/>
        </w:rPr>
        <w:t>）的内容，约定双方具体的权利义务。</w:t>
      </w:r>
    </w:p>
    <w:p>
      <w:pPr>
        <w:shd w:val="clear" w:color="000000" w:fill="auto"/>
        <w:spacing w:line="500" w:lineRule="exact"/>
        <w:ind w:firstLine="616" w:firstLineChars="257"/>
        <w:outlineLvl w:val="0"/>
        <w:rPr>
          <w:rFonts w:ascii="仿宋" w:hAnsi="仿宋" w:eastAsia="仿宋" w:cs="Times New Roman"/>
          <w:color w:val="auto"/>
          <w:sz w:val="24"/>
          <w:szCs w:val="24"/>
          <w:highlight w:val="none"/>
        </w:rPr>
      </w:pPr>
      <w:bookmarkStart w:id="37" w:name="_Toc608"/>
      <w:bookmarkStart w:id="38" w:name="_Toc29891"/>
      <w:bookmarkStart w:id="39" w:name="_Toc3202"/>
      <w:bookmarkStart w:id="40" w:name="_Toc20577"/>
      <w:bookmarkStart w:id="41" w:name="_Toc30854"/>
      <w:r>
        <w:rPr>
          <w:rFonts w:hint="eastAsia" w:ascii="仿宋" w:hAnsi="仿宋" w:eastAsia="仿宋" w:cs="仿宋"/>
          <w:color w:val="auto"/>
          <w:sz w:val="24"/>
          <w:szCs w:val="24"/>
          <w:highlight w:val="none"/>
        </w:rPr>
        <w:t>四、其他事项</w:t>
      </w:r>
      <w:bookmarkEnd w:id="37"/>
      <w:bookmarkEnd w:id="38"/>
      <w:bookmarkEnd w:id="39"/>
      <w:bookmarkEnd w:id="40"/>
      <w:bookmarkEnd w:id="41"/>
    </w:p>
    <w:p>
      <w:pPr>
        <w:shd w:val="clear" w:color="000000" w:fill="auto"/>
        <w:spacing w:line="500" w:lineRule="exact"/>
        <w:ind w:firstLine="616" w:firstLineChars="257"/>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《广州市建设工程施工合同》（</w:t>
      </w:r>
      <w:r>
        <w:rPr>
          <w:rFonts w:ascii="仿宋" w:hAnsi="仿宋" w:eastAsia="仿宋" w:cs="仿宋"/>
          <w:color w:val="auto"/>
          <w:sz w:val="24"/>
          <w:szCs w:val="24"/>
          <w:highlight w:val="none"/>
        </w:rPr>
        <w:t>SF-2019-0204</w:t>
      </w:r>
      <w:r>
        <w:rPr>
          <w:rFonts w:hint="eastAsia" w:ascii="仿宋" w:hAnsi="仿宋" w:eastAsia="仿宋" w:cs="仿宋"/>
          <w:color w:val="auto"/>
          <w:sz w:val="24"/>
          <w:szCs w:val="24"/>
          <w:highlight w:val="none"/>
        </w:rPr>
        <w:t>）》专用条款中的“预付款”、“进度款”、“竣工结算”条款，在签订合同时优先选择本合同中已列的支付条件、支付方式，如选择“其它方式”或“另作约定”形式的，需以合同附件的形式予以说明原因。</w:t>
      </w:r>
    </w:p>
    <w:p>
      <w:pPr>
        <w:widowControl/>
        <w:shd w:val="clear" w:color="000000" w:fill="auto"/>
        <w:spacing w:beforeAutospacing="1" w:afterAutospacing="1"/>
        <w:jc w:val="left"/>
        <w:rPr>
          <w:rFonts w:ascii="宋体" w:cs="Times New Roman"/>
          <w:color w:val="auto"/>
          <w:kern w:val="0"/>
          <w:sz w:val="36"/>
          <w:szCs w:val="36"/>
          <w:highlight w:val="none"/>
        </w:rPr>
        <w:sectPr>
          <w:footerReference r:id="rId4" w:type="default"/>
          <w:endnotePr>
            <w:numFmt w:val="decimal"/>
          </w:endnotePr>
          <w:pgSz w:w="11906" w:h="16838"/>
          <w:pgMar w:top="1191" w:right="851" w:bottom="794" w:left="851" w:header="0" w:footer="0" w:gutter="0"/>
          <w:pgNumType w:start="1"/>
          <w:cols w:space="720" w:num="1"/>
          <w:titlePg/>
          <w:docGrid w:linePitch="286" w:charSpace="0"/>
        </w:sectPr>
      </w:pPr>
    </w:p>
    <w:bookmarkEnd w:id="0"/>
    <w:bookmarkEnd w:id="1"/>
    <w:bookmarkEnd w:id="2"/>
    <w:bookmarkEnd w:id="3"/>
    <w:bookmarkEnd w:id="4"/>
    <w:p>
      <w:pPr>
        <w:shd w:val="clear" w:color="000000" w:fill="auto"/>
        <w:spacing w:line="360" w:lineRule="auto"/>
        <w:jc w:val="center"/>
        <w:outlineLvl w:val="0"/>
        <w:rPr>
          <w:rFonts w:ascii="宋体" w:cs="Times New Roman"/>
          <w:b/>
          <w:bCs/>
          <w:color w:val="auto"/>
          <w:sz w:val="36"/>
          <w:szCs w:val="36"/>
          <w:highlight w:val="none"/>
        </w:rPr>
      </w:pPr>
      <w:bookmarkStart w:id="42" w:name="_Toc469383967"/>
      <w:bookmarkStart w:id="43" w:name="_Toc10464"/>
      <w:bookmarkStart w:id="44" w:name="_Toc10808"/>
      <w:bookmarkStart w:id="45" w:name="_Toc10624807"/>
      <w:r>
        <w:rPr>
          <w:rFonts w:hint="eastAsia" w:ascii="宋体" w:hAnsi="宋体" w:cs="宋体"/>
          <w:b/>
          <w:bCs/>
          <w:color w:val="auto"/>
          <w:sz w:val="36"/>
          <w:szCs w:val="36"/>
          <w:highlight w:val="none"/>
        </w:rPr>
        <w:t>第一部分</w:t>
      </w:r>
      <w:r>
        <w:rPr>
          <w:rFonts w:ascii="宋体" w:hAnsi="宋体" w:cs="宋体"/>
          <w:b/>
          <w:bCs/>
          <w:color w:val="auto"/>
          <w:sz w:val="36"/>
          <w:szCs w:val="36"/>
          <w:highlight w:val="none"/>
        </w:rPr>
        <w:t xml:space="preserve">  </w:t>
      </w:r>
      <w:r>
        <w:rPr>
          <w:rFonts w:hint="eastAsia" w:ascii="宋体" w:hAnsi="宋体" w:cs="宋体"/>
          <w:b/>
          <w:bCs/>
          <w:color w:val="auto"/>
          <w:sz w:val="36"/>
          <w:szCs w:val="36"/>
          <w:highlight w:val="none"/>
        </w:rPr>
        <w:t>协</w:t>
      </w:r>
      <w:r>
        <w:rPr>
          <w:rFonts w:ascii="宋体" w:hAnsi="宋体" w:cs="宋体"/>
          <w:b/>
          <w:bCs/>
          <w:color w:val="auto"/>
          <w:sz w:val="36"/>
          <w:szCs w:val="36"/>
          <w:highlight w:val="none"/>
        </w:rPr>
        <w:t xml:space="preserve">  </w:t>
      </w:r>
      <w:r>
        <w:rPr>
          <w:rFonts w:hint="eastAsia" w:ascii="宋体" w:hAnsi="宋体" w:cs="宋体"/>
          <w:b/>
          <w:bCs/>
          <w:color w:val="auto"/>
          <w:sz w:val="36"/>
          <w:szCs w:val="36"/>
          <w:highlight w:val="none"/>
        </w:rPr>
        <w:t>议</w:t>
      </w:r>
      <w:r>
        <w:rPr>
          <w:rFonts w:ascii="宋体" w:hAnsi="宋体" w:cs="宋体"/>
          <w:b/>
          <w:bCs/>
          <w:color w:val="auto"/>
          <w:sz w:val="36"/>
          <w:szCs w:val="36"/>
          <w:highlight w:val="none"/>
        </w:rPr>
        <w:t xml:space="preserve">  </w:t>
      </w:r>
      <w:r>
        <w:rPr>
          <w:rFonts w:hint="eastAsia" w:ascii="宋体" w:hAnsi="宋体" w:cs="宋体"/>
          <w:b/>
          <w:bCs/>
          <w:color w:val="auto"/>
          <w:sz w:val="36"/>
          <w:szCs w:val="36"/>
          <w:highlight w:val="none"/>
        </w:rPr>
        <w:t>书</w:t>
      </w:r>
      <w:bookmarkEnd w:id="42"/>
      <w:bookmarkEnd w:id="43"/>
      <w:bookmarkEnd w:id="44"/>
      <w:bookmarkEnd w:id="45"/>
    </w:p>
    <w:p>
      <w:pPr>
        <w:shd w:val="clear" w:color="000000" w:fill="auto"/>
        <w:spacing w:line="360" w:lineRule="auto"/>
        <w:rPr>
          <w:rFonts w:ascii="仿宋" w:hAnsi="仿宋" w:eastAsia="仿宋" w:cs="仿宋"/>
          <w:color w:val="auto"/>
          <w:sz w:val="24"/>
          <w:szCs w:val="24"/>
          <w:highlight w:val="none"/>
        </w:rPr>
      </w:pPr>
    </w:p>
    <w:p>
      <w:pPr>
        <w:shd w:val="clear" w:color="000000" w:fill="auto"/>
        <w:spacing w:line="360" w:lineRule="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（全称）</w:t>
      </w:r>
      <w:r>
        <w:rPr>
          <w:rFonts w:ascii="仿宋" w:hAnsi="仿宋" w:eastAsia="仿宋" w:cs="仿宋"/>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eastAsia="zh-CN"/>
        </w:rPr>
        <w:t>广州番禺职业技术学院</w:t>
      </w:r>
      <w:r>
        <w:rPr>
          <w:rFonts w:ascii="仿宋" w:hAnsi="仿宋" w:eastAsia="仿宋" w:cs="仿宋"/>
          <w:color w:val="auto"/>
          <w:sz w:val="24"/>
          <w:szCs w:val="24"/>
          <w:highlight w:val="none"/>
          <w:u w:val="single"/>
        </w:rPr>
        <w:t xml:space="preserve">              </w:t>
      </w:r>
    </w:p>
    <w:p>
      <w:pPr>
        <w:shd w:val="clear" w:color="000000" w:fill="auto"/>
        <w:spacing w:line="360" w:lineRule="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（全称）</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p>
    <w:p>
      <w:pPr>
        <w:shd w:val="clear" w:color="000000" w:fill="auto"/>
        <w:rPr>
          <w:rFonts w:ascii="仿宋" w:hAnsi="仿宋" w:eastAsia="仿宋" w:cs="Times New Roman"/>
          <w:color w:val="auto"/>
          <w:highlight w:val="none"/>
        </w:rPr>
      </w:pPr>
    </w:p>
    <w:p>
      <w:pPr>
        <w:shd w:val="clear" w:color="000000" w:fill="auto"/>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依照《中华人民共和国民法典》《中华人民共和国建筑法》及其他有关法律法规，遵循平等、自愿、公平和诚实信用的原则，双方就合同工程施工有关事项达成一致意见，订立本合同。</w:t>
      </w:r>
    </w:p>
    <w:p>
      <w:pPr>
        <w:shd w:val="clear" w:color="000000" w:fill="auto"/>
        <w:rPr>
          <w:rFonts w:ascii="仿宋" w:hAnsi="仿宋" w:eastAsia="仿宋" w:cs="Times New Roman"/>
          <w:color w:val="auto"/>
          <w:highlight w:val="none"/>
        </w:rPr>
      </w:pPr>
    </w:p>
    <w:p>
      <w:pPr>
        <w:shd w:val="clear" w:color="000000" w:fill="auto"/>
        <w:spacing w:line="360" w:lineRule="auto"/>
        <w:outlineLvl w:val="1"/>
        <w:rPr>
          <w:rFonts w:ascii="仿宋" w:hAnsi="仿宋" w:eastAsia="仿宋" w:cs="Times New Roman"/>
          <w:b/>
          <w:bCs/>
          <w:color w:val="auto"/>
          <w:sz w:val="24"/>
          <w:szCs w:val="24"/>
          <w:highlight w:val="none"/>
        </w:rPr>
      </w:pPr>
      <w:bookmarkStart w:id="46" w:name="_Toc469383968"/>
      <w:bookmarkStart w:id="47" w:name="_Toc11250"/>
      <w:bookmarkStart w:id="48" w:name="_Toc266892752"/>
      <w:bookmarkStart w:id="49" w:name="_Toc18707"/>
      <w:bookmarkStart w:id="50" w:name="_Toc10624808"/>
      <w:r>
        <w:rPr>
          <w:rFonts w:hint="eastAsia" w:ascii="仿宋" w:hAnsi="仿宋" w:eastAsia="仿宋" w:cs="仿宋"/>
          <w:b/>
          <w:bCs/>
          <w:color w:val="auto"/>
          <w:sz w:val="24"/>
          <w:szCs w:val="24"/>
          <w:highlight w:val="none"/>
        </w:rPr>
        <w:t>一、工程概况</w:t>
      </w:r>
      <w:bookmarkEnd w:id="46"/>
      <w:bookmarkEnd w:id="47"/>
      <w:bookmarkEnd w:id="48"/>
      <w:bookmarkEnd w:id="49"/>
      <w:bookmarkEnd w:id="50"/>
    </w:p>
    <w:p>
      <w:pPr>
        <w:keepNext w:val="0"/>
        <w:keepLines w:val="0"/>
        <w:pageBreakBefore w:val="0"/>
        <w:widowControl w:val="0"/>
        <w:shd w:val="clear" w:color="000000" w:fill="auto"/>
        <w:kinsoku/>
        <w:wordWrap w:val="0"/>
        <w:overflowPunct/>
        <w:topLinePunct w:val="0"/>
        <w:autoSpaceDE/>
        <w:autoSpaceDN/>
        <w:bidi w:val="0"/>
        <w:adjustRightInd/>
        <w:snapToGrid/>
        <w:spacing w:line="360" w:lineRule="auto"/>
        <w:ind w:firstLine="480" w:firstLineChars="200"/>
        <w:jc w:val="left"/>
        <w:textAlignment w:val="auto"/>
        <w:rPr>
          <w:rFonts w:ascii="宋体" w:hAnsi="宋体" w:cs="宋体"/>
          <w:color w:val="auto"/>
          <w:sz w:val="24"/>
          <w:szCs w:val="24"/>
          <w:highlight w:val="none"/>
          <w:u w:val="single"/>
        </w:rPr>
      </w:pPr>
      <w:r>
        <w:rPr>
          <w:rFonts w:hint="eastAsia" w:ascii="宋体" w:hAnsi="宋体" w:cs="宋体"/>
          <w:color w:val="auto"/>
          <w:sz w:val="24"/>
          <w:szCs w:val="24"/>
          <w:highlight w:val="none"/>
        </w:rPr>
        <w:t>广东省企业投资项目备案证备案项目编号：</w:t>
      </w:r>
      <w:r>
        <w:rPr>
          <w:rFonts w:hint="eastAsia" w:ascii="宋体" w:hAnsi="宋体" w:cs="宋体"/>
          <w:color w:val="auto"/>
          <w:sz w:val="24"/>
          <w:szCs w:val="24"/>
          <w:highlight w:val="none"/>
          <w:u w:val="single"/>
        </w:rPr>
        <w:t>2302-440113-04-05-707202、2302-440113-04-01-484952</w:t>
      </w:r>
    </w:p>
    <w:p>
      <w:pPr>
        <w:shd w:val="clear" w:color="000000" w:fill="auto"/>
        <w:spacing w:line="360" w:lineRule="auto"/>
        <w:ind w:firstLine="465"/>
        <w:rPr>
          <w:rFonts w:ascii="宋体" w:hAnsi="宋体" w:cs="宋体"/>
          <w:color w:val="auto"/>
          <w:sz w:val="24"/>
          <w:szCs w:val="24"/>
          <w:highlight w:val="none"/>
          <w:u w:val="single"/>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原保卫处外墙及内部装修改造工程、智慧汽车学院实训基地装修改造工程、智能制造学院注塑实训室装修改造工程、A栋教师宿舍装修改造项目施工专业承包</w:t>
      </w:r>
      <w:r>
        <w:rPr>
          <w:rFonts w:hint="eastAsia" w:ascii="宋体" w:hAnsi="宋体" w:cs="宋体"/>
          <w:color w:val="auto"/>
          <w:sz w:val="24"/>
          <w:szCs w:val="24"/>
          <w:highlight w:val="none"/>
          <w:u w:val="single"/>
        </w:rPr>
        <w:t xml:space="preserve"> </w:t>
      </w:r>
    </w:p>
    <w:p>
      <w:pPr>
        <w:shd w:val="clear" w:color="000000" w:fill="auto"/>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合同类型：</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承包施工合同</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工程规模：</w:t>
      </w:r>
      <w:r>
        <w:rPr>
          <w:rFonts w:hint="eastAsia" w:ascii="宋体" w:hAnsi="宋体" w:cs="宋体"/>
          <w:color w:val="auto"/>
          <w:sz w:val="24"/>
          <w:szCs w:val="24"/>
          <w:highlight w:val="none"/>
          <w:u w:val="single"/>
        </w:rPr>
        <w:t>本工程位于番禺区市良路1342号广州番禺职业技术学院内，拟进行原保卫处外墙及内部装修改造、智慧汽车学院实训基地装修改造、智能制造学院注塑实训室装修改造</w:t>
      </w:r>
      <w:r>
        <w:rPr>
          <w:rFonts w:hint="eastAsia" w:ascii="宋体" w:hAnsi="宋体" w:cs="宋体"/>
          <w:color w:val="auto"/>
          <w:sz w:val="24"/>
          <w:szCs w:val="24"/>
          <w:highlight w:val="none"/>
          <w:u w:val="single"/>
          <w:lang w:eastAsia="zh-CN"/>
        </w:rPr>
        <w:t>、A栋教师宿舍装修改造</w:t>
      </w:r>
      <w:r>
        <w:rPr>
          <w:rFonts w:hint="eastAsia" w:ascii="宋体" w:hAnsi="宋体" w:cs="宋体"/>
          <w:color w:val="auto"/>
          <w:sz w:val="24"/>
          <w:szCs w:val="24"/>
          <w:highlight w:val="none"/>
          <w:u w:val="single"/>
        </w:rPr>
        <w:t>，装修面积约</w:t>
      </w:r>
      <w:r>
        <w:rPr>
          <w:rFonts w:hint="eastAsia" w:ascii="宋体" w:hAnsi="宋体" w:cs="宋体"/>
          <w:color w:val="auto"/>
          <w:sz w:val="24"/>
          <w:szCs w:val="24"/>
          <w:highlight w:val="none"/>
          <w:u w:val="single"/>
          <w:lang w:val="en-US" w:eastAsia="zh-CN"/>
        </w:rPr>
        <w:t>4400</w:t>
      </w:r>
      <w:r>
        <w:rPr>
          <w:rFonts w:hint="eastAsia" w:ascii="宋体" w:hAnsi="宋体" w:cs="宋体"/>
          <w:color w:val="auto"/>
          <w:sz w:val="24"/>
          <w:szCs w:val="24"/>
          <w:highlight w:val="none"/>
          <w:u w:val="single"/>
        </w:rPr>
        <w:t>平方米。</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结构形式：</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框架結构、砖混及钢结构 </w:t>
      </w:r>
      <w:r>
        <w:rPr>
          <w:rFonts w:hint="eastAsia" w:ascii="宋体" w:hAnsi="宋体" w:cs="宋体"/>
          <w:color w:val="auto"/>
          <w:sz w:val="24"/>
          <w:szCs w:val="24"/>
          <w:highlight w:val="none"/>
          <w:u w:val="single"/>
        </w:rPr>
        <w:t xml:space="preserve"> </w:t>
      </w:r>
    </w:p>
    <w:p>
      <w:pPr>
        <w:shd w:val="clear" w:color="000000" w:fill="auto"/>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资金来源：</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财政</w:t>
      </w:r>
      <w:r>
        <w:rPr>
          <w:rFonts w:hint="eastAsia" w:ascii="宋体" w:hAnsi="宋体" w:cs="宋体"/>
          <w:color w:val="auto"/>
          <w:sz w:val="24"/>
          <w:szCs w:val="24"/>
          <w:highlight w:val="none"/>
          <w:u w:val="single"/>
        </w:rPr>
        <w:t xml:space="preserve">资金     </w:t>
      </w:r>
    </w:p>
    <w:p>
      <w:pPr>
        <w:shd w:val="clear" w:color="000000" w:fill="auto"/>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其他：</w:t>
      </w:r>
      <w:r>
        <w:rPr>
          <w:rFonts w:hint="eastAsia" w:ascii="宋体" w:hAnsi="宋体" w:cs="宋体"/>
          <w:color w:val="auto"/>
          <w:sz w:val="24"/>
          <w:szCs w:val="24"/>
          <w:highlight w:val="none"/>
          <w:u w:val="single"/>
        </w:rPr>
        <w:t xml:space="preserve">      /    </w:t>
      </w:r>
    </w:p>
    <w:p>
      <w:pPr>
        <w:shd w:val="clear" w:color="000000" w:fill="auto"/>
        <w:rPr>
          <w:rFonts w:ascii="仿宋" w:hAnsi="仿宋" w:eastAsia="仿宋" w:cs="Times New Roman"/>
          <w:color w:val="auto"/>
          <w:highlight w:val="none"/>
          <w:u w:val="single"/>
        </w:rPr>
      </w:pPr>
    </w:p>
    <w:p>
      <w:pPr>
        <w:shd w:val="clear" w:color="000000" w:fill="auto"/>
        <w:spacing w:line="360" w:lineRule="auto"/>
        <w:outlineLvl w:val="1"/>
        <w:rPr>
          <w:rFonts w:ascii="仿宋" w:hAnsi="仿宋" w:eastAsia="仿宋" w:cs="仿宋"/>
          <w:b/>
          <w:bCs/>
          <w:color w:val="auto"/>
          <w:sz w:val="24"/>
          <w:szCs w:val="24"/>
          <w:highlight w:val="none"/>
        </w:rPr>
      </w:pPr>
      <w:bookmarkStart w:id="51" w:name="_Toc469383969"/>
      <w:bookmarkStart w:id="52" w:name="_Toc10624809"/>
      <w:bookmarkStart w:id="53" w:name="_Toc28866"/>
      <w:bookmarkStart w:id="54" w:name="_Toc266892753"/>
      <w:bookmarkStart w:id="55" w:name="_Toc19157"/>
      <w:r>
        <w:rPr>
          <w:rFonts w:hint="eastAsia" w:ascii="仿宋" w:hAnsi="仿宋" w:eastAsia="仿宋" w:cs="仿宋"/>
          <w:b/>
          <w:bCs/>
          <w:color w:val="auto"/>
          <w:sz w:val="24"/>
          <w:szCs w:val="24"/>
          <w:highlight w:val="none"/>
        </w:rPr>
        <w:t>二、工程内容与承包范围</w:t>
      </w:r>
      <w:bookmarkEnd w:id="51"/>
      <w:bookmarkEnd w:id="52"/>
      <w:bookmarkEnd w:id="53"/>
      <w:bookmarkEnd w:id="54"/>
      <w:bookmarkEnd w:id="55"/>
    </w:p>
    <w:p>
      <w:pPr>
        <w:shd w:val="clear" w:color="000000" w:fill="auto"/>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工程内容与承包范围:</w:t>
      </w:r>
      <w:r>
        <w:rPr>
          <w:rFonts w:hint="eastAsia" w:ascii="宋体" w:hAnsi="宋体" w:cs="宋体"/>
          <w:color w:val="auto"/>
          <w:sz w:val="24"/>
          <w:szCs w:val="24"/>
          <w:highlight w:val="none"/>
          <w:u w:val="single"/>
        </w:rPr>
        <w:t>本工程位于番禺区市良路1342号广州番禺职业技术学院内，拟进行原保卫处外墙及内部装修改造、智慧汽车学院实训基地装修改造、智能制造学院注塑实训室装修改造</w:t>
      </w:r>
      <w:r>
        <w:rPr>
          <w:rFonts w:hint="eastAsia" w:ascii="宋体" w:hAnsi="宋体" w:cs="宋体"/>
          <w:color w:val="auto"/>
          <w:sz w:val="24"/>
          <w:szCs w:val="24"/>
          <w:highlight w:val="none"/>
          <w:u w:val="single"/>
          <w:lang w:eastAsia="zh-CN"/>
        </w:rPr>
        <w:t>、A栋教师宿舍装修改造</w:t>
      </w:r>
      <w:r>
        <w:rPr>
          <w:rFonts w:hint="eastAsia" w:ascii="宋体" w:hAnsi="宋体" w:cs="宋体"/>
          <w:color w:val="auto"/>
          <w:sz w:val="24"/>
          <w:szCs w:val="24"/>
          <w:highlight w:val="none"/>
          <w:u w:val="single"/>
        </w:rPr>
        <w:t>，装修面积约</w:t>
      </w:r>
      <w:r>
        <w:rPr>
          <w:rFonts w:hint="eastAsia" w:ascii="宋体" w:hAnsi="宋体" w:cs="宋体"/>
          <w:color w:val="auto"/>
          <w:sz w:val="24"/>
          <w:szCs w:val="24"/>
          <w:highlight w:val="none"/>
          <w:u w:val="single"/>
          <w:lang w:val="en-US" w:eastAsia="zh-CN"/>
        </w:rPr>
        <w:t>4400</w:t>
      </w:r>
      <w:r>
        <w:rPr>
          <w:rFonts w:hint="eastAsia" w:ascii="宋体" w:hAnsi="宋体" w:cs="宋体"/>
          <w:color w:val="auto"/>
          <w:sz w:val="24"/>
          <w:szCs w:val="24"/>
          <w:highlight w:val="none"/>
          <w:u w:val="single"/>
        </w:rPr>
        <w:t>平方米</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eastAsia="zh-CN"/>
        </w:rPr>
        <w:t>包括但不限于：屋面防水、外墙改造、天花装饰、门窗安装，隔墙设置，刷环保漆，墙面改造与粉刷，弱电、强电、给排水、网线铺设等</w:t>
      </w:r>
      <w:r>
        <w:rPr>
          <w:rFonts w:hint="eastAsia" w:ascii="宋体" w:hAnsi="宋体" w:cs="宋体"/>
          <w:color w:val="auto"/>
          <w:sz w:val="24"/>
          <w:szCs w:val="24"/>
          <w:highlight w:val="none"/>
          <w:u w:val="single"/>
          <w:lang w:val="en-US" w:eastAsia="zh-CN"/>
        </w:rPr>
        <w:t>内容</w:t>
      </w:r>
      <w:r>
        <w:rPr>
          <w:rFonts w:hint="eastAsia" w:ascii="宋体" w:hAnsi="宋体" w:cs="宋体"/>
          <w:color w:val="auto"/>
          <w:sz w:val="24"/>
          <w:szCs w:val="24"/>
          <w:highlight w:val="none"/>
          <w:u w:val="single"/>
        </w:rPr>
        <w:t>。包工、包料、包质量，包工期、包安全、包文明施工，包工程竣工图编制（须满足各专项验收要求）和竣工验收。综合单价包干、项目措施费包干。</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承包范围:</w:t>
      </w:r>
      <w:r>
        <w:rPr>
          <w:rFonts w:hint="eastAsia" w:ascii="宋体" w:hAnsi="宋体" w:cs="宋体"/>
          <w:color w:val="auto"/>
          <w:kern w:val="0"/>
          <w:sz w:val="24"/>
          <w:szCs w:val="24"/>
          <w:highlight w:val="none"/>
          <w:u w:val="single"/>
        </w:rPr>
        <w:t xml:space="preserve"> </w:t>
      </w:r>
      <w:r>
        <w:rPr>
          <w:rFonts w:hint="eastAsia" w:ascii="宋体" w:hAnsi="宋体" w:cs="宋体"/>
          <w:color w:val="auto"/>
          <w:sz w:val="24"/>
          <w:szCs w:val="24"/>
          <w:highlight w:val="none"/>
          <w:u w:val="single"/>
        </w:rPr>
        <w:t>依据招标文件、招标图纸（包括技术要求）、工程量清单及有关资料及说明，完成方案修改优化、施工图深化、工程施工及竣工图编制，内容包括原保卫处外墙及内部装修改造工程、智慧汽车学院实训基地装修改造工程、智能制造学院注塑实训室装修改造工程、A栋教师宿舍装修改造项目，装修面积约</w:t>
      </w:r>
      <w:r>
        <w:rPr>
          <w:rFonts w:hint="eastAsia" w:ascii="宋体" w:hAnsi="宋体" w:cs="宋体"/>
          <w:color w:val="auto"/>
          <w:sz w:val="24"/>
          <w:szCs w:val="24"/>
          <w:highlight w:val="none"/>
          <w:u w:val="single"/>
          <w:lang w:val="en-US" w:eastAsia="zh-CN"/>
        </w:rPr>
        <w:t>4400</w:t>
      </w:r>
      <w:r>
        <w:rPr>
          <w:rFonts w:hint="eastAsia" w:ascii="宋体" w:hAnsi="宋体" w:cs="宋体"/>
          <w:color w:val="auto"/>
          <w:sz w:val="24"/>
          <w:szCs w:val="24"/>
          <w:highlight w:val="none"/>
          <w:u w:val="single"/>
        </w:rPr>
        <w:t>平方米。包括但不限于：室内装饰</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屋面防水、外墙改造、天花装饰、门窗安装，隔墙设置，刷环保漆，墙面改造与粉刷，弱电、强电、给排水、网线铺设等。包工、包料、包工期、包质量、包安全、包文明施工、包工程相关报批手续，包招标范围内工程竣工验收通过、包移交、包结算的组织实施工作和资料整理等。综合单价包干、项目措施费包干</w:t>
      </w:r>
      <w:r>
        <w:rPr>
          <w:rFonts w:hint="eastAsia" w:ascii="宋体" w:hAnsi="宋体" w:cs="宋体"/>
          <w:color w:val="auto"/>
          <w:kern w:val="0"/>
          <w:sz w:val="24"/>
          <w:szCs w:val="24"/>
          <w:highlight w:val="none"/>
          <w:u w:val="single"/>
        </w:rPr>
        <w:t>。</w:t>
      </w:r>
      <w:r>
        <w:rPr>
          <w:rFonts w:hint="eastAsia" w:ascii="宋体" w:hAnsi="宋体" w:cs="宋体"/>
          <w:color w:val="auto"/>
          <w:sz w:val="24"/>
          <w:szCs w:val="24"/>
          <w:highlight w:val="none"/>
          <w:u w:val="single"/>
        </w:rPr>
        <w:t>具体内容以招标文件及工程量清单、施工图纸为准。</w:t>
      </w:r>
    </w:p>
    <w:p>
      <w:pPr>
        <w:shd w:val="clear" w:color="000000" w:fill="auto"/>
        <w:spacing w:line="360" w:lineRule="auto"/>
        <w:ind w:firstLine="523" w:firstLineChars="218"/>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按照良好的行业惯例，如果某项工作、服务是圆满完成本合同项下的工作和/或服务，但该项工作或服务在合同中没有明示规定的，那么，此项工作或服务应视为已经包含在合同中并构成合同承包人工作范围的一部分。承包人按照本条提供的该工作或服务不应被视为本合同项下的变更，因此所发生的相关费用由承包人承担。</w:t>
      </w:r>
    </w:p>
    <w:p>
      <w:pPr>
        <w:shd w:val="clear" w:color="000000" w:fill="auto"/>
        <w:rPr>
          <w:rFonts w:ascii="仿宋" w:hAnsi="仿宋" w:eastAsia="仿宋" w:cs="仿宋"/>
          <w:b/>
          <w:bCs/>
          <w:color w:val="auto"/>
          <w:highlight w:val="none"/>
        </w:rPr>
      </w:pPr>
      <w:bookmarkStart w:id="56" w:name="_Toc10624810"/>
      <w:bookmarkStart w:id="57" w:name="_Toc266892754"/>
      <w:bookmarkStart w:id="58" w:name="_Toc469383970"/>
    </w:p>
    <w:p>
      <w:pPr>
        <w:shd w:val="clear" w:color="000000" w:fill="auto"/>
        <w:spacing w:line="360" w:lineRule="auto"/>
        <w:outlineLvl w:val="1"/>
        <w:rPr>
          <w:rFonts w:ascii="仿宋" w:hAnsi="仿宋" w:eastAsia="仿宋" w:cs="仿宋"/>
          <w:b/>
          <w:bCs/>
          <w:color w:val="auto"/>
          <w:sz w:val="24"/>
          <w:szCs w:val="24"/>
          <w:highlight w:val="none"/>
        </w:rPr>
      </w:pPr>
      <w:bookmarkStart w:id="59" w:name="_Toc22793"/>
      <w:bookmarkStart w:id="60" w:name="_Toc16426"/>
      <w:r>
        <w:rPr>
          <w:rFonts w:hint="eastAsia" w:ascii="仿宋" w:hAnsi="仿宋" w:eastAsia="仿宋" w:cs="仿宋"/>
          <w:b/>
          <w:bCs/>
          <w:color w:val="auto"/>
          <w:sz w:val="24"/>
          <w:szCs w:val="24"/>
          <w:highlight w:val="none"/>
        </w:rPr>
        <w:t>三、合同工期</w:t>
      </w:r>
      <w:bookmarkEnd w:id="56"/>
      <w:bookmarkEnd w:id="57"/>
      <w:bookmarkEnd w:id="58"/>
      <w:bookmarkEnd w:id="59"/>
      <w:bookmarkEnd w:id="60"/>
    </w:p>
    <w:p>
      <w:pPr>
        <w:shd w:val="clear" w:color="000000" w:fill="auto"/>
        <w:spacing w:line="360" w:lineRule="auto"/>
        <w:ind w:left="1200" w:hanging="1200" w:hangingChars="500"/>
        <w:rPr>
          <w:rFonts w:ascii="宋体" w:hAnsi="宋体" w:cs="宋体"/>
          <w:color w:val="auto"/>
          <w:sz w:val="24"/>
          <w:szCs w:val="24"/>
          <w:highlight w:val="none"/>
        </w:rPr>
      </w:pPr>
      <w:r>
        <w:rPr>
          <w:rFonts w:hint="eastAsia" w:ascii="宋体" w:hAnsi="宋体" w:cs="宋体"/>
          <w:color w:val="auto"/>
          <w:sz w:val="24"/>
          <w:szCs w:val="24"/>
          <w:highlight w:val="none"/>
        </w:rPr>
        <w:t xml:space="preserve">    工程合同工期总日历天数：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天。</w:t>
      </w:r>
    </w:p>
    <w:p>
      <w:pPr>
        <w:shd w:val="clear" w:color="000000" w:fill="auto"/>
        <w:spacing w:line="360" w:lineRule="auto"/>
        <w:ind w:firstLine="523" w:firstLineChars="218"/>
        <w:rPr>
          <w:rFonts w:ascii="宋体" w:hAnsi="宋体" w:cs="宋体"/>
          <w:color w:val="auto"/>
          <w:sz w:val="24"/>
          <w:szCs w:val="24"/>
          <w:highlight w:val="none"/>
        </w:rPr>
      </w:pPr>
      <w:r>
        <w:rPr>
          <w:rFonts w:hint="eastAsia" w:ascii="宋体" w:hAnsi="宋体" w:cs="宋体"/>
          <w:color w:val="auto"/>
          <w:sz w:val="24"/>
          <w:szCs w:val="24"/>
          <w:highlight w:val="none"/>
        </w:rPr>
        <w:t>暂定从</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20</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日开始施工，至</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20</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日竣工完成，具体开工日期以现场具备施工条件且在项目依法领取施工许可证后，</w:t>
      </w:r>
      <w:r>
        <w:rPr>
          <w:rFonts w:hint="eastAsia" w:ascii="宋体" w:hAnsi="宋体" w:cs="宋体"/>
          <w:color w:val="auto"/>
          <w:sz w:val="24"/>
          <w:szCs w:val="24"/>
          <w:highlight w:val="none"/>
          <w:u w:val="single"/>
        </w:rPr>
        <w:t xml:space="preserve"> 监理工程师 </w:t>
      </w:r>
      <w:r>
        <w:rPr>
          <w:rFonts w:hint="eastAsia" w:ascii="宋体" w:hAnsi="宋体" w:cs="宋体"/>
          <w:color w:val="auto"/>
          <w:sz w:val="24"/>
          <w:szCs w:val="24"/>
          <w:highlight w:val="none"/>
        </w:rPr>
        <w:t>签发的开工令日期为准。工期总日历天数与根据前述计划开竣工日期计算的工期天数不一致的，以工期总日历天数为准。</w:t>
      </w:r>
    </w:p>
    <w:p>
      <w:pPr>
        <w:shd w:val="clear" w:color="000000" w:fill="auto"/>
        <w:rPr>
          <w:rFonts w:ascii="仿宋" w:hAnsi="仿宋" w:eastAsia="仿宋" w:cs="仿宋"/>
          <w:b/>
          <w:bCs/>
          <w:color w:val="auto"/>
          <w:highlight w:val="none"/>
        </w:rPr>
      </w:pPr>
    </w:p>
    <w:p>
      <w:pPr>
        <w:shd w:val="clear" w:color="000000" w:fill="auto"/>
        <w:spacing w:line="360" w:lineRule="auto"/>
        <w:outlineLvl w:val="1"/>
        <w:rPr>
          <w:rFonts w:ascii="仿宋" w:hAnsi="仿宋" w:eastAsia="仿宋" w:cs="仿宋"/>
          <w:b/>
          <w:bCs/>
          <w:color w:val="auto"/>
          <w:sz w:val="24"/>
          <w:szCs w:val="24"/>
          <w:highlight w:val="none"/>
        </w:rPr>
      </w:pPr>
      <w:bookmarkStart w:id="61" w:name="_Toc32254"/>
      <w:bookmarkStart w:id="62" w:name="_Toc10624811"/>
      <w:bookmarkStart w:id="63" w:name="_Toc19276"/>
      <w:bookmarkStart w:id="64" w:name="_Toc469383971"/>
      <w:bookmarkStart w:id="65" w:name="_Toc266892755"/>
      <w:r>
        <w:rPr>
          <w:rFonts w:hint="eastAsia" w:ascii="仿宋" w:hAnsi="仿宋" w:eastAsia="仿宋" w:cs="仿宋"/>
          <w:b/>
          <w:bCs/>
          <w:color w:val="auto"/>
          <w:sz w:val="24"/>
          <w:szCs w:val="24"/>
          <w:highlight w:val="none"/>
        </w:rPr>
        <w:t>★四、质量标准</w:t>
      </w:r>
      <w:bookmarkEnd w:id="61"/>
      <w:bookmarkEnd w:id="62"/>
      <w:bookmarkEnd w:id="63"/>
      <w:bookmarkEnd w:id="64"/>
      <w:bookmarkEnd w:id="65"/>
    </w:p>
    <w:p>
      <w:pPr>
        <w:shd w:val="clear" w:color="000000" w:fill="auto"/>
        <w:spacing w:line="360" w:lineRule="auto"/>
        <w:ind w:firstLine="523" w:firstLineChars="218"/>
        <w:rPr>
          <w:rFonts w:ascii="宋体" w:hAnsi="宋体"/>
          <w:color w:val="auto"/>
          <w:sz w:val="24"/>
          <w:highlight w:val="none"/>
        </w:rPr>
      </w:pPr>
      <w:r>
        <w:rPr>
          <w:rFonts w:hint="eastAsia" w:ascii="宋体" w:hAnsi="宋体"/>
          <w:color w:val="auto"/>
          <w:sz w:val="24"/>
          <w:highlight w:val="none"/>
        </w:rPr>
        <w:t>工程质量标准：</w:t>
      </w:r>
      <w:r>
        <w:rPr>
          <w:rFonts w:hint="eastAsia" w:ascii="宋体" w:hAnsi="宋体"/>
          <w:color w:val="auto"/>
          <w:sz w:val="24"/>
          <w:highlight w:val="none"/>
          <w:u w:val="single"/>
        </w:rPr>
        <w:t>本工程所有项目均应按国家有关现行工程质量验收标准执行，且验收达到合格等级</w:t>
      </w:r>
      <w:r>
        <w:rPr>
          <w:rFonts w:ascii="宋体" w:hAnsi="宋体"/>
          <w:color w:val="auto"/>
          <w:sz w:val="24"/>
          <w:highlight w:val="none"/>
          <w:u w:val="single"/>
        </w:rPr>
        <w:t>。</w:t>
      </w:r>
    </w:p>
    <w:p>
      <w:pPr>
        <w:shd w:val="clear" w:color="000000" w:fill="auto"/>
        <w:spacing w:line="360" w:lineRule="auto"/>
        <w:ind w:firstLine="523" w:firstLineChars="218"/>
        <w:rPr>
          <w:rFonts w:ascii="宋体" w:hAnsi="宋体" w:cs="宋体"/>
          <w:color w:val="auto"/>
          <w:sz w:val="24"/>
          <w:szCs w:val="24"/>
          <w:highlight w:val="none"/>
          <w:u w:val="single"/>
        </w:rPr>
      </w:pPr>
      <w:r>
        <w:rPr>
          <w:rFonts w:hint="eastAsia" w:ascii="宋体" w:hAnsi="宋体"/>
          <w:color w:val="auto"/>
          <w:sz w:val="24"/>
          <w:highlight w:val="none"/>
        </w:rPr>
        <w:t>安全文明施工标准：</w:t>
      </w:r>
      <w:r>
        <w:rPr>
          <w:rFonts w:hint="eastAsia" w:ascii="宋体" w:hAnsi="宋体"/>
          <w:color w:val="auto"/>
          <w:sz w:val="24"/>
          <w:highlight w:val="none"/>
          <w:u w:val="single"/>
        </w:rPr>
        <w:t>杜绝发生重大安全事故。</w:t>
      </w:r>
    </w:p>
    <w:p>
      <w:pPr>
        <w:shd w:val="clear" w:color="000000" w:fill="auto"/>
        <w:rPr>
          <w:rFonts w:ascii="仿宋" w:hAnsi="仿宋" w:eastAsia="仿宋" w:cs="仿宋"/>
          <w:b/>
          <w:bCs/>
          <w:color w:val="auto"/>
          <w:highlight w:val="none"/>
        </w:rPr>
      </w:pPr>
    </w:p>
    <w:p>
      <w:pPr>
        <w:shd w:val="clear" w:color="000000" w:fill="auto"/>
        <w:spacing w:line="360" w:lineRule="auto"/>
        <w:outlineLvl w:val="0"/>
        <w:rPr>
          <w:rFonts w:ascii="仿宋" w:hAnsi="仿宋" w:eastAsia="仿宋" w:cs="仿宋"/>
          <w:b/>
          <w:bCs/>
          <w:color w:val="auto"/>
          <w:sz w:val="24"/>
          <w:szCs w:val="24"/>
          <w:highlight w:val="none"/>
        </w:rPr>
      </w:pPr>
      <w:bookmarkStart w:id="66" w:name="_Toc10624812"/>
      <w:bookmarkStart w:id="67" w:name="_Toc6065"/>
      <w:bookmarkStart w:id="68" w:name="_Toc266892756"/>
      <w:bookmarkStart w:id="69" w:name="_Toc469383972"/>
      <w:bookmarkStart w:id="70" w:name="_Toc12275"/>
      <w:r>
        <w:rPr>
          <w:rFonts w:hint="eastAsia" w:ascii="仿宋" w:hAnsi="仿宋" w:eastAsia="仿宋" w:cs="仿宋"/>
          <w:b/>
          <w:bCs/>
          <w:color w:val="auto"/>
          <w:sz w:val="24"/>
          <w:szCs w:val="24"/>
          <w:highlight w:val="none"/>
        </w:rPr>
        <w:t>五、合同价款</w:t>
      </w:r>
      <w:bookmarkEnd w:id="66"/>
      <w:bookmarkEnd w:id="67"/>
      <w:bookmarkEnd w:id="68"/>
      <w:bookmarkEnd w:id="69"/>
      <w:bookmarkEnd w:id="70"/>
    </w:p>
    <w:p>
      <w:pPr>
        <w:shd w:val="clear" w:color="000000" w:fill="auto"/>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含税合同总价（大写）：人民币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hd w:val="clear" w:color="000000" w:fill="auto"/>
        <w:spacing w:line="360" w:lineRule="auto"/>
        <w:ind w:firstLine="1960" w:firstLineChars="817"/>
        <w:rPr>
          <w:rFonts w:ascii="宋体" w:hAnsi="宋体" w:cs="宋体"/>
          <w:color w:val="auto"/>
          <w:sz w:val="24"/>
          <w:szCs w:val="24"/>
          <w:highlight w:val="none"/>
        </w:rPr>
      </w:pPr>
      <w:r>
        <w:rPr>
          <w:rFonts w:hint="eastAsia" w:ascii="宋体" w:hAnsi="宋体" w:cs="宋体"/>
          <w:color w:val="auto"/>
          <w:sz w:val="24"/>
          <w:szCs w:val="24"/>
          <w:highlight w:val="none"/>
        </w:rPr>
        <w:t>（小写）：人民币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w:t>
      </w:r>
    </w:p>
    <w:p>
      <w:pPr>
        <w:shd w:val="clear" w:color="000000" w:fill="auto"/>
        <w:autoSpaceDE w:val="0"/>
        <w:autoSpaceDN w:val="0"/>
        <w:adjustRightInd w:val="0"/>
        <w:spacing w:line="360" w:lineRule="auto"/>
        <w:ind w:firstLine="1560" w:firstLineChars="65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其中：暂列金额：</w:t>
      </w:r>
      <w:r>
        <w:rPr>
          <w:rFonts w:hint="eastAsia" w:ascii="宋体" w:hAnsi="宋体" w:cs="宋体"/>
          <w:color w:val="auto"/>
          <w:sz w:val="24"/>
          <w:szCs w:val="24"/>
          <w:highlight w:val="none"/>
        </w:rPr>
        <w:t>人民币</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元；</w:t>
      </w:r>
    </w:p>
    <w:p>
      <w:pPr>
        <w:shd w:val="clear" w:color="000000" w:fill="auto"/>
        <w:autoSpaceDE w:val="0"/>
        <w:autoSpaceDN w:val="0"/>
        <w:adjustRightInd w:val="0"/>
        <w:spacing w:line="360" w:lineRule="auto"/>
        <w:ind w:firstLine="2280" w:firstLineChars="95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暂估价：</w:t>
      </w:r>
      <w:r>
        <w:rPr>
          <w:rFonts w:hint="eastAsia" w:ascii="宋体" w:hAnsi="宋体" w:cs="宋体"/>
          <w:color w:val="auto"/>
          <w:sz w:val="24"/>
          <w:szCs w:val="24"/>
          <w:highlight w:val="none"/>
        </w:rPr>
        <w:t>人民币</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元；</w:t>
      </w:r>
    </w:p>
    <w:p>
      <w:pPr>
        <w:shd w:val="clear" w:color="000000" w:fill="auto"/>
        <w:autoSpaceDE w:val="0"/>
        <w:autoSpaceDN w:val="0"/>
        <w:adjustRightInd w:val="0"/>
        <w:spacing w:line="360" w:lineRule="auto"/>
        <w:ind w:firstLine="2280" w:firstLineChars="95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绿色施工安全防护措施费用：</w:t>
      </w:r>
      <w:r>
        <w:rPr>
          <w:rFonts w:hint="eastAsia" w:ascii="宋体" w:hAnsi="宋体" w:cs="宋体"/>
          <w:color w:val="auto"/>
          <w:sz w:val="24"/>
          <w:szCs w:val="24"/>
          <w:highlight w:val="none"/>
        </w:rPr>
        <w:t>人民币</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元，</w:t>
      </w:r>
    </w:p>
    <w:p>
      <w:pPr>
        <w:shd w:val="clear" w:color="000000" w:fill="auto"/>
        <w:autoSpaceDE w:val="0"/>
        <w:autoSpaceDN w:val="0"/>
        <w:adjustRightInd w:val="0"/>
        <w:spacing w:line="360" w:lineRule="auto"/>
        <w:ind w:firstLine="2280" w:firstLineChars="950"/>
        <w:jc w:val="left"/>
        <w:rPr>
          <w:rFonts w:ascii="宋体" w:hAnsi="宋体" w:cs="宋体"/>
          <w:color w:val="auto"/>
          <w:sz w:val="24"/>
          <w:szCs w:val="24"/>
          <w:highlight w:val="none"/>
        </w:rPr>
      </w:pPr>
      <w:r>
        <w:rPr>
          <w:rFonts w:hint="eastAsia" w:ascii="宋体" w:hAnsi="宋体" w:cs="宋体"/>
          <w:color w:val="auto"/>
          <w:kern w:val="0"/>
          <w:sz w:val="24"/>
          <w:szCs w:val="24"/>
          <w:highlight w:val="none"/>
        </w:rPr>
        <w:t>余泥渣土（土方、石方、淤泥）场外运输与排放费用：</w:t>
      </w:r>
      <w:r>
        <w:rPr>
          <w:rFonts w:hint="eastAsia" w:ascii="宋体" w:hAnsi="宋体" w:cs="宋体"/>
          <w:color w:val="auto"/>
          <w:kern w:val="0"/>
          <w:sz w:val="24"/>
          <w:szCs w:val="24"/>
          <w:highlight w:val="none"/>
          <w:u w:val="single"/>
        </w:rPr>
        <w:t xml:space="preserve">人民币          </w:t>
      </w:r>
      <w:r>
        <w:rPr>
          <w:rFonts w:hint="eastAsia" w:ascii="宋体" w:hAnsi="宋体" w:cs="宋体"/>
          <w:color w:val="auto"/>
          <w:kern w:val="0"/>
          <w:sz w:val="24"/>
          <w:szCs w:val="24"/>
          <w:highlight w:val="none"/>
        </w:rPr>
        <w:t>元。</w:t>
      </w:r>
    </w:p>
    <w:p>
      <w:pPr>
        <w:shd w:val="clear" w:color="000000" w:fill="auto"/>
        <w:spacing w:line="360" w:lineRule="auto"/>
        <w:ind w:firstLine="523" w:firstLineChars="218"/>
        <w:rPr>
          <w:rFonts w:ascii="宋体" w:hAnsi="宋体" w:cs="宋体"/>
          <w:color w:val="auto"/>
          <w:sz w:val="24"/>
          <w:szCs w:val="24"/>
          <w:highlight w:val="none"/>
        </w:rPr>
      </w:pPr>
      <w:r>
        <w:rPr>
          <w:rFonts w:hint="eastAsia" w:ascii="宋体" w:hAnsi="宋体" w:cs="宋体"/>
          <w:color w:val="auto"/>
          <w:sz w:val="24"/>
          <w:szCs w:val="24"/>
          <w:highlight w:val="none"/>
        </w:rPr>
        <w:t>项目单价：详见承包人的投标报价书（招标工程）。</w:t>
      </w:r>
    </w:p>
    <w:p>
      <w:pPr>
        <w:shd w:val="clear" w:color="000000" w:fill="auto"/>
        <w:rPr>
          <w:rFonts w:ascii="仿宋" w:hAnsi="仿宋" w:eastAsia="仿宋" w:cs="仿宋"/>
          <w:b/>
          <w:bCs/>
          <w:color w:val="auto"/>
          <w:highlight w:val="none"/>
        </w:rPr>
      </w:pPr>
    </w:p>
    <w:p>
      <w:pPr>
        <w:shd w:val="clear" w:color="000000" w:fill="auto"/>
        <w:spacing w:line="360" w:lineRule="auto"/>
        <w:outlineLvl w:val="0"/>
        <w:rPr>
          <w:rFonts w:ascii="仿宋" w:hAnsi="仿宋" w:eastAsia="仿宋" w:cs="仿宋"/>
          <w:b/>
          <w:bCs/>
          <w:color w:val="auto"/>
          <w:sz w:val="24"/>
          <w:szCs w:val="24"/>
          <w:highlight w:val="none"/>
        </w:rPr>
      </w:pPr>
      <w:bookmarkStart w:id="71" w:name="_Toc469383973"/>
      <w:bookmarkStart w:id="72" w:name="_Toc10624813"/>
      <w:bookmarkStart w:id="73" w:name="_Toc31924"/>
      <w:bookmarkStart w:id="74" w:name="_Toc32095"/>
      <w:bookmarkStart w:id="75" w:name="_Toc266892757"/>
      <w:r>
        <w:rPr>
          <w:rFonts w:hint="eastAsia" w:ascii="仿宋" w:hAnsi="仿宋" w:eastAsia="仿宋" w:cs="仿宋"/>
          <w:b/>
          <w:bCs/>
          <w:color w:val="auto"/>
          <w:sz w:val="24"/>
          <w:szCs w:val="24"/>
          <w:highlight w:val="none"/>
          <w:lang w:val="en-US" w:eastAsia="zh-CN"/>
        </w:rPr>
        <w:t>六</w:t>
      </w:r>
      <w:r>
        <w:rPr>
          <w:rFonts w:hint="eastAsia" w:ascii="仿宋" w:hAnsi="仿宋" w:eastAsia="仿宋" w:cs="仿宋"/>
          <w:b/>
          <w:bCs/>
          <w:color w:val="auto"/>
          <w:sz w:val="24"/>
          <w:szCs w:val="24"/>
          <w:highlight w:val="none"/>
        </w:rPr>
        <w:t>、组成合同的文件</w:t>
      </w:r>
      <w:bookmarkEnd w:id="71"/>
      <w:bookmarkEnd w:id="72"/>
      <w:bookmarkEnd w:id="73"/>
      <w:bookmarkEnd w:id="74"/>
      <w:bookmarkEnd w:id="75"/>
    </w:p>
    <w:p>
      <w:pPr>
        <w:pStyle w:val="2"/>
        <w:shd w:val="clear" w:color="000000" w:fill="auto"/>
        <w:tabs>
          <w:tab w:val="left" w:pos="1260"/>
        </w:tabs>
        <w:spacing w:line="360" w:lineRule="auto"/>
        <w:ind w:left="510" w:leftChars="-100" w:hanging="720" w:hangingChars="300"/>
        <w:rPr>
          <w:rFonts w:hAnsi="宋体"/>
          <w:color w:val="auto"/>
          <w:sz w:val="24"/>
          <w:szCs w:val="24"/>
          <w:highlight w:val="none"/>
        </w:rPr>
      </w:pPr>
      <w:r>
        <w:rPr>
          <w:rFonts w:hint="eastAsia" w:hAnsi="宋体"/>
          <w:color w:val="auto"/>
          <w:sz w:val="24"/>
          <w:szCs w:val="24"/>
          <w:highlight w:val="none"/>
        </w:rPr>
        <w:t xml:space="preserve">         组成本合同的文件及其优先解释顺序与本合同第二部分《通用条款》第2.2款赋予的规定一致。</w:t>
      </w:r>
    </w:p>
    <w:p>
      <w:pPr>
        <w:shd w:val="clear" w:color="000000" w:fill="auto"/>
        <w:rPr>
          <w:rFonts w:ascii="仿宋" w:hAnsi="仿宋" w:eastAsia="仿宋" w:cs="仿宋"/>
          <w:b/>
          <w:bCs/>
          <w:color w:val="auto"/>
          <w:highlight w:val="none"/>
        </w:rPr>
      </w:pPr>
    </w:p>
    <w:p>
      <w:pPr>
        <w:shd w:val="clear" w:color="000000" w:fill="auto"/>
        <w:spacing w:line="360" w:lineRule="auto"/>
        <w:outlineLvl w:val="0"/>
        <w:rPr>
          <w:rFonts w:ascii="仿宋" w:hAnsi="仿宋" w:eastAsia="仿宋" w:cs="Times New Roman"/>
          <w:b/>
          <w:bCs/>
          <w:color w:val="auto"/>
          <w:sz w:val="24"/>
          <w:szCs w:val="24"/>
          <w:highlight w:val="none"/>
        </w:rPr>
      </w:pPr>
      <w:bookmarkStart w:id="76" w:name="_Toc21897"/>
      <w:bookmarkStart w:id="77" w:name="_Toc10624814"/>
      <w:bookmarkStart w:id="78" w:name="_Toc469383974"/>
      <w:bookmarkStart w:id="79" w:name="_Toc266892758"/>
      <w:bookmarkStart w:id="80" w:name="_Toc494"/>
      <w:r>
        <w:rPr>
          <w:rFonts w:hint="eastAsia" w:ascii="仿宋" w:hAnsi="仿宋" w:eastAsia="仿宋" w:cs="仿宋"/>
          <w:b/>
          <w:bCs/>
          <w:color w:val="auto"/>
          <w:sz w:val="24"/>
          <w:szCs w:val="24"/>
          <w:highlight w:val="none"/>
          <w:lang w:val="en-US" w:eastAsia="zh-CN"/>
        </w:rPr>
        <w:t>七</w:t>
      </w:r>
      <w:r>
        <w:rPr>
          <w:rFonts w:hint="eastAsia" w:ascii="仿宋" w:hAnsi="仿宋" w:eastAsia="仿宋" w:cs="仿宋"/>
          <w:b/>
          <w:bCs/>
          <w:color w:val="auto"/>
          <w:sz w:val="24"/>
          <w:szCs w:val="24"/>
          <w:highlight w:val="none"/>
        </w:rPr>
        <w:t>、词语含义</w:t>
      </w:r>
      <w:bookmarkEnd w:id="76"/>
      <w:bookmarkEnd w:id="77"/>
      <w:bookmarkEnd w:id="78"/>
      <w:bookmarkEnd w:id="79"/>
      <w:bookmarkEnd w:id="80"/>
    </w:p>
    <w:p>
      <w:pPr>
        <w:pStyle w:val="2"/>
        <w:shd w:val="clear" w:color="000000" w:fill="auto"/>
        <w:tabs>
          <w:tab w:val="left" w:pos="1260"/>
        </w:tabs>
        <w:ind w:left="477" w:leftChars="227" w:firstLine="480" w:firstLineChars="200"/>
        <w:rPr>
          <w:rFonts w:hAnsi="宋体"/>
          <w:color w:val="auto"/>
          <w:sz w:val="24"/>
          <w:szCs w:val="24"/>
          <w:highlight w:val="none"/>
        </w:rPr>
      </w:pPr>
      <w:r>
        <w:rPr>
          <w:rFonts w:hint="eastAsia" w:hAnsi="宋体"/>
          <w:color w:val="auto"/>
          <w:sz w:val="24"/>
          <w:szCs w:val="24"/>
          <w:highlight w:val="none"/>
        </w:rPr>
        <w:t>本协议书中有关词语含义与本合同第二部分《通用条款》第1条赋予它们的定义相同。</w:t>
      </w:r>
    </w:p>
    <w:p>
      <w:pPr>
        <w:shd w:val="clear" w:color="000000" w:fill="auto"/>
        <w:rPr>
          <w:rFonts w:ascii="仿宋" w:hAnsi="仿宋" w:eastAsia="仿宋" w:cs="仿宋"/>
          <w:b/>
          <w:bCs/>
          <w:color w:val="auto"/>
          <w:highlight w:val="none"/>
        </w:rPr>
      </w:pPr>
    </w:p>
    <w:p>
      <w:pPr>
        <w:shd w:val="clear" w:color="000000" w:fill="auto"/>
        <w:spacing w:line="360" w:lineRule="auto"/>
        <w:outlineLvl w:val="0"/>
        <w:rPr>
          <w:rFonts w:ascii="仿宋" w:hAnsi="仿宋" w:eastAsia="仿宋" w:cs="仿宋"/>
          <w:b/>
          <w:bCs/>
          <w:color w:val="auto"/>
          <w:sz w:val="24"/>
          <w:szCs w:val="24"/>
          <w:highlight w:val="none"/>
        </w:rPr>
      </w:pPr>
      <w:bookmarkStart w:id="81" w:name="_Toc31382"/>
      <w:bookmarkStart w:id="82" w:name="_Toc17065"/>
      <w:bookmarkStart w:id="83" w:name="_Toc10624815"/>
      <w:bookmarkStart w:id="84" w:name="_Toc266892759"/>
      <w:bookmarkStart w:id="85" w:name="_Toc469383975"/>
      <w:r>
        <w:rPr>
          <w:rFonts w:hint="eastAsia" w:ascii="仿宋" w:hAnsi="仿宋" w:eastAsia="仿宋" w:cs="仿宋"/>
          <w:b/>
          <w:bCs/>
          <w:color w:val="auto"/>
          <w:sz w:val="24"/>
          <w:szCs w:val="24"/>
          <w:highlight w:val="none"/>
          <w:lang w:val="en-US" w:eastAsia="zh-CN"/>
        </w:rPr>
        <w:t>八</w:t>
      </w:r>
      <w:r>
        <w:rPr>
          <w:rFonts w:hint="eastAsia" w:ascii="仿宋" w:hAnsi="仿宋" w:eastAsia="仿宋" w:cs="仿宋"/>
          <w:b/>
          <w:bCs/>
          <w:color w:val="auto"/>
          <w:sz w:val="24"/>
          <w:szCs w:val="24"/>
          <w:highlight w:val="none"/>
        </w:rPr>
        <w:t>、承包人承诺</w:t>
      </w:r>
      <w:bookmarkEnd w:id="81"/>
      <w:bookmarkEnd w:id="82"/>
      <w:bookmarkEnd w:id="83"/>
      <w:bookmarkEnd w:id="84"/>
      <w:bookmarkEnd w:id="85"/>
    </w:p>
    <w:p>
      <w:pPr>
        <w:shd w:val="clear" w:color="000000" w:fill="auto"/>
        <w:spacing w:line="360" w:lineRule="auto"/>
        <w:ind w:left="475" w:leftChars="226"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承包人向发包人承诺已阅读、理解并接受本合同所有条款，按照本合同约定实施、完成并保修合同工程，履行本合同所约定的全部义务。</w:t>
      </w:r>
    </w:p>
    <w:p>
      <w:pPr>
        <w:shd w:val="clear" w:color="000000" w:fill="auto"/>
        <w:rPr>
          <w:rFonts w:ascii="仿宋" w:hAnsi="仿宋" w:eastAsia="仿宋" w:cs="仿宋"/>
          <w:b/>
          <w:bCs/>
          <w:color w:val="auto"/>
          <w:highlight w:val="none"/>
        </w:rPr>
      </w:pPr>
    </w:p>
    <w:p>
      <w:pPr>
        <w:shd w:val="clear" w:color="000000" w:fill="auto"/>
        <w:spacing w:line="360" w:lineRule="auto"/>
        <w:outlineLvl w:val="0"/>
        <w:rPr>
          <w:rFonts w:ascii="仿宋" w:hAnsi="仿宋" w:eastAsia="仿宋" w:cs="仿宋"/>
          <w:b/>
          <w:bCs/>
          <w:color w:val="auto"/>
          <w:sz w:val="24"/>
          <w:szCs w:val="24"/>
          <w:highlight w:val="none"/>
        </w:rPr>
      </w:pPr>
      <w:bookmarkStart w:id="86" w:name="_Toc4062"/>
      <w:bookmarkStart w:id="87" w:name="_Toc266892760"/>
      <w:bookmarkStart w:id="88" w:name="_Toc469383976"/>
      <w:bookmarkStart w:id="89" w:name="_Toc31754"/>
      <w:bookmarkStart w:id="90" w:name="_Toc10624816"/>
      <w:r>
        <w:rPr>
          <w:rFonts w:hint="eastAsia" w:ascii="仿宋" w:hAnsi="仿宋" w:eastAsia="仿宋" w:cs="仿宋"/>
          <w:b/>
          <w:bCs/>
          <w:color w:val="auto"/>
          <w:sz w:val="24"/>
          <w:szCs w:val="24"/>
          <w:highlight w:val="none"/>
          <w:lang w:val="en-US" w:eastAsia="zh-CN"/>
        </w:rPr>
        <w:t>九</w:t>
      </w:r>
      <w:r>
        <w:rPr>
          <w:rFonts w:hint="eastAsia" w:ascii="仿宋" w:hAnsi="仿宋" w:eastAsia="仿宋" w:cs="仿宋"/>
          <w:b/>
          <w:bCs/>
          <w:color w:val="auto"/>
          <w:sz w:val="24"/>
          <w:szCs w:val="24"/>
          <w:highlight w:val="none"/>
        </w:rPr>
        <w:t>、发包人承诺</w:t>
      </w:r>
      <w:bookmarkEnd w:id="86"/>
      <w:bookmarkEnd w:id="87"/>
      <w:bookmarkEnd w:id="88"/>
      <w:bookmarkEnd w:id="89"/>
      <w:bookmarkEnd w:id="90"/>
    </w:p>
    <w:p>
      <w:pPr>
        <w:shd w:val="clear" w:color="000000" w:fill="auto"/>
        <w:spacing w:line="360" w:lineRule="auto"/>
        <w:ind w:left="475" w:leftChars="226"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发包人向承包人承诺已阅读、理解并接受本合同所有条款，按照本合同约定的时限和方法支付工程款及其他应当支付的款项，履行本合同所约定的全部义务。</w:t>
      </w:r>
    </w:p>
    <w:p>
      <w:pPr>
        <w:shd w:val="clear" w:color="000000" w:fill="auto"/>
        <w:rPr>
          <w:rFonts w:ascii="仿宋" w:hAnsi="仿宋" w:eastAsia="仿宋" w:cs="仿宋"/>
          <w:b/>
          <w:bCs/>
          <w:color w:val="auto"/>
          <w:highlight w:val="none"/>
        </w:rPr>
      </w:pPr>
    </w:p>
    <w:p>
      <w:pPr>
        <w:shd w:val="clear" w:color="000000" w:fill="auto"/>
        <w:spacing w:line="360" w:lineRule="auto"/>
        <w:outlineLvl w:val="0"/>
        <w:rPr>
          <w:rFonts w:ascii="仿宋" w:hAnsi="仿宋" w:eastAsia="仿宋" w:cs="仿宋"/>
          <w:b/>
          <w:bCs/>
          <w:color w:val="auto"/>
          <w:sz w:val="24"/>
          <w:szCs w:val="24"/>
          <w:highlight w:val="none"/>
        </w:rPr>
      </w:pPr>
      <w:bookmarkStart w:id="91" w:name="_Toc10624817"/>
      <w:bookmarkStart w:id="92" w:name="_Toc266892761"/>
      <w:bookmarkStart w:id="93" w:name="_Toc18995"/>
      <w:bookmarkStart w:id="94" w:name="_Toc469383977"/>
      <w:bookmarkStart w:id="95" w:name="_Toc26647"/>
      <w:r>
        <w:rPr>
          <w:rFonts w:hint="eastAsia" w:ascii="仿宋" w:hAnsi="仿宋" w:eastAsia="仿宋" w:cs="仿宋"/>
          <w:b/>
          <w:bCs/>
          <w:color w:val="auto"/>
          <w:sz w:val="24"/>
          <w:szCs w:val="24"/>
          <w:highlight w:val="none"/>
        </w:rPr>
        <w:t>十、合同生效</w:t>
      </w:r>
      <w:bookmarkEnd w:id="91"/>
      <w:bookmarkEnd w:id="92"/>
      <w:bookmarkEnd w:id="93"/>
      <w:bookmarkEnd w:id="94"/>
      <w:bookmarkEnd w:id="95"/>
    </w:p>
    <w:p>
      <w:pPr>
        <w:shd w:val="clear" w:color="000000" w:fill="auto"/>
        <w:spacing w:line="360" w:lineRule="auto"/>
        <w:ind w:left="527"/>
        <w:rPr>
          <w:rFonts w:ascii="宋体" w:hAnsi="宋体" w:cs="宋体"/>
          <w:color w:val="auto"/>
          <w:sz w:val="24"/>
          <w:szCs w:val="24"/>
          <w:highlight w:val="none"/>
        </w:rPr>
      </w:pPr>
      <w:r>
        <w:rPr>
          <w:rFonts w:hint="eastAsia" w:ascii="宋体" w:hAnsi="宋体" w:cs="宋体"/>
          <w:color w:val="auto"/>
          <w:sz w:val="24"/>
          <w:szCs w:val="24"/>
          <w:highlight w:val="none"/>
        </w:rPr>
        <w:t>本合同订立时间：</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20</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pPr>
        <w:shd w:val="clear" w:color="000000" w:fill="auto"/>
        <w:spacing w:line="360" w:lineRule="auto"/>
        <w:ind w:left="527"/>
        <w:rPr>
          <w:rFonts w:ascii="宋体" w:hAnsi="宋体" w:cs="宋体"/>
          <w:color w:val="auto"/>
          <w:sz w:val="24"/>
          <w:szCs w:val="24"/>
          <w:highlight w:val="none"/>
          <w:u w:val="single"/>
        </w:rPr>
      </w:pPr>
      <w:r>
        <w:rPr>
          <w:rFonts w:hint="eastAsia" w:ascii="宋体" w:hAnsi="宋体" w:cs="宋体"/>
          <w:color w:val="auto"/>
          <w:sz w:val="24"/>
          <w:szCs w:val="24"/>
          <w:highlight w:val="none"/>
        </w:rPr>
        <w:t>本合同订立地点：</w:t>
      </w:r>
      <w:r>
        <w:rPr>
          <w:rFonts w:hint="eastAsia" w:ascii="宋体" w:hAnsi="宋体" w:cs="宋体"/>
          <w:color w:val="auto"/>
          <w:sz w:val="24"/>
          <w:szCs w:val="24"/>
          <w:highlight w:val="none"/>
          <w:u w:val="single"/>
        </w:rPr>
        <w:t xml:space="preserve">                 广州          </w:t>
      </w:r>
      <w:r>
        <w:rPr>
          <w:rFonts w:ascii="宋体" w:hAnsi="宋体" w:cs="宋体"/>
          <w:color w:val="auto"/>
          <w:sz w:val="24"/>
          <w:szCs w:val="24"/>
          <w:highlight w:val="none"/>
          <w:u w:val="single"/>
        </w:rPr>
        <w:t xml:space="preserve">   </w:t>
      </w:r>
    </w:p>
    <w:p>
      <w:pPr>
        <w:shd w:val="clear" w:color="000000" w:fill="auto"/>
        <w:ind w:left="527"/>
        <w:rPr>
          <w:rFonts w:ascii="仿宋" w:hAnsi="仿宋" w:eastAsia="仿宋" w:cs="仿宋"/>
          <w:color w:val="auto"/>
          <w:highlight w:val="none"/>
          <w:u w:val="single"/>
        </w:rPr>
      </w:pPr>
    </w:p>
    <w:p>
      <w:pPr>
        <w:shd w:val="clear" w:color="000000" w:fill="auto"/>
        <w:spacing w:line="360" w:lineRule="auto"/>
        <w:outlineLvl w:val="0"/>
        <w:rPr>
          <w:rFonts w:ascii="仿宋" w:hAnsi="仿宋" w:eastAsia="仿宋" w:cs="仿宋"/>
          <w:b/>
          <w:bCs/>
          <w:color w:val="auto"/>
          <w:sz w:val="24"/>
          <w:szCs w:val="24"/>
          <w:highlight w:val="none"/>
        </w:rPr>
      </w:pPr>
      <w:bookmarkStart w:id="96" w:name="_Toc22088"/>
      <w:bookmarkStart w:id="97" w:name="_Toc31397"/>
      <w:r>
        <w:rPr>
          <w:rFonts w:hint="eastAsia" w:ascii="仿宋" w:hAnsi="仿宋" w:eastAsia="仿宋" w:cs="仿宋"/>
          <w:b/>
          <w:bCs/>
          <w:color w:val="auto"/>
          <w:sz w:val="24"/>
          <w:szCs w:val="24"/>
          <w:highlight w:val="none"/>
        </w:rPr>
        <w:t>十</w:t>
      </w: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sz w:val="24"/>
          <w:szCs w:val="24"/>
          <w:highlight w:val="none"/>
        </w:rPr>
        <w:t>、合同份数</w:t>
      </w:r>
      <w:bookmarkEnd w:id="96"/>
      <w:bookmarkEnd w:id="97"/>
    </w:p>
    <w:p>
      <w:pPr>
        <w:shd w:val="clear" w:color="000000" w:fill="auto"/>
        <w:spacing w:line="360" w:lineRule="auto"/>
        <w:ind w:left="525"/>
        <w:rPr>
          <w:rFonts w:ascii="宋体" w:hAnsi="宋体" w:cs="宋体"/>
          <w:color w:val="auto"/>
          <w:sz w:val="24"/>
          <w:szCs w:val="24"/>
          <w:highlight w:val="none"/>
        </w:rPr>
      </w:pPr>
      <w:r>
        <w:rPr>
          <w:rFonts w:hint="eastAsia" w:ascii="宋体" w:hAnsi="宋体" w:cs="宋体"/>
          <w:color w:val="auto"/>
          <w:sz w:val="24"/>
          <w:szCs w:val="24"/>
          <w:highlight w:val="none"/>
        </w:rPr>
        <w:t>本合同一式</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份，具有同等法律效力，其中甲方执</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份，乙方执</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w:t>
      </w:r>
    </w:p>
    <w:p>
      <w:pPr>
        <w:shd w:val="clear" w:color="000000" w:fill="auto"/>
        <w:spacing w:line="360" w:lineRule="auto"/>
        <w:ind w:firstLine="523" w:firstLineChars="218"/>
        <w:jc w:val="left"/>
        <w:rPr>
          <w:rFonts w:ascii="宋体" w:hAnsi="宋体" w:cs="宋体"/>
          <w:color w:val="auto"/>
          <w:sz w:val="24"/>
          <w:szCs w:val="24"/>
          <w:highlight w:val="none"/>
        </w:rPr>
      </w:pPr>
      <w:r>
        <w:rPr>
          <w:rFonts w:hint="eastAsia" w:ascii="宋体" w:hAnsi="宋体" w:cs="宋体"/>
          <w:color w:val="auto"/>
          <w:sz w:val="24"/>
          <w:szCs w:val="24"/>
          <w:highlight w:val="none"/>
        </w:rPr>
        <w:t>合同双方当事人约定本合同自双方签字、盖章后生效。</w:t>
      </w:r>
    </w:p>
    <w:p>
      <w:pPr>
        <w:shd w:val="clear" w:color="000000" w:fill="auto"/>
        <w:spacing w:line="360" w:lineRule="auto"/>
        <w:jc w:val="center"/>
        <w:outlineLvl w:val="0"/>
        <w:rPr>
          <w:rFonts w:ascii="宋体" w:hAnsi="宋体" w:cs="宋体"/>
          <w:color w:val="auto"/>
          <w:sz w:val="24"/>
          <w:szCs w:val="24"/>
          <w:highlight w:val="none"/>
        </w:rPr>
      </w:pPr>
      <w:bookmarkStart w:id="98" w:name="_Toc29957"/>
      <w:bookmarkStart w:id="99" w:name="_Toc1805"/>
      <w:bookmarkStart w:id="100" w:name="_Toc24059"/>
      <w:bookmarkStart w:id="101" w:name="_Toc25048"/>
      <w:bookmarkStart w:id="102" w:name="_Toc16640"/>
      <w:r>
        <w:rPr>
          <w:rFonts w:hint="eastAsia" w:ascii="宋体" w:hAnsi="宋体" w:cs="宋体"/>
          <w:color w:val="auto"/>
          <w:sz w:val="24"/>
          <w:szCs w:val="24"/>
          <w:highlight w:val="none"/>
        </w:rPr>
        <w:t>（以下无正文）</w:t>
      </w:r>
      <w:bookmarkEnd w:id="98"/>
      <w:bookmarkEnd w:id="99"/>
      <w:bookmarkEnd w:id="100"/>
      <w:bookmarkEnd w:id="101"/>
      <w:bookmarkEnd w:id="102"/>
    </w:p>
    <w:p>
      <w:pPr>
        <w:shd w:val="clear" w:color="000000" w:fill="auto"/>
        <w:spacing w:line="360" w:lineRule="auto"/>
        <w:rPr>
          <w:rFonts w:ascii="宋体" w:hAnsi="宋体" w:cs="宋体"/>
          <w:color w:val="auto"/>
          <w:sz w:val="24"/>
          <w:szCs w:val="24"/>
          <w:highlight w:val="none"/>
        </w:rPr>
      </w:pPr>
    </w:p>
    <w:p>
      <w:pPr>
        <w:shd w:val="clear" w:color="000000" w:fill="auto"/>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发包人：（盖章）</w:t>
      </w:r>
      <w:r>
        <w:rPr>
          <w:rFonts w:hint="eastAsia" w:ascii="宋体" w:hAnsi="宋体" w:cs="宋体"/>
          <w:color w:val="auto"/>
          <w:sz w:val="24"/>
          <w:szCs w:val="24"/>
          <w:highlight w:val="none"/>
          <w:lang w:eastAsia="zh-CN"/>
        </w:rPr>
        <w:t>广州番禺职业技术学院</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承包人：（盖章）</w:t>
      </w:r>
    </w:p>
    <w:p>
      <w:pPr>
        <w:shd w:val="clear" w:color="000000" w:fill="auto"/>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地址：广州市番禺区市良路1342号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地址：</w:t>
      </w:r>
    </w:p>
    <w:p>
      <w:pPr>
        <w:shd w:val="clear" w:color="000000" w:fill="auto"/>
        <w:tabs>
          <w:tab w:val="left" w:pos="525"/>
          <w:tab w:val="left" w:pos="1155"/>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                                法定代表人：</w:t>
      </w:r>
    </w:p>
    <w:p>
      <w:pPr>
        <w:shd w:val="clear" w:color="000000" w:fill="auto"/>
        <w:tabs>
          <w:tab w:val="left" w:pos="525"/>
          <w:tab w:val="left" w:pos="1155"/>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委托代理人：                                委托代理人：</w:t>
      </w:r>
    </w:p>
    <w:p>
      <w:pPr>
        <w:shd w:val="clear" w:color="000000" w:fill="auto"/>
        <w:tabs>
          <w:tab w:val="left" w:pos="525"/>
          <w:tab w:val="left" w:pos="1155"/>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电    话：                    </w:t>
      </w:r>
      <w:r>
        <w:rPr>
          <w:rFonts w:hint="eastAsia" w:ascii="宋体" w:hAnsi="宋体" w:cs="宋体"/>
          <w:color w:val="auto"/>
          <w:sz w:val="24"/>
          <w:szCs w:val="24"/>
          <w:highlight w:val="none"/>
          <w:lang w:val="en-US" w:eastAsia="zh-CN"/>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 xml:space="preserve"> 电    话：</w:t>
      </w:r>
    </w:p>
    <w:p>
      <w:pPr>
        <w:shd w:val="clear" w:color="000000" w:fill="auto"/>
        <w:tabs>
          <w:tab w:val="left" w:pos="525"/>
          <w:tab w:val="left" w:pos="1155"/>
        </w:tabs>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传    真：                   </w:t>
      </w:r>
      <w:r>
        <w:rPr>
          <w:rFonts w:hint="eastAsia" w:ascii="宋体" w:hAnsi="宋体" w:cs="宋体"/>
          <w:color w:val="auto"/>
          <w:sz w:val="24"/>
          <w:szCs w:val="24"/>
          <w:highlight w:val="none"/>
          <w:lang w:val="en-US" w:eastAsia="zh-CN"/>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 xml:space="preserve">  传    真：</w:t>
      </w:r>
    </w:p>
    <w:p>
      <w:pPr>
        <w:shd w:val="clear" w:color="000000" w:fill="auto"/>
        <w:tabs>
          <w:tab w:val="left" w:pos="525"/>
          <w:tab w:val="left" w:pos="1155"/>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开户银行：                                  开户银行：</w:t>
      </w:r>
    </w:p>
    <w:p>
      <w:pPr>
        <w:shd w:val="clear" w:color="000000" w:fill="auto"/>
        <w:tabs>
          <w:tab w:val="left" w:pos="525"/>
          <w:tab w:val="left" w:pos="1155"/>
          <w:tab w:val="left" w:pos="609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帐    号：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帐    号：</w:t>
      </w:r>
    </w:p>
    <w:p>
      <w:pPr>
        <w:shd w:val="clear" w:color="000000" w:fill="auto"/>
        <w:tabs>
          <w:tab w:val="left" w:pos="525"/>
          <w:tab w:val="left" w:pos="1155"/>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邮政编码：</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邮政编码：</w:t>
      </w:r>
    </w:p>
    <w:p>
      <w:pPr>
        <w:shd w:val="clear" w:color="000000" w:fill="auto"/>
        <w:tabs>
          <w:tab w:val="left" w:pos="525"/>
          <w:tab w:val="left" w:pos="1155"/>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电子邮箱: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 xml:space="preserve">电子邮箱: </w:t>
      </w:r>
    </w:p>
    <w:p>
      <w:pPr>
        <w:shd w:val="clear" w:color="000000" w:fill="auto"/>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w:t>
      </w:r>
      <w:bookmarkStart w:id="103" w:name="_Toc469383978"/>
      <w:bookmarkStart w:id="104" w:name="_Toc10624818"/>
    </w:p>
    <w:p>
      <w:pPr>
        <w:shd w:val="clear" w:color="000000" w:fill="auto"/>
        <w:spacing w:line="360" w:lineRule="auto"/>
        <w:jc w:val="center"/>
        <w:outlineLvl w:val="0"/>
        <w:rPr>
          <w:rFonts w:ascii="宋体" w:cs="Times New Roman"/>
          <w:b/>
          <w:bCs/>
          <w:color w:val="auto"/>
          <w:sz w:val="36"/>
          <w:szCs w:val="36"/>
          <w:highlight w:val="none"/>
        </w:rPr>
      </w:pPr>
      <w:r>
        <w:rPr>
          <w:rFonts w:hint="eastAsia" w:ascii="宋体" w:hAnsi="宋体" w:cs="宋体"/>
          <w:b/>
          <w:bCs/>
          <w:color w:val="auto"/>
          <w:sz w:val="36"/>
          <w:szCs w:val="36"/>
          <w:highlight w:val="none"/>
        </w:rPr>
        <w:br w:type="page"/>
      </w:r>
      <w:bookmarkStart w:id="105" w:name="_Toc27523"/>
      <w:bookmarkStart w:id="106" w:name="_Toc32011"/>
      <w:r>
        <w:rPr>
          <w:rFonts w:hint="eastAsia" w:ascii="宋体" w:hAnsi="宋体" w:cs="宋体"/>
          <w:b/>
          <w:bCs/>
          <w:color w:val="auto"/>
          <w:sz w:val="36"/>
          <w:szCs w:val="36"/>
          <w:highlight w:val="none"/>
        </w:rPr>
        <w:t>第二部分</w:t>
      </w:r>
      <w:r>
        <w:rPr>
          <w:rFonts w:ascii="宋体" w:hAnsi="宋体" w:cs="宋体"/>
          <w:b/>
          <w:bCs/>
          <w:color w:val="auto"/>
          <w:sz w:val="36"/>
          <w:szCs w:val="36"/>
          <w:highlight w:val="none"/>
        </w:rPr>
        <w:t xml:space="preserve">  </w:t>
      </w:r>
      <w:r>
        <w:rPr>
          <w:rFonts w:hint="eastAsia" w:ascii="宋体" w:hAnsi="宋体" w:cs="宋体"/>
          <w:b/>
          <w:bCs/>
          <w:color w:val="auto"/>
          <w:sz w:val="36"/>
          <w:szCs w:val="36"/>
          <w:highlight w:val="none"/>
        </w:rPr>
        <w:t>通用条款</w:t>
      </w:r>
      <w:bookmarkEnd w:id="103"/>
      <w:bookmarkEnd w:id="104"/>
      <w:bookmarkEnd w:id="105"/>
      <w:bookmarkEnd w:id="106"/>
    </w:p>
    <w:p>
      <w:pPr>
        <w:pStyle w:val="2"/>
        <w:shd w:val="clear" w:color="000000" w:fill="auto"/>
        <w:adjustRightInd w:val="0"/>
        <w:snapToGrid w:val="0"/>
        <w:rPr>
          <w:rFonts w:hAnsi="宋体" w:cs="Times New Roman"/>
          <w:color w:val="auto"/>
          <w:sz w:val="32"/>
          <w:szCs w:val="32"/>
          <w:highlight w:val="none"/>
        </w:rPr>
      </w:pPr>
    </w:p>
    <w:p>
      <w:pPr>
        <w:pStyle w:val="2"/>
        <w:shd w:val="clear" w:color="000000" w:fill="auto"/>
        <w:adjustRightInd w:val="0"/>
        <w:snapToGrid w:val="0"/>
        <w:jc w:val="center"/>
        <w:outlineLvl w:val="1"/>
        <w:rPr>
          <w:rFonts w:hAnsi="宋体" w:cs="Times New Roman"/>
          <w:b/>
          <w:bCs/>
          <w:color w:val="auto"/>
          <w:sz w:val="32"/>
          <w:szCs w:val="32"/>
          <w:highlight w:val="none"/>
        </w:rPr>
      </w:pPr>
      <w:bookmarkStart w:id="107" w:name="_Toc21277"/>
      <w:bookmarkStart w:id="108" w:name="_Toc7091"/>
      <w:bookmarkStart w:id="109" w:name="_Toc10624819"/>
      <w:bookmarkStart w:id="110" w:name="_Toc469383979"/>
      <w:r>
        <w:rPr>
          <w:rFonts w:hint="eastAsia" w:hAnsi="宋体"/>
          <w:b/>
          <w:bCs/>
          <w:color w:val="auto"/>
          <w:sz w:val="32"/>
          <w:szCs w:val="32"/>
          <w:highlight w:val="none"/>
        </w:rPr>
        <w:t>一、总</w:t>
      </w:r>
      <w:r>
        <w:rPr>
          <w:rFonts w:hAnsi="宋体"/>
          <w:b/>
          <w:bCs/>
          <w:color w:val="auto"/>
          <w:sz w:val="32"/>
          <w:szCs w:val="32"/>
          <w:highlight w:val="none"/>
        </w:rPr>
        <w:t xml:space="preserve">  </w:t>
      </w:r>
      <w:r>
        <w:rPr>
          <w:rFonts w:hint="eastAsia" w:hAnsi="宋体"/>
          <w:b/>
          <w:bCs/>
          <w:color w:val="auto"/>
          <w:sz w:val="32"/>
          <w:szCs w:val="32"/>
          <w:highlight w:val="none"/>
        </w:rPr>
        <w:t>则</w:t>
      </w:r>
      <w:bookmarkEnd w:id="107"/>
      <w:bookmarkEnd w:id="108"/>
      <w:bookmarkEnd w:id="109"/>
      <w:bookmarkEnd w:id="110"/>
    </w:p>
    <w:p>
      <w:pPr>
        <w:pStyle w:val="2"/>
        <w:shd w:val="clear" w:color="000000" w:fill="auto"/>
        <w:adjustRightInd w:val="0"/>
        <w:snapToGrid w:val="0"/>
        <w:spacing w:line="360" w:lineRule="auto"/>
        <w:jc w:val="center"/>
        <w:rPr>
          <w:rFonts w:hAnsi="宋体" w:cs="Times New Roman"/>
          <w:b/>
          <w:bCs/>
          <w:color w:val="auto"/>
          <w:sz w:val="32"/>
          <w:szCs w:val="32"/>
          <w:highlight w:val="none"/>
        </w:rPr>
      </w:pPr>
    </w:p>
    <w:p>
      <w:pPr>
        <w:pStyle w:val="2"/>
        <w:shd w:val="clear" w:color="000000" w:fill="auto"/>
        <w:tabs>
          <w:tab w:val="left" w:pos="900"/>
          <w:tab w:val="left" w:pos="1080"/>
        </w:tabs>
        <w:spacing w:before="120" w:beforeLines="50" w:after="120" w:afterLines="50" w:line="360" w:lineRule="auto"/>
        <w:outlineLvl w:val="2"/>
        <w:rPr>
          <w:rFonts w:ascii="仿宋" w:hAnsi="仿宋" w:eastAsia="仿宋" w:cs="Times New Roman"/>
          <w:b/>
          <w:bCs/>
          <w:color w:val="auto"/>
          <w:sz w:val="24"/>
          <w:szCs w:val="24"/>
          <w:highlight w:val="none"/>
        </w:rPr>
      </w:pPr>
      <w:bookmarkStart w:id="111" w:name="_Toc27829"/>
      <w:bookmarkStart w:id="112" w:name="_Toc10624820"/>
      <w:bookmarkStart w:id="113" w:name="_Toc469383980"/>
      <w:r>
        <w:rPr>
          <w:rFonts w:ascii="仿宋" w:hAnsi="仿宋" w:eastAsia="仿宋" w:cs="仿宋"/>
          <w:b/>
          <w:bCs/>
          <w:color w:val="auto"/>
          <w:sz w:val="24"/>
          <w:szCs w:val="24"/>
          <w:highlight w:val="none"/>
        </w:rPr>
        <w:t xml:space="preserve">1  </w:t>
      </w:r>
      <w:r>
        <w:rPr>
          <w:rFonts w:hint="eastAsia" w:ascii="仿宋" w:hAnsi="仿宋" w:eastAsia="仿宋" w:cs="仿宋"/>
          <w:b/>
          <w:bCs/>
          <w:color w:val="auto"/>
          <w:sz w:val="24"/>
          <w:szCs w:val="24"/>
          <w:highlight w:val="none"/>
        </w:rPr>
        <w:t>定义</w:t>
      </w:r>
      <w:bookmarkEnd w:id="111"/>
      <w:bookmarkEnd w:id="112"/>
      <w:bookmarkEnd w:id="113"/>
    </w:p>
    <w:p>
      <w:pPr>
        <w:pStyle w:val="2"/>
        <w:shd w:val="clear" w:color="000000" w:fill="auto"/>
        <w:tabs>
          <w:tab w:val="left" w:pos="900"/>
          <w:tab w:val="left" w:pos="1980"/>
        </w:tabs>
        <w:adjustRightInd w:val="0"/>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下列词语或措辞，除非特别说明，在本合同中均具有以下赋予的含义：</w:t>
      </w:r>
    </w:p>
    <w:p>
      <w:pPr>
        <w:pStyle w:val="2"/>
        <w:shd w:val="clear" w:color="000000" w:fill="auto"/>
        <w:tabs>
          <w:tab w:val="left" w:pos="1260"/>
          <w:tab w:val="left" w:pos="2160"/>
        </w:tabs>
        <w:adjustRightInd w:val="0"/>
        <w:spacing w:before="120" w:beforeLines="50" w:line="360" w:lineRule="auto"/>
        <w:ind w:left="1470" w:leftChars="686" w:hanging="29" w:hangingChars="12"/>
        <w:rPr>
          <w:rFonts w:ascii="仿宋" w:hAnsi="仿宋" w:eastAsia="仿宋" w:cs="Times New Roman"/>
          <w:color w:val="auto"/>
          <w:sz w:val="24"/>
          <w:szCs w:val="24"/>
          <w:highlight w:val="none"/>
          <w:u w:val="dotted"/>
        </w:rPr>
      </w:pPr>
      <w:r>
        <w:rPr>
          <w:rFonts w:ascii="仿宋" w:hAnsi="仿宋" w:eastAsia="仿宋" w:cs="仿宋"/>
          <w:b/>
          <w:bCs/>
          <w:color w:val="auto"/>
          <w:sz w:val="24"/>
          <w:szCs w:val="24"/>
          <w:highlight w:val="none"/>
        </w:rPr>
        <w:t xml:space="preserve">1.1  </w:t>
      </w:r>
      <w:r>
        <w:rPr>
          <w:rFonts w:hint="eastAsia" w:ascii="仿宋" w:hAnsi="仿宋" w:eastAsia="仿宋" w:cs="仿宋"/>
          <w:b/>
          <w:bCs/>
          <w:color w:val="auto"/>
          <w:sz w:val="24"/>
          <w:szCs w:val="24"/>
          <w:highlight w:val="none"/>
        </w:rPr>
        <w:t>合同：</w:t>
      </w:r>
      <w:r>
        <w:rPr>
          <w:rFonts w:hint="eastAsia" w:ascii="仿宋" w:hAnsi="仿宋" w:eastAsia="仿宋" w:cs="仿宋"/>
          <w:color w:val="auto"/>
          <w:sz w:val="24"/>
          <w:szCs w:val="24"/>
          <w:highlight w:val="none"/>
        </w:rPr>
        <w:t>指合同双方当事人为实施、完成并保修合同工程所订立的合同文件。合同文件由第</w:t>
      </w:r>
      <w:r>
        <w:rPr>
          <w:rFonts w:ascii="仿宋" w:hAnsi="仿宋" w:eastAsia="仿宋" w:cs="仿宋"/>
          <w:color w:val="auto"/>
          <w:sz w:val="24"/>
          <w:szCs w:val="24"/>
          <w:highlight w:val="none"/>
        </w:rPr>
        <w:t>2.2</w:t>
      </w:r>
      <w:r>
        <w:rPr>
          <w:rFonts w:hint="eastAsia" w:ascii="仿宋" w:hAnsi="仿宋" w:eastAsia="仿宋" w:cs="仿宋"/>
          <w:color w:val="auto"/>
          <w:sz w:val="24"/>
          <w:szCs w:val="24"/>
          <w:highlight w:val="none"/>
        </w:rPr>
        <w:t>款所列的文件组成。</w:t>
      </w:r>
    </w:p>
    <w:p>
      <w:pPr>
        <w:pStyle w:val="2"/>
        <w:shd w:val="clear" w:color="000000" w:fill="auto"/>
        <w:tabs>
          <w:tab w:val="left" w:pos="2160"/>
          <w:tab w:val="left" w:pos="2520"/>
        </w:tabs>
        <w:adjustRightInd w:val="0"/>
        <w:spacing w:before="192" w:beforeLines="80" w:line="360" w:lineRule="auto"/>
        <w:ind w:left="1469" w:leftChars="685" w:hanging="31" w:hangingChars="13"/>
        <w:rPr>
          <w:rFonts w:ascii="仿宋" w:hAnsi="仿宋" w:eastAsia="仿宋" w:cs="Times New Roman"/>
          <w:color w:val="auto"/>
          <w:sz w:val="24"/>
          <w:szCs w:val="24"/>
          <w:highlight w:val="none"/>
          <w:u w:val="dotted"/>
        </w:rPr>
      </w:pPr>
      <w:r>
        <w:rPr>
          <w:rFonts w:ascii="仿宋" w:hAnsi="仿宋" w:eastAsia="仿宋" w:cs="仿宋"/>
          <w:b/>
          <w:bCs/>
          <w:color w:val="auto"/>
          <w:sz w:val="24"/>
          <w:szCs w:val="24"/>
          <w:highlight w:val="none"/>
        </w:rPr>
        <w:t xml:space="preserve">1.2  </w:t>
      </w:r>
      <w:r>
        <w:rPr>
          <w:rFonts w:hint="eastAsia" w:ascii="仿宋" w:hAnsi="仿宋" w:eastAsia="仿宋" w:cs="仿宋"/>
          <w:b/>
          <w:bCs/>
          <w:color w:val="auto"/>
          <w:sz w:val="24"/>
          <w:szCs w:val="24"/>
          <w:highlight w:val="none"/>
        </w:rPr>
        <w:t>协议书：</w:t>
      </w:r>
      <w:r>
        <w:rPr>
          <w:rFonts w:hint="eastAsia" w:ascii="仿宋" w:hAnsi="仿宋" w:eastAsia="仿宋" w:cs="仿宋"/>
          <w:color w:val="auto"/>
          <w:sz w:val="24"/>
          <w:szCs w:val="24"/>
          <w:highlight w:val="none"/>
        </w:rPr>
        <w:t>指合同双方当事人为合同工程所签订的协议书。除法律另有规定或合同另有约定外，合同双方当事人的法定代表人或其委托代理人在协议书签字或盖单位公章后，合同即告生效。招标工程应当自中标通知书发出之日起</w:t>
      </w:r>
      <w:r>
        <w:rPr>
          <w:rFonts w:ascii="仿宋" w:hAnsi="仿宋" w:eastAsia="仿宋" w:cs="仿宋"/>
          <w:color w:val="auto"/>
          <w:sz w:val="24"/>
          <w:szCs w:val="24"/>
          <w:highlight w:val="none"/>
        </w:rPr>
        <w:t>30</w:t>
      </w:r>
      <w:r>
        <w:rPr>
          <w:rFonts w:hint="eastAsia" w:ascii="仿宋" w:hAnsi="仿宋" w:eastAsia="仿宋" w:cs="仿宋"/>
          <w:color w:val="auto"/>
          <w:sz w:val="24"/>
          <w:szCs w:val="24"/>
          <w:highlight w:val="none"/>
        </w:rPr>
        <w:t>天内签订。</w:t>
      </w:r>
    </w:p>
    <w:p>
      <w:pPr>
        <w:pStyle w:val="2"/>
        <w:shd w:val="clear" w:color="000000" w:fill="auto"/>
        <w:tabs>
          <w:tab w:val="left" w:pos="2160"/>
        </w:tabs>
        <w:adjustRightInd w:val="0"/>
        <w:spacing w:before="192" w:beforeLines="80" w:line="360" w:lineRule="auto"/>
        <w:ind w:left="1468" w:leftChars="699"/>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1.3  </w:t>
      </w:r>
      <w:r>
        <w:rPr>
          <w:rFonts w:hint="eastAsia" w:ascii="仿宋" w:hAnsi="仿宋" w:eastAsia="仿宋" w:cs="仿宋"/>
          <w:b/>
          <w:bCs/>
          <w:color w:val="auto"/>
          <w:sz w:val="24"/>
          <w:szCs w:val="24"/>
          <w:highlight w:val="none"/>
        </w:rPr>
        <w:t>通用条款：</w:t>
      </w:r>
      <w:r>
        <w:rPr>
          <w:rFonts w:hint="eastAsia" w:ascii="仿宋" w:hAnsi="仿宋" w:eastAsia="仿宋" w:cs="仿宋"/>
          <w:color w:val="auto"/>
          <w:sz w:val="24"/>
          <w:szCs w:val="24"/>
          <w:highlight w:val="none"/>
        </w:rPr>
        <w:t>指根据法律、法规和规章的规定以及建设工程施工的需要所订立的，通用于建设工程施工的条款。</w:t>
      </w:r>
    </w:p>
    <w:p>
      <w:pPr>
        <w:pStyle w:val="2"/>
        <w:shd w:val="clear" w:color="000000" w:fill="auto"/>
        <w:tabs>
          <w:tab w:val="left" w:pos="2160"/>
          <w:tab w:val="left" w:pos="2520"/>
        </w:tabs>
        <w:adjustRightInd w:val="0"/>
        <w:spacing w:before="192" w:beforeLines="80" w:line="360" w:lineRule="auto"/>
        <w:ind w:left="1574" w:leftChars="743" w:hanging="14" w:hangingChars="6"/>
        <w:jc w:val="left"/>
        <w:rPr>
          <w:rFonts w:ascii="仿宋" w:hAnsi="仿宋" w:eastAsia="仿宋" w:cs="Times New Roman"/>
          <w:color w:val="auto"/>
          <w:sz w:val="24"/>
          <w:szCs w:val="24"/>
          <w:highlight w:val="none"/>
          <w:u w:val="dotted"/>
        </w:rPr>
      </w:pPr>
      <w:r>
        <w:rPr>
          <w:rFonts w:ascii="仿宋" w:hAnsi="仿宋" w:eastAsia="仿宋" w:cs="仿宋"/>
          <w:b/>
          <w:bCs/>
          <w:color w:val="auto"/>
          <w:sz w:val="24"/>
          <w:szCs w:val="24"/>
          <w:highlight w:val="none"/>
        </w:rPr>
        <w:t xml:space="preserve">1.4  </w:t>
      </w:r>
      <w:r>
        <w:rPr>
          <w:rFonts w:hint="eastAsia" w:ascii="仿宋" w:hAnsi="仿宋" w:eastAsia="仿宋" w:cs="仿宋"/>
          <w:b/>
          <w:bCs/>
          <w:color w:val="auto"/>
          <w:sz w:val="24"/>
          <w:szCs w:val="24"/>
          <w:highlight w:val="none"/>
        </w:rPr>
        <w:t>专用条款：</w:t>
      </w:r>
      <w:r>
        <w:rPr>
          <w:rFonts w:hint="eastAsia" w:ascii="仿宋" w:hAnsi="仿宋" w:eastAsia="仿宋" w:cs="仿宋"/>
          <w:color w:val="auto"/>
          <w:sz w:val="24"/>
          <w:szCs w:val="24"/>
          <w:highlight w:val="none"/>
        </w:rPr>
        <w:t>指合同双方当事人根据法律、法规和规章的规定，结合本合同工程实际，经协商达成一致意见的，专用于本合同工程施工的条款。它是对通用条款的具体化，也是对通用条款的补充和完善。招标工程的专用条款，应当符合招标文件的实质性要求。</w:t>
      </w:r>
    </w:p>
    <w:p>
      <w:pPr>
        <w:pStyle w:val="2"/>
        <w:shd w:val="clear" w:color="000000" w:fill="auto"/>
        <w:tabs>
          <w:tab w:val="left" w:pos="2160"/>
        </w:tabs>
        <w:adjustRightInd w:val="0"/>
        <w:spacing w:before="192" w:beforeLines="80" w:line="360" w:lineRule="auto"/>
        <w:ind w:firstLine="1581" w:firstLineChars="656"/>
        <w:rPr>
          <w:rFonts w:ascii="仿宋" w:hAnsi="仿宋" w:eastAsia="仿宋" w:cs="Times New Roman"/>
          <w:color w:val="auto"/>
          <w:sz w:val="24"/>
          <w:szCs w:val="24"/>
          <w:highlight w:val="none"/>
          <w:u w:val="dotted"/>
        </w:rPr>
      </w:pPr>
      <w:r>
        <w:rPr>
          <w:rFonts w:ascii="仿宋" w:hAnsi="仿宋" w:eastAsia="仿宋" w:cs="仿宋"/>
          <w:b/>
          <w:bCs/>
          <w:color w:val="auto"/>
          <w:sz w:val="24"/>
          <w:szCs w:val="24"/>
          <w:highlight w:val="none"/>
        </w:rPr>
        <w:t xml:space="preserve">1.5  </w:t>
      </w:r>
      <w:r>
        <w:rPr>
          <w:rFonts w:hint="eastAsia" w:ascii="仿宋" w:hAnsi="仿宋" w:eastAsia="仿宋" w:cs="仿宋"/>
          <w:b/>
          <w:bCs/>
          <w:color w:val="auto"/>
          <w:sz w:val="24"/>
          <w:szCs w:val="24"/>
          <w:highlight w:val="none"/>
        </w:rPr>
        <w:t>中标通知书：</w:t>
      </w:r>
      <w:r>
        <w:rPr>
          <w:rFonts w:hint="eastAsia" w:ascii="仿宋" w:hAnsi="仿宋" w:eastAsia="仿宋" w:cs="仿宋"/>
          <w:color w:val="auto"/>
          <w:sz w:val="24"/>
          <w:szCs w:val="24"/>
          <w:highlight w:val="none"/>
        </w:rPr>
        <w:t>指发包人正式接受中标人投标文件的书面文件。</w:t>
      </w:r>
    </w:p>
    <w:p>
      <w:pPr>
        <w:pStyle w:val="2"/>
        <w:shd w:val="clear" w:color="000000" w:fill="auto"/>
        <w:tabs>
          <w:tab w:val="left" w:pos="2160"/>
        </w:tabs>
        <w:adjustRightInd w:val="0"/>
        <w:spacing w:before="192" w:beforeLines="80" w:line="360" w:lineRule="auto"/>
        <w:ind w:left="1575" w:leftChars="750"/>
        <w:jc w:val="left"/>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1.6  </w:t>
      </w:r>
      <w:r>
        <w:rPr>
          <w:rFonts w:hint="eastAsia" w:ascii="仿宋" w:hAnsi="仿宋" w:eastAsia="仿宋" w:cs="仿宋"/>
          <w:b/>
          <w:bCs/>
          <w:color w:val="auto"/>
          <w:sz w:val="24"/>
          <w:szCs w:val="24"/>
          <w:highlight w:val="none"/>
        </w:rPr>
        <w:t>承包人投标文件：</w:t>
      </w:r>
      <w:r>
        <w:rPr>
          <w:rFonts w:hint="eastAsia" w:ascii="仿宋" w:hAnsi="仿宋" w:eastAsia="仿宋" w:cs="仿宋"/>
          <w:color w:val="auto"/>
          <w:sz w:val="24"/>
          <w:szCs w:val="24"/>
          <w:highlight w:val="none"/>
        </w:rPr>
        <w:t>指构成合同文件组成部分的，由承包人根据招标文件编制完成、签字并被中标通知书所接受的，承包人为实施、完成并保修合同工程向发包人提交的技术、经济文件。</w:t>
      </w:r>
    </w:p>
    <w:p>
      <w:pPr>
        <w:pStyle w:val="2"/>
        <w:shd w:val="clear" w:color="000000" w:fill="auto"/>
        <w:tabs>
          <w:tab w:val="left" w:pos="2160"/>
          <w:tab w:val="left" w:pos="2520"/>
        </w:tabs>
        <w:adjustRightInd w:val="0"/>
        <w:spacing w:before="192" w:beforeLines="80" w:line="360" w:lineRule="auto"/>
        <w:ind w:left="1618" w:leftChars="770" w:hanging="1"/>
        <w:jc w:val="left"/>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1.7  </w:t>
      </w:r>
      <w:r>
        <w:rPr>
          <w:rFonts w:hint="eastAsia" w:ascii="仿宋" w:hAnsi="仿宋" w:eastAsia="仿宋" w:cs="仿宋"/>
          <w:b/>
          <w:bCs/>
          <w:color w:val="auto"/>
          <w:sz w:val="24"/>
          <w:szCs w:val="24"/>
          <w:highlight w:val="none"/>
        </w:rPr>
        <w:t>标准、规范及有关技术文件：</w:t>
      </w:r>
      <w:r>
        <w:rPr>
          <w:rFonts w:hint="eastAsia" w:ascii="仿宋" w:hAnsi="仿宋" w:eastAsia="仿宋" w:cs="仿宋"/>
          <w:color w:val="auto"/>
          <w:sz w:val="24"/>
          <w:szCs w:val="24"/>
          <w:highlight w:val="none"/>
        </w:rPr>
        <w:t>指构成合同文件组成部分的，本合同所指明的和合同工程依法应适用的标准与规范，以及监理工程师、造价工程师对有关技术方面问题做出的补充、修改和批准文件。</w:t>
      </w:r>
    </w:p>
    <w:p>
      <w:pPr>
        <w:pStyle w:val="2"/>
        <w:shd w:val="clear" w:color="000000" w:fill="auto"/>
        <w:tabs>
          <w:tab w:val="left" w:pos="2160"/>
          <w:tab w:val="left" w:pos="2520"/>
        </w:tabs>
        <w:adjustRightInd w:val="0"/>
        <w:spacing w:before="192" w:beforeLines="80" w:line="360" w:lineRule="auto"/>
        <w:ind w:left="1618" w:leftChars="770" w:hanging="1"/>
        <w:jc w:val="left"/>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1.8  </w:t>
      </w:r>
      <w:r>
        <w:rPr>
          <w:rFonts w:hint="eastAsia" w:ascii="仿宋" w:hAnsi="仿宋" w:eastAsia="仿宋" w:cs="仿宋"/>
          <w:b/>
          <w:bCs/>
          <w:color w:val="auto"/>
          <w:sz w:val="24"/>
          <w:szCs w:val="24"/>
          <w:highlight w:val="none"/>
        </w:rPr>
        <w:t>施工设计图纸：</w:t>
      </w:r>
      <w:r>
        <w:rPr>
          <w:rFonts w:hint="eastAsia" w:ascii="仿宋" w:hAnsi="仿宋" w:eastAsia="仿宋" w:cs="仿宋"/>
          <w:color w:val="auto"/>
          <w:sz w:val="24"/>
          <w:szCs w:val="24"/>
          <w:highlight w:val="none"/>
        </w:rPr>
        <w:t>指构成合同文件组成部分的，按规定审批的由发包人提供或经发包人批准由承包人提供，满足承包人施工需要的所有设计文件</w:t>
      </w:r>
      <w:r>
        <w:rPr>
          <w:rFonts w:hint="eastAsia" w:ascii="Times New Roman" w:hAnsi="Times New Roman" w:eastAsia="仿宋_GB2312" w:cs="仿宋_GB2312"/>
          <w:color w:val="auto"/>
          <w:kern w:val="0"/>
          <w:sz w:val="30"/>
          <w:szCs w:val="30"/>
          <w:highlight w:val="none"/>
        </w:rPr>
        <w:t>、</w:t>
      </w:r>
      <w:r>
        <w:rPr>
          <w:rFonts w:hint="eastAsia" w:ascii="仿宋" w:hAnsi="仿宋" w:eastAsia="仿宋" w:cs="仿宋"/>
          <w:color w:val="auto"/>
          <w:sz w:val="24"/>
          <w:szCs w:val="24"/>
          <w:highlight w:val="none"/>
        </w:rPr>
        <w:t>施工图纸、模型（包括但不仅限于任何补充和修改的施工图纸、配套说明和有关资料）。图纸应当按照法律规定审查合格。</w:t>
      </w:r>
    </w:p>
    <w:p>
      <w:pPr>
        <w:pStyle w:val="2"/>
        <w:shd w:val="clear" w:color="000000" w:fill="auto"/>
        <w:tabs>
          <w:tab w:val="left" w:pos="2160"/>
        </w:tabs>
        <w:adjustRightInd w:val="0"/>
        <w:spacing w:before="192" w:beforeLines="80" w:line="360" w:lineRule="auto"/>
        <w:ind w:left="1575" w:leftChars="750"/>
        <w:jc w:val="left"/>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1.9  </w:t>
      </w:r>
      <w:r>
        <w:rPr>
          <w:rFonts w:hint="eastAsia" w:ascii="仿宋" w:hAnsi="仿宋" w:eastAsia="仿宋" w:cs="仿宋"/>
          <w:b/>
          <w:bCs/>
          <w:color w:val="auto"/>
          <w:sz w:val="24"/>
          <w:szCs w:val="24"/>
          <w:highlight w:val="none"/>
        </w:rPr>
        <w:t>工程量清单：</w:t>
      </w:r>
      <w:r>
        <w:rPr>
          <w:rFonts w:hint="eastAsia" w:ascii="仿宋" w:hAnsi="仿宋" w:eastAsia="仿宋" w:cs="仿宋"/>
          <w:color w:val="auto"/>
          <w:sz w:val="24"/>
          <w:szCs w:val="24"/>
          <w:highlight w:val="none"/>
        </w:rPr>
        <w:t>指构成合同文件组成部分的</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由发包人在招标文件中提供的</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合同工程分部分项工程项目、措施项目、其他项目、规费项目和税金项目的名称和相应数量等的明细清单。</w:t>
      </w:r>
    </w:p>
    <w:p>
      <w:pPr>
        <w:pStyle w:val="2"/>
        <w:shd w:val="clear" w:color="000000" w:fill="auto"/>
        <w:tabs>
          <w:tab w:val="left" w:pos="2160"/>
        </w:tabs>
        <w:adjustRightInd w:val="0"/>
        <w:spacing w:before="192" w:beforeLines="80" w:line="360" w:lineRule="auto"/>
        <w:ind w:left="1618" w:leftChars="770" w:hanging="1"/>
        <w:jc w:val="left"/>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1.10  </w:t>
      </w:r>
      <w:r>
        <w:rPr>
          <w:rFonts w:hint="eastAsia" w:ascii="仿宋" w:hAnsi="仿宋" w:eastAsia="仿宋" w:cs="仿宋"/>
          <w:b/>
          <w:bCs/>
          <w:color w:val="auto"/>
          <w:sz w:val="24"/>
          <w:szCs w:val="24"/>
          <w:highlight w:val="none"/>
        </w:rPr>
        <w:t>发包人：</w:t>
      </w:r>
      <w:r>
        <w:rPr>
          <w:rFonts w:hint="eastAsia" w:ascii="仿宋" w:hAnsi="仿宋" w:eastAsia="仿宋" w:cs="仿宋"/>
          <w:color w:val="auto"/>
          <w:sz w:val="24"/>
          <w:szCs w:val="24"/>
          <w:highlight w:val="none"/>
        </w:rPr>
        <w:t>指在协议书中约定，具有工程发包主体资格和支付工程款能力的当事人，以及取得该当事人资格的合法继承人。</w:t>
      </w:r>
    </w:p>
    <w:p>
      <w:pPr>
        <w:pStyle w:val="2"/>
        <w:shd w:val="clear" w:color="000000" w:fill="auto"/>
        <w:tabs>
          <w:tab w:val="left" w:pos="1980"/>
        </w:tabs>
        <w:adjustRightInd w:val="0"/>
        <w:spacing w:before="192" w:beforeLines="80" w:line="360" w:lineRule="auto"/>
        <w:ind w:left="1573" w:leftChars="749"/>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1.11  </w:t>
      </w:r>
      <w:r>
        <w:rPr>
          <w:rFonts w:hint="eastAsia" w:ascii="仿宋" w:hAnsi="仿宋" w:eastAsia="仿宋" w:cs="仿宋"/>
          <w:b/>
          <w:bCs/>
          <w:color w:val="auto"/>
          <w:sz w:val="24"/>
          <w:szCs w:val="24"/>
          <w:highlight w:val="none"/>
        </w:rPr>
        <w:t>承包人：</w:t>
      </w:r>
      <w:r>
        <w:rPr>
          <w:rFonts w:hint="eastAsia" w:ascii="仿宋" w:hAnsi="仿宋" w:eastAsia="仿宋" w:cs="仿宋"/>
          <w:color w:val="auto"/>
          <w:sz w:val="24"/>
          <w:szCs w:val="24"/>
          <w:highlight w:val="none"/>
        </w:rPr>
        <w:t>指在协议书中约定，被发包人接受且具有工程施工承包主体资格的当事人，以及取得该当事人资格的合法继承人。</w:t>
      </w:r>
    </w:p>
    <w:p>
      <w:pPr>
        <w:pStyle w:val="2"/>
        <w:shd w:val="clear" w:color="000000" w:fill="auto"/>
        <w:tabs>
          <w:tab w:val="left" w:pos="1980"/>
        </w:tabs>
        <w:spacing w:before="192" w:beforeLines="80" w:line="360" w:lineRule="auto"/>
        <w:ind w:left="1575" w:leftChars="750"/>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1.12  </w:t>
      </w:r>
      <w:r>
        <w:rPr>
          <w:rFonts w:hint="eastAsia" w:ascii="仿宋" w:hAnsi="仿宋" w:eastAsia="仿宋" w:cs="仿宋"/>
          <w:b/>
          <w:bCs/>
          <w:color w:val="auto"/>
          <w:sz w:val="24"/>
          <w:szCs w:val="24"/>
          <w:highlight w:val="none"/>
        </w:rPr>
        <w:t>分包人：</w:t>
      </w:r>
      <w:r>
        <w:rPr>
          <w:rFonts w:hint="eastAsia" w:ascii="仿宋" w:hAnsi="仿宋" w:eastAsia="仿宋" w:cs="仿宋"/>
          <w:color w:val="auto"/>
          <w:sz w:val="24"/>
          <w:szCs w:val="24"/>
          <w:highlight w:val="none"/>
        </w:rPr>
        <w:t>指被发包人接受且具有相应资格，并与承包人签订了分包合同，依法分包合同工程某一部分的当事人，以及取得该当事人资格的合法继承人。</w:t>
      </w:r>
    </w:p>
    <w:p>
      <w:pPr>
        <w:pStyle w:val="2"/>
        <w:shd w:val="clear" w:color="000000" w:fill="auto"/>
        <w:tabs>
          <w:tab w:val="left" w:pos="1980"/>
          <w:tab w:val="left" w:pos="2160"/>
        </w:tabs>
        <w:spacing w:before="192" w:beforeLines="80" w:line="360" w:lineRule="auto"/>
        <w:ind w:left="1620" w:leftChars="771"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1.13  </w:t>
      </w:r>
      <w:r>
        <w:rPr>
          <w:rFonts w:hint="eastAsia" w:ascii="仿宋" w:hAnsi="仿宋" w:eastAsia="仿宋" w:cs="仿宋"/>
          <w:b/>
          <w:bCs/>
          <w:color w:val="auto"/>
          <w:sz w:val="24"/>
          <w:szCs w:val="24"/>
          <w:highlight w:val="none"/>
        </w:rPr>
        <w:t>第三方：</w:t>
      </w:r>
      <w:r>
        <w:rPr>
          <w:rFonts w:hint="eastAsia" w:ascii="仿宋" w:hAnsi="仿宋" w:eastAsia="仿宋" w:cs="仿宋"/>
          <w:color w:val="auto"/>
          <w:sz w:val="24"/>
          <w:szCs w:val="24"/>
          <w:highlight w:val="none"/>
        </w:rPr>
        <w:t>除合同双方当事人</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含双方雇员及代表其工作的人员</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以外的任何他人或组织。</w:t>
      </w:r>
    </w:p>
    <w:p>
      <w:pPr>
        <w:pStyle w:val="2"/>
        <w:shd w:val="clear" w:color="000000" w:fill="auto"/>
        <w:tabs>
          <w:tab w:val="left" w:pos="1980"/>
          <w:tab w:val="left" w:pos="2160"/>
        </w:tabs>
        <w:spacing w:before="192" w:beforeLines="80" w:line="360" w:lineRule="auto"/>
        <w:ind w:left="1618" w:leftChars="770"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1.14  </w:t>
      </w:r>
      <w:r>
        <w:rPr>
          <w:rFonts w:hint="eastAsia" w:ascii="仿宋" w:hAnsi="仿宋" w:eastAsia="仿宋" w:cs="仿宋"/>
          <w:b/>
          <w:bCs/>
          <w:color w:val="auto"/>
          <w:sz w:val="24"/>
          <w:szCs w:val="24"/>
          <w:highlight w:val="none"/>
        </w:rPr>
        <w:t>设计人：</w:t>
      </w:r>
      <w:r>
        <w:rPr>
          <w:rFonts w:hint="eastAsia" w:ascii="仿宋" w:hAnsi="仿宋" w:eastAsia="仿宋" w:cs="仿宋"/>
          <w:color w:val="auto"/>
          <w:sz w:val="24"/>
          <w:szCs w:val="24"/>
          <w:highlight w:val="none"/>
        </w:rPr>
        <w:t>指受发包人委托的，负责合同工程的工程设计专业技术且具有相应工程设计资质的当事人，以及取得该当事人资格的合法继承人。</w:t>
      </w:r>
    </w:p>
    <w:p>
      <w:pPr>
        <w:pStyle w:val="2"/>
        <w:shd w:val="clear" w:color="000000" w:fill="auto"/>
        <w:tabs>
          <w:tab w:val="left" w:pos="1980"/>
          <w:tab w:val="left" w:pos="2160"/>
        </w:tabs>
        <w:spacing w:before="192" w:beforeLines="80" w:line="360" w:lineRule="auto"/>
        <w:ind w:left="1618" w:leftChars="770"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1.15  </w:t>
      </w:r>
      <w:r>
        <w:rPr>
          <w:rFonts w:hint="eastAsia" w:ascii="仿宋" w:hAnsi="仿宋" w:eastAsia="仿宋" w:cs="仿宋"/>
          <w:b/>
          <w:bCs/>
          <w:color w:val="auto"/>
          <w:sz w:val="24"/>
          <w:szCs w:val="24"/>
          <w:highlight w:val="none"/>
        </w:rPr>
        <w:t>监理人：</w:t>
      </w:r>
      <w:r>
        <w:rPr>
          <w:rFonts w:hint="eastAsia" w:ascii="仿宋" w:hAnsi="仿宋" w:eastAsia="仿宋" w:cs="仿宋"/>
          <w:color w:val="auto"/>
          <w:sz w:val="24"/>
          <w:szCs w:val="24"/>
          <w:highlight w:val="none"/>
        </w:rPr>
        <w:t>指受发包人委托的，负责合同工程的工程监理专业技术且具有相应工程监理资质的当事人，以及取得该当事人资格的合法继承人。</w:t>
      </w:r>
    </w:p>
    <w:p>
      <w:pPr>
        <w:pStyle w:val="2"/>
        <w:shd w:val="clear" w:color="000000" w:fill="auto"/>
        <w:tabs>
          <w:tab w:val="left" w:pos="1980"/>
          <w:tab w:val="left" w:pos="2160"/>
        </w:tabs>
        <w:spacing w:before="192" w:beforeLines="80" w:line="360" w:lineRule="auto"/>
        <w:ind w:left="1618" w:leftChars="770"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1.16  </w:t>
      </w:r>
      <w:r>
        <w:rPr>
          <w:rFonts w:hint="eastAsia" w:ascii="仿宋" w:hAnsi="仿宋" w:eastAsia="仿宋" w:cs="仿宋"/>
          <w:b/>
          <w:bCs/>
          <w:color w:val="auto"/>
          <w:sz w:val="24"/>
          <w:szCs w:val="24"/>
          <w:highlight w:val="none"/>
        </w:rPr>
        <w:t>工程造价咨询人：</w:t>
      </w:r>
      <w:r>
        <w:rPr>
          <w:rFonts w:hint="eastAsia" w:ascii="仿宋" w:hAnsi="仿宋" w:eastAsia="仿宋" w:cs="仿宋"/>
          <w:color w:val="auto"/>
          <w:sz w:val="24"/>
          <w:szCs w:val="24"/>
          <w:highlight w:val="none"/>
        </w:rPr>
        <w:t>指受发包人委托的，负责合同工程的工程造价专业技术且具有相应工程造价咨询资质的当事人，以及取得该当事人资格的合法继承人。</w:t>
      </w:r>
    </w:p>
    <w:p>
      <w:pPr>
        <w:pStyle w:val="2"/>
        <w:shd w:val="clear" w:color="000000" w:fill="auto"/>
        <w:tabs>
          <w:tab w:val="left" w:pos="1980"/>
          <w:tab w:val="left" w:pos="2160"/>
          <w:tab w:val="left" w:pos="2520"/>
        </w:tabs>
        <w:spacing w:before="192" w:beforeLines="80" w:line="360" w:lineRule="auto"/>
        <w:ind w:left="1620" w:leftChars="771"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1.17  </w:t>
      </w:r>
      <w:r>
        <w:rPr>
          <w:rFonts w:hint="eastAsia" w:ascii="仿宋" w:hAnsi="仿宋" w:eastAsia="仿宋" w:cs="仿宋"/>
          <w:b/>
          <w:bCs/>
          <w:color w:val="auto"/>
          <w:sz w:val="24"/>
          <w:szCs w:val="24"/>
          <w:highlight w:val="none"/>
        </w:rPr>
        <w:t>工程造价管理机构：</w:t>
      </w:r>
      <w:r>
        <w:rPr>
          <w:rFonts w:hint="eastAsia" w:ascii="仿宋" w:hAnsi="仿宋" w:eastAsia="仿宋" w:cs="仿宋"/>
          <w:color w:val="auto"/>
          <w:sz w:val="24"/>
          <w:szCs w:val="24"/>
          <w:highlight w:val="none"/>
        </w:rPr>
        <w:t>指国务院有关部门、县级以上人民政府建设行政主管部门或受其委托的工程造价管理机构。</w:t>
      </w:r>
    </w:p>
    <w:p>
      <w:pPr>
        <w:pStyle w:val="2"/>
        <w:shd w:val="clear" w:color="000000" w:fill="auto"/>
        <w:tabs>
          <w:tab w:val="left" w:pos="1980"/>
          <w:tab w:val="left" w:pos="2160"/>
          <w:tab w:val="left" w:pos="2520"/>
        </w:tabs>
        <w:spacing w:before="192" w:beforeLines="80" w:line="360" w:lineRule="auto"/>
        <w:ind w:left="1618" w:leftChars="770"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1.18  </w:t>
      </w:r>
      <w:r>
        <w:rPr>
          <w:rFonts w:hint="eastAsia" w:ascii="仿宋" w:hAnsi="仿宋" w:eastAsia="仿宋" w:cs="仿宋"/>
          <w:b/>
          <w:bCs/>
          <w:color w:val="auto"/>
          <w:sz w:val="24"/>
          <w:szCs w:val="24"/>
          <w:highlight w:val="none"/>
        </w:rPr>
        <w:t>发包人代表：</w:t>
      </w:r>
      <w:r>
        <w:rPr>
          <w:rFonts w:hint="eastAsia" w:ascii="仿宋" w:hAnsi="仿宋" w:eastAsia="仿宋" w:cs="仿宋"/>
          <w:color w:val="auto"/>
          <w:sz w:val="24"/>
          <w:szCs w:val="24"/>
          <w:highlight w:val="none"/>
        </w:rPr>
        <w:t>指发包人指定的，履行本合同的全权代表。发包人代表由发包人依据第</w:t>
      </w:r>
      <w:r>
        <w:rPr>
          <w:rFonts w:ascii="仿宋" w:hAnsi="仿宋" w:eastAsia="仿宋" w:cs="仿宋"/>
          <w:color w:val="auto"/>
          <w:sz w:val="24"/>
          <w:szCs w:val="24"/>
          <w:highlight w:val="none"/>
        </w:rPr>
        <w:t>22.1</w:t>
      </w:r>
      <w:r>
        <w:rPr>
          <w:rFonts w:hint="eastAsia" w:ascii="仿宋" w:hAnsi="仿宋" w:eastAsia="仿宋" w:cs="仿宋"/>
          <w:color w:val="auto"/>
          <w:sz w:val="24"/>
          <w:szCs w:val="24"/>
          <w:highlight w:val="none"/>
        </w:rPr>
        <w:t>款规定任命并书面通知承包人。</w:t>
      </w:r>
    </w:p>
    <w:p>
      <w:pPr>
        <w:pStyle w:val="2"/>
        <w:shd w:val="clear" w:color="000000" w:fill="auto"/>
        <w:tabs>
          <w:tab w:val="left" w:pos="1260"/>
          <w:tab w:val="left" w:pos="1980"/>
          <w:tab w:val="left" w:pos="2160"/>
        </w:tabs>
        <w:spacing w:before="192" w:beforeLines="80" w:line="360" w:lineRule="auto"/>
        <w:ind w:left="1618" w:leftChars="770"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1.19  </w:t>
      </w:r>
      <w:r>
        <w:rPr>
          <w:rFonts w:hint="eastAsia" w:ascii="仿宋" w:hAnsi="仿宋" w:eastAsia="仿宋" w:cs="仿宋"/>
          <w:b/>
          <w:bCs/>
          <w:color w:val="auto"/>
          <w:sz w:val="24"/>
          <w:szCs w:val="24"/>
          <w:highlight w:val="none"/>
        </w:rPr>
        <w:t>监理工程师：</w:t>
      </w:r>
      <w:r>
        <w:rPr>
          <w:rFonts w:hint="eastAsia" w:ascii="仿宋" w:hAnsi="仿宋" w:eastAsia="仿宋" w:cs="仿宋"/>
          <w:color w:val="auto"/>
          <w:sz w:val="24"/>
          <w:szCs w:val="24"/>
          <w:highlight w:val="none"/>
        </w:rPr>
        <w:t>指监理人委派常驻施工现场负责合同工程的工程监理专业技术的专业人员。监理工程师由监理人提名，经发包人依据第</w:t>
      </w:r>
      <w:r>
        <w:rPr>
          <w:rFonts w:ascii="仿宋" w:hAnsi="仿宋" w:eastAsia="仿宋" w:cs="仿宋"/>
          <w:color w:val="auto"/>
          <w:sz w:val="24"/>
          <w:szCs w:val="24"/>
          <w:highlight w:val="none"/>
        </w:rPr>
        <w:t>23.1</w:t>
      </w:r>
      <w:r>
        <w:rPr>
          <w:rFonts w:hint="eastAsia" w:ascii="仿宋" w:hAnsi="仿宋" w:eastAsia="仿宋" w:cs="仿宋"/>
          <w:color w:val="auto"/>
          <w:sz w:val="24"/>
          <w:szCs w:val="24"/>
          <w:highlight w:val="none"/>
        </w:rPr>
        <w:t>款规定任命并书面通知承包人。</w:t>
      </w:r>
    </w:p>
    <w:p>
      <w:pPr>
        <w:pStyle w:val="2"/>
        <w:shd w:val="clear" w:color="000000" w:fill="auto"/>
        <w:tabs>
          <w:tab w:val="left" w:pos="1980"/>
          <w:tab w:val="left" w:pos="2160"/>
        </w:tabs>
        <w:spacing w:before="192" w:beforeLines="80" w:line="360" w:lineRule="auto"/>
        <w:ind w:left="1618" w:leftChars="770"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1.20  </w:t>
      </w:r>
      <w:r>
        <w:rPr>
          <w:rFonts w:hint="eastAsia" w:ascii="仿宋" w:hAnsi="仿宋" w:eastAsia="仿宋" w:cs="仿宋"/>
          <w:b/>
          <w:bCs/>
          <w:color w:val="auto"/>
          <w:sz w:val="24"/>
          <w:szCs w:val="24"/>
          <w:highlight w:val="none"/>
        </w:rPr>
        <w:t>造价工程师：</w:t>
      </w:r>
      <w:r>
        <w:rPr>
          <w:rFonts w:hint="eastAsia" w:ascii="仿宋" w:hAnsi="仿宋" w:eastAsia="仿宋" w:cs="仿宋"/>
          <w:color w:val="auto"/>
          <w:sz w:val="24"/>
          <w:szCs w:val="24"/>
          <w:highlight w:val="none"/>
        </w:rPr>
        <w:t>指工程造价咨询人或监理人委派常驻施工现场负责合同工程的工程造价专业技术的专业人员。造价工程师由工程造价咨询人或监理人提名，经发包人依据第</w:t>
      </w:r>
      <w:r>
        <w:rPr>
          <w:rFonts w:ascii="仿宋" w:hAnsi="仿宋" w:eastAsia="仿宋" w:cs="仿宋"/>
          <w:color w:val="auto"/>
          <w:sz w:val="24"/>
          <w:szCs w:val="24"/>
          <w:highlight w:val="none"/>
        </w:rPr>
        <w:t>24.1</w:t>
      </w:r>
      <w:r>
        <w:rPr>
          <w:rFonts w:hint="eastAsia" w:ascii="仿宋" w:hAnsi="仿宋" w:eastAsia="仿宋" w:cs="仿宋"/>
          <w:color w:val="auto"/>
          <w:sz w:val="24"/>
          <w:szCs w:val="24"/>
          <w:highlight w:val="none"/>
        </w:rPr>
        <w:t>款规定任命并书面通知承包人。</w:t>
      </w:r>
    </w:p>
    <w:p>
      <w:pPr>
        <w:pStyle w:val="2"/>
        <w:shd w:val="clear" w:color="000000" w:fill="auto"/>
        <w:tabs>
          <w:tab w:val="left" w:pos="1620"/>
          <w:tab w:val="left" w:pos="1980"/>
        </w:tabs>
        <w:spacing w:before="192" w:beforeLines="80" w:line="360" w:lineRule="auto"/>
        <w:ind w:left="1620" w:leftChars="771" w:hanging="1"/>
        <w:jc w:val="left"/>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1.21  </w:t>
      </w:r>
      <w:r>
        <w:rPr>
          <w:rFonts w:hint="eastAsia" w:ascii="仿宋" w:hAnsi="仿宋" w:eastAsia="仿宋" w:cs="仿宋"/>
          <w:b/>
          <w:bCs/>
          <w:color w:val="auto"/>
          <w:sz w:val="24"/>
          <w:szCs w:val="24"/>
          <w:highlight w:val="none"/>
        </w:rPr>
        <w:t>承包人代表：</w:t>
      </w:r>
      <w:r>
        <w:rPr>
          <w:rFonts w:hint="eastAsia" w:ascii="仿宋" w:hAnsi="仿宋" w:eastAsia="仿宋" w:cs="仿宋"/>
          <w:color w:val="auto"/>
          <w:sz w:val="24"/>
          <w:szCs w:val="24"/>
          <w:highlight w:val="none"/>
        </w:rPr>
        <w:t>指承包人指定的，履行本合同和负责合同工程施工现场管理的全权代表。承包人代表由承包人依据第</w:t>
      </w:r>
      <w:r>
        <w:rPr>
          <w:rFonts w:ascii="仿宋" w:hAnsi="仿宋" w:eastAsia="仿宋" w:cs="仿宋"/>
          <w:color w:val="auto"/>
          <w:sz w:val="24"/>
          <w:szCs w:val="24"/>
          <w:highlight w:val="none"/>
        </w:rPr>
        <w:t>25.1</w:t>
      </w:r>
      <w:r>
        <w:rPr>
          <w:rFonts w:hint="eastAsia" w:ascii="仿宋" w:hAnsi="仿宋" w:eastAsia="仿宋" w:cs="仿宋"/>
          <w:color w:val="auto"/>
          <w:sz w:val="24"/>
          <w:szCs w:val="24"/>
          <w:highlight w:val="none"/>
        </w:rPr>
        <w:t>款规定任命并书面通知发包人。</w:t>
      </w:r>
    </w:p>
    <w:p>
      <w:pPr>
        <w:pStyle w:val="2"/>
        <w:shd w:val="clear" w:color="000000" w:fill="auto"/>
        <w:tabs>
          <w:tab w:val="left" w:pos="2160"/>
        </w:tabs>
        <w:spacing w:before="192" w:beforeLines="80" w:line="360" w:lineRule="auto"/>
        <w:ind w:left="1620" w:leftChars="771"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1.22  </w:t>
      </w:r>
      <w:r>
        <w:rPr>
          <w:rFonts w:hint="eastAsia" w:ascii="仿宋" w:hAnsi="仿宋" w:eastAsia="仿宋" w:cs="仿宋"/>
          <w:b/>
          <w:bCs/>
          <w:color w:val="auto"/>
          <w:sz w:val="24"/>
          <w:szCs w:val="24"/>
          <w:highlight w:val="none"/>
        </w:rPr>
        <w:t>合同工期：</w:t>
      </w:r>
      <w:r>
        <w:rPr>
          <w:rFonts w:hint="eastAsia" w:ascii="仿宋" w:hAnsi="仿宋" w:eastAsia="仿宋" w:cs="仿宋"/>
          <w:color w:val="auto"/>
          <w:sz w:val="24"/>
          <w:szCs w:val="24"/>
          <w:highlight w:val="none"/>
        </w:rPr>
        <w:t>指合同双方当事人在协议书中约定，按照总日历天数（包括法定节假日）计算的从开始实施到完成合同工程的天数。</w:t>
      </w:r>
    </w:p>
    <w:p>
      <w:pPr>
        <w:pStyle w:val="2"/>
        <w:shd w:val="clear" w:color="000000" w:fill="auto"/>
        <w:tabs>
          <w:tab w:val="left" w:pos="2160"/>
        </w:tabs>
        <w:spacing w:before="192" w:beforeLines="80" w:line="360" w:lineRule="auto"/>
        <w:ind w:left="1620" w:leftChars="771" w:hanging="1"/>
        <w:jc w:val="left"/>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1.23  </w:t>
      </w:r>
      <w:r>
        <w:rPr>
          <w:rFonts w:hint="eastAsia" w:ascii="仿宋" w:hAnsi="仿宋" w:eastAsia="仿宋" w:cs="仿宋"/>
          <w:b/>
          <w:bCs/>
          <w:color w:val="auto"/>
          <w:sz w:val="24"/>
          <w:szCs w:val="24"/>
          <w:highlight w:val="none"/>
        </w:rPr>
        <w:t>开工日期：</w:t>
      </w:r>
      <w:r>
        <w:rPr>
          <w:rFonts w:hint="eastAsia" w:ascii="仿宋" w:hAnsi="仿宋" w:eastAsia="仿宋" w:cs="仿宋"/>
          <w:color w:val="auto"/>
          <w:sz w:val="24"/>
          <w:szCs w:val="24"/>
          <w:highlight w:val="none"/>
        </w:rPr>
        <w:t>指根据第</w:t>
      </w:r>
      <w:r>
        <w:rPr>
          <w:rFonts w:ascii="仿宋" w:hAnsi="仿宋" w:eastAsia="仿宋" w:cs="仿宋"/>
          <w:color w:val="auto"/>
          <w:sz w:val="24"/>
          <w:szCs w:val="24"/>
          <w:highlight w:val="none"/>
        </w:rPr>
        <w:t>34</w:t>
      </w:r>
      <w:r>
        <w:rPr>
          <w:rFonts w:hint="eastAsia" w:ascii="仿宋" w:hAnsi="仿宋" w:eastAsia="仿宋" w:cs="仿宋"/>
          <w:color w:val="auto"/>
          <w:sz w:val="24"/>
          <w:szCs w:val="24"/>
          <w:highlight w:val="none"/>
        </w:rPr>
        <w:t>条规定，监理工程师在开工令中写明的、承包人按照合同约定最迟在该日期开工的日期。</w:t>
      </w:r>
    </w:p>
    <w:p>
      <w:pPr>
        <w:pStyle w:val="2"/>
        <w:shd w:val="clear" w:color="000000" w:fill="auto"/>
        <w:tabs>
          <w:tab w:val="left" w:pos="1980"/>
        </w:tabs>
        <w:spacing w:before="192" w:beforeLines="80" w:line="360" w:lineRule="auto"/>
        <w:ind w:left="1620" w:leftChars="771"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1.24  </w:t>
      </w:r>
      <w:r>
        <w:rPr>
          <w:rFonts w:hint="eastAsia" w:ascii="仿宋" w:hAnsi="仿宋" w:eastAsia="仿宋" w:cs="仿宋"/>
          <w:b/>
          <w:bCs/>
          <w:color w:val="auto"/>
          <w:sz w:val="24"/>
          <w:szCs w:val="24"/>
          <w:highlight w:val="none"/>
        </w:rPr>
        <w:t>计划竣工日期：</w:t>
      </w:r>
      <w:r>
        <w:rPr>
          <w:rFonts w:hint="eastAsia" w:ascii="仿宋" w:hAnsi="仿宋" w:eastAsia="仿宋" w:cs="仿宋"/>
          <w:color w:val="auto"/>
          <w:sz w:val="24"/>
          <w:szCs w:val="24"/>
          <w:highlight w:val="none"/>
        </w:rPr>
        <w:t>指自开工日期起根据合同约定要求承包人完成合同工程并竣工的全部时间（包括根据第</w:t>
      </w:r>
      <w:r>
        <w:rPr>
          <w:rFonts w:ascii="仿宋" w:hAnsi="仿宋" w:eastAsia="仿宋" w:cs="仿宋"/>
          <w:color w:val="auto"/>
          <w:sz w:val="24"/>
          <w:szCs w:val="24"/>
          <w:highlight w:val="none"/>
        </w:rPr>
        <w:t>36</w:t>
      </w:r>
      <w:r>
        <w:rPr>
          <w:rFonts w:hint="eastAsia" w:ascii="仿宋" w:hAnsi="仿宋" w:eastAsia="仿宋" w:cs="仿宋"/>
          <w:color w:val="auto"/>
          <w:sz w:val="24"/>
          <w:szCs w:val="24"/>
          <w:highlight w:val="none"/>
        </w:rPr>
        <w:t>条和第</w:t>
      </w:r>
      <w:r>
        <w:rPr>
          <w:rFonts w:ascii="仿宋" w:hAnsi="仿宋" w:eastAsia="仿宋" w:cs="仿宋"/>
          <w:color w:val="auto"/>
          <w:sz w:val="24"/>
          <w:szCs w:val="24"/>
          <w:highlight w:val="none"/>
        </w:rPr>
        <w:t>37.2</w:t>
      </w:r>
      <w:r>
        <w:rPr>
          <w:rFonts w:hint="eastAsia" w:ascii="仿宋" w:hAnsi="仿宋" w:eastAsia="仿宋" w:cs="仿宋"/>
          <w:color w:val="auto"/>
          <w:sz w:val="24"/>
          <w:szCs w:val="24"/>
          <w:highlight w:val="none"/>
        </w:rPr>
        <w:t>款规定所做的调整）。</w:t>
      </w:r>
    </w:p>
    <w:p>
      <w:pPr>
        <w:pStyle w:val="2"/>
        <w:shd w:val="clear" w:color="000000" w:fill="auto"/>
        <w:tabs>
          <w:tab w:val="left" w:pos="1980"/>
          <w:tab w:val="left" w:pos="2160"/>
        </w:tabs>
        <w:spacing w:before="192" w:beforeLines="80" w:line="360" w:lineRule="auto"/>
        <w:ind w:left="1620" w:leftChars="771"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1.25  </w:t>
      </w:r>
      <w:r>
        <w:rPr>
          <w:rFonts w:hint="eastAsia" w:ascii="仿宋" w:hAnsi="仿宋" w:eastAsia="仿宋" w:cs="仿宋"/>
          <w:b/>
          <w:bCs/>
          <w:color w:val="auto"/>
          <w:sz w:val="24"/>
          <w:szCs w:val="24"/>
          <w:highlight w:val="none"/>
        </w:rPr>
        <w:t>实际竣工日期：</w:t>
      </w:r>
      <w:r>
        <w:rPr>
          <w:rFonts w:hint="eastAsia" w:ascii="仿宋" w:hAnsi="仿宋" w:eastAsia="仿宋" w:cs="仿宋"/>
          <w:color w:val="auto"/>
          <w:sz w:val="24"/>
          <w:szCs w:val="24"/>
          <w:highlight w:val="none"/>
        </w:rPr>
        <w:t>指承包人实际完成合同工程或某单位工程后，由发包人按照第</w:t>
      </w:r>
      <w:r>
        <w:rPr>
          <w:rFonts w:ascii="仿宋" w:hAnsi="仿宋" w:eastAsia="仿宋" w:cs="仿宋"/>
          <w:color w:val="auto"/>
          <w:sz w:val="24"/>
          <w:szCs w:val="24"/>
          <w:highlight w:val="none"/>
        </w:rPr>
        <w:t>58</w:t>
      </w:r>
      <w:r>
        <w:rPr>
          <w:rFonts w:hint="eastAsia" w:ascii="仿宋" w:hAnsi="仿宋" w:eastAsia="仿宋" w:cs="仿宋"/>
          <w:color w:val="auto"/>
          <w:sz w:val="24"/>
          <w:szCs w:val="24"/>
          <w:highlight w:val="none"/>
        </w:rPr>
        <w:t>条规定组织竣工验收、接收工程并颁发工程接收证书的日期。实际竣工日期，按照第</w:t>
      </w:r>
      <w:r>
        <w:rPr>
          <w:rFonts w:ascii="仿宋" w:hAnsi="仿宋" w:eastAsia="仿宋" w:cs="仿宋"/>
          <w:color w:val="auto"/>
          <w:sz w:val="24"/>
          <w:szCs w:val="24"/>
          <w:highlight w:val="none"/>
        </w:rPr>
        <w:t>38.2</w:t>
      </w:r>
      <w:r>
        <w:rPr>
          <w:rFonts w:hint="eastAsia" w:ascii="仿宋" w:hAnsi="仿宋" w:eastAsia="仿宋" w:cs="仿宋"/>
          <w:color w:val="auto"/>
          <w:sz w:val="24"/>
          <w:szCs w:val="24"/>
          <w:highlight w:val="none"/>
        </w:rPr>
        <w:t>款规定确定。</w:t>
      </w:r>
    </w:p>
    <w:p>
      <w:pPr>
        <w:pStyle w:val="2"/>
        <w:shd w:val="clear" w:color="000000" w:fill="auto"/>
        <w:tabs>
          <w:tab w:val="left" w:pos="1980"/>
          <w:tab w:val="left" w:pos="2160"/>
        </w:tabs>
        <w:spacing w:before="192" w:beforeLines="80" w:line="360" w:lineRule="auto"/>
        <w:ind w:left="1620" w:leftChars="771"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1.26  </w:t>
      </w:r>
      <w:r>
        <w:rPr>
          <w:rFonts w:hint="eastAsia" w:ascii="仿宋" w:hAnsi="仿宋" w:eastAsia="仿宋" w:cs="仿宋"/>
          <w:b/>
          <w:bCs/>
          <w:color w:val="auto"/>
          <w:sz w:val="24"/>
          <w:szCs w:val="24"/>
          <w:highlight w:val="none"/>
        </w:rPr>
        <w:t>缺陷责任期：</w:t>
      </w:r>
      <w:r>
        <w:rPr>
          <w:rFonts w:hint="eastAsia" w:ascii="仿宋" w:hAnsi="仿宋" w:eastAsia="仿宋" w:cs="仿宋"/>
          <w:color w:val="auto"/>
          <w:sz w:val="24"/>
          <w:szCs w:val="24"/>
          <w:highlight w:val="none"/>
        </w:rPr>
        <w:t>指履行第</w:t>
      </w:r>
      <w:r>
        <w:rPr>
          <w:rFonts w:ascii="仿宋" w:hAnsi="仿宋" w:eastAsia="仿宋" w:cs="仿宋"/>
          <w:color w:val="auto"/>
          <w:sz w:val="24"/>
          <w:szCs w:val="24"/>
          <w:highlight w:val="none"/>
        </w:rPr>
        <w:t>59.3</w:t>
      </w:r>
      <w:r>
        <w:rPr>
          <w:rFonts w:hint="eastAsia" w:ascii="仿宋" w:hAnsi="仿宋" w:eastAsia="仿宋" w:cs="仿宋"/>
          <w:color w:val="auto"/>
          <w:sz w:val="24"/>
          <w:szCs w:val="24"/>
          <w:highlight w:val="none"/>
        </w:rPr>
        <w:t>款规定的缺陷责任的期限。具体期限在专用条款中约定，包括第</w:t>
      </w:r>
      <w:r>
        <w:rPr>
          <w:rFonts w:ascii="仿宋" w:hAnsi="仿宋" w:eastAsia="仿宋" w:cs="仿宋"/>
          <w:color w:val="auto"/>
          <w:sz w:val="24"/>
          <w:szCs w:val="24"/>
          <w:highlight w:val="none"/>
        </w:rPr>
        <w:t>59.2</w:t>
      </w:r>
      <w:r>
        <w:rPr>
          <w:rFonts w:hint="eastAsia" w:ascii="仿宋" w:hAnsi="仿宋" w:eastAsia="仿宋" w:cs="仿宋"/>
          <w:color w:val="auto"/>
          <w:sz w:val="24"/>
          <w:szCs w:val="24"/>
          <w:highlight w:val="none"/>
        </w:rPr>
        <w:t>款规定的延长期限。</w:t>
      </w:r>
    </w:p>
    <w:p>
      <w:pPr>
        <w:pStyle w:val="2"/>
        <w:shd w:val="clear" w:color="000000" w:fill="auto"/>
        <w:tabs>
          <w:tab w:val="left" w:pos="1980"/>
          <w:tab w:val="left" w:pos="2160"/>
        </w:tabs>
        <w:spacing w:before="192" w:beforeLines="80" w:line="360" w:lineRule="auto"/>
        <w:ind w:left="1620" w:leftChars="771"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1.27  </w:t>
      </w:r>
      <w:r>
        <w:rPr>
          <w:rFonts w:hint="eastAsia" w:ascii="仿宋" w:hAnsi="仿宋" w:eastAsia="仿宋" w:cs="仿宋"/>
          <w:b/>
          <w:bCs/>
          <w:color w:val="auto"/>
          <w:sz w:val="24"/>
          <w:szCs w:val="24"/>
          <w:highlight w:val="none"/>
        </w:rPr>
        <w:t>基准日期：</w:t>
      </w:r>
      <w:r>
        <w:rPr>
          <w:rFonts w:hint="eastAsia" w:ascii="仿宋" w:hAnsi="仿宋" w:eastAsia="仿宋" w:cs="仿宋"/>
          <w:color w:val="auto"/>
          <w:sz w:val="24"/>
          <w:szCs w:val="24"/>
          <w:highlight w:val="none"/>
        </w:rPr>
        <w:t>指招标工程递交投标文件截止日期前</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天的日期；非招标工程订立合同前</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天的日期。</w:t>
      </w:r>
    </w:p>
    <w:p>
      <w:pPr>
        <w:pStyle w:val="2"/>
        <w:shd w:val="clear" w:color="000000" w:fill="auto"/>
        <w:tabs>
          <w:tab w:val="left" w:pos="2160"/>
        </w:tabs>
        <w:spacing w:before="192" w:beforeLines="80" w:line="360" w:lineRule="auto"/>
        <w:ind w:left="1573" w:leftChars="749"/>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1.28  </w:t>
      </w:r>
      <w:r>
        <w:rPr>
          <w:rFonts w:hint="eastAsia" w:ascii="仿宋" w:hAnsi="仿宋" w:eastAsia="仿宋" w:cs="仿宋"/>
          <w:b/>
          <w:bCs/>
          <w:color w:val="auto"/>
          <w:sz w:val="24"/>
          <w:szCs w:val="24"/>
          <w:highlight w:val="none"/>
        </w:rPr>
        <w:t>小时或天：</w:t>
      </w:r>
      <w:r>
        <w:rPr>
          <w:rFonts w:hint="eastAsia" w:ascii="仿宋" w:hAnsi="仿宋" w:eastAsia="仿宋" w:cs="仿宋"/>
          <w:color w:val="auto"/>
          <w:sz w:val="24"/>
          <w:szCs w:val="24"/>
          <w:highlight w:val="none"/>
        </w:rPr>
        <w:t>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假日次日为时限，但竣工日期除外。时限最后一天的截止时间为当天</w:t>
      </w:r>
      <w:r>
        <w:rPr>
          <w:rFonts w:ascii="仿宋" w:hAnsi="仿宋" w:eastAsia="仿宋" w:cs="仿宋"/>
          <w:color w:val="auto"/>
          <w:sz w:val="24"/>
          <w:szCs w:val="24"/>
          <w:highlight w:val="none"/>
        </w:rPr>
        <w:t>24:00</w:t>
      </w:r>
      <w:r>
        <w:rPr>
          <w:rFonts w:hint="eastAsia" w:ascii="仿宋" w:hAnsi="仿宋" w:eastAsia="仿宋" w:cs="仿宋"/>
          <w:color w:val="auto"/>
          <w:sz w:val="24"/>
          <w:szCs w:val="24"/>
          <w:highlight w:val="none"/>
        </w:rPr>
        <w:t>（即次日零点）。</w:t>
      </w:r>
    </w:p>
    <w:p>
      <w:pPr>
        <w:pStyle w:val="2"/>
        <w:shd w:val="clear" w:color="000000" w:fill="auto"/>
        <w:tabs>
          <w:tab w:val="left" w:pos="900"/>
          <w:tab w:val="left" w:pos="2160"/>
        </w:tabs>
        <w:spacing w:before="192" w:beforeLines="80" w:line="360" w:lineRule="auto"/>
        <w:ind w:left="1576" w:leftChars="750"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1.29  </w:t>
      </w:r>
      <w:r>
        <w:rPr>
          <w:rFonts w:hint="eastAsia" w:ascii="仿宋" w:hAnsi="仿宋" w:eastAsia="仿宋" w:cs="仿宋"/>
          <w:b/>
          <w:bCs/>
          <w:color w:val="auto"/>
          <w:sz w:val="24"/>
          <w:szCs w:val="24"/>
          <w:highlight w:val="none"/>
        </w:rPr>
        <w:t>中标价格：</w:t>
      </w:r>
      <w:r>
        <w:rPr>
          <w:rFonts w:hint="eastAsia" w:ascii="仿宋" w:hAnsi="仿宋" w:eastAsia="仿宋" w:cs="仿宋"/>
          <w:color w:val="auto"/>
          <w:sz w:val="24"/>
          <w:szCs w:val="24"/>
          <w:highlight w:val="none"/>
        </w:rPr>
        <w:t>指中标通知书中列明的，发包人接受中标人（承包人）实施、完成并保修合同工程的价格。</w:t>
      </w:r>
    </w:p>
    <w:p>
      <w:pPr>
        <w:pStyle w:val="2"/>
        <w:shd w:val="clear" w:color="000000" w:fill="auto"/>
        <w:tabs>
          <w:tab w:val="left" w:pos="2160"/>
        </w:tabs>
        <w:spacing w:before="192" w:beforeLines="80" w:line="360" w:lineRule="auto"/>
        <w:ind w:left="1620" w:leftChars="771"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1.30  </w:t>
      </w:r>
      <w:r>
        <w:rPr>
          <w:rFonts w:hint="eastAsia" w:ascii="仿宋" w:hAnsi="仿宋" w:eastAsia="仿宋" w:cs="仿宋"/>
          <w:b/>
          <w:bCs/>
          <w:color w:val="auto"/>
          <w:sz w:val="24"/>
          <w:szCs w:val="24"/>
          <w:highlight w:val="none"/>
        </w:rPr>
        <w:t>合同价款：</w:t>
      </w:r>
      <w:r>
        <w:rPr>
          <w:rFonts w:hint="eastAsia" w:ascii="仿宋" w:hAnsi="仿宋" w:eastAsia="仿宋" w:cs="仿宋"/>
          <w:color w:val="auto"/>
          <w:sz w:val="24"/>
          <w:szCs w:val="24"/>
          <w:highlight w:val="none"/>
        </w:rPr>
        <w:t>指承包人按照合同约定完成了包括缺陷责任期内的全部承包工作后，发包人按照合同约定及时足额（包括调整的合同价款）支付给承包人的全部金额。其具体款项依据协议书中标明的包括暂列金额、暂估价在内的金额和第</w:t>
      </w:r>
      <w:r>
        <w:rPr>
          <w:rFonts w:ascii="仿宋" w:hAnsi="仿宋" w:eastAsia="仿宋" w:cs="仿宋"/>
          <w:color w:val="auto"/>
          <w:sz w:val="24"/>
          <w:szCs w:val="24"/>
          <w:highlight w:val="none"/>
        </w:rPr>
        <w:t>68.2</w:t>
      </w:r>
      <w:r>
        <w:rPr>
          <w:rFonts w:hint="eastAsia" w:ascii="仿宋" w:hAnsi="仿宋" w:eastAsia="仿宋" w:cs="仿宋"/>
          <w:color w:val="auto"/>
          <w:sz w:val="24"/>
          <w:szCs w:val="24"/>
          <w:highlight w:val="none"/>
        </w:rPr>
        <w:t>款规定合同价款调整事件确定。</w:t>
      </w:r>
    </w:p>
    <w:p>
      <w:pPr>
        <w:pStyle w:val="2"/>
        <w:shd w:val="clear" w:color="000000" w:fill="auto"/>
        <w:tabs>
          <w:tab w:val="left" w:pos="2160"/>
        </w:tabs>
        <w:spacing w:before="192" w:beforeLines="80" w:line="360" w:lineRule="auto"/>
        <w:ind w:left="1620" w:leftChars="771"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1.31  </w:t>
      </w:r>
      <w:r>
        <w:rPr>
          <w:rFonts w:hint="eastAsia" w:ascii="仿宋" w:hAnsi="仿宋" w:eastAsia="仿宋" w:cs="仿宋"/>
          <w:b/>
          <w:bCs/>
          <w:color w:val="auto"/>
          <w:sz w:val="24"/>
          <w:szCs w:val="24"/>
          <w:highlight w:val="none"/>
        </w:rPr>
        <w:t>费用：</w:t>
      </w:r>
      <w:r>
        <w:rPr>
          <w:rFonts w:hint="eastAsia" w:ascii="仿宋" w:hAnsi="仿宋" w:eastAsia="仿宋" w:cs="仿宋"/>
          <w:color w:val="auto"/>
          <w:sz w:val="24"/>
          <w:szCs w:val="24"/>
          <w:highlight w:val="none"/>
        </w:rPr>
        <w:t>指为履行合同所发生或将发生的所有合理开支，包括管理费和其他合理分摊的开支，但不包括利润。</w:t>
      </w:r>
    </w:p>
    <w:p>
      <w:pPr>
        <w:pStyle w:val="2"/>
        <w:shd w:val="clear" w:color="000000" w:fill="auto"/>
        <w:tabs>
          <w:tab w:val="left" w:pos="1980"/>
          <w:tab w:val="left" w:pos="2160"/>
        </w:tabs>
        <w:spacing w:before="240" w:beforeLines="100" w:line="360" w:lineRule="auto"/>
        <w:ind w:left="1620" w:leftChars="771" w:hanging="1"/>
        <w:jc w:val="left"/>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1.32  </w:t>
      </w:r>
      <w:r>
        <w:rPr>
          <w:rFonts w:hint="eastAsia" w:ascii="仿宋" w:hAnsi="仿宋" w:eastAsia="仿宋" w:cs="仿宋"/>
          <w:b/>
          <w:bCs/>
          <w:color w:val="auto"/>
          <w:sz w:val="24"/>
          <w:szCs w:val="24"/>
          <w:highlight w:val="none"/>
        </w:rPr>
        <w:t>分部分项工程费：</w:t>
      </w:r>
      <w:r>
        <w:rPr>
          <w:rFonts w:hint="eastAsia" w:ascii="仿宋" w:hAnsi="仿宋" w:eastAsia="仿宋" w:cs="仿宋"/>
          <w:color w:val="auto"/>
          <w:sz w:val="24"/>
          <w:szCs w:val="24"/>
          <w:highlight w:val="none"/>
        </w:rPr>
        <w:t>指为实施、完成并保修永久工程，发生于工程实体项目所需的人工费、材料费、机械使用费、管理费、利润和风险费用。</w:t>
      </w:r>
    </w:p>
    <w:p>
      <w:pPr>
        <w:pStyle w:val="2"/>
        <w:shd w:val="clear" w:color="000000" w:fill="auto"/>
        <w:tabs>
          <w:tab w:val="left" w:pos="2160"/>
        </w:tabs>
        <w:spacing w:before="240" w:beforeLines="100" w:line="360" w:lineRule="auto"/>
        <w:ind w:left="1618" w:leftChars="770" w:hanging="1"/>
        <w:jc w:val="left"/>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1.33  </w:t>
      </w:r>
      <w:r>
        <w:rPr>
          <w:rFonts w:hint="eastAsia" w:ascii="仿宋" w:hAnsi="仿宋" w:eastAsia="仿宋" w:cs="仿宋"/>
          <w:b/>
          <w:bCs/>
          <w:color w:val="auto"/>
          <w:sz w:val="24"/>
          <w:szCs w:val="24"/>
          <w:highlight w:val="none"/>
        </w:rPr>
        <w:t>措施项目费：</w:t>
      </w:r>
      <w:r>
        <w:rPr>
          <w:rFonts w:hint="eastAsia" w:ascii="仿宋" w:hAnsi="仿宋" w:eastAsia="仿宋" w:cs="仿宋"/>
          <w:color w:val="auto"/>
          <w:sz w:val="24"/>
          <w:szCs w:val="24"/>
          <w:highlight w:val="none"/>
        </w:rPr>
        <w:t>指为实施、完成并保修合同工程，发生于合同工程施工准备和施工过程中的技术、生活、安全、环境保护等方面的非工程实体项目费用。</w:t>
      </w:r>
    </w:p>
    <w:p>
      <w:pPr>
        <w:pStyle w:val="2"/>
        <w:shd w:val="clear" w:color="000000" w:fill="auto"/>
        <w:tabs>
          <w:tab w:val="left" w:pos="2160"/>
        </w:tabs>
        <w:spacing w:before="240" w:beforeLines="100" w:line="360" w:lineRule="auto"/>
        <w:ind w:left="1620" w:leftChars="771" w:hanging="1"/>
        <w:jc w:val="left"/>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1.34  </w:t>
      </w:r>
      <w:r>
        <w:rPr>
          <w:rFonts w:hint="eastAsia" w:ascii="仿宋" w:hAnsi="仿宋" w:eastAsia="仿宋" w:cs="仿宋"/>
          <w:b/>
          <w:bCs/>
          <w:color w:val="auto"/>
          <w:sz w:val="24"/>
          <w:szCs w:val="24"/>
          <w:highlight w:val="none"/>
        </w:rPr>
        <w:t>工程款：</w:t>
      </w:r>
      <w:r>
        <w:rPr>
          <w:rFonts w:hint="eastAsia" w:ascii="仿宋" w:hAnsi="仿宋" w:eastAsia="仿宋" w:cs="仿宋"/>
          <w:color w:val="auto"/>
          <w:sz w:val="24"/>
          <w:szCs w:val="24"/>
          <w:highlight w:val="none"/>
        </w:rPr>
        <w:t>指为实施、完成并保修合同工程，发包人支付或应当支付给承包人的各种价款，包括进度款、结算款等。</w:t>
      </w:r>
    </w:p>
    <w:p>
      <w:pPr>
        <w:pStyle w:val="2"/>
        <w:shd w:val="clear" w:color="000000" w:fill="auto"/>
        <w:tabs>
          <w:tab w:val="left" w:pos="2160"/>
        </w:tabs>
        <w:spacing w:before="240" w:beforeLines="100" w:line="360" w:lineRule="auto"/>
        <w:ind w:left="1576" w:leftChars="750" w:hanging="1"/>
        <w:jc w:val="left"/>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1.35  </w:t>
      </w:r>
      <w:r>
        <w:rPr>
          <w:rFonts w:hint="eastAsia" w:ascii="仿宋" w:hAnsi="仿宋" w:eastAsia="仿宋" w:cs="仿宋"/>
          <w:b/>
          <w:bCs/>
          <w:color w:val="auto"/>
          <w:sz w:val="24"/>
          <w:szCs w:val="24"/>
          <w:highlight w:val="none"/>
        </w:rPr>
        <w:t>暂列金额：</w:t>
      </w:r>
      <w:r>
        <w:rPr>
          <w:rFonts w:hint="eastAsia" w:ascii="仿宋" w:hAnsi="仿宋" w:eastAsia="仿宋" w:cs="仿宋"/>
          <w:color w:val="auto"/>
          <w:sz w:val="24"/>
          <w:szCs w:val="24"/>
          <w:highlight w:val="none"/>
        </w:rPr>
        <w:t>指发包人在工程量清单中暂定并包括在合同价款中的一笔款项。用于在签订协议书时尚未确定或者不可预见的所需材料、设备、服务等的采购，施工过程中可能发生的工程变更、合同约定的工程款调整以及经确认的索赔、现场签证等的金额（包括以计日工方式支付的金额）。</w:t>
      </w:r>
    </w:p>
    <w:p>
      <w:pPr>
        <w:pStyle w:val="2"/>
        <w:shd w:val="clear" w:color="000000" w:fill="auto"/>
        <w:tabs>
          <w:tab w:val="left" w:pos="2160"/>
        </w:tabs>
        <w:spacing w:before="240" w:beforeLines="100" w:line="360" w:lineRule="auto"/>
        <w:ind w:left="1576" w:leftChars="750" w:hanging="1"/>
        <w:jc w:val="left"/>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1.36  </w:t>
      </w:r>
      <w:r>
        <w:rPr>
          <w:rFonts w:hint="eastAsia" w:ascii="仿宋" w:hAnsi="仿宋" w:eastAsia="仿宋" w:cs="仿宋"/>
          <w:b/>
          <w:bCs/>
          <w:color w:val="auto"/>
          <w:sz w:val="24"/>
          <w:szCs w:val="24"/>
          <w:highlight w:val="none"/>
        </w:rPr>
        <w:t>暂估价：</w:t>
      </w:r>
      <w:r>
        <w:rPr>
          <w:rFonts w:hint="eastAsia" w:ascii="仿宋" w:hAnsi="仿宋" w:eastAsia="仿宋" w:cs="仿宋"/>
          <w:color w:val="auto"/>
          <w:sz w:val="24"/>
          <w:szCs w:val="24"/>
          <w:highlight w:val="none"/>
        </w:rPr>
        <w:t>指发包人在工程量清单中提供的用于支付必然发生但暂时不能确定价格的材料、工程设备以及专业工程的金额。</w:t>
      </w:r>
    </w:p>
    <w:p>
      <w:pPr>
        <w:pStyle w:val="2"/>
        <w:shd w:val="clear" w:color="000000" w:fill="auto"/>
        <w:tabs>
          <w:tab w:val="left" w:pos="2160"/>
        </w:tabs>
        <w:spacing w:before="240" w:beforeLines="100" w:line="360" w:lineRule="auto"/>
        <w:ind w:left="1620" w:leftChars="771" w:hanging="1"/>
        <w:jc w:val="left"/>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1.37  </w:t>
      </w:r>
      <w:r>
        <w:rPr>
          <w:rFonts w:hint="eastAsia" w:ascii="仿宋" w:hAnsi="仿宋" w:eastAsia="仿宋" w:cs="仿宋"/>
          <w:b/>
          <w:bCs/>
          <w:color w:val="auto"/>
          <w:sz w:val="24"/>
          <w:szCs w:val="24"/>
          <w:highlight w:val="none"/>
        </w:rPr>
        <w:t>计日工：</w:t>
      </w:r>
      <w:r>
        <w:rPr>
          <w:rFonts w:hint="eastAsia" w:ascii="仿宋" w:hAnsi="仿宋" w:eastAsia="仿宋" w:cs="仿宋"/>
          <w:color w:val="auto"/>
          <w:sz w:val="24"/>
          <w:szCs w:val="24"/>
          <w:highlight w:val="none"/>
        </w:rPr>
        <w:t>指在施工过程中，承包人完成发包人提出的施工设计图纸以外的零星项目或工作，按照合同中约定计价付款的一种计价方式。</w:t>
      </w:r>
    </w:p>
    <w:p>
      <w:pPr>
        <w:pStyle w:val="2"/>
        <w:shd w:val="clear" w:color="000000" w:fill="auto"/>
        <w:tabs>
          <w:tab w:val="left" w:pos="2160"/>
        </w:tabs>
        <w:spacing w:before="240" w:beforeLines="100" w:line="360" w:lineRule="auto"/>
        <w:ind w:left="1576" w:leftChars="750" w:hanging="1"/>
        <w:jc w:val="left"/>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1.38  </w:t>
      </w:r>
      <w:r>
        <w:rPr>
          <w:rFonts w:hint="eastAsia" w:ascii="仿宋" w:hAnsi="仿宋" w:eastAsia="仿宋" w:cs="仿宋"/>
          <w:b/>
          <w:bCs/>
          <w:color w:val="auto"/>
          <w:sz w:val="24"/>
          <w:szCs w:val="24"/>
          <w:highlight w:val="none"/>
        </w:rPr>
        <w:t>质量保证金：</w:t>
      </w:r>
      <w:r>
        <w:rPr>
          <w:rFonts w:hint="eastAsia" w:ascii="仿宋" w:hAnsi="仿宋" w:eastAsia="仿宋" w:cs="仿宋"/>
          <w:color w:val="auto"/>
          <w:sz w:val="24"/>
          <w:szCs w:val="24"/>
          <w:highlight w:val="none"/>
        </w:rPr>
        <w:t>指按照第</w:t>
      </w:r>
      <w:r>
        <w:rPr>
          <w:rFonts w:ascii="仿宋" w:hAnsi="仿宋" w:eastAsia="仿宋" w:cs="仿宋"/>
          <w:color w:val="auto"/>
          <w:sz w:val="24"/>
          <w:szCs w:val="24"/>
          <w:highlight w:val="none"/>
        </w:rPr>
        <w:t>84</w:t>
      </w:r>
      <w:r>
        <w:rPr>
          <w:rFonts w:hint="eastAsia" w:ascii="仿宋" w:hAnsi="仿宋" w:eastAsia="仿宋" w:cs="仿宋"/>
          <w:color w:val="auto"/>
          <w:sz w:val="24"/>
          <w:szCs w:val="24"/>
          <w:highlight w:val="none"/>
        </w:rPr>
        <w:t>条约定用于保证在缺陷责任期内履行缺陷修复义务的金额。</w:t>
      </w:r>
    </w:p>
    <w:p>
      <w:pPr>
        <w:pStyle w:val="2"/>
        <w:shd w:val="clear" w:color="000000" w:fill="auto"/>
        <w:tabs>
          <w:tab w:val="left" w:pos="2160"/>
        </w:tabs>
        <w:spacing w:before="240" w:beforeLines="100" w:line="360" w:lineRule="auto"/>
        <w:ind w:left="1576"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1.39  </w:t>
      </w:r>
      <w:r>
        <w:rPr>
          <w:rFonts w:hint="eastAsia" w:ascii="仿宋" w:hAnsi="仿宋" w:eastAsia="仿宋" w:cs="仿宋"/>
          <w:b/>
          <w:bCs/>
          <w:color w:val="auto"/>
          <w:sz w:val="24"/>
          <w:szCs w:val="24"/>
          <w:highlight w:val="none"/>
        </w:rPr>
        <w:t>合同工程：</w:t>
      </w:r>
      <w:r>
        <w:rPr>
          <w:rFonts w:hint="eastAsia" w:ascii="仿宋" w:hAnsi="仿宋" w:eastAsia="仿宋" w:cs="仿宋"/>
          <w:color w:val="auto"/>
          <w:sz w:val="24"/>
          <w:szCs w:val="24"/>
          <w:highlight w:val="none"/>
        </w:rPr>
        <w:t>指合同双方当事人在协议书中约定的承包范围内的工程，包括永久工程和（或）临时工程。</w:t>
      </w:r>
    </w:p>
    <w:p>
      <w:pPr>
        <w:pStyle w:val="2"/>
        <w:shd w:val="clear" w:color="000000" w:fill="auto"/>
        <w:tabs>
          <w:tab w:val="left" w:pos="2160"/>
        </w:tabs>
        <w:spacing w:before="192" w:beforeLines="80" w:line="360" w:lineRule="auto"/>
        <w:ind w:left="1576"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1.40  </w:t>
      </w:r>
      <w:r>
        <w:rPr>
          <w:rFonts w:hint="eastAsia" w:ascii="仿宋" w:hAnsi="仿宋" w:eastAsia="仿宋" w:cs="仿宋"/>
          <w:b/>
          <w:bCs/>
          <w:color w:val="auto"/>
          <w:sz w:val="24"/>
          <w:szCs w:val="24"/>
          <w:highlight w:val="none"/>
        </w:rPr>
        <w:t>永久工程：</w:t>
      </w:r>
      <w:r>
        <w:rPr>
          <w:rFonts w:hint="eastAsia" w:ascii="仿宋" w:hAnsi="仿宋" w:eastAsia="仿宋" w:cs="仿宋"/>
          <w:color w:val="auto"/>
          <w:sz w:val="24"/>
          <w:szCs w:val="24"/>
          <w:highlight w:val="none"/>
        </w:rPr>
        <w:t>指按照合同约定承包人应当实施、完成并移交给发包人的永久性工程，包括工程设备。</w:t>
      </w:r>
    </w:p>
    <w:p>
      <w:pPr>
        <w:pStyle w:val="2"/>
        <w:shd w:val="clear" w:color="000000" w:fill="auto"/>
        <w:tabs>
          <w:tab w:val="left" w:pos="2160"/>
        </w:tabs>
        <w:spacing w:before="192" w:beforeLines="80" w:line="360" w:lineRule="auto"/>
        <w:ind w:left="1576"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1.41  </w:t>
      </w:r>
      <w:r>
        <w:rPr>
          <w:rFonts w:hint="eastAsia" w:ascii="仿宋" w:hAnsi="仿宋" w:eastAsia="仿宋" w:cs="仿宋"/>
          <w:b/>
          <w:bCs/>
          <w:color w:val="auto"/>
          <w:sz w:val="24"/>
          <w:szCs w:val="24"/>
          <w:highlight w:val="none"/>
        </w:rPr>
        <w:t>临时工程：</w:t>
      </w:r>
      <w:r>
        <w:rPr>
          <w:rFonts w:hint="eastAsia" w:ascii="仿宋" w:hAnsi="仿宋" w:eastAsia="仿宋" w:cs="仿宋"/>
          <w:color w:val="auto"/>
          <w:sz w:val="24"/>
          <w:szCs w:val="24"/>
          <w:highlight w:val="none"/>
        </w:rPr>
        <w:t>指实施、完成并保修永久工程过程中所需要的各类临时性工程，不包括施工设备。</w:t>
      </w:r>
    </w:p>
    <w:p>
      <w:pPr>
        <w:pStyle w:val="2"/>
        <w:shd w:val="clear" w:color="000000" w:fill="auto"/>
        <w:tabs>
          <w:tab w:val="left" w:pos="2160"/>
        </w:tabs>
        <w:spacing w:before="192" w:beforeLines="80" w:line="360" w:lineRule="auto"/>
        <w:ind w:left="1576"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1.42  </w:t>
      </w:r>
      <w:r>
        <w:rPr>
          <w:rFonts w:hint="eastAsia" w:ascii="仿宋" w:hAnsi="仿宋" w:eastAsia="仿宋" w:cs="仿宋"/>
          <w:b/>
          <w:bCs/>
          <w:color w:val="auto"/>
          <w:sz w:val="24"/>
          <w:szCs w:val="24"/>
          <w:highlight w:val="none"/>
        </w:rPr>
        <w:t>分包工程：</w:t>
      </w:r>
      <w:r>
        <w:rPr>
          <w:rFonts w:hint="eastAsia" w:ascii="仿宋" w:hAnsi="仿宋" w:eastAsia="仿宋" w:cs="仿宋"/>
          <w:color w:val="auto"/>
          <w:sz w:val="24"/>
          <w:szCs w:val="24"/>
          <w:highlight w:val="none"/>
        </w:rPr>
        <w:t>指合同工程中，由具有相应分包资质的分包人实施、完成的非主体结构（除钢结构外）的专业性工程。</w:t>
      </w:r>
    </w:p>
    <w:p>
      <w:pPr>
        <w:pStyle w:val="2"/>
        <w:shd w:val="clear" w:color="000000" w:fill="auto"/>
        <w:tabs>
          <w:tab w:val="left" w:pos="2160"/>
        </w:tabs>
        <w:spacing w:before="192" w:beforeLines="80" w:line="360" w:lineRule="auto"/>
        <w:ind w:left="1620" w:leftChars="771"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1.43  </w:t>
      </w:r>
      <w:r>
        <w:rPr>
          <w:rFonts w:hint="eastAsia" w:ascii="仿宋" w:hAnsi="仿宋" w:eastAsia="仿宋" w:cs="仿宋"/>
          <w:b/>
          <w:bCs/>
          <w:color w:val="auto"/>
          <w:sz w:val="24"/>
          <w:szCs w:val="24"/>
          <w:highlight w:val="none"/>
        </w:rPr>
        <w:t>单位工程：</w:t>
      </w:r>
      <w:r>
        <w:rPr>
          <w:rFonts w:hint="eastAsia" w:ascii="仿宋" w:hAnsi="仿宋" w:eastAsia="仿宋" w:cs="仿宋"/>
          <w:color w:val="auto"/>
          <w:sz w:val="24"/>
          <w:szCs w:val="24"/>
          <w:highlight w:val="none"/>
        </w:rPr>
        <w:t>指具有独立的设计文件，竣工后可以独立发挥生产能力和效益的永久工程。组成合同工程的单位工程名称、内容和范围等应在专用条款中明确。</w:t>
      </w:r>
    </w:p>
    <w:p>
      <w:pPr>
        <w:pStyle w:val="2"/>
        <w:shd w:val="clear" w:color="000000" w:fill="auto"/>
        <w:tabs>
          <w:tab w:val="left" w:pos="2160"/>
        </w:tabs>
        <w:spacing w:before="192" w:beforeLines="80" w:line="360" w:lineRule="auto"/>
        <w:ind w:left="1620" w:leftChars="771"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1.44  </w:t>
      </w:r>
      <w:r>
        <w:rPr>
          <w:rFonts w:hint="eastAsia" w:ascii="仿宋" w:hAnsi="仿宋" w:eastAsia="仿宋" w:cs="仿宋"/>
          <w:b/>
          <w:bCs/>
          <w:color w:val="auto"/>
          <w:sz w:val="24"/>
          <w:szCs w:val="24"/>
          <w:highlight w:val="none"/>
        </w:rPr>
        <w:t>施工场地（或工地</w:t>
      </w:r>
      <w:r>
        <w:rPr>
          <w:rFonts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rPr>
        <w:t>、现场）：</w:t>
      </w:r>
      <w:r>
        <w:rPr>
          <w:rFonts w:hint="eastAsia" w:ascii="仿宋" w:hAnsi="仿宋" w:eastAsia="仿宋" w:cs="仿宋"/>
          <w:color w:val="auto"/>
          <w:sz w:val="24"/>
          <w:szCs w:val="24"/>
          <w:highlight w:val="none"/>
        </w:rPr>
        <w:t>指由发包人提供的用于合同工程施工的场所，以及发包人在合同中具体指定的供施工使用的其他任何场所。</w:t>
      </w:r>
    </w:p>
    <w:p>
      <w:pPr>
        <w:pStyle w:val="2"/>
        <w:shd w:val="clear" w:color="000000" w:fill="auto"/>
        <w:tabs>
          <w:tab w:val="left" w:pos="2160"/>
        </w:tabs>
        <w:spacing w:before="192" w:beforeLines="80" w:line="360" w:lineRule="auto"/>
        <w:ind w:left="1620" w:leftChars="771"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1.45  </w:t>
      </w:r>
      <w:r>
        <w:rPr>
          <w:rFonts w:hint="eastAsia" w:ascii="仿宋" w:hAnsi="仿宋" w:eastAsia="仿宋" w:cs="仿宋"/>
          <w:b/>
          <w:bCs/>
          <w:color w:val="auto"/>
          <w:sz w:val="24"/>
          <w:szCs w:val="24"/>
          <w:highlight w:val="none"/>
        </w:rPr>
        <w:t>工程设备：</w:t>
      </w:r>
      <w:r>
        <w:rPr>
          <w:rFonts w:hint="eastAsia" w:ascii="仿宋" w:hAnsi="仿宋" w:eastAsia="仿宋" w:cs="仿宋"/>
          <w:color w:val="auto"/>
          <w:sz w:val="24"/>
          <w:szCs w:val="24"/>
          <w:highlight w:val="none"/>
        </w:rPr>
        <w:t>指构成或计划构成永久工程一部分的机电设备、金属结构设备、仪器装置及其他类似的设备和装置。</w:t>
      </w:r>
    </w:p>
    <w:p>
      <w:pPr>
        <w:pStyle w:val="2"/>
        <w:shd w:val="clear" w:color="000000" w:fill="auto"/>
        <w:tabs>
          <w:tab w:val="left" w:pos="2160"/>
        </w:tabs>
        <w:spacing w:before="192" w:beforeLines="80" w:line="360" w:lineRule="auto"/>
        <w:ind w:left="1620" w:leftChars="771"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1.46  </w:t>
      </w:r>
      <w:r>
        <w:rPr>
          <w:rFonts w:hint="eastAsia" w:ascii="仿宋" w:hAnsi="仿宋" w:eastAsia="仿宋" w:cs="仿宋"/>
          <w:b/>
          <w:bCs/>
          <w:color w:val="auto"/>
          <w:sz w:val="24"/>
          <w:szCs w:val="24"/>
          <w:highlight w:val="none"/>
        </w:rPr>
        <w:t>施工设备：</w:t>
      </w:r>
      <w:r>
        <w:rPr>
          <w:rFonts w:hint="eastAsia" w:ascii="仿宋" w:hAnsi="仿宋" w:eastAsia="仿宋" w:cs="仿宋"/>
          <w:color w:val="auto"/>
          <w:sz w:val="24"/>
          <w:szCs w:val="24"/>
          <w:highlight w:val="none"/>
        </w:rPr>
        <w:t>指承包人临时带入现场用于合同工程施工的仪器、机械、运输工具或其他物品，但不包括用于或安装在合同工程中的工程设备。</w:t>
      </w:r>
    </w:p>
    <w:p>
      <w:pPr>
        <w:pStyle w:val="2"/>
        <w:shd w:val="clear" w:color="000000" w:fill="auto"/>
        <w:tabs>
          <w:tab w:val="left" w:pos="2160"/>
        </w:tabs>
        <w:spacing w:before="192" w:beforeLines="80" w:line="360" w:lineRule="auto"/>
        <w:ind w:left="1576" w:leftChars="750" w:hanging="1"/>
        <w:jc w:val="left"/>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1.47  </w:t>
      </w:r>
      <w:r>
        <w:rPr>
          <w:rFonts w:hint="eastAsia" w:ascii="仿宋" w:hAnsi="仿宋" w:eastAsia="仿宋" w:cs="仿宋"/>
          <w:b/>
          <w:bCs/>
          <w:color w:val="auto"/>
          <w:sz w:val="24"/>
          <w:szCs w:val="24"/>
          <w:highlight w:val="none"/>
        </w:rPr>
        <w:t>工程变更：</w:t>
      </w:r>
      <w:r>
        <w:rPr>
          <w:rFonts w:hint="eastAsia" w:ascii="仿宋" w:hAnsi="仿宋" w:eastAsia="仿宋" w:cs="仿宋"/>
          <w:color w:val="auto"/>
          <w:sz w:val="24"/>
          <w:szCs w:val="24"/>
          <w:highlight w:val="none"/>
        </w:rPr>
        <w:t>指经发包人批准的，由监理工程师根据第</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条规定发出指令的工程任何变更。</w:t>
      </w:r>
    </w:p>
    <w:p>
      <w:pPr>
        <w:pStyle w:val="2"/>
        <w:shd w:val="clear" w:color="000000" w:fill="auto"/>
        <w:tabs>
          <w:tab w:val="left" w:pos="2160"/>
        </w:tabs>
        <w:spacing w:before="192" w:beforeLines="80" w:line="360" w:lineRule="auto"/>
        <w:ind w:left="1620" w:leftChars="771"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1.48  </w:t>
      </w:r>
      <w:r>
        <w:rPr>
          <w:rFonts w:hint="eastAsia" w:ascii="仿宋" w:hAnsi="仿宋" w:eastAsia="仿宋" w:cs="仿宋"/>
          <w:b/>
          <w:bCs/>
          <w:color w:val="auto"/>
          <w:sz w:val="24"/>
          <w:szCs w:val="24"/>
          <w:highlight w:val="none"/>
        </w:rPr>
        <w:t>索赔：</w:t>
      </w:r>
      <w:r>
        <w:rPr>
          <w:rFonts w:hint="eastAsia" w:ascii="仿宋" w:hAnsi="仿宋" w:eastAsia="仿宋" w:cs="仿宋"/>
          <w:color w:val="auto"/>
          <w:sz w:val="24"/>
          <w:szCs w:val="24"/>
          <w:highlight w:val="none"/>
        </w:rPr>
        <w:t>指合同履行期间，对于非自己的过错而应由对方当事人承担责任的情况所造成的损失，并根据第</w:t>
      </w:r>
      <w:r>
        <w:rPr>
          <w:rFonts w:ascii="仿宋" w:hAnsi="仿宋" w:eastAsia="仿宋" w:cs="仿宋"/>
          <w:color w:val="auto"/>
          <w:sz w:val="24"/>
          <w:szCs w:val="24"/>
          <w:highlight w:val="none"/>
        </w:rPr>
        <w:t>36</w:t>
      </w:r>
      <w:r>
        <w:rPr>
          <w:rFonts w:hint="eastAsia" w:ascii="仿宋" w:hAnsi="仿宋" w:eastAsia="仿宋" w:cs="仿宋"/>
          <w:color w:val="auto"/>
          <w:sz w:val="24"/>
          <w:szCs w:val="24"/>
          <w:highlight w:val="none"/>
        </w:rPr>
        <w:t>条和第</w:t>
      </w:r>
      <w:r>
        <w:rPr>
          <w:rFonts w:ascii="仿宋" w:hAnsi="仿宋" w:eastAsia="仿宋" w:cs="仿宋"/>
          <w:color w:val="auto"/>
          <w:sz w:val="24"/>
          <w:szCs w:val="24"/>
          <w:highlight w:val="none"/>
        </w:rPr>
        <w:t>74</w:t>
      </w:r>
      <w:r>
        <w:rPr>
          <w:rFonts w:hint="eastAsia" w:ascii="仿宋" w:hAnsi="仿宋" w:eastAsia="仿宋" w:cs="仿宋"/>
          <w:color w:val="auto"/>
          <w:sz w:val="24"/>
          <w:szCs w:val="24"/>
          <w:highlight w:val="none"/>
        </w:rPr>
        <w:t>条规定向对方当事人提出费用补偿和（或）工期顺延的要求。</w:t>
      </w:r>
    </w:p>
    <w:p>
      <w:pPr>
        <w:pStyle w:val="2"/>
        <w:shd w:val="clear" w:color="000000" w:fill="auto"/>
        <w:tabs>
          <w:tab w:val="left" w:pos="2160"/>
        </w:tabs>
        <w:spacing w:before="192" w:beforeLines="80" w:line="360" w:lineRule="auto"/>
        <w:ind w:left="1575" w:leftChars="750" w:firstLine="104" w:firstLineChars="43"/>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1.49  </w:t>
      </w:r>
      <w:r>
        <w:rPr>
          <w:rFonts w:hint="eastAsia" w:ascii="仿宋" w:hAnsi="仿宋" w:eastAsia="仿宋" w:cs="仿宋"/>
          <w:b/>
          <w:bCs/>
          <w:color w:val="auto"/>
          <w:sz w:val="24"/>
          <w:szCs w:val="24"/>
          <w:highlight w:val="none"/>
        </w:rPr>
        <w:t>现场签证：</w:t>
      </w:r>
      <w:r>
        <w:rPr>
          <w:rFonts w:hint="eastAsia" w:ascii="仿宋" w:hAnsi="仿宋" w:eastAsia="仿宋" w:cs="仿宋"/>
          <w:color w:val="auto"/>
          <w:sz w:val="24"/>
          <w:szCs w:val="24"/>
          <w:highlight w:val="none"/>
        </w:rPr>
        <w:t>指合同双方当事人按照第</w:t>
      </w:r>
      <w:r>
        <w:rPr>
          <w:rFonts w:ascii="仿宋" w:hAnsi="仿宋" w:eastAsia="仿宋" w:cs="仿宋"/>
          <w:color w:val="auto"/>
          <w:sz w:val="24"/>
          <w:szCs w:val="24"/>
          <w:highlight w:val="none"/>
        </w:rPr>
        <w:t>14.2</w:t>
      </w:r>
      <w:r>
        <w:rPr>
          <w:rFonts w:hint="eastAsia" w:ascii="仿宋" w:hAnsi="仿宋" w:eastAsia="仿宋" w:cs="仿宋"/>
          <w:color w:val="auto"/>
          <w:sz w:val="24"/>
          <w:szCs w:val="24"/>
          <w:highlight w:val="none"/>
        </w:rPr>
        <w:t>款约定的指定人选根据第</w:t>
      </w:r>
      <w:r>
        <w:rPr>
          <w:rFonts w:ascii="仿宋" w:hAnsi="仿宋" w:eastAsia="仿宋" w:cs="仿宋"/>
          <w:color w:val="auto"/>
          <w:sz w:val="24"/>
          <w:szCs w:val="24"/>
          <w:highlight w:val="none"/>
        </w:rPr>
        <w:t>75</w:t>
      </w:r>
      <w:r>
        <w:rPr>
          <w:rFonts w:hint="eastAsia" w:ascii="仿宋" w:hAnsi="仿宋" w:eastAsia="仿宋" w:cs="仿宋"/>
          <w:color w:val="auto"/>
          <w:sz w:val="24"/>
          <w:szCs w:val="24"/>
          <w:highlight w:val="none"/>
        </w:rPr>
        <w:t>条规定就施工过程中涉及的责任事件所作的签认证明。</w:t>
      </w:r>
    </w:p>
    <w:p>
      <w:pPr>
        <w:pStyle w:val="2"/>
        <w:shd w:val="clear" w:color="000000" w:fill="auto"/>
        <w:tabs>
          <w:tab w:val="left" w:pos="2160"/>
        </w:tabs>
        <w:spacing w:before="192" w:beforeLines="80" w:line="360" w:lineRule="auto"/>
        <w:ind w:firstLine="1581" w:firstLineChars="656"/>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1.50  </w:t>
      </w:r>
      <w:r>
        <w:rPr>
          <w:rFonts w:hint="eastAsia" w:ascii="仿宋" w:hAnsi="仿宋" w:eastAsia="仿宋" w:cs="仿宋"/>
          <w:b/>
          <w:bCs/>
          <w:color w:val="auto"/>
          <w:sz w:val="24"/>
          <w:szCs w:val="24"/>
          <w:highlight w:val="none"/>
        </w:rPr>
        <w:t>不可抗力：</w:t>
      </w:r>
      <w:r>
        <w:rPr>
          <w:rFonts w:hint="eastAsia" w:ascii="仿宋" w:hAnsi="仿宋" w:eastAsia="仿宋" w:cs="仿宋"/>
          <w:color w:val="auto"/>
          <w:sz w:val="24"/>
          <w:szCs w:val="24"/>
          <w:highlight w:val="none"/>
        </w:rPr>
        <w:t>指不能预见、不能避免并不能克服的客观情况。</w:t>
      </w:r>
    </w:p>
    <w:p>
      <w:pPr>
        <w:pStyle w:val="2"/>
        <w:shd w:val="clear" w:color="000000" w:fill="auto"/>
        <w:tabs>
          <w:tab w:val="left" w:pos="2160"/>
        </w:tabs>
        <w:spacing w:before="192" w:beforeLines="80" w:line="360" w:lineRule="auto"/>
        <w:ind w:left="1576"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1.51  </w:t>
      </w:r>
      <w:r>
        <w:rPr>
          <w:rFonts w:hint="eastAsia" w:ascii="仿宋" w:hAnsi="仿宋" w:eastAsia="仿宋" w:cs="仿宋"/>
          <w:b/>
          <w:bCs/>
          <w:color w:val="auto"/>
          <w:sz w:val="24"/>
          <w:szCs w:val="24"/>
          <w:highlight w:val="none"/>
        </w:rPr>
        <w:t>竣工验收：</w:t>
      </w:r>
      <w:r>
        <w:rPr>
          <w:rFonts w:hint="eastAsia" w:ascii="仿宋" w:hAnsi="仿宋" w:eastAsia="仿宋" w:cs="仿宋"/>
          <w:color w:val="auto"/>
          <w:sz w:val="24"/>
          <w:szCs w:val="24"/>
          <w:highlight w:val="none"/>
        </w:rPr>
        <w:t>指承包人完成了全部合同工作后，发包人按照合同要求进行的验收。</w:t>
      </w:r>
    </w:p>
    <w:p>
      <w:pPr>
        <w:pStyle w:val="2"/>
        <w:shd w:val="clear" w:color="000000" w:fill="auto"/>
        <w:tabs>
          <w:tab w:val="left" w:pos="2160"/>
        </w:tabs>
        <w:spacing w:before="192" w:beforeLines="80" w:line="360" w:lineRule="auto"/>
        <w:ind w:left="1576"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1.52  </w:t>
      </w:r>
      <w:r>
        <w:rPr>
          <w:rFonts w:hint="eastAsia" w:ascii="仿宋" w:hAnsi="仿宋" w:eastAsia="仿宋" w:cs="仿宋"/>
          <w:b/>
          <w:bCs/>
          <w:color w:val="auto"/>
          <w:sz w:val="24"/>
          <w:szCs w:val="24"/>
          <w:highlight w:val="none"/>
        </w:rPr>
        <w:t>国家验收：</w:t>
      </w:r>
      <w:r>
        <w:rPr>
          <w:rFonts w:hint="eastAsia" w:ascii="仿宋" w:hAnsi="仿宋" w:eastAsia="仿宋" w:cs="仿宋"/>
          <w:color w:val="auto"/>
          <w:sz w:val="24"/>
          <w:szCs w:val="24"/>
          <w:highlight w:val="none"/>
        </w:rPr>
        <w:t>指政府部门根据法律和政策等有关规定，针对发包人全面组织实施的整个工程正式交付投运前的验收。</w:t>
      </w:r>
    </w:p>
    <w:p>
      <w:pPr>
        <w:pStyle w:val="2"/>
        <w:shd w:val="clear" w:color="000000" w:fill="auto"/>
        <w:tabs>
          <w:tab w:val="left" w:pos="2160"/>
        </w:tabs>
        <w:spacing w:before="192" w:beforeLines="80" w:line="360" w:lineRule="auto"/>
        <w:ind w:left="1620" w:leftChars="771"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1.53  </w:t>
      </w:r>
      <w:r>
        <w:rPr>
          <w:rFonts w:hint="eastAsia" w:ascii="仿宋" w:hAnsi="仿宋" w:eastAsia="仿宋" w:cs="仿宋"/>
          <w:b/>
          <w:bCs/>
          <w:color w:val="auto"/>
          <w:sz w:val="24"/>
          <w:szCs w:val="24"/>
          <w:highlight w:val="none"/>
        </w:rPr>
        <w:t>书面形式：</w:t>
      </w:r>
      <w:r>
        <w:rPr>
          <w:rFonts w:hint="eastAsia" w:ascii="仿宋" w:hAnsi="仿宋" w:eastAsia="仿宋" w:cs="仿宋"/>
          <w:color w:val="auto"/>
          <w:sz w:val="24"/>
          <w:szCs w:val="24"/>
          <w:highlight w:val="none"/>
        </w:rPr>
        <w:t>指合同文件、信函、电报、电传、传真、电子数据交换文件、电子邮件等可以有形地表现所载内容的形式。合同双方当事人可在专用条款中注明所采用的书面形式。</w:t>
      </w:r>
    </w:p>
    <w:p>
      <w:pPr>
        <w:pStyle w:val="2"/>
        <w:shd w:val="clear" w:color="000000" w:fill="auto"/>
        <w:tabs>
          <w:tab w:val="left" w:pos="2160"/>
        </w:tabs>
        <w:spacing w:before="192" w:beforeLines="80" w:line="360" w:lineRule="auto"/>
        <w:ind w:firstLine="1581" w:firstLineChars="656"/>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1.54  </w:t>
      </w:r>
      <w:r>
        <w:rPr>
          <w:rFonts w:hint="eastAsia" w:ascii="仿宋" w:hAnsi="仿宋" w:eastAsia="仿宋" w:cs="仿宋"/>
          <w:b/>
          <w:bCs/>
          <w:color w:val="auto"/>
          <w:sz w:val="24"/>
          <w:szCs w:val="24"/>
          <w:highlight w:val="none"/>
        </w:rPr>
        <w:t>国家：</w:t>
      </w:r>
      <w:r>
        <w:rPr>
          <w:rFonts w:hint="eastAsia" w:ascii="仿宋" w:hAnsi="仿宋" w:eastAsia="仿宋" w:cs="仿宋"/>
          <w:color w:val="auto"/>
          <w:sz w:val="24"/>
          <w:szCs w:val="24"/>
          <w:highlight w:val="none"/>
        </w:rPr>
        <w:t>指中华人民共和国。</w:t>
      </w:r>
    </w:p>
    <w:p>
      <w:pPr>
        <w:shd w:val="clear" w:color="000000" w:fill="auto"/>
        <w:tabs>
          <w:tab w:val="left" w:pos="1620"/>
        </w:tabs>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p>
    <w:p>
      <w:pPr>
        <w:pStyle w:val="5"/>
        <w:numPr>
          <w:ilvl w:val="0"/>
          <w:numId w:val="0"/>
        </w:numPr>
        <w:shd w:val="clear" w:color="000000" w:fill="auto"/>
        <w:tabs>
          <w:tab w:val="left" w:pos="420"/>
        </w:tabs>
        <w:ind w:left="720" w:hanging="720"/>
        <w:rPr>
          <w:rFonts w:ascii="仿宋" w:hAnsi="仿宋" w:eastAsia="仿宋"/>
          <w:bCs w:val="0"/>
          <w:color w:val="auto"/>
          <w:sz w:val="24"/>
          <w:szCs w:val="24"/>
          <w:highlight w:val="none"/>
        </w:rPr>
      </w:pPr>
      <w:bookmarkStart w:id="114" w:name="_Toc469383981"/>
      <w:bookmarkStart w:id="115" w:name="_Toc20779"/>
      <w:bookmarkStart w:id="116" w:name="_Toc10624821"/>
      <w:r>
        <w:rPr>
          <w:rFonts w:ascii="仿宋" w:hAnsi="仿宋" w:eastAsia="仿宋" w:cs="仿宋"/>
          <w:bCs w:val="0"/>
          <w:color w:val="auto"/>
          <w:sz w:val="24"/>
          <w:szCs w:val="24"/>
          <w:highlight w:val="none"/>
        </w:rPr>
        <w:t xml:space="preserve">2  </w:t>
      </w:r>
      <w:r>
        <w:rPr>
          <w:rFonts w:hint="eastAsia" w:ascii="仿宋" w:hAnsi="仿宋" w:eastAsia="仿宋" w:cs="仿宋"/>
          <w:bCs w:val="0"/>
          <w:color w:val="auto"/>
          <w:sz w:val="24"/>
          <w:szCs w:val="24"/>
          <w:highlight w:val="none"/>
        </w:rPr>
        <w:t>合同文件及解释</w:t>
      </w:r>
      <w:bookmarkEnd w:id="114"/>
      <w:bookmarkEnd w:id="115"/>
      <w:bookmarkEnd w:id="116"/>
    </w:p>
    <w:p>
      <w:pPr>
        <w:pStyle w:val="2"/>
        <w:shd w:val="clear" w:color="000000" w:fill="auto"/>
        <w:tabs>
          <w:tab w:val="left" w:pos="1202"/>
        </w:tabs>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2.1                                                                                 </w:t>
      </w:r>
    </w:p>
    <w:p>
      <w:pPr>
        <w:pStyle w:val="2"/>
        <w:shd w:val="clear" w:color="000000" w:fill="auto"/>
        <w:tabs>
          <w:tab w:val="left" w:pos="1202"/>
          <w:tab w:val="left" w:pos="1620"/>
          <w:tab w:val="left" w:pos="1800"/>
          <w:tab w:val="left" w:pos="2160"/>
        </w:tabs>
        <w:spacing w:line="360" w:lineRule="auto"/>
        <w:ind w:firstLine="1459" w:firstLineChars="695"/>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20955</wp:posOffset>
                </wp:positionV>
                <wp:extent cx="800100" cy="297180"/>
                <wp:effectExtent l="0" t="0" r="7620" b="7620"/>
                <wp:wrapNone/>
                <wp:docPr id="1" name="文本框 2"/>
                <wp:cNvGraphicFramePr/>
                <a:graphic xmlns:a="http://schemas.openxmlformats.org/drawingml/2006/main">
                  <a:graphicData uri="http://schemas.microsoft.com/office/word/2010/wordprocessingShape">
                    <wps:wsp>
                      <wps:cNvSpPr txBox="1"/>
                      <wps:spPr>
                        <a:xfrm>
                          <a:off x="0" y="0"/>
                          <a:ext cx="800100" cy="297180"/>
                        </a:xfrm>
                        <a:prstGeom prst="rect">
                          <a:avLst/>
                        </a:prstGeom>
                        <a:solidFill>
                          <a:srgbClr val="FFFFFF"/>
                        </a:solidFill>
                        <a:ln>
                          <a:noFill/>
                        </a:ln>
                      </wps:spPr>
                      <wps:txbx>
                        <w:txbxContent>
                          <w:p>
                            <w:pPr>
                              <w:rPr>
                                <w:rFonts w:ascii="楷体_GB2312" w:hAnsi="宋体" w:eastAsia="楷体_GB2312" w:cs="Times New Roman"/>
                              </w:rPr>
                            </w:pPr>
                            <w:r>
                              <w:rPr>
                                <w:rFonts w:hint="eastAsia" w:ascii="楷体_GB2312" w:hAnsi="宋体" w:eastAsia="楷体_GB2312" w:cs="楷体_GB2312"/>
                                <w:b/>
                                <w:bCs/>
                                <w:color w:val="000000"/>
                                <w:sz w:val="18"/>
                                <w:szCs w:val="18"/>
                              </w:rPr>
                              <w:t>标题和旁注</w:t>
                            </w:r>
                          </w:p>
                        </w:txbxContent>
                      </wps:txbx>
                      <wps:bodyPr upright="1"/>
                    </wps:wsp>
                  </a:graphicData>
                </a:graphic>
              </wp:anchor>
            </w:drawing>
          </mc:Choice>
          <mc:Fallback>
            <w:pict>
              <v:shape id="文本框 2" o:spid="_x0000_s1026" o:spt="202" type="#_x0000_t202" style="position:absolute;left:0pt;margin-left:-9pt;margin-top:1.65pt;height:23.4pt;width:63pt;z-index:251659264;mso-width-relative:page;mso-height-relative:page;" fillcolor="#FFFFFF" filled="t" stroked="f" coordsize="21600,21600" o:gfxdata="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mWItr1QAAAAgBAAAPAAAAAAAAAAEAIAAAACIAAABkcnMvZG93bnJldi54bWxQSwEC&#10;FAAUAAAACACHTuJAPSUXsb4BAAB2AwAADgAAAAAAAAABACAAAAAkAQAAZHJzL2Uyb0RvYy54bWxQ&#10;SwUGAAAAAAYABgBZAQAAVAUAAAAA&#10;">
                <v:fill on="t" focussize="0,0"/>
                <v:stroke on="f"/>
                <v:imagedata o:title=""/>
                <o:lock v:ext="edit" aspectratio="f"/>
                <v:textbox>
                  <w:txbxContent>
                    <w:p>
                      <w:pPr>
                        <w:rPr>
                          <w:rFonts w:ascii="楷体_GB2312" w:hAnsi="宋体" w:eastAsia="楷体_GB2312" w:cs="Times New Roman"/>
                        </w:rPr>
                      </w:pPr>
                      <w:r>
                        <w:rPr>
                          <w:rFonts w:hint="eastAsia" w:ascii="楷体_GB2312" w:hAnsi="宋体" w:eastAsia="楷体_GB2312" w:cs="楷体_GB2312"/>
                          <w:b/>
                          <w:bCs/>
                          <w:color w:val="000000"/>
                          <w:sz w:val="18"/>
                          <w:szCs w:val="18"/>
                        </w:rPr>
                        <w:t>标题和旁注</w:t>
                      </w:r>
                    </w:p>
                  </w:txbxContent>
                </v:textbox>
              </v:shape>
            </w:pict>
          </mc:Fallback>
        </mc:AlternateContent>
      </w:r>
      <w:r>
        <w:rPr>
          <w:rFonts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本合同条款的标题和旁注不构成合同的组成部分。</w:t>
      </w:r>
    </w:p>
    <w:p>
      <w:pPr>
        <w:pStyle w:val="2"/>
        <w:shd w:val="clear" w:color="000000" w:fill="auto"/>
        <w:tabs>
          <w:tab w:val="left" w:pos="1202"/>
        </w:tabs>
        <w:spacing w:line="360" w:lineRule="auto"/>
        <w:rPr>
          <w:rFonts w:ascii="仿宋" w:hAnsi="仿宋" w:eastAsia="仿宋" w:cs="Times New Roman"/>
          <w:b/>
          <w:bCs/>
          <w:color w:val="auto"/>
          <w:sz w:val="24"/>
          <w:szCs w:val="24"/>
          <w:highlight w:val="none"/>
        </w:rPr>
      </w:pPr>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2.2  </w:t>
      </w:r>
      <w:r>
        <w:rPr>
          <w:rFonts w:ascii="仿宋" w:hAnsi="仿宋" w:eastAsia="仿宋" w:cs="仿宋"/>
          <w:b/>
          <w:bCs/>
          <w:color w:val="auto"/>
          <w:sz w:val="24"/>
          <w:szCs w:val="24"/>
          <w:highlight w:val="none"/>
          <w:u w:val="dotted"/>
        </w:rPr>
        <w:t xml:space="preserve">                                                                             </w:t>
      </w:r>
    </w:p>
    <w:p>
      <w:pPr>
        <w:pStyle w:val="2"/>
        <w:shd w:val="clear" w:color="000000" w:fill="auto"/>
        <w:tabs>
          <w:tab w:val="left" w:pos="1320"/>
        </w:tabs>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67310</wp:posOffset>
                </wp:positionV>
                <wp:extent cx="914400" cy="527050"/>
                <wp:effectExtent l="0" t="0" r="0" b="0"/>
                <wp:wrapNone/>
                <wp:docPr id="2" name="文本框 3"/>
                <wp:cNvGraphicFramePr/>
                <a:graphic xmlns:a="http://schemas.openxmlformats.org/drawingml/2006/main">
                  <a:graphicData uri="http://schemas.microsoft.com/office/word/2010/wordprocessingShape">
                    <wps:wsp>
                      <wps:cNvSpPr txBox="1"/>
                      <wps:spPr>
                        <a:xfrm>
                          <a:off x="0" y="0"/>
                          <a:ext cx="914400" cy="52705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合同文件组成及优先顺序</w:t>
                            </w:r>
                          </w:p>
                        </w:txbxContent>
                      </wps:txbx>
                      <wps:bodyPr upright="1"/>
                    </wps:wsp>
                  </a:graphicData>
                </a:graphic>
              </wp:anchor>
            </w:drawing>
          </mc:Choice>
          <mc:Fallback>
            <w:pict>
              <v:shape id="文本框 3" o:spid="_x0000_s1026" o:spt="202" type="#_x0000_t202" style="position:absolute;left:0pt;margin-left:-9pt;margin-top:5.3pt;height:41.5pt;width:72pt;z-index:251660288;mso-width-relative:page;mso-height-relative:page;" filled="f" stroked="f" coordsize="21600,21600" o:gfxdata="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IQFTvWAAAA&#10;CQEAAA8AAAAAAAAAAQAgAAAAIgAAAGRycy9kb3ducmV2LnhtbFBLAQIUABQAAAAIAIdO4kATx+/4&#10;rQEAAE0DAAAOAAAAAAAAAAEAIAAAACUBAABkcnMvZTJvRG9jLnhtbFBLBQYAAAAABgAGAFkBAABE&#10;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合同文件组成及优先顺序</w:t>
                      </w:r>
                    </w:p>
                  </w:txbxContent>
                </v:textbox>
              </v:shape>
            </w:pict>
          </mc:Fallback>
        </mc:AlternateContent>
      </w:r>
      <w:r>
        <w:rPr>
          <w:rFonts w:hint="eastAsia" w:ascii="仿宋" w:hAnsi="仿宋" w:eastAsia="仿宋" w:cs="仿宋"/>
          <w:color w:val="auto"/>
          <w:sz w:val="24"/>
          <w:szCs w:val="24"/>
          <w:highlight w:val="none"/>
        </w:rPr>
        <w:t>下列组成本合同的文件是一个合同整体，彼此应当能相互解释，互为说明。当出现相互矛盾时，组成本合同文件的优先解释顺序如下：</w:t>
      </w:r>
    </w:p>
    <w:p>
      <w:pPr>
        <w:pStyle w:val="2"/>
        <w:numPr>
          <w:ilvl w:val="0"/>
          <w:numId w:val="2"/>
        </w:numPr>
        <w:shd w:val="clear" w:color="000000" w:fill="auto"/>
        <w:spacing w:line="360" w:lineRule="auto"/>
        <w:ind w:firstLine="540"/>
        <w:jc w:val="left"/>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履行本合同的相关补充协议（含工程洽商记录、会议纪要、工程变更、现场签</w:t>
      </w:r>
    </w:p>
    <w:p>
      <w:pPr>
        <w:pStyle w:val="2"/>
        <w:shd w:val="clear" w:color="000000" w:fill="auto"/>
        <w:spacing w:line="360" w:lineRule="auto"/>
        <w:ind w:left="1620"/>
        <w:jc w:val="left"/>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证、等修正文件）；</w:t>
      </w:r>
    </w:p>
    <w:p>
      <w:pPr>
        <w:pStyle w:val="2"/>
        <w:numPr>
          <w:ilvl w:val="0"/>
          <w:numId w:val="2"/>
        </w:numPr>
        <w:shd w:val="clear" w:color="000000" w:fill="auto"/>
        <w:tabs>
          <w:tab w:val="left" w:pos="1620"/>
          <w:tab w:val="clear" w:pos="1080"/>
        </w:tabs>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协议书；</w:t>
      </w:r>
    </w:p>
    <w:p>
      <w:pPr>
        <w:pStyle w:val="2"/>
        <w:numPr>
          <w:ilvl w:val="0"/>
          <w:numId w:val="2"/>
        </w:numPr>
        <w:shd w:val="clear" w:color="000000" w:fill="auto"/>
        <w:spacing w:line="360" w:lineRule="auto"/>
        <w:ind w:firstLine="54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中标通知书（适用于招标工程）；</w:t>
      </w:r>
    </w:p>
    <w:p>
      <w:pPr>
        <w:pStyle w:val="2"/>
        <w:numPr>
          <w:ilvl w:val="0"/>
          <w:numId w:val="2"/>
        </w:numPr>
        <w:shd w:val="clear" w:color="000000" w:fill="auto"/>
        <w:tabs>
          <w:tab w:val="left" w:pos="1620"/>
        </w:tabs>
        <w:spacing w:line="360" w:lineRule="auto"/>
        <w:ind w:left="1620" w:leftChars="771" w:hanging="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承包人投标文件及其附件（含评标期间的澄清文件和补充资料）（适用于招标工程）；确认的工程量清单报价单或施工图预算书（适用于非招标工程）；</w:t>
      </w:r>
    </w:p>
    <w:p>
      <w:pPr>
        <w:pStyle w:val="2"/>
        <w:numPr>
          <w:ilvl w:val="0"/>
          <w:numId w:val="2"/>
        </w:numPr>
        <w:shd w:val="clear" w:color="000000" w:fill="auto"/>
        <w:spacing w:line="360" w:lineRule="auto"/>
        <w:ind w:firstLine="54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专用条款；</w:t>
      </w:r>
    </w:p>
    <w:p>
      <w:pPr>
        <w:pStyle w:val="2"/>
        <w:numPr>
          <w:ilvl w:val="0"/>
          <w:numId w:val="2"/>
        </w:numPr>
        <w:shd w:val="clear" w:color="000000" w:fill="auto"/>
        <w:spacing w:line="360" w:lineRule="auto"/>
        <w:ind w:firstLine="54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通用条款；</w:t>
      </w:r>
    </w:p>
    <w:p>
      <w:pPr>
        <w:pStyle w:val="2"/>
        <w:numPr>
          <w:ilvl w:val="0"/>
          <w:numId w:val="2"/>
        </w:numPr>
        <w:shd w:val="clear" w:color="000000" w:fill="auto"/>
        <w:spacing w:line="360" w:lineRule="auto"/>
        <w:ind w:firstLine="54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标准、规范及有关技术文件；</w:t>
      </w:r>
    </w:p>
    <w:p>
      <w:pPr>
        <w:pStyle w:val="2"/>
        <w:numPr>
          <w:ilvl w:val="0"/>
          <w:numId w:val="2"/>
        </w:numPr>
        <w:shd w:val="clear" w:color="000000" w:fill="auto"/>
        <w:spacing w:line="360" w:lineRule="auto"/>
        <w:ind w:left="1077" w:firstLine="54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施工设计图纸；</w:t>
      </w:r>
    </w:p>
    <w:p>
      <w:pPr>
        <w:pStyle w:val="2"/>
        <w:numPr>
          <w:ilvl w:val="0"/>
          <w:numId w:val="2"/>
        </w:numPr>
        <w:shd w:val="clear" w:color="000000" w:fill="auto"/>
        <w:spacing w:line="360" w:lineRule="auto"/>
        <w:ind w:left="1077" w:firstLine="54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招标文件（包括补充、修改、澄清的文件、招标图纸、答疑纪要、工程量清单</w:t>
      </w:r>
    </w:p>
    <w:p>
      <w:pPr>
        <w:pStyle w:val="2"/>
        <w:shd w:val="clear" w:color="000000" w:fill="auto"/>
        <w:spacing w:line="360" w:lineRule="auto"/>
        <w:ind w:left="1617"/>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及总说明等）；</w:t>
      </w:r>
    </w:p>
    <w:p>
      <w:pPr>
        <w:pStyle w:val="2"/>
        <w:numPr>
          <w:ilvl w:val="0"/>
          <w:numId w:val="2"/>
        </w:numPr>
        <w:shd w:val="clear" w:color="000000" w:fill="auto"/>
        <w:spacing w:line="360" w:lineRule="auto"/>
        <w:ind w:left="1077" w:firstLine="54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专用条款约定的其他文件。</w:t>
      </w:r>
    </w:p>
    <w:p>
      <w:pPr>
        <w:shd w:val="clear" w:color="000000" w:fill="auto"/>
        <w:ind w:left="1197" w:leftChars="570" w:firstLine="240" w:firstLineChars="1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上述各项合同文件包括合同当事人就该项合同文件所作出的补充和修改，属于同一类</w:t>
      </w:r>
    </w:p>
    <w:p>
      <w:pPr>
        <w:shd w:val="clear" w:color="000000" w:fill="auto"/>
        <w:ind w:left="1197" w:leftChars="570" w:firstLine="240" w:firstLineChars="1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内容的文件，应以最新签署的为准。</w:t>
      </w:r>
    </w:p>
    <w:p>
      <w:pPr>
        <w:pStyle w:val="2"/>
        <w:shd w:val="clear" w:color="000000" w:fill="auto"/>
        <w:tabs>
          <w:tab w:val="left" w:pos="540"/>
          <w:tab w:val="left" w:pos="1202"/>
        </w:tabs>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2.3  </w:t>
      </w:r>
      <w:r>
        <w:rPr>
          <w:rFonts w:ascii="仿宋" w:hAnsi="仿宋" w:eastAsia="仿宋" w:cs="仿宋"/>
          <w:b/>
          <w:bCs/>
          <w:color w:val="auto"/>
          <w:sz w:val="24"/>
          <w:szCs w:val="24"/>
          <w:highlight w:val="none"/>
          <w:u w:val="dotted"/>
        </w:rPr>
        <w:t xml:space="preserve">                                                                                                        </w:t>
      </w:r>
    </w:p>
    <w:p>
      <w:pPr>
        <w:pStyle w:val="2"/>
        <w:shd w:val="clear" w:color="000000" w:fill="auto"/>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3" name="文本框 4"/>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监理或造价工程师作出解释</w:t>
                            </w:r>
                          </w:p>
                        </w:txbxContent>
                      </wps:txbx>
                      <wps:bodyPr upright="1"/>
                    </wps:wsp>
                  </a:graphicData>
                </a:graphic>
              </wp:anchor>
            </w:drawing>
          </mc:Choice>
          <mc:Fallback>
            <w:pict>
              <v:shape id="文本框 4" o:spid="_x0000_s1026" o:spt="202" type="#_x0000_t202" style="position:absolute;left:0pt;margin-left:-9pt;margin-top:0pt;height:62.4pt;width:72pt;z-index:251661312;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Kk2VHNUAAAAI&#10;AQAADwAAAAAAAAABACAAAAAiAAAAZHJzL2Rvd25yZXYueG1sUEsBAhQAFAAAAAgAh07iQN9q8Net&#10;AQAATQMAAA4AAAAAAAAAAQAgAAAAJAEAAGRycy9lMm9Eb2MueG1sUEsFBgAAAAAGAAYAWQEAAEMF&#10;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监理或造价工程师作出解释</w:t>
                      </w:r>
                    </w:p>
                  </w:txbxContent>
                </v:textbox>
              </v:shape>
            </w:pict>
          </mc:Fallback>
        </mc:AlternateContent>
      </w:r>
      <w:r>
        <w:rPr>
          <w:rFonts w:hint="eastAsia" w:ascii="仿宋" w:hAnsi="仿宋" w:eastAsia="仿宋" w:cs="仿宋"/>
          <w:color w:val="auto"/>
          <w:sz w:val="24"/>
          <w:szCs w:val="24"/>
          <w:highlight w:val="none"/>
        </w:rPr>
        <w:t>当合同文件内容出现含糊不清或不一致时，由合同双方当事人在不影响合同工程正常实施的情况下协商解决。协商不成的，由监理工程师、造价工程师分别按照第</w:t>
      </w:r>
      <w:r>
        <w:rPr>
          <w:rFonts w:ascii="仿宋" w:hAnsi="仿宋" w:eastAsia="仿宋" w:cs="仿宋"/>
          <w:color w:val="auto"/>
          <w:sz w:val="24"/>
          <w:szCs w:val="24"/>
          <w:highlight w:val="none"/>
        </w:rPr>
        <w:t>23.2</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24.2</w:t>
      </w:r>
      <w:r>
        <w:rPr>
          <w:rFonts w:hint="eastAsia" w:ascii="仿宋" w:hAnsi="仿宋" w:eastAsia="仿宋" w:cs="仿宋"/>
          <w:color w:val="auto"/>
          <w:sz w:val="24"/>
          <w:szCs w:val="24"/>
          <w:highlight w:val="none"/>
        </w:rPr>
        <w:t>款规定职权作出解释。如合同任何一方当事人不同意监理工程师或造价工程师作出的解释，按照第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条规定处理。</w:t>
      </w:r>
    </w:p>
    <w:p>
      <w:pPr>
        <w:shd w:val="clear" w:color="000000" w:fill="auto"/>
        <w:spacing w:line="360" w:lineRule="auto"/>
        <w:jc w:val="left"/>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numPr>
          <w:ilvl w:val="0"/>
          <w:numId w:val="0"/>
        </w:numPr>
        <w:shd w:val="clear" w:color="000000" w:fill="auto"/>
        <w:tabs>
          <w:tab w:val="left" w:pos="420"/>
        </w:tabs>
        <w:ind w:left="720"/>
        <w:rPr>
          <w:rFonts w:ascii="仿宋" w:hAnsi="仿宋" w:eastAsia="仿宋"/>
          <w:bCs w:val="0"/>
          <w:color w:val="auto"/>
          <w:sz w:val="24"/>
          <w:szCs w:val="24"/>
          <w:highlight w:val="none"/>
        </w:rPr>
      </w:pPr>
      <w:bookmarkStart w:id="117" w:name="_Toc469383982"/>
      <w:bookmarkStart w:id="118" w:name="_Toc10624822"/>
      <w:bookmarkStart w:id="119" w:name="_Toc26821"/>
      <w:r>
        <w:rPr>
          <w:rFonts w:ascii="仿宋" w:hAnsi="仿宋" w:eastAsia="仿宋" w:cs="仿宋"/>
          <w:bCs w:val="0"/>
          <w:color w:val="auto"/>
          <w:sz w:val="24"/>
          <w:szCs w:val="24"/>
          <w:highlight w:val="none"/>
        </w:rPr>
        <w:t xml:space="preserve">3  </w:t>
      </w:r>
      <w:r>
        <w:rPr>
          <w:rFonts w:hint="eastAsia" w:ascii="仿宋" w:hAnsi="仿宋" w:eastAsia="仿宋" w:cs="仿宋"/>
          <w:bCs w:val="0"/>
          <w:color w:val="auto"/>
          <w:sz w:val="24"/>
          <w:szCs w:val="24"/>
          <w:highlight w:val="none"/>
        </w:rPr>
        <w:t>阅读、理解与接受</w:t>
      </w:r>
      <w:bookmarkEnd w:id="117"/>
      <w:bookmarkEnd w:id="118"/>
      <w:bookmarkEnd w:id="119"/>
    </w:p>
    <w:p>
      <w:pPr>
        <w:shd w:val="clear" w:color="000000" w:fill="auto"/>
        <w:tabs>
          <w:tab w:val="left" w:pos="1260"/>
        </w:tabs>
        <w:spacing w:before="240" w:beforeLines="100"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3.1 </w:t>
      </w:r>
    </w:p>
    <w:p>
      <w:pPr>
        <w:pStyle w:val="2"/>
        <w:shd w:val="clear" w:color="000000" w:fill="auto"/>
        <w:tabs>
          <w:tab w:val="left" w:pos="540"/>
          <w:tab w:val="left" w:pos="1202"/>
        </w:tabs>
        <w:spacing w:line="360" w:lineRule="auto"/>
        <w:ind w:left="1440" w:leftChars="685" w:hanging="2"/>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4" name="文本框 5"/>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阅读、理解与接受</w:t>
                            </w:r>
                          </w:p>
                        </w:txbxContent>
                      </wps:txbx>
                      <wps:bodyPr upright="1"/>
                    </wps:wsp>
                  </a:graphicData>
                </a:graphic>
              </wp:anchor>
            </w:drawing>
          </mc:Choice>
          <mc:Fallback>
            <w:pict>
              <v:shape id="文本框 5" o:spid="_x0000_s1026" o:spt="202" type="#_x0000_t202" style="position:absolute;left:0pt;margin-left:-9pt;margin-top:0pt;height:62.4pt;width:72pt;z-index:251662336;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Kk2VHNUAAAAI&#10;AQAADwAAAAAAAAABACAAAAAiAAAAZHJzL2Rvd25yZXYueG1sUEsBAhQAFAAAAAgAh07iQEqxw6St&#10;AQAATQMAAA4AAAAAAAAAAQAgAAAAJAEAAGRycy9lMm9Eb2MueG1sUEsFBgAAAAAGAAYAWQEAAEMF&#10;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阅读、理解与接受</w:t>
                      </w:r>
                    </w:p>
                  </w:txbxContent>
                </v:textbox>
              </v:shape>
            </w:pict>
          </mc:Fallback>
        </mc:AlternateContent>
      </w:r>
      <w:r>
        <w:rPr>
          <w:rFonts w:hint="eastAsia" w:ascii="仿宋" w:hAnsi="仿宋" w:eastAsia="仿宋" w:cs="仿宋"/>
          <w:color w:val="auto"/>
          <w:sz w:val="24"/>
          <w:szCs w:val="24"/>
          <w:highlight w:val="none"/>
        </w:rPr>
        <w:t>合同双方当事人应认真阅读和理解本合同的全部内容。除合同双方当事人同意修改外，本合同一旦订立，视为合同双方当事人已全面接受本合同的所有条款。</w:t>
      </w:r>
    </w:p>
    <w:p>
      <w:pPr>
        <w:pStyle w:val="2"/>
        <w:shd w:val="clear" w:color="000000" w:fill="auto"/>
        <w:tabs>
          <w:tab w:val="left" w:pos="2160"/>
        </w:tabs>
        <w:spacing w:before="192" w:beforeLines="80" w:line="360" w:lineRule="auto"/>
        <w:ind w:left="1418" w:hanging="1417" w:hangingChars="675"/>
        <w:rPr>
          <w:rFonts w:ascii="仿宋" w:hAnsi="仿宋" w:eastAsia="仿宋" w:cs="仿宋"/>
          <w:b/>
          <w:bCs/>
          <w:color w:val="auto"/>
          <w:sz w:val="24"/>
          <w:szCs w:val="24"/>
          <w:highlight w:val="none"/>
          <w:u w:val="dotted"/>
        </w:rPr>
      </w:pP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396240</wp:posOffset>
                </wp:positionV>
                <wp:extent cx="952500" cy="792480"/>
                <wp:effectExtent l="0" t="0" r="0" b="0"/>
                <wp:wrapNone/>
                <wp:docPr id="5" name="文本框 6"/>
                <wp:cNvGraphicFramePr/>
                <a:graphic xmlns:a="http://schemas.openxmlformats.org/drawingml/2006/main">
                  <a:graphicData uri="http://schemas.microsoft.com/office/word/2010/wordprocessingShape">
                    <wps:wsp>
                      <wps:cNvSpPr txBox="1"/>
                      <wps:spPr>
                        <a:xfrm>
                          <a:off x="0" y="0"/>
                          <a:ext cx="952500" cy="7924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修改合同条款的限制</w:t>
                            </w:r>
                          </w:p>
                        </w:txbxContent>
                      </wps:txbx>
                      <wps:bodyPr upright="1"/>
                    </wps:wsp>
                  </a:graphicData>
                </a:graphic>
              </wp:anchor>
            </w:drawing>
          </mc:Choice>
          <mc:Fallback>
            <w:pict>
              <v:shape id="文本框 6" o:spid="_x0000_s1026" o:spt="202" type="#_x0000_t202" style="position:absolute;left:0pt;margin-left:-9pt;margin-top:31.2pt;height:62.4pt;width:75pt;z-index:251663360;mso-width-relative:page;mso-height-relative:page;" filled="f" stroked="f" coordsize="21600,21600" o:gfxdata="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ReVDtgA&#10;AAAKAQAADwAAAAAAAAABACAAAAAiAAAAZHJzL2Rvd25yZXYueG1sUEsBAhQAFAAAAAgAh07iQACb&#10;Uc2tAQAATQMAAA4AAAAAAAAAAQAgAAAAJwEAAGRycy9lMm9Eb2MueG1sUEsFBgAAAAAGAAYAWQEA&#10;AEY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修改合同条款的限制</w:t>
                      </w:r>
                    </w:p>
                  </w:txbxContent>
                </v:textbox>
              </v:shape>
            </w:pict>
          </mc:Fallback>
        </mc:AlternateContent>
      </w:r>
      <w:r>
        <w:rPr>
          <w:rFonts w:ascii="仿宋" w:hAnsi="仿宋" w:eastAsia="仿宋" w:cs="仿宋"/>
          <w:b/>
          <w:bCs/>
          <w:color w:val="auto"/>
          <w:sz w:val="24"/>
          <w:szCs w:val="24"/>
          <w:highlight w:val="none"/>
        </w:rPr>
        <w:t xml:space="preserve">3.2  </w:t>
      </w:r>
      <w:r>
        <w:rPr>
          <w:rFonts w:ascii="仿宋" w:hAnsi="仿宋" w:eastAsia="仿宋" w:cs="仿宋"/>
          <w:b/>
          <w:bCs/>
          <w:color w:val="auto"/>
          <w:sz w:val="24"/>
          <w:szCs w:val="24"/>
          <w:highlight w:val="none"/>
          <w:u w:val="dotted"/>
        </w:rPr>
        <w:t xml:space="preserve">                                                                               </w:t>
      </w:r>
    </w:p>
    <w:p>
      <w:pPr>
        <w:pStyle w:val="2"/>
        <w:shd w:val="clear" w:color="000000" w:fill="auto"/>
        <w:tabs>
          <w:tab w:val="left" w:pos="2160"/>
        </w:tabs>
        <w:spacing w:before="192" w:beforeLines="80" w:line="360" w:lineRule="auto"/>
        <w:ind w:left="1618" w:leftChars="741" w:hanging="62" w:hangingChars="26"/>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一方当事人违背本合同的承诺，要求另一方当事人接受其对拟订立或正在履行的本合同条款修改后存在不公平的条款，另一方当事人不接受的，应及时提出修正意见。经再次催告修正无效的情况下，不利一方当事人有权拒绝订立或单方解除本合同；给对方当事人造成损失的，责任方应予赔偿。</w:t>
      </w:r>
    </w:p>
    <w:p>
      <w:pPr>
        <w:pStyle w:val="2"/>
        <w:shd w:val="clear" w:color="000000" w:fill="auto"/>
        <w:adjustRightInd w:val="0"/>
        <w:snapToGrid w:val="0"/>
        <w:ind w:right="-238"/>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numPr>
          <w:ilvl w:val="0"/>
          <w:numId w:val="0"/>
        </w:numPr>
        <w:shd w:val="clear" w:color="000000" w:fill="auto"/>
        <w:tabs>
          <w:tab w:val="left" w:pos="420"/>
        </w:tabs>
        <w:ind w:left="720"/>
        <w:rPr>
          <w:rFonts w:ascii="仿宋" w:hAnsi="仿宋" w:eastAsia="仿宋"/>
          <w:bCs w:val="0"/>
          <w:color w:val="auto"/>
          <w:sz w:val="24"/>
          <w:szCs w:val="24"/>
          <w:highlight w:val="none"/>
        </w:rPr>
      </w:pPr>
      <w:bookmarkStart w:id="120" w:name="_Toc10624823"/>
      <w:bookmarkStart w:id="121" w:name="_Toc12468"/>
      <w:bookmarkStart w:id="122" w:name="_Toc469383983"/>
      <w:r>
        <w:rPr>
          <w:rFonts w:ascii="仿宋" w:hAnsi="仿宋" w:eastAsia="仿宋" w:cs="仿宋"/>
          <w:bCs w:val="0"/>
          <w:color w:val="auto"/>
          <w:sz w:val="24"/>
          <w:szCs w:val="24"/>
          <w:highlight w:val="none"/>
        </w:rPr>
        <w:t xml:space="preserve">4  </w:t>
      </w:r>
      <w:r>
        <w:rPr>
          <w:rFonts w:hint="eastAsia" w:ascii="仿宋" w:hAnsi="仿宋" w:eastAsia="仿宋" w:cs="仿宋"/>
          <w:bCs w:val="0"/>
          <w:color w:val="auto"/>
          <w:sz w:val="24"/>
          <w:szCs w:val="24"/>
          <w:highlight w:val="none"/>
        </w:rPr>
        <w:t>语言及适用的法律、标准与规范</w:t>
      </w:r>
      <w:bookmarkEnd w:id="120"/>
      <w:bookmarkEnd w:id="121"/>
      <w:bookmarkEnd w:id="122"/>
    </w:p>
    <w:p>
      <w:pPr>
        <w:shd w:val="clear" w:color="000000" w:fill="auto"/>
        <w:tabs>
          <w:tab w:val="left" w:pos="1320"/>
        </w:tabs>
        <w:spacing w:line="360" w:lineRule="auto"/>
        <w:ind w:right="-15" w:rightChars="-7"/>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4.1                         </w:t>
      </w:r>
    </w:p>
    <w:p>
      <w:pPr>
        <w:shd w:val="clear" w:color="000000" w:fill="auto"/>
        <w:tabs>
          <w:tab w:val="left" w:pos="1620"/>
        </w:tabs>
        <w:spacing w:line="360" w:lineRule="auto"/>
        <w:ind w:left="2156" w:right="-7" w:hanging="2156" w:hangingChars="895"/>
        <w:rPr>
          <w:rFonts w:ascii="仿宋" w:hAnsi="仿宋" w:eastAsia="仿宋" w:cs="Times New Roman"/>
          <w:color w:val="auto"/>
          <w:sz w:val="24"/>
          <w:szCs w:val="24"/>
          <w:highlight w:val="none"/>
        </w:rPr>
      </w:pPr>
      <w:r>
        <w:rPr>
          <w:rFonts w:hint="eastAsia" w:ascii="仿宋" w:hAnsi="仿宋" w:eastAsia="仿宋" w:cs="仿宋"/>
          <w:b/>
          <w:bCs/>
          <w:color w:val="auto"/>
          <w:sz w:val="24"/>
          <w:szCs w:val="24"/>
          <w:highlight w:val="none"/>
        </w:rPr>
        <w:t>语言文字</w:t>
      </w:r>
      <w:r>
        <w:rPr>
          <w:rFonts w:ascii="仿宋" w:hAnsi="仿宋" w:eastAsia="仿宋" w:cs="仿宋"/>
          <w:b/>
          <w:bCs/>
          <w:color w:val="auto"/>
          <w:sz w:val="24"/>
          <w:szCs w:val="24"/>
          <w:highlight w:val="non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本合同所使用的语言文字为中文（汉语）。</w:t>
      </w:r>
    </w:p>
    <w:p>
      <w:pPr>
        <w:shd w:val="clear" w:color="000000" w:fill="auto"/>
        <w:tabs>
          <w:tab w:val="left" w:pos="1620"/>
        </w:tabs>
        <w:spacing w:line="360" w:lineRule="auto"/>
        <w:ind w:left="1579" w:leftChars="752" w:firstLine="117" w:firstLineChars="4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对于必须使用外文表达的专用术语等，应附有中文注释。合同当事人在合同中使用两种以上语言时，汉语为优先解释和说明合同的语言。</w:t>
      </w:r>
    </w:p>
    <w:p>
      <w:pPr>
        <w:shd w:val="clear" w:color="000000" w:fill="auto"/>
        <w:tabs>
          <w:tab w:val="left" w:pos="1320"/>
        </w:tabs>
        <w:spacing w:line="360" w:lineRule="auto"/>
        <w:ind w:right="-7"/>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4.2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pPr>
        <w:pStyle w:val="33"/>
        <w:shd w:val="clear" w:color="000000" w:fill="auto"/>
        <w:ind w:left="1617" w:leftChars="770" w:firstLine="1"/>
        <w:rPr>
          <w:rFonts w:ascii="仿宋" w:hAnsi="仿宋" w:eastAsia="仿宋"/>
          <w:color w:val="auto"/>
          <w:highlight w:val="none"/>
        </w:rPr>
      </w:pP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38100</wp:posOffset>
                </wp:positionV>
                <wp:extent cx="1028700" cy="4572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wps:spPr>
                      <wps:txbx>
                        <w:txbxContent>
                          <w:p>
                            <w:pPr>
                              <w:rPr>
                                <w:rFonts w:ascii="楷体_GB2312" w:eastAsia="楷体_GB2312" w:cs="Times New Roman"/>
                                <w:sz w:val="18"/>
                                <w:szCs w:val="18"/>
                              </w:rPr>
                            </w:pPr>
                            <w:r>
                              <w:rPr>
                                <w:rFonts w:hint="eastAsia" w:ascii="楷体_GB2312" w:eastAsia="楷体_GB2312" w:cs="楷体_GB2312"/>
                                <w:b/>
                                <w:bCs/>
                                <w:color w:val="000000"/>
                                <w:sz w:val="18"/>
                                <w:szCs w:val="18"/>
                              </w:rPr>
                              <w:t>适用法律</w:t>
                            </w:r>
                          </w:p>
                        </w:txbxContent>
                      </wps:txbx>
                      <wps:bodyPr upright="1"/>
                    </wps:wsp>
                  </a:graphicData>
                </a:graphic>
              </wp:anchor>
            </w:drawing>
          </mc:Choice>
          <mc:Fallback>
            <w:pict>
              <v:shape id="文本框 7" o:spid="_x0000_s1026" o:spt="202" type="#_x0000_t202" style="position:absolute;left:0pt;margin-left:-9pt;margin-top:3pt;height:36pt;width:81pt;z-index:251664384;mso-width-relative:page;mso-height-relative:page;" filled="f" stroked="f" coordsize="21600,21600" o:gfxdata="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LkcJrPUAAAACAEA&#10;AA8AAAAAAAAAAQAgAAAAIgAAAGRycy9kb3ducmV2LnhtbFBLAQIUABQAAAAIAIdO4kDBDXnyrAEA&#10;AE4DAAAOAAAAAAAAAAEAIAAAACMBAABkcnMvZTJvRG9jLnhtbFBLBQYAAAAABgAGAFkBAABBBQAA&#10;AAA=&#10;">
                <v:fill on="f" focussize="0,0"/>
                <v:stroke on="f"/>
                <v:imagedata o:title=""/>
                <o:lock v:ext="edit" aspectratio="f"/>
                <v:textbox>
                  <w:txbxContent>
                    <w:p>
                      <w:pPr>
                        <w:rPr>
                          <w:rFonts w:ascii="楷体_GB2312" w:eastAsia="楷体_GB2312" w:cs="Times New Roman"/>
                          <w:sz w:val="18"/>
                          <w:szCs w:val="18"/>
                        </w:rPr>
                      </w:pPr>
                      <w:r>
                        <w:rPr>
                          <w:rFonts w:hint="eastAsia" w:ascii="楷体_GB2312" w:eastAsia="楷体_GB2312" w:cs="楷体_GB2312"/>
                          <w:b/>
                          <w:bCs/>
                          <w:color w:val="000000"/>
                          <w:sz w:val="18"/>
                          <w:szCs w:val="18"/>
                        </w:rPr>
                        <w:t>适用法律</w:t>
                      </w:r>
                    </w:p>
                  </w:txbxContent>
                </v:textbox>
              </v:shape>
            </w:pict>
          </mc:Fallback>
        </mc:AlternateContent>
      </w:r>
      <w:r>
        <w:rPr>
          <w:rFonts w:hint="eastAsia" w:ascii="仿宋" w:hAnsi="仿宋" w:eastAsia="仿宋" w:cs="仿宋"/>
          <w:color w:val="auto"/>
          <w:highlight w:val="none"/>
        </w:rPr>
        <w:t>本合同适用的法律为中华人民共和国的现行法律、行政法规、部门规章和合同工程所在地的地方性法规、地方政府规章、行政规范性文件。</w:t>
      </w:r>
    </w:p>
    <w:p>
      <w:pPr>
        <w:shd w:val="clear" w:color="000000" w:fill="auto"/>
        <w:tabs>
          <w:tab w:val="left" w:pos="1320"/>
        </w:tabs>
        <w:spacing w:line="360" w:lineRule="auto"/>
        <w:ind w:right="-7"/>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4.3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pPr>
        <w:shd w:val="clear" w:color="000000" w:fill="auto"/>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0</wp:posOffset>
                </wp:positionV>
                <wp:extent cx="1028700" cy="441960"/>
                <wp:effectExtent l="0" t="0" r="0" b="0"/>
                <wp:wrapNone/>
                <wp:docPr id="7" name="文本框 8"/>
                <wp:cNvGraphicFramePr/>
                <a:graphic xmlns:a="http://schemas.openxmlformats.org/drawingml/2006/main">
                  <a:graphicData uri="http://schemas.microsoft.com/office/word/2010/wordprocessingShape">
                    <wps:wsp>
                      <wps:cNvSpPr txBox="1"/>
                      <wps:spPr>
                        <a:xfrm>
                          <a:off x="0" y="0"/>
                          <a:ext cx="1028700" cy="44196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适用标准与规</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范</w:t>
                            </w:r>
                          </w:p>
                        </w:txbxContent>
                      </wps:txbx>
                      <wps:bodyPr upright="1"/>
                    </wps:wsp>
                  </a:graphicData>
                </a:graphic>
              </wp:anchor>
            </w:drawing>
          </mc:Choice>
          <mc:Fallback>
            <w:pict>
              <v:shape id="文本框 8" o:spid="_x0000_s1026" o:spt="202" type="#_x0000_t202" style="position:absolute;left:0pt;margin-left:-9pt;margin-top:0pt;height:34.8pt;width:81pt;z-index:251665408;mso-width-relative:page;mso-height-relative:page;" filled="f" stroked="f" coordsize="21600,21600" o:gfxdata="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CLju9UAAAAH&#10;AQAADwAAAAAAAAABACAAAAAiAAAAZHJzL2Rvd25yZXYueG1sUEsBAhQAFAAAAAgAh07iQIcReAWt&#10;AQAATgMAAA4AAAAAAAAAAQAgAAAAJAEAAGRycy9lMm9Eb2MueG1sUEsFBgAAAAAGAAYAWQEAAEMF&#10;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适用标准与规</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范</w:t>
                      </w:r>
                    </w:p>
                  </w:txbxContent>
                </v:textbox>
              </v:shape>
            </w:pict>
          </mc:Fallback>
        </mc:AlternateContent>
      </w:r>
      <w:r>
        <w:rPr>
          <w:rFonts w:hint="eastAsia" w:ascii="仿宋" w:hAnsi="仿宋" w:eastAsia="仿宋" w:cs="仿宋"/>
          <w:color w:val="auto"/>
          <w:sz w:val="24"/>
          <w:szCs w:val="24"/>
          <w:highlight w:val="none"/>
        </w:rPr>
        <w:t>本合同适用的标准与规范为国家、行业和广东省的标准与规范或规程，以及发包人在合同中要求使用的标准与规范。</w:t>
      </w:r>
    </w:p>
    <w:p>
      <w:pPr>
        <w:shd w:val="clear" w:color="000000" w:fill="auto"/>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合同双方当事人在专用条款中约定适用的国家标准、规范名称；国家没有但行业有的，约定适用的行业标准、规范名称；国家和行业没有但广东省有的，约定适用的广东省地方标准、规范名称。</w:t>
      </w:r>
      <w:r>
        <w:rPr>
          <w:rFonts w:ascii="仿宋" w:hAnsi="仿宋" w:eastAsia="仿宋" w:cs="仿宋"/>
          <w:color w:val="auto"/>
          <w:sz w:val="24"/>
          <w:szCs w:val="24"/>
          <w:highlight w:val="none"/>
        </w:rPr>
        <w:t xml:space="preserve">   </w:t>
      </w:r>
    </w:p>
    <w:p>
      <w:pPr>
        <w:shd w:val="clear" w:color="000000" w:fill="auto"/>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国内没有适用的标准、规范的，由发包人在招标文件中或在承包人投标报价前提出施工技术要求，承包人在自主报价时按照要求提出施工工艺，经发包人确认后执行。发包人要求使用国外标准、规范的，应负责提供中文译本；有异议时，以中文译本为准。</w:t>
      </w:r>
    </w:p>
    <w:p>
      <w:pPr>
        <w:shd w:val="clear" w:color="000000" w:fill="auto"/>
        <w:spacing w:line="360" w:lineRule="auto"/>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numPr>
          <w:ilvl w:val="0"/>
          <w:numId w:val="0"/>
        </w:numPr>
        <w:shd w:val="clear" w:color="000000" w:fill="auto"/>
        <w:tabs>
          <w:tab w:val="left" w:pos="420"/>
        </w:tabs>
        <w:ind w:left="720"/>
        <w:rPr>
          <w:rFonts w:ascii="仿宋" w:hAnsi="仿宋" w:eastAsia="仿宋"/>
          <w:bCs w:val="0"/>
          <w:color w:val="auto"/>
          <w:sz w:val="24"/>
          <w:szCs w:val="24"/>
          <w:highlight w:val="none"/>
        </w:rPr>
      </w:pPr>
      <w:bookmarkStart w:id="123" w:name="_Toc469383984"/>
      <w:bookmarkStart w:id="124" w:name="_Toc21410"/>
      <w:bookmarkStart w:id="125" w:name="_Toc10624824"/>
      <w:r>
        <w:rPr>
          <w:rFonts w:ascii="仿宋" w:hAnsi="仿宋" w:eastAsia="仿宋" w:cs="仿宋"/>
          <w:bCs w:val="0"/>
          <w:color w:val="auto"/>
          <w:sz w:val="24"/>
          <w:szCs w:val="24"/>
          <w:highlight w:val="none"/>
        </w:rPr>
        <w:t xml:space="preserve">5  </w:t>
      </w:r>
      <w:r>
        <w:rPr>
          <w:rFonts w:hint="eastAsia" w:ascii="仿宋" w:hAnsi="仿宋" w:eastAsia="仿宋" w:cs="仿宋"/>
          <w:bCs w:val="0"/>
          <w:color w:val="auto"/>
          <w:sz w:val="24"/>
          <w:szCs w:val="24"/>
          <w:highlight w:val="none"/>
        </w:rPr>
        <w:t>施工设计图纸</w:t>
      </w:r>
      <w:bookmarkEnd w:id="123"/>
      <w:bookmarkEnd w:id="124"/>
      <w:bookmarkEnd w:id="125"/>
    </w:p>
    <w:p>
      <w:pPr>
        <w:pStyle w:val="2"/>
        <w:shd w:val="clear" w:color="000000" w:fill="auto"/>
        <w:spacing w:line="360" w:lineRule="auto"/>
        <w:ind w:right="-238"/>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5.1 </w:t>
      </w:r>
    </w:p>
    <w:p>
      <w:pPr>
        <w:shd w:val="clear" w:color="000000" w:fill="auto"/>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20320</wp:posOffset>
                </wp:positionV>
                <wp:extent cx="800100" cy="911860"/>
                <wp:effectExtent l="0" t="0" r="0" b="0"/>
                <wp:wrapNone/>
                <wp:docPr id="8" name="文本框 9"/>
                <wp:cNvGraphicFramePr/>
                <a:graphic xmlns:a="http://schemas.openxmlformats.org/drawingml/2006/main">
                  <a:graphicData uri="http://schemas.microsoft.com/office/word/2010/wordprocessingShape">
                    <wps:wsp>
                      <wps:cNvSpPr txBox="1"/>
                      <wps:spPr>
                        <a:xfrm>
                          <a:off x="0" y="0"/>
                          <a:ext cx="800100" cy="91186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图纸的提供</w:t>
                            </w:r>
                          </w:p>
                        </w:txbxContent>
                      </wps:txbx>
                      <wps:bodyPr upright="1"/>
                    </wps:wsp>
                  </a:graphicData>
                </a:graphic>
              </wp:anchor>
            </w:drawing>
          </mc:Choice>
          <mc:Fallback>
            <w:pict>
              <v:shape id="文本框 9" o:spid="_x0000_s1026" o:spt="202" type="#_x0000_t202" style="position:absolute;left:0pt;margin-left:-9pt;margin-top:1.6pt;height:71.8pt;width:63pt;z-index:251666432;mso-width-relative:page;mso-height-relative:page;" filled="f" stroked="f" coordsize="21600,21600" o:gfxdata="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C4LsWbWAAAACQEA&#10;AA8AAAAAAAAAAQAgAAAAIgAAAGRycy9kb3ducmV2LnhtbFBLAQIUABQAAAAIAIdO4kDz17+mqgEA&#10;AE0DAAAOAAAAAAAAAAEAIAAAACUBAABkcnMvZTJvRG9jLnhtbFBLBQYAAAAABgAGAFkBAABBBQAA&#10;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图纸的提供</w:t>
                      </w:r>
                    </w:p>
                  </w:txbxContent>
                </v:textbox>
              </v:shape>
            </w:pict>
          </mc:Fallback>
        </mc:AlternateContent>
      </w:r>
      <w:r>
        <w:rPr>
          <w:rFonts w:hint="eastAsia" w:ascii="仿宋" w:hAnsi="仿宋" w:eastAsia="仿宋" w:cs="仿宋"/>
          <w:color w:val="auto"/>
          <w:sz w:val="24"/>
          <w:szCs w:val="24"/>
          <w:highlight w:val="none"/>
        </w:rPr>
        <w:t>发包人应按照专用条款约定的时间和数量，向承包人提供经已审批的施工设计图纸及其技术资料。如承包人需要增加数量的，发包人可代为办理，发生的费用由承包人承担。如发包人未能按时提供施工设计图纸造成工期延误的，按第</w:t>
      </w:r>
      <w:r>
        <w:rPr>
          <w:rFonts w:ascii="仿宋" w:hAnsi="仿宋" w:eastAsia="仿宋" w:cs="仿宋"/>
          <w:color w:val="auto"/>
          <w:sz w:val="24"/>
          <w:szCs w:val="24"/>
          <w:highlight w:val="none"/>
        </w:rPr>
        <w:t>36.3</w:t>
      </w:r>
      <w:r>
        <w:rPr>
          <w:rFonts w:hint="eastAsia" w:ascii="仿宋" w:hAnsi="仿宋" w:eastAsia="仿宋" w:cs="仿宋"/>
          <w:color w:val="auto"/>
          <w:sz w:val="24"/>
          <w:szCs w:val="24"/>
          <w:highlight w:val="none"/>
        </w:rPr>
        <w:t>款规定处理。</w:t>
      </w:r>
      <w:r>
        <w:rPr>
          <w:rFonts w:ascii="仿宋" w:hAnsi="仿宋" w:eastAsia="仿宋" w:cs="仿宋"/>
          <w:color w:val="auto"/>
          <w:sz w:val="24"/>
          <w:szCs w:val="24"/>
          <w:highlight w:val="none"/>
        </w:rPr>
        <w:t xml:space="preserve"> </w:t>
      </w:r>
    </w:p>
    <w:p>
      <w:pPr>
        <w:pStyle w:val="2"/>
        <w:shd w:val="clear" w:color="000000" w:fill="auto"/>
        <w:spacing w:line="360" w:lineRule="auto"/>
        <w:ind w:right="-238"/>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5.2  </w:t>
      </w:r>
      <w:r>
        <w:rPr>
          <w:rFonts w:ascii="仿宋" w:hAnsi="仿宋" w:eastAsia="仿宋" w:cs="仿宋"/>
          <w:b/>
          <w:bCs/>
          <w:color w:val="auto"/>
          <w:sz w:val="24"/>
          <w:szCs w:val="24"/>
          <w:highlight w:val="none"/>
          <w:u w:val="dotted"/>
        </w:rPr>
        <w:t xml:space="preserve">                                                                              </w:t>
      </w:r>
    </w:p>
    <w:p>
      <w:pPr>
        <w:pStyle w:val="33"/>
        <w:shd w:val="clear" w:color="000000" w:fill="auto"/>
        <w:tabs>
          <w:tab w:val="left" w:pos="4970"/>
        </w:tabs>
        <w:ind w:left="1619" w:leftChars="771"/>
        <w:rPr>
          <w:rFonts w:ascii="仿宋" w:hAnsi="仿宋" w:eastAsia="仿宋"/>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0</wp:posOffset>
                </wp:positionV>
                <wp:extent cx="800100" cy="911860"/>
                <wp:effectExtent l="0" t="0" r="0" b="0"/>
                <wp:wrapNone/>
                <wp:docPr id="9" name="文本框 10"/>
                <wp:cNvGraphicFramePr/>
                <a:graphic xmlns:a="http://schemas.openxmlformats.org/drawingml/2006/main">
                  <a:graphicData uri="http://schemas.microsoft.com/office/word/2010/wordprocessingShape">
                    <wps:wsp>
                      <wps:cNvSpPr txBox="1"/>
                      <wps:spPr>
                        <a:xfrm>
                          <a:off x="0" y="0"/>
                          <a:ext cx="800100" cy="91186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承包人提供配合施工的图纸</w:t>
                            </w:r>
                          </w:p>
                        </w:txbxContent>
                      </wps:txbx>
                      <wps:bodyPr upright="1"/>
                    </wps:wsp>
                  </a:graphicData>
                </a:graphic>
              </wp:anchor>
            </w:drawing>
          </mc:Choice>
          <mc:Fallback>
            <w:pict>
              <v:shape id="文本框 10" o:spid="_x0000_s1026" o:spt="202" type="#_x0000_t202" style="position:absolute;left:0pt;margin-left:-9pt;margin-top:0pt;height:71.8pt;width:63pt;z-index:251667456;mso-width-relative:page;mso-height-relative:page;" filled="f" stroked="f" coordsize="21600,21600" o:gfxdata="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CK+3Y1AAAAAgBAAAP&#10;AAAAAAAAAAEAIAAAACIAAABkcnMvZG93bnJldi54bWxQSwECFAAUAAAACACHTuJAkio5yqoBAABO&#10;AwAADgAAAAAAAAABACAAAAAjAQAAZHJzL2Uyb0RvYy54bWxQSwUGAAAAAAYABgBZAQAAPw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承包人提供配合施工的图纸</w:t>
                      </w:r>
                    </w:p>
                  </w:txbxContent>
                </v:textbox>
              </v:shape>
            </w:pict>
          </mc:Fallback>
        </mc:AlternateContent>
      </w:r>
      <w:r>
        <w:rPr>
          <w:rFonts w:hint="eastAsia" w:ascii="仿宋" w:hAnsi="仿宋" w:eastAsia="仿宋" w:cs="仿宋"/>
          <w:color w:val="auto"/>
          <w:highlight w:val="none"/>
        </w:rPr>
        <w:t>如果合同约定由承包人负责提供大样图、加工图等配合施工设计图纸的，承包人应在其设计资质等级许可的范围内，按照监理工程师的工作指令完成有关施工设计图纸。承包人应按照专用条款约定的时间和数量向监理工程师提交此类施工设计图纸，监理工程师应在专用条款约定的时间内报发包人批准后予以答复。即使经监理工程师同意，承包人仍应对其施工设计图纸负责。</w:t>
      </w:r>
    </w:p>
    <w:p>
      <w:pPr>
        <w:shd w:val="clear" w:color="000000" w:fill="auto"/>
        <w:tabs>
          <w:tab w:val="left" w:pos="4970"/>
        </w:tabs>
        <w:spacing w:line="360" w:lineRule="auto"/>
        <w:rPr>
          <w:rFonts w:ascii="仿宋" w:hAnsi="仿宋" w:eastAsia="仿宋" w:cs="Times New Roman"/>
          <w:b/>
          <w:bCs/>
          <w:color w:val="auto"/>
          <w:sz w:val="24"/>
          <w:szCs w:val="24"/>
          <w:highlight w:val="none"/>
        </w:rPr>
      </w:pPr>
    </w:p>
    <w:p>
      <w:pPr>
        <w:shd w:val="clear" w:color="000000" w:fill="auto"/>
        <w:tabs>
          <w:tab w:val="left" w:pos="4970"/>
        </w:tabs>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5.3  </w:t>
      </w:r>
      <w:r>
        <w:rPr>
          <w:rFonts w:ascii="仿宋" w:hAnsi="仿宋" w:eastAsia="仿宋" w:cs="仿宋"/>
          <w:b/>
          <w:bCs/>
          <w:color w:val="auto"/>
          <w:sz w:val="24"/>
          <w:szCs w:val="24"/>
          <w:highlight w:val="none"/>
          <w:u w:val="dotted"/>
        </w:rPr>
        <w:t xml:space="preserve">                                                                                                       </w:t>
      </w:r>
    </w:p>
    <w:p>
      <w:pPr>
        <w:shd w:val="clear" w:color="000000" w:fill="auto"/>
        <w:tabs>
          <w:tab w:val="left" w:pos="4970"/>
        </w:tabs>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0" name="文本框 11"/>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pPr>
                              <w:rPr>
                                <w:rFonts w:ascii="宋体" w:cs="Times New Roman"/>
                                <w:sz w:val="18"/>
                                <w:szCs w:val="18"/>
                              </w:rPr>
                            </w:pPr>
                            <w:r>
                              <w:rPr>
                                <w:rFonts w:hint="eastAsia" w:ascii="楷体_GB2312" w:hAnsi="宋体" w:eastAsia="楷体_GB2312" w:cs="楷体_GB2312"/>
                                <w:b/>
                                <w:bCs/>
                                <w:color w:val="000000"/>
                                <w:sz w:val="18"/>
                                <w:szCs w:val="18"/>
                              </w:rPr>
                              <w:t>图纸的修改</w:t>
                            </w:r>
                          </w:p>
                        </w:txbxContent>
                      </wps:txbx>
                      <wps:bodyPr upright="1"/>
                    </wps:wsp>
                  </a:graphicData>
                </a:graphic>
              </wp:anchor>
            </w:drawing>
          </mc:Choice>
          <mc:Fallback>
            <w:pict>
              <v:shape id="文本框 11" o:spid="_x0000_s1026" o:spt="202" type="#_x0000_t202" style="position:absolute;left:0pt;margin-left:-9pt;margin-top:0pt;height:51.1pt;width:72pt;z-index:251668480;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9spnAdUAAAAI&#10;AQAADwAAAAAAAAABACAAAAAiAAAAZHJzL2Rvd25yZXYueG1sUEsBAhQAFAAAAAgAh07iQODbbfCt&#10;AQAATwMAAA4AAAAAAAAAAQAgAAAAJAEAAGRycy9lMm9Eb2MueG1sUEsFBgAAAAAGAAYAWQEAAEMF&#10;AAAAAA==&#10;">
                <v:fill on="f" focussize="0,0"/>
                <v:stroke on="f"/>
                <v:imagedata o:title=""/>
                <o:lock v:ext="edit" aspectratio="f"/>
                <v:textbox>
                  <w:txbxContent>
                    <w:p>
                      <w:pPr>
                        <w:rPr>
                          <w:rFonts w:ascii="宋体" w:cs="Times New Roman"/>
                          <w:sz w:val="18"/>
                          <w:szCs w:val="18"/>
                        </w:rPr>
                      </w:pPr>
                      <w:r>
                        <w:rPr>
                          <w:rFonts w:hint="eastAsia" w:ascii="楷体_GB2312" w:hAnsi="宋体" w:eastAsia="楷体_GB2312" w:cs="楷体_GB2312"/>
                          <w:b/>
                          <w:bCs/>
                          <w:color w:val="000000"/>
                          <w:sz w:val="18"/>
                          <w:szCs w:val="18"/>
                        </w:rPr>
                        <w:t>图纸的修改</w:t>
                      </w:r>
                    </w:p>
                  </w:txbxContent>
                </v:textbox>
              </v:shape>
            </w:pict>
          </mc:Fallback>
        </mc:AlternateContent>
      </w:r>
      <w:r>
        <w:rPr>
          <w:rFonts w:hint="eastAsia" w:ascii="仿宋" w:hAnsi="仿宋" w:eastAsia="仿宋" w:cs="仿宋"/>
          <w:color w:val="auto"/>
          <w:sz w:val="24"/>
          <w:szCs w:val="24"/>
          <w:highlight w:val="none"/>
        </w:rPr>
        <w:t>施工设计图纸需要修改和补充的，监理工程师应及时书面报告发包人。发包人收到书面报告后应及时通知设计人予以修改，并在合同工程或其相应部位施工前按照专用条款约定的时间和数量提供给承包人。承包人应按照发包人新提供的经设计人修改后的施工设计图纸施工。</w:t>
      </w:r>
    </w:p>
    <w:p>
      <w:pPr>
        <w:shd w:val="clear" w:color="000000" w:fill="auto"/>
        <w:tabs>
          <w:tab w:val="left" w:pos="4970"/>
        </w:tabs>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5.4  </w:t>
      </w:r>
      <w:r>
        <w:rPr>
          <w:rFonts w:ascii="仿宋" w:hAnsi="仿宋" w:eastAsia="仿宋" w:cs="仿宋"/>
          <w:b/>
          <w:bCs/>
          <w:color w:val="auto"/>
          <w:sz w:val="24"/>
          <w:szCs w:val="24"/>
          <w:highlight w:val="none"/>
          <w:u w:val="dotted"/>
        </w:rPr>
        <w:t xml:space="preserve">                                                                                                       </w:t>
      </w:r>
    </w:p>
    <w:p>
      <w:pPr>
        <w:shd w:val="clear" w:color="000000" w:fill="auto"/>
        <w:tabs>
          <w:tab w:val="left" w:pos="4970"/>
        </w:tabs>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1" name="文本框 12"/>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图纸错漏的改正</w:t>
                            </w:r>
                          </w:p>
                        </w:txbxContent>
                      </wps:txbx>
                      <wps:bodyPr upright="1"/>
                    </wps:wsp>
                  </a:graphicData>
                </a:graphic>
              </wp:anchor>
            </w:drawing>
          </mc:Choice>
          <mc:Fallback>
            <w:pict>
              <v:shape id="文本框 12" o:spid="_x0000_s1026" o:spt="202" type="#_x0000_t202" style="position:absolute;left:0pt;margin-left:-9pt;margin-top:0pt;height:51.1pt;width:72pt;z-index:251669504;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9spnAdUAAAAI&#10;AQAADwAAAAAAAAABACAAAAAiAAAAZHJzL2Rvd25yZXYueG1sUEsBAhQAFAAAAAgAh07iQOZHYiSt&#10;AQAATwMAAA4AAAAAAAAAAQAgAAAAJAEAAGRycy9lMm9Eb2MueG1sUEsFBgAAAAAGAAYAWQEAAEMF&#10;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图纸错漏的改正</w:t>
                      </w:r>
                    </w:p>
                  </w:txbxContent>
                </v:textbox>
              </v:shape>
            </w:pict>
          </mc:Fallback>
        </mc:AlternateContent>
      </w:r>
      <w:r>
        <w:rPr>
          <w:rFonts w:hint="eastAsia" w:ascii="仿宋" w:hAnsi="仿宋" w:eastAsia="仿宋" w:cs="仿宋"/>
          <w:color w:val="auto"/>
          <w:sz w:val="24"/>
          <w:szCs w:val="24"/>
          <w:highlight w:val="none"/>
        </w:rPr>
        <w:t>承包人发现发包人提供的施工设计图纸存在明显错漏或疏忽，应及时书面通知发包人和监理工程师。发包人收到书面通知后应及时予以答复，并通知设计人予以改正。因发包人未及时答复等原因造成承包人损失的，发包人应予赔偿。</w:t>
      </w:r>
    </w:p>
    <w:p>
      <w:pPr>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5.5  </w:t>
      </w:r>
      <w:r>
        <w:rPr>
          <w:rFonts w:ascii="仿宋" w:hAnsi="仿宋" w:eastAsia="仿宋" w:cs="仿宋"/>
          <w:b/>
          <w:bCs/>
          <w:color w:val="auto"/>
          <w:sz w:val="24"/>
          <w:szCs w:val="24"/>
          <w:highlight w:val="none"/>
          <w:u w:val="dotted"/>
        </w:rPr>
        <w:t xml:space="preserve">                                                                                                       </w:t>
      </w:r>
    </w:p>
    <w:p>
      <w:pPr>
        <w:shd w:val="clear" w:color="000000" w:fill="auto"/>
        <w:tabs>
          <w:tab w:val="left" w:pos="4970"/>
        </w:tabs>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2" name="文本框 13"/>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图纸的使用与退还</w:t>
                            </w:r>
                          </w:p>
                        </w:txbxContent>
                      </wps:txbx>
                      <wps:bodyPr upright="1"/>
                    </wps:wsp>
                  </a:graphicData>
                </a:graphic>
              </wp:anchor>
            </w:drawing>
          </mc:Choice>
          <mc:Fallback>
            <w:pict>
              <v:shape id="文本框 13" o:spid="_x0000_s1026" o:spt="202" type="#_x0000_t202" style="position:absolute;left:0pt;margin-left:-9pt;margin-top:0pt;height:51.1pt;width:72pt;z-index:251670528;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bKZwHVAAAA&#10;CAEAAA8AAAAAAAAAAQAgAAAAIgAAAGRycy9kb3ducmV2LnhtbFBLAQIUABQAAAAIAIdO4kDUjdUk&#10;rgEAAE8DAAAOAAAAAAAAAAEAIAAAACQBAABkcnMvZTJvRG9jLnhtbFBLBQYAAAAABgAGAFkBAABE&#10;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图纸的使用与退还</w:t>
                      </w:r>
                    </w:p>
                  </w:txbxContent>
                </v:textbox>
              </v:shape>
            </w:pict>
          </mc:Fallback>
        </mc:AlternateContent>
      </w:r>
      <w:r>
        <w:rPr>
          <w:rFonts w:hint="eastAsia" w:ascii="仿宋" w:hAnsi="仿宋" w:eastAsia="仿宋" w:cs="仿宋"/>
          <w:color w:val="auto"/>
          <w:sz w:val="24"/>
          <w:szCs w:val="24"/>
          <w:highlight w:val="none"/>
        </w:rPr>
        <w:t>施工期间，承包人和监理工程师均应在施工现场保留一套完整的包括第</w:t>
      </w:r>
      <w:r>
        <w:rPr>
          <w:rFonts w:ascii="仿宋" w:hAnsi="仿宋" w:eastAsia="仿宋" w:cs="仿宋"/>
          <w:color w:val="auto"/>
          <w:sz w:val="24"/>
          <w:szCs w:val="24"/>
          <w:highlight w:val="none"/>
        </w:rPr>
        <w:t>5.1</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5.2</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5.3</w:t>
      </w:r>
      <w:r>
        <w:rPr>
          <w:rFonts w:hint="eastAsia" w:ascii="仿宋" w:hAnsi="仿宋" w:eastAsia="仿宋" w:cs="仿宋"/>
          <w:color w:val="auto"/>
          <w:sz w:val="24"/>
          <w:szCs w:val="24"/>
          <w:highlight w:val="none"/>
        </w:rPr>
        <w:t>款规定内容的施工设计图纸供实施合同工程过程需要时使用。本合同终止后，除承包人存档需要的施工设计图纸外，承包人应将全部施工设计图纸退还给发包人。</w:t>
      </w:r>
    </w:p>
    <w:p>
      <w:pPr>
        <w:shd w:val="clear" w:color="000000" w:fill="auto"/>
        <w:tabs>
          <w:tab w:val="left" w:pos="1620"/>
        </w:tabs>
        <w:spacing w:line="360" w:lineRule="auto"/>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numPr>
          <w:ilvl w:val="0"/>
          <w:numId w:val="0"/>
        </w:numPr>
        <w:shd w:val="clear" w:color="000000" w:fill="auto"/>
        <w:tabs>
          <w:tab w:val="left" w:pos="420"/>
        </w:tabs>
        <w:ind w:left="720"/>
        <w:rPr>
          <w:rFonts w:ascii="仿宋" w:hAnsi="仿宋" w:eastAsia="仿宋"/>
          <w:color w:val="auto"/>
          <w:sz w:val="24"/>
          <w:szCs w:val="24"/>
          <w:highlight w:val="none"/>
        </w:rPr>
      </w:pPr>
      <w:bookmarkStart w:id="126" w:name="_Toc10624825"/>
      <w:bookmarkStart w:id="127" w:name="_Toc17885"/>
      <w:bookmarkStart w:id="128" w:name="_Toc469383985"/>
      <w:r>
        <w:rPr>
          <w:rFonts w:ascii="仿宋" w:hAnsi="仿宋" w:eastAsia="仿宋" w:cs="仿宋"/>
          <w:color w:val="auto"/>
          <w:sz w:val="24"/>
          <w:szCs w:val="24"/>
          <w:highlight w:val="none"/>
        </w:rPr>
        <w:t xml:space="preserve">6  </w:t>
      </w:r>
      <w:r>
        <w:rPr>
          <w:rFonts w:hint="eastAsia" w:ascii="仿宋" w:hAnsi="仿宋" w:eastAsia="仿宋" w:cs="仿宋"/>
          <w:color w:val="auto"/>
          <w:sz w:val="24"/>
          <w:szCs w:val="24"/>
          <w:highlight w:val="none"/>
        </w:rPr>
        <w:t>通讯联络</w:t>
      </w:r>
      <w:bookmarkEnd w:id="126"/>
      <w:bookmarkEnd w:id="127"/>
      <w:bookmarkEnd w:id="128"/>
    </w:p>
    <w:p>
      <w:pPr>
        <w:pStyle w:val="2"/>
        <w:shd w:val="clear" w:color="000000" w:fill="auto"/>
        <w:spacing w:line="360" w:lineRule="auto"/>
        <w:ind w:right="-238"/>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6.1   </w:t>
      </w:r>
    </w:p>
    <w:p>
      <w:pPr>
        <w:shd w:val="clear" w:color="000000" w:fill="auto"/>
        <w:tabs>
          <w:tab w:val="left" w:pos="1620"/>
        </w:tabs>
        <w:spacing w:line="360" w:lineRule="auto"/>
        <w:ind w:left="2156" w:hanging="2156" w:hangingChars="895"/>
        <w:rPr>
          <w:rFonts w:ascii="仿宋" w:hAnsi="仿宋" w:eastAsia="仿宋" w:cs="Times New Roman"/>
          <w:color w:val="auto"/>
          <w:sz w:val="24"/>
          <w:szCs w:val="24"/>
          <w:highlight w:val="none"/>
        </w:rPr>
      </w:pPr>
      <w:r>
        <w:rPr>
          <w:rFonts w:hint="eastAsia" w:ascii="仿宋" w:hAnsi="仿宋" w:eastAsia="仿宋" w:cs="仿宋"/>
          <w:b/>
          <w:bCs/>
          <w:color w:val="auto"/>
          <w:sz w:val="24"/>
          <w:szCs w:val="24"/>
          <w:highlight w:val="none"/>
        </w:rPr>
        <w:t>通讯形式</w:t>
      </w:r>
      <w:r>
        <w:rPr>
          <w:rFonts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本合同中无论何处涉及到各方之间的申请、批准、确认、同意、决定、核实、通知、任命、指令、要求、意见、证明、证件或表示同意、否定等的通讯（含派人面交、邮寄、电子传输等），均应采用书面形式，且只有在对方当事人收到后方能生效。</w:t>
      </w:r>
    </w:p>
    <w:p>
      <w:pPr>
        <w:pStyle w:val="2"/>
        <w:shd w:val="clear" w:color="000000" w:fill="auto"/>
        <w:spacing w:line="360" w:lineRule="auto"/>
        <w:ind w:right="-238"/>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6.2  </w:t>
      </w:r>
      <w:r>
        <w:rPr>
          <w:rFonts w:ascii="仿宋" w:hAnsi="仿宋" w:eastAsia="仿宋" w:cs="仿宋"/>
          <w:b/>
          <w:bCs/>
          <w:color w:val="auto"/>
          <w:sz w:val="24"/>
          <w:szCs w:val="24"/>
          <w:highlight w:val="none"/>
          <w:u w:val="dotted"/>
        </w:rPr>
        <w:t xml:space="preserve">                                                                              </w:t>
      </w:r>
    </w:p>
    <w:p>
      <w:pPr>
        <w:pStyle w:val="2"/>
        <w:shd w:val="clear" w:color="000000" w:fill="auto"/>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-114300</wp:posOffset>
                </wp:positionH>
                <wp:positionV relativeFrom="paragraph">
                  <wp:posOffset>0</wp:posOffset>
                </wp:positionV>
                <wp:extent cx="800100" cy="297180"/>
                <wp:effectExtent l="0" t="0" r="0" b="0"/>
                <wp:wrapNone/>
                <wp:docPr id="13" name="文本框 14"/>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发送通讯</w:t>
                            </w:r>
                          </w:p>
                        </w:txbxContent>
                      </wps:txbx>
                      <wps:bodyPr upright="1"/>
                    </wps:wsp>
                  </a:graphicData>
                </a:graphic>
              </wp:anchor>
            </w:drawing>
          </mc:Choice>
          <mc:Fallback>
            <w:pict>
              <v:shape id="文本框 14" o:spid="_x0000_s1026" o:spt="202" type="#_x0000_t202" style="position:absolute;left:0pt;margin-left:-9pt;margin-top:0pt;height:23.4pt;width:63pt;z-index:251671552;mso-width-relative:page;mso-height-relative:page;" filled="f" stroked="f" coordsize="21600,21600" o:gfxdata="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O9Pr1AAAAAcB&#10;AAAPAAAAAAAAAAEAIAAAACIAAABkcnMvZG93bnJldi54bWxQSwECFAAUAAAACACHTuJAxcsyEq0B&#10;AABPAwAADgAAAAAAAAABACAAAAAjAQAAZHJzL2Uyb0RvYy54bWxQSwUGAAAAAAYABgBZAQAAQgUA&#10;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发送通讯</w:t>
                      </w:r>
                    </w:p>
                  </w:txbxContent>
                </v:textbox>
              </v:shape>
            </w:pict>
          </mc:Fallback>
        </mc:AlternateContent>
      </w:r>
      <w:r>
        <w:rPr>
          <w:rFonts w:hint="eastAsia" w:ascii="仿宋" w:hAnsi="仿宋" w:eastAsia="仿宋" w:cs="仿宋"/>
          <w:color w:val="auto"/>
          <w:sz w:val="24"/>
          <w:szCs w:val="24"/>
          <w:highlight w:val="none"/>
        </w:rPr>
        <w:t>合同中无论何处涉及到各方之间的通讯都不应无理扣压或拖延。合同双方当事人</w:t>
      </w:r>
    </w:p>
    <w:p>
      <w:pPr>
        <w:pStyle w:val="2"/>
        <w:shd w:val="clear" w:color="000000" w:fill="auto"/>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应在专用条款中约定各方通讯地址和收件人，并按照约定期限内送达指定地点和接收人。</w:t>
      </w:r>
    </w:p>
    <w:p>
      <w:pPr>
        <w:pStyle w:val="2"/>
        <w:shd w:val="clear" w:color="000000" w:fill="auto"/>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收件人应在通讯回执上签署姓名和时间。一方当事人拒绝签收另一方当事人通讯，另一方当事人以特快专递、挂号信等专用条款约定的方式将通讯送至通讯地址的，视为送达。</w:t>
      </w:r>
    </w:p>
    <w:p>
      <w:pPr>
        <w:shd w:val="clear" w:color="000000" w:fill="auto"/>
        <w:adjustRightInd w:val="0"/>
        <w:snapToGrid w:val="0"/>
        <w:spacing w:line="360" w:lineRule="auto"/>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numPr>
          <w:ilvl w:val="0"/>
          <w:numId w:val="0"/>
        </w:numPr>
        <w:shd w:val="clear" w:color="000000" w:fill="auto"/>
        <w:tabs>
          <w:tab w:val="left" w:pos="420"/>
        </w:tabs>
        <w:ind w:left="720"/>
        <w:rPr>
          <w:rFonts w:ascii="仿宋" w:hAnsi="仿宋" w:eastAsia="仿宋"/>
          <w:color w:val="auto"/>
          <w:sz w:val="24"/>
          <w:szCs w:val="24"/>
          <w:highlight w:val="none"/>
        </w:rPr>
      </w:pPr>
      <w:bookmarkStart w:id="129" w:name="_Toc15501"/>
      <w:bookmarkStart w:id="130" w:name="_Toc10624826"/>
      <w:bookmarkStart w:id="131" w:name="_Toc469383986"/>
      <w:r>
        <w:rPr>
          <w:rFonts w:ascii="仿宋" w:hAnsi="仿宋" w:eastAsia="仿宋" w:cs="仿宋"/>
          <w:color w:val="auto"/>
          <w:sz w:val="24"/>
          <w:szCs w:val="24"/>
          <w:highlight w:val="none"/>
        </w:rPr>
        <w:t xml:space="preserve">7  </w:t>
      </w:r>
      <w:r>
        <w:rPr>
          <w:rFonts w:hint="eastAsia" w:ascii="仿宋" w:hAnsi="仿宋" w:eastAsia="仿宋" w:cs="仿宋"/>
          <w:color w:val="auto"/>
          <w:sz w:val="24"/>
          <w:szCs w:val="24"/>
          <w:highlight w:val="none"/>
        </w:rPr>
        <w:t>工程分包</w:t>
      </w:r>
      <w:bookmarkEnd w:id="129"/>
      <w:bookmarkEnd w:id="130"/>
      <w:bookmarkEnd w:id="131"/>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212090</wp:posOffset>
                </wp:positionV>
                <wp:extent cx="1028700" cy="450215"/>
                <wp:effectExtent l="0" t="0" r="0" b="0"/>
                <wp:wrapNone/>
                <wp:docPr id="14" name="文本框 15"/>
                <wp:cNvGraphicFramePr/>
                <a:graphic xmlns:a="http://schemas.openxmlformats.org/drawingml/2006/main">
                  <a:graphicData uri="http://schemas.microsoft.com/office/word/2010/wordprocessingShape">
                    <wps:wsp>
                      <wps:cNvSpPr txBox="1"/>
                      <wps:spPr>
                        <a:xfrm>
                          <a:off x="0" y="0"/>
                          <a:ext cx="1028700" cy="45021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分包工程的要</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求</w:t>
                            </w:r>
                          </w:p>
                        </w:txbxContent>
                      </wps:txbx>
                      <wps:bodyPr upright="1"/>
                    </wps:wsp>
                  </a:graphicData>
                </a:graphic>
              </wp:anchor>
            </w:drawing>
          </mc:Choice>
          <mc:Fallback>
            <w:pict>
              <v:shape id="文本框 15" o:spid="_x0000_s1026" o:spt="202" type="#_x0000_t202" style="position:absolute;left:0pt;margin-left:-9pt;margin-top:16.7pt;height:35.45pt;width:81pt;z-index:251672576;mso-width-relative:page;mso-height-relative:page;" filled="f" stroked="f" coordsize="21600,21600" o:gfxdata="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SdDtV1wAA&#10;AAoBAAAPAAAAAAAAAAEAIAAAACIAAABkcnMvZG93bnJldi54bWxQSwECFAAUAAAACACHTuJAJNur&#10;R60BAABQAwAADgAAAAAAAAABACAAAAAmAQAAZHJzL2Uyb0RvYy54bWxQSwUGAAAAAAYABgBZAQAA&#10;RQ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分包工程的要</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ascii="仿宋" w:hAnsi="仿宋" w:eastAsia="仿宋" w:cs="仿宋"/>
          <w:b/>
          <w:bCs/>
          <w:color w:val="auto"/>
          <w:sz w:val="24"/>
          <w:szCs w:val="24"/>
          <w:highlight w:val="none"/>
        </w:rPr>
        <w:t xml:space="preserve">7.1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承包人应自己实施、完成合同工程的主体结构。承包人不得将其承包的全部工程或将其肢解后以分包的名义转包给第三方，也不得将合同工程主体结构、关键性工作分包给第三方。</w:t>
      </w:r>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-114300</wp:posOffset>
                </wp:positionH>
                <wp:positionV relativeFrom="paragraph">
                  <wp:posOffset>121920</wp:posOffset>
                </wp:positionV>
                <wp:extent cx="1028700" cy="787400"/>
                <wp:effectExtent l="0" t="0" r="0" b="0"/>
                <wp:wrapNone/>
                <wp:docPr id="15" name="文本框 16"/>
                <wp:cNvGraphicFramePr/>
                <a:graphic xmlns:a="http://schemas.openxmlformats.org/drawingml/2006/main">
                  <a:graphicData uri="http://schemas.microsoft.com/office/word/2010/wordprocessingShape">
                    <wps:wsp>
                      <wps:cNvSpPr txBox="1"/>
                      <wps:spPr>
                        <a:xfrm>
                          <a:off x="0" y="0"/>
                          <a:ext cx="1028700" cy="7874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分包工程的批</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准</w:t>
                            </w:r>
                          </w:p>
                        </w:txbxContent>
                      </wps:txbx>
                      <wps:bodyPr upright="1"/>
                    </wps:wsp>
                  </a:graphicData>
                </a:graphic>
              </wp:anchor>
            </w:drawing>
          </mc:Choice>
          <mc:Fallback>
            <w:pict>
              <v:shape id="文本框 16" o:spid="_x0000_s1026" o:spt="202" type="#_x0000_t202" style="position:absolute;left:0pt;margin-left:-9pt;margin-top:9.6pt;height:62pt;width:81pt;z-index:251673600;mso-width-relative:page;mso-height-relative:page;" filled="f" stroked="f" coordsize="21600,21600" o:gfxdata="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OM4tS/XAAAA&#10;CgEAAA8AAAAAAAAAAQAgAAAAIgAAAGRycy9kb3ducmV2LnhtbFBLAQIUABQAAAAIAIdO4kAkZouV&#10;rAEAAFADAAAOAAAAAAAAAAEAIAAAACYBAABkcnMvZTJvRG9jLnhtbFBLBQYAAAAABgAGAFkBAABE&#10;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分包工程的批</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准</w:t>
                      </w:r>
                    </w:p>
                  </w:txbxContent>
                </v:textbox>
              </v:shape>
            </w:pict>
          </mc:Fallback>
        </mc:AlternateContent>
      </w:r>
      <w:r>
        <w:rPr>
          <w:rFonts w:ascii="仿宋" w:hAnsi="仿宋" w:eastAsia="仿宋" w:cs="仿宋"/>
          <w:b/>
          <w:bCs/>
          <w:color w:val="auto"/>
          <w:sz w:val="24"/>
          <w:szCs w:val="24"/>
          <w:highlight w:val="none"/>
        </w:rPr>
        <w:t xml:space="preserve">7.2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在经发包人书面同意的前提下，承包人可依法将部分工程分包给具有相应分包资质的分包人，但未经发包人同意，承包人不得将工程的任何部分或任何工作分包给第三方。下列情况则属例外：</w:t>
      </w:r>
    </w:p>
    <w:p>
      <w:pPr>
        <w:pStyle w:val="2"/>
        <w:numPr>
          <w:ilvl w:val="0"/>
          <w:numId w:val="3"/>
        </w:numPr>
        <w:shd w:val="clear" w:color="000000" w:fill="auto"/>
        <w:adjustRightInd w:val="0"/>
        <w:snapToGrid w:val="0"/>
        <w:spacing w:line="360" w:lineRule="auto"/>
        <w:ind w:firstLine="54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施工劳务作业分包；</w:t>
      </w:r>
    </w:p>
    <w:p>
      <w:pPr>
        <w:pStyle w:val="2"/>
        <w:numPr>
          <w:ilvl w:val="0"/>
          <w:numId w:val="3"/>
        </w:numPr>
        <w:shd w:val="clear" w:color="000000" w:fill="auto"/>
        <w:adjustRightInd w:val="0"/>
        <w:snapToGrid w:val="0"/>
        <w:spacing w:line="360" w:lineRule="auto"/>
        <w:ind w:firstLine="54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按照合同约定的标准购买材料和工程设备；</w:t>
      </w:r>
    </w:p>
    <w:p>
      <w:pPr>
        <w:pStyle w:val="2"/>
        <w:numPr>
          <w:ilvl w:val="0"/>
          <w:numId w:val="3"/>
        </w:numPr>
        <w:shd w:val="clear" w:color="000000" w:fill="auto"/>
        <w:adjustRightInd w:val="0"/>
        <w:snapToGrid w:val="0"/>
        <w:spacing w:line="360" w:lineRule="auto"/>
        <w:ind w:left="1077" w:firstLine="53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合同中已指定的分包工程。</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7.3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-114300</wp:posOffset>
                </wp:positionH>
                <wp:positionV relativeFrom="paragraph">
                  <wp:posOffset>0</wp:posOffset>
                </wp:positionV>
                <wp:extent cx="1028700" cy="305435"/>
                <wp:effectExtent l="0" t="0" r="0" b="0"/>
                <wp:wrapNone/>
                <wp:docPr id="16" name="文本框 17"/>
                <wp:cNvGraphicFramePr/>
                <a:graphic xmlns:a="http://schemas.openxmlformats.org/drawingml/2006/main">
                  <a:graphicData uri="http://schemas.microsoft.com/office/word/2010/wordprocessingShape">
                    <wps:wsp>
                      <wps:cNvSpPr txBox="1"/>
                      <wps:spPr>
                        <a:xfrm>
                          <a:off x="0" y="0"/>
                          <a:ext cx="1028700" cy="30543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签订分包合同</w:t>
                            </w:r>
                          </w:p>
                        </w:txbxContent>
                      </wps:txbx>
                      <wps:bodyPr upright="1"/>
                    </wps:wsp>
                  </a:graphicData>
                </a:graphic>
              </wp:anchor>
            </w:drawing>
          </mc:Choice>
          <mc:Fallback>
            <w:pict>
              <v:shape id="文本框 17" o:spid="_x0000_s1026" o:spt="202" type="#_x0000_t202" style="position:absolute;left:0pt;margin-left:-9pt;margin-top:0pt;height:24.05pt;width:81pt;z-index:251674624;mso-width-relative:page;mso-height-relative:page;" filled="f" stroked="f" coordsize="21600,21600" o:gfxdata="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iJN+cNQAAAAH&#10;AQAADwAAAAAAAAABACAAAAAiAAAAZHJzL2Rvd25yZXYueG1sUEsBAhQAFAAAAAgAh07iQODpqMCu&#10;AQAAUAMAAA4AAAAAAAAAAQAgAAAAIwEAAGRycy9lMm9Eb2MueG1sUEsFBgAAAAAGAAYAWQEAAEMF&#10;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签订分包合同</w:t>
                      </w:r>
                    </w:p>
                  </w:txbxContent>
                </v:textbox>
              </v:shape>
            </w:pict>
          </mc:Fallback>
        </mc:AlternateContent>
      </w:r>
      <w:r>
        <w:rPr>
          <w:rFonts w:hint="eastAsia" w:ascii="仿宋" w:hAnsi="仿宋" w:eastAsia="仿宋" w:cs="仿宋"/>
          <w:color w:val="auto"/>
          <w:sz w:val="24"/>
          <w:szCs w:val="24"/>
          <w:highlight w:val="none"/>
        </w:rPr>
        <w:t>承包人分包工程的，应与分包人签订分包合同，并在分包合同签订后的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天内向发包人和监理工程师、造价工程师各提交一份分包合同。承包人有义务禁止分包人将分包工程再次分包。</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-114300</wp:posOffset>
                </wp:positionH>
                <wp:positionV relativeFrom="paragraph">
                  <wp:posOffset>202565</wp:posOffset>
                </wp:positionV>
                <wp:extent cx="914400" cy="495300"/>
                <wp:effectExtent l="0" t="0" r="0" b="0"/>
                <wp:wrapNone/>
                <wp:docPr id="17" name="文本框 1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分包工程款结算与支付</w:t>
                            </w:r>
                          </w:p>
                        </w:txbxContent>
                      </wps:txbx>
                      <wps:bodyPr upright="1"/>
                    </wps:wsp>
                  </a:graphicData>
                </a:graphic>
              </wp:anchor>
            </w:drawing>
          </mc:Choice>
          <mc:Fallback>
            <w:pict>
              <v:shape id="文本框 18" o:spid="_x0000_s1026" o:spt="202" type="#_x0000_t202" style="position:absolute;left:0pt;margin-left:-9pt;margin-top:15.95pt;height:39pt;width:72pt;z-index:251675648;mso-width-relative:page;mso-height-relative:page;" filled="f" stroked="f" coordsize="21600,21600" o:gfxdata="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gFcj1wAA&#10;AAoBAAAPAAAAAAAAAAEAIAAAACIAAABkcnMvZG93bnJldi54bWxQSwECFAAUAAAACACHTuJAzGJo&#10;ka0BAABPAwAADgAAAAAAAAABACAAAAAmAQAAZHJzL2Uyb0RvYy54bWxQSwUGAAAAAAYABgBZAQAA&#10;RQ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分包工程款结算与支付</w:t>
                      </w:r>
                    </w:p>
                  </w:txbxContent>
                </v:textbox>
              </v:shape>
            </w:pict>
          </mc:Fallback>
        </mc:AlternateContent>
      </w:r>
      <w:r>
        <w:rPr>
          <w:rFonts w:ascii="仿宋" w:hAnsi="仿宋" w:eastAsia="仿宋" w:cs="仿宋"/>
          <w:b/>
          <w:bCs/>
          <w:color w:val="auto"/>
          <w:sz w:val="24"/>
          <w:szCs w:val="24"/>
          <w:highlight w:val="none"/>
        </w:rPr>
        <w:t xml:space="preserve">7.4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分包工程款由承包人与分包人结算。除合同另有约定或取得承包人的同意外，发包人应将分包工程款按专用条款约定的支付方式全部支付给承包人，禁止发包人直接向分包人支付任何工程款。</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如发包人有要求时，承包人应提供能证明自己已向分包人支付其分包工程款等证明资料。否则，发包人有权直接向分包人支付承包人应支付而未支付的分包工程款，并在承包人得到的工程款中扣除。</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-114300</wp:posOffset>
                </wp:positionH>
                <wp:positionV relativeFrom="paragraph">
                  <wp:posOffset>205105</wp:posOffset>
                </wp:positionV>
                <wp:extent cx="914400" cy="495300"/>
                <wp:effectExtent l="0" t="0" r="0" b="0"/>
                <wp:wrapNone/>
                <wp:docPr id="18" name="文本框 19"/>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分包工程责任和义务</w:t>
                            </w:r>
                          </w:p>
                        </w:txbxContent>
                      </wps:txbx>
                      <wps:bodyPr upright="1"/>
                    </wps:wsp>
                  </a:graphicData>
                </a:graphic>
              </wp:anchor>
            </w:drawing>
          </mc:Choice>
          <mc:Fallback>
            <w:pict>
              <v:shape id="文本框 19" o:spid="_x0000_s1026" o:spt="202" type="#_x0000_t202" style="position:absolute;left:0pt;margin-left:-9pt;margin-top:16.15pt;height:39pt;width:72pt;z-index:251676672;mso-width-relative:page;mso-height-relative:page;" filled="f" stroked="f" coordsize="21600,21600" o:gfxdata="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Bw+3LXAAAA&#10;CgEAAA8AAAAAAAAAAQAgAAAAIgAAAGRycy9kb3ducmV2LnhtbFBLAQIUABQAAAAIAIdO4kBP6NY0&#10;rAEAAE8DAAAOAAAAAAAAAAEAIAAAACYBAABkcnMvZTJvRG9jLnhtbFBLBQYAAAAABgAGAFkBAABE&#10;BQ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分包工程责任和义务</w:t>
                      </w:r>
                    </w:p>
                  </w:txbxContent>
                </v:textbox>
              </v:shape>
            </w:pict>
          </mc:Fallback>
        </mc:AlternateContent>
      </w:r>
      <w:r>
        <w:rPr>
          <w:rFonts w:ascii="仿宋" w:hAnsi="仿宋" w:eastAsia="仿宋" w:cs="仿宋"/>
          <w:b/>
          <w:bCs/>
          <w:color w:val="auto"/>
          <w:sz w:val="24"/>
          <w:szCs w:val="24"/>
          <w:highlight w:val="none"/>
        </w:rPr>
        <w:t xml:space="preserve">7.5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工程分包不能免除承包人应承担的任何责任和应履行的任何义务。承包人应在分包场地派驻相应管理人员保证本合同的履行。</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分包人应对分包工程负责。分包人的任何违约行为或疏忽导致工程损坏、损害或给发包人造成损失的，承包人应承担连带责任。</w:t>
      </w:r>
    </w:p>
    <w:p>
      <w:pPr>
        <w:pStyle w:val="2"/>
        <w:shd w:val="clear" w:color="000000" w:fill="auto"/>
        <w:adjustRightInd w:val="0"/>
        <w:snapToGrid w:val="0"/>
        <w:spacing w:line="360" w:lineRule="auto"/>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-114300</wp:posOffset>
                </wp:positionH>
                <wp:positionV relativeFrom="paragraph">
                  <wp:posOffset>229235</wp:posOffset>
                </wp:positionV>
                <wp:extent cx="914400" cy="280035"/>
                <wp:effectExtent l="0" t="0" r="0" b="0"/>
                <wp:wrapNone/>
                <wp:docPr id="19" name="文本框 20"/>
                <wp:cNvGraphicFramePr/>
                <a:graphic xmlns:a="http://schemas.openxmlformats.org/drawingml/2006/main">
                  <a:graphicData uri="http://schemas.microsoft.com/office/word/2010/wordprocessingShape">
                    <wps:wsp>
                      <wps:cNvSpPr txBox="1"/>
                      <wps:spPr>
                        <a:xfrm>
                          <a:off x="0" y="0"/>
                          <a:ext cx="914400" cy="28003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分包合同终止</w:t>
                            </w:r>
                          </w:p>
                        </w:txbxContent>
                      </wps:txbx>
                      <wps:bodyPr upright="1"/>
                    </wps:wsp>
                  </a:graphicData>
                </a:graphic>
              </wp:anchor>
            </w:drawing>
          </mc:Choice>
          <mc:Fallback>
            <w:pict>
              <v:shape id="文本框 20" o:spid="_x0000_s1026" o:spt="202" type="#_x0000_t202" style="position:absolute;left:0pt;margin-left:-9pt;margin-top:18.05pt;height:22.05pt;width:72pt;z-index:251677696;mso-width-relative:page;mso-height-relative:page;" filled="f" stroked="f" coordsize="21600,21600" o:gfxdata="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HMcytYAAAAJ&#10;AQAADwAAAAAAAAABACAAAAAiAAAAZHJzL2Rvd25yZXYueG1sUEsBAhQAFAAAAAgAh07iQFIaJdms&#10;AQAATwMAAA4AAAAAAAAAAQAgAAAAJQEAAGRycy9lMm9Eb2MueG1sUEsFBgAAAAAGAAYAWQEAAEMF&#10;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分包合同终止</w:t>
                      </w:r>
                    </w:p>
                  </w:txbxContent>
                </v:textbox>
              </v:shape>
            </w:pict>
          </mc:Fallback>
        </mc:AlternateContent>
      </w:r>
      <w:r>
        <w:rPr>
          <w:rFonts w:ascii="仿宋" w:hAnsi="仿宋" w:eastAsia="仿宋" w:cs="仿宋"/>
          <w:b/>
          <w:bCs/>
          <w:color w:val="auto"/>
          <w:sz w:val="24"/>
          <w:szCs w:val="24"/>
          <w:highlight w:val="none"/>
        </w:rPr>
        <w:t xml:space="preserve">7.6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无论何种原因，当本合同终止时，分包人与承包人签订的分包合同也随即终止。承包人应在本合同终止前向分包人支付分包人应得所有款项。</w:t>
      </w:r>
    </w:p>
    <w:p>
      <w:pPr>
        <w:pStyle w:val="2"/>
        <w:shd w:val="clear" w:color="000000" w:fill="auto"/>
        <w:tabs>
          <w:tab w:val="left" w:pos="1260"/>
        </w:tabs>
        <w:adjustRightInd w:val="0"/>
        <w:snapToGrid w:val="0"/>
        <w:spacing w:before="120" w:beforeLines="50"/>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u w:val="single"/>
        </w:rPr>
        <w:t xml:space="preserve">                                                                                                             </w:t>
      </w:r>
    </w:p>
    <w:p>
      <w:pPr>
        <w:pStyle w:val="5"/>
        <w:numPr>
          <w:ilvl w:val="0"/>
          <w:numId w:val="0"/>
        </w:numPr>
        <w:shd w:val="clear" w:color="000000" w:fill="auto"/>
        <w:tabs>
          <w:tab w:val="left" w:pos="420"/>
        </w:tabs>
        <w:ind w:left="720"/>
        <w:rPr>
          <w:rFonts w:ascii="仿宋" w:hAnsi="仿宋" w:eastAsia="仿宋"/>
          <w:color w:val="auto"/>
          <w:sz w:val="24"/>
          <w:szCs w:val="24"/>
          <w:highlight w:val="none"/>
        </w:rPr>
      </w:pPr>
      <w:bookmarkStart w:id="132" w:name="_Toc5385"/>
      <w:bookmarkStart w:id="133" w:name="_Toc469383987"/>
      <w:bookmarkStart w:id="134" w:name="_Toc10624827"/>
      <w:r>
        <w:rPr>
          <w:rFonts w:ascii="仿宋" w:hAnsi="仿宋" w:eastAsia="仿宋" w:cs="仿宋"/>
          <w:color w:val="auto"/>
          <w:sz w:val="24"/>
          <w:szCs w:val="24"/>
          <w:highlight w:val="none"/>
        </w:rPr>
        <w:t xml:space="preserve">8  </w:t>
      </w:r>
      <w:r>
        <w:rPr>
          <w:rFonts w:hint="eastAsia" w:ascii="仿宋" w:hAnsi="仿宋" w:eastAsia="仿宋" w:cs="仿宋"/>
          <w:color w:val="auto"/>
          <w:sz w:val="24"/>
          <w:szCs w:val="24"/>
          <w:highlight w:val="none"/>
        </w:rPr>
        <w:t>现场查勘</w:t>
      </w:r>
      <w:bookmarkEnd w:id="132"/>
      <w:bookmarkEnd w:id="133"/>
      <w:bookmarkEnd w:id="134"/>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678720" behindDoc="0" locked="0" layoutInCell="1" allowOverlap="1">
                <wp:simplePos x="0" y="0"/>
                <wp:positionH relativeFrom="column">
                  <wp:posOffset>-114300</wp:posOffset>
                </wp:positionH>
                <wp:positionV relativeFrom="paragraph">
                  <wp:posOffset>236855</wp:posOffset>
                </wp:positionV>
                <wp:extent cx="914400" cy="495300"/>
                <wp:effectExtent l="0" t="0" r="0" b="0"/>
                <wp:wrapNone/>
                <wp:docPr id="20" name="文本框 21"/>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发包人提供资料的责任</w:t>
                            </w:r>
                          </w:p>
                        </w:txbxContent>
                      </wps:txbx>
                      <wps:bodyPr upright="1"/>
                    </wps:wsp>
                  </a:graphicData>
                </a:graphic>
              </wp:anchor>
            </w:drawing>
          </mc:Choice>
          <mc:Fallback>
            <w:pict>
              <v:shape id="文本框 21" o:spid="_x0000_s1026" o:spt="202" type="#_x0000_t202" style="position:absolute;left:0pt;margin-left:-9pt;margin-top:18.65pt;height:39pt;width:72pt;z-index:251678720;mso-width-relative:page;mso-height-relative:page;" filled="f" stroked="f" coordsize="21600,21600" o:gfxdata="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moEmP2AAA&#10;AAoBAAAPAAAAAAAAAAEAIAAAACIAAABkcnMvZG93bnJldi54bWxQSwECFAAUAAAACACHTuJAr1W9&#10;DKwBAABPAwAADgAAAAAAAAABACAAAAAnAQAAZHJzL2Uyb0RvYy54bWxQSwUGAAAAAAYABgBZAQAA&#10;RQUAAAAA&#10;">
                <v:fill on="f" focussize="0,0"/>
                <v:stroke on="f"/>
                <v:imagedata o:title=""/>
                <o:lock v:ext="edit" aspectratio="f"/>
                <v:textbox>
                  <w:txbxContent>
                    <w:p>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发包人提供资料的责任</w:t>
                      </w:r>
                    </w:p>
                  </w:txbxContent>
                </v:textbox>
              </v:shape>
            </w:pict>
          </mc:Fallback>
        </mc:AlternateContent>
      </w:r>
      <w:r>
        <w:rPr>
          <w:rFonts w:ascii="仿宋" w:hAnsi="仿宋" w:eastAsia="仿宋" w:cs="仿宋"/>
          <w:b/>
          <w:bCs/>
          <w:color w:val="auto"/>
          <w:sz w:val="24"/>
          <w:szCs w:val="24"/>
          <w:highlight w:val="none"/>
        </w:rPr>
        <w:t xml:space="preserve">8.1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发包人应按照第</w:t>
      </w:r>
      <w:r>
        <w:rPr>
          <w:rFonts w:ascii="仿宋" w:hAnsi="仿宋" w:eastAsia="仿宋" w:cs="仿宋"/>
          <w:color w:val="auto"/>
          <w:sz w:val="24"/>
          <w:szCs w:val="24"/>
          <w:highlight w:val="none"/>
        </w:rPr>
        <w:t>19.2</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点规定向承包人提供有关资料。此资料作为招标文件的组成部分，与招标文件一并发布。发包人对其提供的上述资料的真实性、准确性和完整性负责。因发包人提供上述资料错误导致承包人发生损失的，发包人应承担由此增加的费用和（或）延误的工期，并向承包人支付合理利润。</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79744" behindDoc="0" locked="0" layoutInCell="1" allowOverlap="1">
                <wp:simplePos x="0" y="0"/>
                <wp:positionH relativeFrom="column">
                  <wp:posOffset>-114300</wp:posOffset>
                </wp:positionH>
                <wp:positionV relativeFrom="paragraph">
                  <wp:posOffset>0</wp:posOffset>
                </wp:positionV>
                <wp:extent cx="914400" cy="500380"/>
                <wp:effectExtent l="0" t="0" r="0" b="0"/>
                <wp:wrapNone/>
                <wp:docPr id="21" name="文本框 22"/>
                <wp:cNvGraphicFramePr/>
                <a:graphic xmlns:a="http://schemas.openxmlformats.org/drawingml/2006/main">
                  <a:graphicData uri="http://schemas.microsoft.com/office/word/2010/wordprocessingShape">
                    <wps:wsp>
                      <wps:cNvSpPr txBox="1"/>
                      <wps:spPr>
                        <a:xfrm>
                          <a:off x="0" y="0"/>
                          <a:ext cx="914400" cy="50038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承包人现场查勘</w:t>
                            </w:r>
                          </w:p>
                        </w:txbxContent>
                      </wps:txbx>
                      <wps:bodyPr upright="1"/>
                    </wps:wsp>
                  </a:graphicData>
                </a:graphic>
              </wp:anchor>
            </w:drawing>
          </mc:Choice>
          <mc:Fallback>
            <w:pict>
              <v:shape id="文本框 22" o:spid="_x0000_s1026" o:spt="202" type="#_x0000_t202" style="position:absolute;left:0pt;margin-left:-9pt;margin-top:0pt;height:39.4pt;width:72pt;z-index:251679744;mso-width-relative:page;mso-height-relative:page;" filled="f" stroked="f" coordsize="21600,21600" o:gfxdata="UEsDBAoAAAAAAIdO4kAAAAAAAAAAAAAAAAAEAAAAZHJzL1BLAwQUAAAACACHTuJAFaYpR9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FaYpR9QAAAAH&#10;AQAADwAAAAAAAAABACAAAAAiAAAAZHJzL2Rvd25yZXYueG1sUEsBAhQAFAAAAAgAh07iQIGEKVKu&#10;AQAATwMAAA4AAAAAAAAAAQAgAAAAIwEAAGRycy9lMm9Eb2MueG1sUEsFBgAAAAAGAAYAWQEAAEMF&#10;A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承包人现场查勘</w:t>
                      </w:r>
                    </w:p>
                  </w:txbxContent>
                </v:textbox>
              </v:shape>
            </w:pict>
          </mc:Fallback>
        </mc:AlternateContent>
      </w:r>
      <w:r>
        <w:rPr>
          <w:rFonts w:hint="eastAsia" w:ascii="仿宋" w:hAnsi="仿宋" w:eastAsia="仿宋" w:cs="仿宋"/>
          <w:color w:val="auto"/>
          <w:sz w:val="24"/>
          <w:szCs w:val="24"/>
          <w:highlight w:val="none"/>
        </w:rPr>
        <w:t>承包人应依据发包人按照第</w:t>
      </w:r>
      <w:r>
        <w:rPr>
          <w:rFonts w:ascii="仿宋" w:hAnsi="仿宋" w:eastAsia="仿宋" w:cs="仿宋"/>
          <w:color w:val="auto"/>
          <w:sz w:val="24"/>
          <w:szCs w:val="24"/>
          <w:highlight w:val="none"/>
        </w:rPr>
        <w:t>19.2</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）点规定提供的资料和自己对现场查勘来编制投标文件，并对发包人提供上述资料的理解、推断和应用负责。</w:t>
      </w:r>
      <w:r>
        <w:rPr>
          <w:rFonts w:ascii="仿宋" w:hAnsi="仿宋" w:eastAsia="仿宋" w:cs="仿宋"/>
          <w:color w:val="auto"/>
          <w:sz w:val="24"/>
          <w:szCs w:val="24"/>
          <w:highlight w:val="none"/>
        </w:rPr>
        <w:t>因承包人未能充分查勘、了解</w:t>
      </w:r>
      <w:r>
        <w:rPr>
          <w:rFonts w:hint="eastAsia" w:ascii="仿宋" w:hAnsi="仿宋" w:eastAsia="仿宋" w:cs="仿宋"/>
          <w:color w:val="auto"/>
          <w:sz w:val="24"/>
          <w:szCs w:val="24"/>
          <w:highlight w:val="none"/>
        </w:rPr>
        <w:t>以下</w:t>
      </w:r>
      <w:r>
        <w:rPr>
          <w:rFonts w:ascii="仿宋" w:hAnsi="仿宋" w:eastAsia="仿宋" w:cs="仿宋"/>
          <w:color w:val="auto"/>
          <w:sz w:val="24"/>
          <w:szCs w:val="24"/>
          <w:highlight w:val="none"/>
        </w:rPr>
        <w:t>情况或未能充分估计</w:t>
      </w:r>
      <w:r>
        <w:rPr>
          <w:rFonts w:hint="eastAsia" w:ascii="仿宋" w:hAnsi="仿宋" w:eastAsia="仿宋" w:cs="仿宋"/>
          <w:color w:val="auto"/>
          <w:sz w:val="24"/>
          <w:szCs w:val="24"/>
          <w:highlight w:val="none"/>
        </w:rPr>
        <w:t>以下</w:t>
      </w:r>
      <w:r>
        <w:rPr>
          <w:rFonts w:ascii="仿宋" w:hAnsi="仿宋" w:eastAsia="仿宋" w:cs="仿宋"/>
          <w:color w:val="auto"/>
          <w:sz w:val="24"/>
          <w:szCs w:val="24"/>
          <w:highlight w:val="none"/>
        </w:rPr>
        <w:t>情况所可能产生后果的，承包人承担由此增加的费用和（或）延误的工期。</w:t>
      </w:r>
      <w:r>
        <w:rPr>
          <w:rFonts w:hint="eastAsia" w:ascii="仿宋" w:hAnsi="仿宋" w:eastAsia="仿宋" w:cs="仿宋"/>
          <w:color w:val="auto"/>
          <w:sz w:val="24"/>
          <w:szCs w:val="24"/>
          <w:highlight w:val="none"/>
        </w:rPr>
        <w:t>承包人的投标文件应被认为已经考虑了现场及其周围环境的影响，包括但不限于以下内容：</w:t>
      </w:r>
    </w:p>
    <w:p>
      <w:pPr>
        <w:pStyle w:val="2"/>
        <w:shd w:val="clear" w:color="000000" w:fill="auto"/>
        <w:adjustRightInd w:val="0"/>
        <w:snapToGrid w:val="0"/>
        <w:spacing w:line="360" w:lineRule="auto"/>
        <w:ind w:left="161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）现场地质情况及地形地貌特征；</w:t>
      </w:r>
    </w:p>
    <w:p>
      <w:pPr>
        <w:pStyle w:val="2"/>
        <w:shd w:val="clear" w:color="000000" w:fill="auto"/>
        <w:adjustRightInd w:val="0"/>
        <w:snapToGrid w:val="0"/>
        <w:spacing w:line="360" w:lineRule="auto"/>
        <w:ind w:left="161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（2）水文和气候条件；</w:t>
      </w:r>
    </w:p>
    <w:p>
      <w:pPr>
        <w:pStyle w:val="2"/>
        <w:shd w:val="clear" w:color="000000" w:fill="auto"/>
        <w:adjustRightInd w:val="0"/>
        <w:snapToGrid w:val="0"/>
        <w:spacing w:line="360" w:lineRule="auto"/>
        <w:ind w:left="161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（3）为实施、完成并保修合同工程所需的临时工程和措施项目；</w:t>
      </w:r>
    </w:p>
    <w:p>
      <w:pPr>
        <w:pStyle w:val="2"/>
        <w:shd w:val="clear" w:color="000000" w:fill="auto"/>
        <w:tabs>
          <w:tab w:val="left" w:pos="2580"/>
        </w:tabs>
        <w:adjustRightInd w:val="0"/>
        <w:snapToGrid w:val="0"/>
        <w:spacing w:line="360" w:lineRule="auto"/>
        <w:ind w:left="161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（4）为实施、完成并保修合同工程所需的材料采购和加工、设备的采购，及所需的施工设备、周转性材料、人员和管理等；</w:t>
      </w:r>
    </w:p>
    <w:p>
      <w:pPr>
        <w:pStyle w:val="2"/>
        <w:shd w:val="clear" w:color="000000" w:fill="auto"/>
        <w:adjustRightInd w:val="0"/>
        <w:snapToGrid w:val="0"/>
        <w:spacing w:line="360" w:lineRule="auto"/>
        <w:ind w:left="161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（5）场地内外的交通情况及水、电、食宿供应条件；</w:t>
      </w:r>
    </w:p>
    <w:p>
      <w:pPr>
        <w:pStyle w:val="2"/>
        <w:shd w:val="clear" w:color="000000" w:fill="auto"/>
        <w:adjustRightInd w:val="0"/>
        <w:snapToGrid w:val="0"/>
        <w:spacing w:line="360" w:lineRule="auto"/>
        <w:ind w:left="161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（6）可能对投标、报价或施工有影响或起作用的其他情况。</w:t>
      </w:r>
    </w:p>
    <w:p>
      <w:pPr>
        <w:pStyle w:val="2"/>
        <w:shd w:val="clear" w:color="000000" w:fill="auto"/>
        <w:adjustRightInd w:val="0"/>
        <w:snapToGrid w:val="0"/>
        <w:ind w:right="-238"/>
        <w:rPr>
          <w:rFonts w:ascii="仿宋" w:hAnsi="仿宋" w:eastAsia="仿宋" w:cs="Times New Roman"/>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numPr>
          <w:ilvl w:val="0"/>
          <w:numId w:val="0"/>
        </w:numPr>
        <w:shd w:val="clear" w:color="000000" w:fill="auto"/>
        <w:tabs>
          <w:tab w:val="left" w:pos="420"/>
        </w:tabs>
        <w:ind w:left="720"/>
        <w:rPr>
          <w:rFonts w:ascii="仿宋" w:hAnsi="仿宋" w:eastAsia="仿宋"/>
          <w:color w:val="auto"/>
          <w:sz w:val="24"/>
          <w:szCs w:val="24"/>
          <w:highlight w:val="none"/>
        </w:rPr>
      </w:pPr>
      <w:bookmarkStart w:id="135" w:name="_Toc10624828"/>
      <w:bookmarkStart w:id="136" w:name="_Toc469383988"/>
      <w:bookmarkStart w:id="137" w:name="_Toc10209"/>
      <w:r>
        <w:rPr>
          <w:rFonts w:ascii="仿宋" w:hAnsi="仿宋" w:eastAsia="仿宋" w:cs="仿宋"/>
          <w:color w:val="auto"/>
          <w:sz w:val="24"/>
          <w:szCs w:val="24"/>
          <w:highlight w:val="none"/>
        </w:rPr>
        <w:t xml:space="preserve">9  </w:t>
      </w:r>
      <w:r>
        <w:rPr>
          <w:rFonts w:hint="eastAsia" w:ascii="仿宋" w:hAnsi="仿宋" w:eastAsia="仿宋" w:cs="仿宋"/>
          <w:color w:val="auto"/>
          <w:sz w:val="24"/>
          <w:szCs w:val="24"/>
          <w:highlight w:val="none"/>
        </w:rPr>
        <w:t>招标错失的修正</w:t>
      </w:r>
      <w:bookmarkEnd w:id="135"/>
      <w:bookmarkEnd w:id="136"/>
      <w:bookmarkEnd w:id="137"/>
    </w:p>
    <w:p>
      <w:pPr>
        <w:pStyle w:val="2"/>
        <w:shd w:val="clear" w:color="000000" w:fill="auto"/>
        <w:adjustRightInd w:val="0"/>
        <w:snapToGrid w:val="0"/>
        <w:spacing w:before="240" w:beforeLines="100"/>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680768" behindDoc="0" locked="0" layoutInCell="1" allowOverlap="1">
                <wp:simplePos x="0" y="0"/>
                <wp:positionH relativeFrom="column">
                  <wp:posOffset>-60960</wp:posOffset>
                </wp:positionH>
                <wp:positionV relativeFrom="paragraph">
                  <wp:posOffset>398145</wp:posOffset>
                </wp:positionV>
                <wp:extent cx="914400" cy="792480"/>
                <wp:effectExtent l="0" t="0" r="0" b="0"/>
                <wp:wrapNone/>
                <wp:docPr id="22" name="文本框 23"/>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pStyle w:val="2"/>
                              <w:tabs>
                                <w:tab w:val="left" w:pos="2160"/>
                              </w:tabs>
                              <w:spacing w:before="192" w:beforeLines="80"/>
                              <w:rPr>
                                <w:rFonts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合同条款及格式完备性和义务</w:t>
                            </w:r>
                          </w:p>
                          <w:p>
                            <w:pPr>
                              <w:rPr>
                                <w:rFonts w:cs="Times New Roman"/>
                                <w:sz w:val="18"/>
                                <w:szCs w:val="18"/>
                              </w:rPr>
                            </w:pPr>
                          </w:p>
                        </w:txbxContent>
                      </wps:txbx>
                      <wps:bodyPr upright="1"/>
                    </wps:wsp>
                  </a:graphicData>
                </a:graphic>
              </wp:anchor>
            </w:drawing>
          </mc:Choice>
          <mc:Fallback>
            <w:pict>
              <v:shape id="文本框 23" o:spid="_x0000_s1026" o:spt="202" type="#_x0000_t202" style="position:absolute;left:0pt;margin-left:-4.8pt;margin-top:31.35pt;height:62.4pt;width:72pt;z-index:251680768;mso-width-relative:page;mso-height-relative:page;" filled="f" stroked="f" coordsize="21600,21600" o:gfxdata="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BcOqgNcA&#10;AAAJAQAADwAAAAAAAAABACAAAAAiAAAAZHJzL2Rvd25yZXYueG1sUEsBAhQAFAAAAAgAh07iQEt7&#10;5JCuAQAATwMAAA4AAAAAAAAAAQAgAAAAJgEAAGRycy9lMm9Eb2MueG1sUEsFBgAAAAAGAAYAWQEA&#10;AEYFAAAAAA==&#10;">
                <v:fill on="f" focussize="0,0"/>
                <v:stroke on="f"/>
                <v:imagedata o:title=""/>
                <o:lock v:ext="edit" aspectratio="f"/>
                <v:textbox>
                  <w:txbxContent>
                    <w:p>
                      <w:pPr>
                        <w:pStyle w:val="2"/>
                        <w:tabs>
                          <w:tab w:val="left" w:pos="2160"/>
                        </w:tabs>
                        <w:spacing w:before="192" w:beforeLines="80"/>
                        <w:rPr>
                          <w:rFonts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合同条款及格式完备性和义务</w:t>
                      </w:r>
                    </w:p>
                    <w:p>
                      <w:pPr>
                        <w:rPr>
                          <w:rFonts w:cs="Times New Roman"/>
                          <w:sz w:val="18"/>
                          <w:szCs w:val="18"/>
                        </w:rPr>
                      </w:pPr>
                    </w:p>
                  </w:txbxContent>
                </v:textbox>
              </v:shape>
            </w:pict>
          </mc:Fallback>
        </mc:AlternateContent>
      </w:r>
      <w:r>
        <w:rPr>
          <w:rFonts w:ascii="仿宋" w:hAnsi="仿宋" w:eastAsia="仿宋" w:cs="仿宋"/>
          <w:b/>
          <w:bCs/>
          <w:color w:val="auto"/>
          <w:sz w:val="24"/>
          <w:szCs w:val="24"/>
          <w:highlight w:val="none"/>
        </w:rPr>
        <w:t xml:space="preserve">9.1  </w:t>
      </w:r>
    </w:p>
    <w:p>
      <w:pPr>
        <w:pStyle w:val="2"/>
        <w:shd w:val="clear" w:color="000000" w:fill="auto"/>
        <w:tabs>
          <w:tab w:val="left" w:pos="1980"/>
        </w:tabs>
        <w:spacing w:before="192" w:beforeLines="80" w:line="360" w:lineRule="auto"/>
        <w:ind w:left="1622"/>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发包人招标文件中的合同条款及格式，应被认为是正确的和公平的，并已包括了发包人履行本合同的全部义务，包括但不限于以下内容：</w:t>
      </w:r>
    </w:p>
    <w:p>
      <w:pPr>
        <w:pStyle w:val="2"/>
        <w:shd w:val="clear" w:color="000000" w:fill="auto"/>
        <w:tabs>
          <w:tab w:val="left" w:pos="2160"/>
        </w:tabs>
        <w:spacing w:line="360" w:lineRule="auto"/>
        <w:ind w:firstLine="1620" w:firstLineChars="67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）支付工程款及其他应付款项的义务；</w:t>
      </w:r>
    </w:p>
    <w:p>
      <w:pPr>
        <w:pStyle w:val="2"/>
        <w:shd w:val="clear" w:color="000000" w:fill="auto"/>
        <w:tabs>
          <w:tab w:val="left" w:pos="2160"/>
        </w:tabs>
        <w:spacing w:line="360" w:lineRule="auto"/>
        <w:ind w:left="-61" w:leftChars="-29" w:firstLine="1680" w:firstLineChars="7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）完成本合同第</w:t>
      </w:r>
      <w:r>
        <w:rPr>
          <w:rFonts w:ascii="仿宋" w:hAnsi="仿宋" w:eastAsia="仿宋" w:cs="仿宋"/>
          <w:color w:val="auto"/>
          <w:sz w:val="24"/>
          <w:szCs w:val="24"/>
          <w:highlight w:val="none"/>
        </w:rPr>
        <w:t>19.2</w:t>
      </w:r>
      <w:r>
        <w:rPr>
          <w:rFonts w:hint="eastAsia" w:ascii="仿宋" w:hAnsi="仿宋" w:eastAsia="仿宋" w:cs="仿宋"/>
          <w:color w:val="auto"/>
          <w:sz w:val="24"/>
          <w:szCs w:val="24"/>
          <w:highlight w:val="none"/>
        </w:rPr>
        <w:t>款约定工作的义务；</w:t>
      </w:r>
    </w:p>
    <w:p>
      <w:pPr>
        <w:pStyle w:val="2"/>
        <w:shd w:val="clear" w:color="000000" w:fill="auto"/>
        <w:tabs>
          <w:tab w:val="left" w:pos="2160"/>
        </w:tabs>
        <w:spacing w:line="360" w:lineRule="auto"/>
        <w:ind w:left="-61" w:leftChars="-29" w:firstLine="1680" w:firstLineChars="7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）修正不正确合同条款及格式的义务；</w:t>
      </w:r>
    </w:p>
    <w:p>
      <w:pPr>
        <w:pStyle w:val="2"/>
        <w:shd w:val="clear" w:color="000000" w:fill="auto"/>
        <w:tabs>
          <w:tab w:val="left" w:pos="2160"/>
        </w:tabs>
        <w:spacing w:line="360" w:lineRule="auto"/>
        <w:ind w:left="-61" w:leftChars="-29" w:firstLine="1680" w:firstLineChars="7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）澄清并改正被认定有失公平的合同条款的义务；</w:t>
      </w:r>
    </w:p>
    <w:p>
      <w:pPr>
        <w:pStyle w:val="2"/>
        <w:shd w:val="clear" w:color="000000" w:fill="auto"/>
        <w:tabs>
          <w:tab w:val="left" w:pos="2160"/>
        </w:tabs>
        <w:spacing w:line="360" w:lineRule="auto"/>
        <w:ind w:left="-61" w:leftChars="-29" w:firstLine="1680" w:firstLineChars="700"/>
        <w:rPr>
          <w:rFonts w:ascii="仿宋" w:hAnsi="仿宋" w:eastAsia="仿宋" w:cs="Times New Roman"/>
          <w:b/>
          <w:bCs/>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）协助承包人实施、完成并保修合同工程的义务。</w:t>
      </w:r>
    </w:p>
    <w:p>
      <w:pPr>
        <w:pStyle w:val="2"/>
        <w:shd w:val="clear" w:color="000000" w:fill="auto"/>
        <w:tabs>
          <w:tab w:val="left" w:pos="2160"/>
        </w:tabs>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681792" behindDoc="0" locked="0" layoutInCell="1" allowOverlap="1">
                <wp:simplePos x="0" y="0"/>
                <wp:positionH relativeFrom="column">
                  <wp:posOffset>45085</wp:posOffset>
                </wp:positionH>
                <wp:positionV relativeFrom="paragraph">
                  <wp:posOffset>187325</wp:posOffset>
                </wp:positionV>
                <wp:extent cx="914400" cy="829310"/>
                <wp:effectExtent l="0" t="0" r="0" b="0"/>
                <wp:wrapNone/>
                <wp:docPr id="23" name="文本框 24"/>
                <wp:cNvGraphicFramePr/>
                <a:graphic xmlns:a="http://schemas.openxmlformats.org/drawingml/2006/main">
                  <a:graphicData uri="http://schemas.microsoft.com/office/word/2010/wordprocessingShape">
                    <wps:wsp>
                      <wps:cNvSpPr txBox="1"/>
                      <wps:spPr>
                        <a:xfrm>
                          <a:off x="0" y="0"/>
                          <a:ext cx="914400" cy="829310"/>
                        </a:xfrm>
                        <a:prstGeom prst="rect">
                          <a:avLst/>
                        </a:prstGeom>
                        <a:noFill/>
                        <a:ln>
                          <a:noFill/>
                        </a:ln>
                      </wps:spPr>
                      <wps:txbx>
                        <w:txbxContent>
                          <w:p>
                            <w:pPr>
                              <w:pStyle w:val="2"/>
                              <w:tabs>
                                <w:tab w:val="left" w:pos="2160"/>
                              </w:tabs>
                              <w:spacing w:before="192" w:beforeLines="80"/>
                              <w:rPr>
                                <w:rFonts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工程量清单准确性和修正</w:t>
                            </w:r>
                          </w:p>
                          <w:p>
                            <w:pPr>
                              <w:rPr>
                                <w:rFonts w:cs="Times New Roman"/>
                                <w:sz w:val="18"/>
                                <w:szCs w:val="18"/>
                              </w:rPr>
                            </w:pPr>
                          </w:p>
                        </w:txbxContent>
                      </wps:txbx>
                      <wps:bodyPr upright="1"/>
                    </wps:wsp>
                  </a:graphicData>
                </a:graphic>
              </wp:anchor>
            </w:drawing>
          </mc:Choice>
          <mc:Fallback>
            <w:pict>
              <v:shape id="文本框 24" o:spid="_x0000_s1026" o:spt="202" type="#_x0000_t202" style="position:absolute;left:0pt;margin-left:3.55pt;margin-top:14.75pt;height:65.3pt;width:72pt;z-index:251681792;mso-width-relative:page;mso-height-relative:page;" filled="f" stroked="f" coordsize="21600,21600" o:gfxdata="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uM7a3VAAAA&#10;CAEAAA8AAAAAAAAAAQAgAAAAIgAAAGRycy9kb3ducmV2LnhtbFBLAQIUABQAAAAIAIdO4kA8ykrS&#10;rgEAAE8DAAAOAAAAAAAAAAEAIAAAACQBAABkcnMvZTJvRG9jLnhtbFBLBQYAAAAABgAGAFkBAABE&#10;BQAAAAA=&#10;">
                <v:fill on="f" focussize="0,0"/>
                <v:stroke on="f"/>
                <v:imagedata o:title=""/>
                <o:lock v:ext="edit" aspectratio="f"/>
                <v:textbox>
                  <w:txbxContent>
                    <w:p>
                      <w:pPr>
                        <w:pStyle w:val="2"/>
                        <w:tabs>
                          <w:tab w:val="left" w:pos="2160"/>
                        </w:tabs>
                        <w:spacing w:before="192" w:beforeLines="80"/>
                        <w:rPr>
                          <w:rFonts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工程量清单准确性和修正</w:t>
                      </w:r>
                    </w:p>
                    <w:p>
                      <w:pPr>
                        <w:rPr>
                          <w:rFonts w:cs="Times New Roman"/>
                          <w:sz w:val="18"/>
                          <w:szCs w:val="18"/>
                        </w:rPr>
                      </w:pPr>
                    </w:p>
                  </w:txbxContent>
                </v:textbox>
              </v:shape>
            </w:pict>
          </mc:Fallback>
        </mc:AlternateContent>
      </w:r>
      <w:r>
        <w:rPr>
          <w:rFonts w:ascii="仿宋" w:hAnsi="仿宋" w:eastAsia="仿宋" w:cs="仿宋"/>
          <w:b/>
          <w:bCs/>
          <w:color w:val="auto"/>
          <w:sz w:val="24"/>
          <w:szCs w:val="24"/>
          <w:highlight w:val="none"/>
        </w:rPr>
        <w:t xml:space="preserve">9.2  </w:t>
      </w:r>
      <w:r>
        <w:rPr>
          <w:rFonts w:ascii="仿宋" w:hAnsi="仿宋" w:eastAsia="仿宋" w:cs="仿宋"/>
          <w:b/>
          <w:bCs/>
          <w:color w:val="auto"/>
          <w:sz w:val="24"/>
          <w:szCs w:val="24"/>
          <w:highlight w:val="none"/>
          <w:u w:val="dotted"/>
        </w:rPr>
        <w:t xml:space="preserve">                                                                               </w:t>
      </w:r>
    </w:p>
    <w:p>
      <w:pPr>
        <w:pStyle w:val="2"/>
        <w:shd w:val="clear" w:color="000000" w:fill="auto"/>
        <w:tabs>
          <w:tab w:val="left" w:pos="2160"/>
        </w:tabs>
        <w:spacing w:line="360" w:lineRule="auto"/>
        <w:ind w:left="1799" w:leftChars="828" w:hanging="60" w:hangingChars="2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发包人招标文件提供的工程量清单及其招标控制价等资料，应被认为是准确的和完整的。当出现下列情形之一的，发包人应及时予以修正，并相应调整合同价款：</w:t>
      </w:r>
    </w:p>
    <w:p>
      <w:pPr>
        <w:pStyle w:val="2"/>
        <w:shd w:val="clear" w:color="000000" w:fill="auto"/>
        <w:tabs>
          <w:tab w:val="left" w:pos="2160"/>
        </w:tabs>
        <w:spacing w:line="360" w:lineRule="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 xml:space="preserve">             （</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）施工设计图纸发生变化的；</w:t>
      </w:r>
    </w:p>
    <w:p>
      <w:pPr>
        <w:pStyle w:val="2"/>
        <w:shd w:val="clear" w:color="000000" w:fill="auto"/>
        <w:tabs>
          <w:tab w:val="left" w:pos="2160"/>
        </w:tabs>
        <w:spacing w:line="360" w:lineRule="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 xml:space="preserve">             （</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）出现第</w:t>
      </w:r>
      <w:r>
        <w:rPr>
          <w:rFonts w:ascii="仿宋" w:hAnsi="仿宋" w:eastAsia="仿宋" w:cs="仿宋"/>
          <w:color w:val="auto"/>
          <w:sz w:val="24"/>
          <w:szCs w:val="24"/>
          <w:highlight w:val="none"/>
        </w:rPr>
        <w:t>68.2</w:t>
      </w:r>
      <w:r>
        <w:rPr>
          <w:rFonts w:hint="eastAsia" w:ascii="仿宋" w:hAnsi="仿宋" w:eastAsia="仿宋" w:cs="仿宋"/>
          <w:color w:val="auto"/>
          <w:sz w:val="24"/>
          <w:szCs w:val="24"/>
          <w:highlight w:val="none"/>
        </w:rPr>
        <w:t>款规定调整合同价款事件的；</w:t>
      </w:r>
    </w:p>
    <w:p>
      <w:pPr>
        <w:pStyle w:val="2"/>
        <w:shd w:val="clear" w:color="000000" w:fill="auto"/>
        <w:tabs>
          <w:tab w:val="left" w:pos="2160"/>
        </w:tabs>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pStyle w:val="2"/>
        <w:shd w:val="clear" w:color="000000" w:fill="auto"/>
        <w:tabs>
          <w:tab w:val="left" w:pos="2160"/>
        </w:tabs>
        <w:spacing w:line="360" w:lineRule="auto"/>
        <w:rPr>
          <w:color w:val="auto"/>
          <w:highlight w:val="none"/>
        </w:rPr>
      </w:pPr>
      <w:r>
        <w:rPr>
          <w:rFonts w:hint="eastAsia"/>
          <w:color w:val="auto"/>
          <w:highlight w:val="none"/>
        </w:rPr>
        <w:t xml:space="preserve">               </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3</w:t>
      </w:r>
      <w:r>
        <w:rPr>
          <w:rFonts w:ascii="仿宋" w:hAnsi="仿宋" w:eastAsia="仿宋" w:cs="仿宋"/>
          <w:color w:val="auto"/>
          <w:sz w:val="24"/>
          <w:szCs w:val="24"/>
          <w:highlight w:val="none"/>
        </w:rPr>
        <w:t>）工程量清单存在缺项、漏项的；</w:t>
      </w:r>
    </w:p>
    <w:p>
      <w:pPr>
        <w:pStyle w:val="2"/>
        <w:shd w:val="clear" w:color="000000" w:fill="auto"/>
        <w:adjustRightInd w:val="0"/>
        <w:snapToGrid w:val="0"/>
        <w:ind w:right="-238"/>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numPr>
          <w:ilvl w:val="0"/>
          <w:numId w:val="0"/>
        </w:numPr>
        <w:shd w:val="clear" w:color="000000" w:fill="auto"/>
        <w:tabs>
          <w:tab w:val="left" w:pos="420"/>
        </w:tabs>
        <w:ind w:left="720"/>
        <w:rPr>
          <w:rFonts w:ascii="仿宋" w:hAnsi="仿宋" w:eastAsia="仿宋"/>
          <w:color w:val="auto"/>
          <w:sz w:val="24"/>
          <w:szCs w:val="24"/>
          <w:highlight w:val="none"/>
        </w:rPr>
      </w:pPr>
      <w:bookmarkStart w:id="138" w:name="_Toc469383989"/>
      <w:bookmarkStart w:id="139" w:name="_Toc25762"/>
      <w:bookmarkStart w:id="140" w:name="_Toc10624829"/>
      <w:r>
        <w:rPr>
          <w:rFonts w:ascii="仿宋" w:hAnsi="仿宋" w:eastAsia="仿宋" w:cs="仿宋"/>
          <w:color w:val="auto"/>
          <w:sz w:val="24"/>
          <w:szCs w:val="24"/>
          <w:highlight w:val="none"/>
        </w:rPr>
        <w:t xml:space="preserve">10  </w:t>
      </w:r>
      <w:r>
        <w:rPr>
          <w:rFonts w:hint="eastAsia" w:ascii="仿宋" w:hAnsi="仿宋" w:eastAsia="仿宋" w:cs="仿宋"/>
          <w:color w:val="auto"/>
          <w:sz w:val="24"/>
          <w:szCs w:val="24"/>
          <w:highlight w:val="none"/>
        </w:rPr>
        <w:t>投标文件的完备性</w:t>
      </w:r>
      <w:bookmarkEnd w:id="138"/>
      <w:bookmarkEnd w:id="139"/>
      <w:bookmarkEnd w:id="140"/>
    </w:p>
    <w:p>
      <w:pPr>
        <w:pStyle w:val="2"/>
        <w:shd w:val="clear" w:color="000000" w:fill="auto"/>
        <w:tabs>
          <w:tab w:val="left" w:pos="1410"/>
        </w:tabs>
        <w:adjustRightInd w:val="0"/>
        <w:snapToGrid w:val="0"/>
        <w:spacing w:line="360" w:lineRule="auto"/>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682816" behindDoc="0" locked="0" layoutInCell="1" allowOverlap="1">
                <wp:simplePos x="0" y="0"/>
                <wp:positionH relativeFrom="column">
                  <wp:posOffset>-114300</wp:posOffset>
                </wp:positionH>
                <wp:positionV relativeFrom="paragraph">
                  <wp:posOffset>92075</wp:posOffset>
                </wp:positionV>
                <wp:extent cx="914400" cy="812800"/>
                <wp:effectExtent l="0" t="0" r="0" b="0"/>
                <wp:wrapNone/>
                <wp:docPr id="24" name="文本框 25"/>
                <wp:cNvGraphicFramePr/>
                <a:graphic xmlns:a="http://schemas.openxmlformats.org/drawingml/2006/main">
                  <a:graphicData uri="http://schemas.microsoft.com/office/word/2010/wordprocessingShape">
                    <wps:wsp>
                      <wps:cNvSpPr txBox="1"/>
                      <wps:spPr>
                        <a:xfrm>
                          <a:off x="0" y="0"/>
                          <a:ext cx="914400" cy="812800"/>
                        </a:xfrm>
                        <a:prstGeom prst="rect">
                          <a:avLst/>
                        </a:prstGeom>
                        <a:noFill/>
                        <a:ln>
                          <a:noFill/>
                        </a:ln>
                      </wps:spPr>
                      <wps:txbx>
                        <w:txbxContent>
                          <w:p>
                            <w:pPr>
                              <w:pStyle w:val="2"/>
                              <w:tabs>
                                <w:tab w:val="left" w:pos="2160"/>
                              </w:tabs>
                              <w:spacing w:before="192" w:beforeLines="80"/>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投标文件完备性和义务</w:t>
                            </w:r>
                          </w:p>
                        </w:txbxContent>
                      </wps:txbx>
                      <wps:bodyPr upright="1"/>
                    </wps:wsp>
                  </a:graphicData>
                </a:graphic>
              </wp:anchor>
            </w:drawing>
          </mc:Choice>
          <mc:Fallback>
            <w:pict>
              <v:shape id="文本框 25" o:spid="_x0000_s1026" o:spt="202" type="#_x0000_t202" style="position:absolute;left:0pt;margin-left:-9pt;margin-top:7.25pt;height:64pt;width:72pt;z-index:251682816;mso-width-relative:page;mso-height-relative:page;" filled="f" stroked="f" coordsize="21600,21600" o:gfxdata="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bjyhrWAAAA&#10;CgEAAA8AAAAAAAAAAQAgAAAAIgAAAGRycy9kb3ducmV2LnhtbFBLAQIUABQAAAAIAIdO4kD0KQnx&#10;rQEAAE8DAAAOAAAAAAAAAAEAIAAAACUBAABkcnMvZTJvRG9jLnhtbFBLBQYAAAAABgAGAFkBAABE&#10;BQAAAAA=&#10;">
                <v:fill on="f" focussize="0,0"/>
                <v:stroke on="f"/>
                <v:imagedata o:title=""/>
                <o:lock v:ext="edit" aspectratio="f"/>
                <v:textbox>
                  <w:txbxContent>
                    <w:p>
                      <w:pPr>
                        <w:pStyle w:val="2"/>
                        <w:tabs>
                          <w:tab w:val="left" w:pos="2160"/>
                        </w:tabs>
                        <w:spacing w:before="192" w:beforeLines="80"/>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投标文件完备性和义务</w:t>
                      </w:r>
                    </w:p>
                  </w:txbxContent>
                </v:textbox>
              </v:shape>
            </w:pict>
          </mc:Fallback>
        </mc:AlternateContent>
      </w:r>
      <w:r>
        <w:rPr>
          <w:rFonts w:ascii="仿宋" w:hAnsi="仿宋" w:eastAsia="仿宋" w:cs="仿宋"/>
          <w:b/>
          <w:bCs/>
          <w:color w:val="auto"/>
          <w:sz w:val="24"/>
          <w:szCs w:val="24"/>
          <w:highlight w:val="none"/>
        </w:rPr>
        <w:t xml:space="preserve">10.1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承包人投标文件中的工程量清单所填单价和合价，应被认为是正确的和完备的，并已包括了承包人履行本合同的全部义务，包括但不限于以下内容：</w:t>
      </w:r>
    </w:p>
    <w:p>
      <w:pPr>
        <w:pStyle w:val="2"/>
        <w:shd w:val="clear" w:color="000000" w:fill="auto"/>
        <w:adjustRightInd w:val="0"/>
        <w:snapToGrid w:val="0"/>
        <w:spacing w:line="360" w:lineRule="auto"/>
        <w:ind w:right="-24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）提供材料和工程设备、服务的义务及处理意外事件的义务；</w:t>
      </w:r>
      <w:r>
        <w:rPr>
          <w:rFonts w:ascii="仿宋" w:hAnsi="仿宋" w:eastAsia="仿宋" w:cs="仿宋"/>
          <w:color w:val="auto"/>
          <w:sz w:val="24"/>
          <w:szCs w:val="24"/>
          <w:highlight w:val="none"/>
        </w:rPr>
        <w:t xml:space="preserve"> </w:t>
      </w:r>
    </w:p>
    <w:p>
      <w:pPr>
        <w:pStyle w:val="2"/>
        <w:shd w:val="clear" w:color="000000" w:fill="auto"/>
        <w:adjustRightInd w:val="0"/>
        <w:snapToGrid w:val="0"/>
        <w:spacing w:line="360" w:lineRule="auto"/>
        <w:ind w:right="-24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 xml:space="preserve">            （2）实施和完成合同工程的义务；</w:t>
      </w:r>
    </w:p>
    <w:p>
      <w:pPr>
        <w:pStyle w:val="2"/>
        <w:shd w:val="clear" w:color="000000" w:fill="auto"/>
        <w:adjustRightInd w:val="0"/>
        <w:snapToGrid w:val="0"/>
        <w:spacing w:line="360" w:lineRule="auto"/>
        <w:ind w:right="-24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 xml:space="preserve">            （3）工程质量保修的一切义务。</w:t>
      </w:r>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10.2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83840"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25" name="文本框 26"/>
                <wp:cNvGraphicFramePr/>
                <a:graphic xmlns:a="http://schemas.openxmlformats.org/drawingml/2006/main">
                  <a:graphicData uri="http://schemas.microsoft.com/office/word/2010/wordprocessingShape">
                    <wps:wsp>
                      <wps:cNvSpPr txBox="1"/>
                      <wps:spPr>
                        <a:xfrm>
                          <a:off x="0" y="0"/>
                          <a:ext cx="914400" cy="455295"/>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承包人报价的限制</w:t>
                            </w:r>
                          </w:p>
                        </w:txbxContent>
                      </wps:txbx>
                      <wps:bodyPr upright="1"/>
                    </wps:wsp>
                  </a:graphicData>
                </a:graphic>
              </wp:anchor>
            </w:drawing>
          </mc:Choice>
          <mc:Fallback>
            <w:pict>
              <v:shape id="文本框 26" o:spid="_x0000_s1026" o:spt="202" type="#_x0000_t202" style="position:absolute;left:0pt;margin-left:-9pt;margin-top:0.65pt;height:35.85pt;width:72pt;z-index:251683840;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O/jEPVAAAA&#10;CAEAAA8AAAAAAAAAAQAgAAAAIgAAAGRycy9kb3ducmV2LnhtbFBLAQIUABQAAAAIAIdO4kDdME2/&#10;rgEAAE8DAAAOAAAAAAAAAAEAIAAAACQBAABkcnMvZTJvRG9jLnhtbFBLBQYAAAAABgAGAFkBAABE&#10;BQ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承包人报价的限制</w:t>
                      </w:r>
                    </w:p>
                  </w:txbxContent>
                </v:textbox>
              </v:shape>
            </w:pict>
          </mc:Fallback>
        </mc:AlternateContent>
      </w:r>
      <w:r>
        <w:rPr>
          <w:rFonts w:hint="eastAsia" w:ascii="仿宋" w:hAnsi="仿宋" w:eastAsia="仿宋" w:cs="仿宋"/>
          <w:color w:val="auto"/>
          <w:sz w:val="24"/>
          <w:szCs w:val="24"/>
          <w:highlight w:val="none"/>
        </w:rPr>
        <w:t>承包人投标文件中的工程量清单中没有填入单价或合价的清单项目，应认为该项目价款已包含在工程量清单的其他项目的单价或合价中，发包人将不另行支付。</w:t>
      </w:r>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10.3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84864"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26" name="文本框 27"/>
                <wp:cNvGraphicFramePr/>
                <a:graphic xmlns:a="http://schemas.openxmlformats.org/drawingml/2006/main">
                  <a:graphicData uri="http://schemas.microsoft.com/office/word/2010/wordprocessingShape">
                    <wps:wsp>
                      <wps:cNvSpPr txBox="1"/>
                      <wps:spPr>
                        <a:xfrm>
                          <a:off x="0" y="0"/>
                          <a:ext cx="914400" cy="45529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算术性错误的调整</w:t>
                            </w:r>
                          </w:p>
                        </w:txbxContent>
                      </wps:txbx>
                      <wps:bodyPr upright="1"/>
                    </wps:wsp>
                  </a:graphicData>
                </a:graphic>
              </wp:anchor>
            </w:drawing>
          </mc:Choice>
          <mc:Fallback>
            <w:pict>
              <v:shape id="文本框 27" o:spid="_x0000_s1026" o:spt="202" type="#_x0000_t202" style="position:absolute;left:0pt;margin-left:-9pt;margin-top:0.65pt;height:35.85pt;width:72pt;z-index:251684864;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O/jEPVAAAA&#10;CAEAAA8AAAAAAAAAAQAgAAAAIgAAAGRycy9kb3ducmV2LnhtbFBLAQIUABQAAAAIAIdO4kDv+vq/&#10;rgEAAE8DAAAOAAAAAAAAAAEAIAAAACQBAABkcnMvZTJvRG9jLnhtbFBLBQYAAAAABgAGAFkBAABE&#10;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算术性错误的调整</w:t>
                      </w:r>
                    </w:p>
                  </w:txbxContent>
                </v:textbox>
              </v:shape>
            </w:pict>
          </mc:Fallback>
        </mc:AlternateContent>
      </w:r>
      <w:r>
        <w:rPr>
          <w:rFonts w:hint="eastAsia" w:ascii="仿宋" w:hAnsi="仿宋" w:eastAsia="仿宋" w:cs="仿宋"/>
          <w:color w:val="auto"/>
          <w:sz w:val="24"/>
          <w:szCs w:val="24"/>
          <w:highlight w:val="none"/>
        </w:rPr>
        <w:t>承包人投标文件中出现算术性错误，导致其实际总造价与报价总金额不一致时，合同双方当事人可按照国家、省有关规定予以修正，并相应调整合同价款。</w:t>
      </w:r>
    </w:p>
    <w:p>
      <w:pPr>
        <w:pStyle w:val="2"/>
        <w:shd w:val="clear" w:color="000000" w:fill="auto"/>
        <w:adjustRightInd w:val="0"/>
        <w:snapToGrid w:val="0"/>
        <w:ind w:left="1626" w:leftChars="1" w:hanging="1624" w:hangingChars="674"/>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u w:val="single"/>
        </w:rPr>
        <w:t xml:space="preserve">                                                                                                 </w:t>
      </w:r>
    </w:p>
    <w:p>
      <w:pPr>
        <w:pStyle w:val="2"/>
        <w:shd w:val="clear" w:color="000000" w:fill="auto"/>
        <w:adjustRightInd w:val="0"/>
        <w:snapToGrid w:val="0"/>
        <w:spacing w:before="240" w:beforeLines="100" w:line="240" w:lineRule="exact"/>
        <w:ind w:firstLine="601"/>
        <w:rPr>
          <w:rFonts w:ascii="仿宋" w:hAnsi="仿宋" w:eastAsia="仿宋" w:cs="Times New Roman"/>
          <w:b/>
          <w:bCs/>
          <w:color w:val="auto"/>
          <w:sz w:val="24"/>
          <w:szCs w:val="24"/>
          <w:highlight w:val="none"/>
        </w:rPr>
      </w:pPr>
    </w:p>
    <w:p>
      <w:pPr>
        <w:pStyle w:val="2"/>
        <w:shd w:val="clear" w:color="000000" w:fill="auto"/>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141" w:name="_Toc469383990"/>
      <w:bookmarkStart w:id="142" w:name="_Toc10624830"/>
      <w:bookmarkStart w:id="143" w:name="_Toc12274"/>
      <w:r>
        <w:rPr>
          <w:rFonts w:ascii="仿宋" w:hAnsi="仿宋" w:eastAsia="仿宋" w:cs="仿宋"/>
          <w:b/>
          <w:bCs/>
          <w:color w:val="auto"/>
          <w:sz w:val="24"/>
          <w:szCs w:val="24"/>
          <w:highlight w:val="none"/>
        </w:rPr>
        <w:t xml:space="preserve">11  </w:t>
      </w:r>
      <w:r>
        <w:rPr>
          <w:rFonts w:hint="eastAsia" w:ascii="仿宋" w:hAnsi="仿宋" w:eastAsia="仿宋" w:cs="仿宋"/>
          <w:b/>
          <w:bCs/>
          <w:color w:val="auto"/>
          <w:sz w:val="24"/>
          <w:szCs w:val="24"/>
          <w:highlight w:val="none"/>
        </w:rPr>
        <w:t>文物和地下障碍物</w:t>
      </w:r>
      <w:bookmarkEnd w:id="141"/>
      <w:bookmarkEnd w:id="142"/>
      <w:bookmarkEnd w:id="143"/>
    </w:p>
    <w:p>
      <w:pPr>
        <w:pStyle w:val="2"/>
        <w:shd w:val="clear" w:color="000000" w:fill="auto"/>
        <w:adjustRightInd w:val="0"/>
        <w:snapToGrid w:val="0"/>
        <w:spacing w:line="360" w:lineRule="auto"/>
        <w:rPr>
          <w:rFonts w:ascii="仿宋" w:hAnsi="仿宋" w:eastAsia="仿宋" w:cs="仿宋"/>
          <w:color w:val="auto"/>
          <w:sz w:val="24"/>
          <w:szCs w:val="24"/>
          <w:highlight w:val="none"/>
        </w:rPr>
      </w:pPr>
      <w:r>
        <w:rPr>
          <w:rFonts w:ascii="仿宋" w:hAnsi="仿宋" w:eastAsia="仿宋" w:cs="仿宋"/>
          <w:b/>
          <w:bCs/>
          <w:color w:val="auto"/>
          <w:sz w:val="24"/>
          <w:szCs w:val="24"/>
          <w:highlight w:val="none"/>
        </w:rPr>
        <w:t xml:space="preserve">11.1  </w:t>
      </w:r>
      <w:r>
        <w:rPr>
          <w:rFonts w:ascii="仿宋" w:hAnsi="仿宋" w:eastAsia="仿宋" w:cs="仿宋"/>
          <w:color w:val="auto"/>
          <w:sz w:val="24"/>
          <w:szCs w:val="24"/>
          <w:highlight w:val="none"/>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85888" behindDoc="0" locked="0" layoutInCell="1" allowOverlap="1">
                <wp:simplePos x="0" y="0"/>
                <wp:positionH relativeFrom="column">
                  <wp:posOffset>-114300</wp:posOffset>
                </wp:positionH>
                <wp:positionV relativeFrom="paragraph">
                  <wp:posOffset>-7620</wp:posOffset>
                </wp:positionV>
                <wp:extent cx="914400" cy="495300"/>
                <wp:effectExtent l="0" t="0" r="0" b="0"/>
                <wp:wrapNone/>
                <wp:docPr id="27" name="文本框 2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文物化石等物品保护</w:t>
                            </w:r>
                          </w:p>
                        </w:txbxContent>
                      </wps:txbx>
                      <wps:bodyPr upright="1"/>
                    </wps:wsp>
                  </a:graphicData>
                </a:graphic>
              </wp:anchor>
            </w:drawing>
          </mc:Choice>
          <mc:Fallback>
            <w:pict>
              <v:shape id="文本框 28" o:spid="_x0000_s1026" o:spt="202" type="#_x0000_t202" style="position:absolute;left:0pt;margin-left:-9pt;margin-top:-0.6pt;height:39pt;width:72pt;z-index:251685888;mso-width-relative:page;mso-height-relative:page;" filled="f" stroked="f" coordsize="21600,21600" o:gfxdata="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Nh7rbWAAAA&#10;CQEAAA8AAAAAAAAAAQAgAAAAIgAAAGRycy9kb3ducmV2LnhtbFBLAQIUABQAAAAIAIdO4kB+iwBN&#10;rQEAAE8DAAAOAAAAAAAAAAEAIAAAACUBAABkcnMvZTJvRG9jLnhtbFBLBQYAAAAABgAGAFkBAABE&#10;BQ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文物化石等物品保护</w:t>
                      </w:r>
                    </w:p>
                  </w:txbxContent>
                </v:textbox>
              </v:shape>
            </w:pict>
          </mc:Fallback>
        </mc:AlternateContent>
      </w:r>
      <w:r>
        <w:rPr>
          <w:rFonts w:hint="eastAsia" w:ascii="仿宋" w:hAnsi="仿宋" w:eastAsia="仿宋" w:cs="仿宋"/>
          <w:color w:val="auto"/>
          <w:sz w:val="24"/>
          <w:szCs w:val="24"/>
          <w:highlight w:val="none"/>
        </w:rPr>
        <w:t>在施工现场发现的古墓、古建筑遗址等文物、古迹以及其他具有考古、地质研究等价值的遗迹、化石、钱币或物品，属于国家所有。一旦发现上述文物，承包人应立即保护好现场，防止任何人员移动或损坏上述文物，并于</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小时内以书面形式通知监理工程师和发包人。监理工程师应在收到通知后立即指令承包人继续保护好现场，并在收到通知后</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小时内报告当地文物管理部门，合同双方当事人应按照文物管理部门的要求采取妥善保护措施。发包人承担由此增加的费用和（或）工期延误，并向承包人支付合理利润。</w:t>
      </w:r>
      <w:r>
        <w:rPr>
          <w:rFonts w:ascii="仿宋" w:hAnsi="仿宋" w:eastAsia="仿宋" w:cs="Times New Roman"/>
          <w:color w:val="auto"/>
          <w:sz w:val="24"/>
          <w:szCs w:val="24"/>
          <w:highlight w:val="none"/>
        </w:rPr>
        <w:br w:type="textWrapping"/>
      </w:r>
      <w:r>
        <w:rPr>
          <w:rFonts w:hint="eastAsia" w:ascii="仿宋" w:hAnsi="仿宋" w:eastAsia="仿宋" w:cs="仿宋"/>
          <w:color w:val="auto"/>
          <w:sz w:val="24"/>
          <w:szCs w:val="24"/>
          <w:highlight w:val="none"/>
        </w:rPr>
        <w:t>如发现文物后隐瞒不报或报告不及时，导致上述文物丢失或遭受破坏的，由责任方赔偿损失，并承担相应的法律责任。</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p>
    <w:p>
      <w:pPr>
        <w:pStyle w:val="2"/>
        <w:shd w:val="clear" w:color="000000" w:fill="auto"/>
        <w:adjustRightInd w:val="0"/>
        <w:snapToGrid w:val="0"/>
        <w:spacing w:line="48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686912" behindDoc="0" locked="0" layoutInCell="1" allowOverlap="1">
                <wp:simplePos x="0" y="0"/>
                <wp:positionH relativeFrom="column">
                  <wp:posOffset>-114300</wp:posOffset>
                </wp:positionH>
                <wp:positionV relativeFrom="paragraph">
                  <wp:posOffset>233045</wp:posOffset>
                </wp:positionV>
                <wp:extent cx="914400" cy="495300"/>
                <wp:effectExtent l="0" t="0" r="0" b="0"/>
                <wp:wrapNone/>
                <wp:docPr id="28" name="文本框 29"/>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地下障碍物处置</w:t>
                            </w:r>
                          </w:p>
                        </w:txbxContent>
                      </wps:txbx>
                      <wps:bodyPr upright="1"/>
                    </wps:wsp>
                  </a:graphicData>
                </a:graphic>
              </wp:anchor>
            </w:drawing>
          </mc:Choice>
          <mc:Fallback>
            <w:pict>
              <v:shape id="文本框 29" o:spid="_x0000_s1026" o:spt="202" type="#_x0000_t202" style="position:absolute;left:0pt;margin-left:-9pt;margin-top:18.35pt;height:39pt;width:72pt;z-index:251686912;mso-width-relative:page;mso-height-relative:page;" filled="f" stroked="f" coordsize="21600,21600" o:gfxdata="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fPZ3g2AAA&#10;AAoBAAAPAAAAAAAAAAEAIAAAACIAAABkcnMvZG93bnJldi54bWxQSwECFAAUAAAACACHTuJA/QG+&#10;6KwBAABPAwAADgAAAAAAAAABACAAAAAnAQAAZHJzL2Uyb0RvYy54bWxQSwUGAAAAAAYABgBZAQAA&#10;RQU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地下障碍物处置</w:t>
                      </w:r>
                    </w:p>
                  </w:txbxContent>
                </v:textbox>
              </v:shape>
            </w:pict>
          </mc:Fallback>
        </mc:AlternateContent>
      </w:r>
      <w:r>
        <w:rPr>
          <w:rFonts w:ascii="仿宋" w:hAnsi="仿宋" w:eastAsia="仿宋" w:cs="仿宋"/>
          <w:b/>
          <w:bCs/>
          <w:color w:val="auto"/>
          <w:sz w:val="24"/>
          <w:szCs w:val="24"/>
          <w:highlight w:val="none"/>
        </w:rPr>
        <w:t xml:space="preserve">11.2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本合同已明确指出的地下障碍物（发包人招标文件提供的工程量清单有列明或提供的地质资料已明确反映的），应视为承包人在投标报价时已预见其对施工的影响，并已在合同价款中考虑。</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本合同未有明确指出的地下障碍物（发包人招标文件提供的工程量清单没列明或提供的地质资料不能明确反映的），在施工过程遇到时，承包人应于</w:t>
      </w:r>
      <w:r>
        <w:rPr>
          <w:rFonts w:ascii="仿宋" w:hAnsi="仿宋" w:eastAsia="仿宋" w:cs="仿宋"/>
          <w:color w:val="auto"/>
          <w:sz w:val="24"/>
          <w:szCs w:val="24"/>
          <w:highlight w:val="none"/>
        </w:rPr>
        <w:t>8</w:t>
      </w:r>
      <w:r>
        <w:rPr>
          <w:rFonts w:hint="eastAsia" w:ascii="仿宋" w:hAnsi="仿宋" w:eastAsia="仿宋" w:cs="仿宋"/>
          <w:color w:val="auto"/>
          <w:sz w:val="24"/>
          <w:szCs w:val="24"/>
          <w:highlight w:val="none"/>
        </w:rPr>
        <w:t>小时内以书面形式通知监理工程师和发包人，并提出处置方案。监理工程师在收到处置方案后</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小时内予以确认或提出修正方案，并发出施工指令。承包人应按照监理工程师指令进行施工。发包人应承担由此增加的费用和（或）延误的工期，并向承包人支付合理费用。</w:t>
      </w:r>
    </w:p>
    <w:p>
      <w:pPr>
        <w:pStyle w:val="2"/>
        <w:shd w:val="clear" w:color="000000" w:fill="auto"/>
        <w:adjustRightInd w:val="0"/>
        <w:snapToGrid w:val="0"/>
        <w:spacing w:line="360" w:lineRule="auto"/>
        <w:ind w:right="-238"/>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162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144" w:name="_Toc469383991"/>
      <w:bookmarkStart w:id="145" w:name="_Toc10624831"/>
      <w:bookmarkStart w:id="146" w:name="_Toc25849"/>
      <w:r>
        <w:rPr>
          <w:rFonts w:ascii="仿宋" w:hAnsi="仿宋" w:eastAsia="仿宋" w:cs="仿宋"/>
          <w:b/>
          <w:bCs/>
          <w:color w:val="auto"/>
          <w:sz w:val="24"/>
          <w:szCs w:val="24"/>
          <w:highlight w:val="none"/>
        </w:rPr>
        <w:t xml:space="preserve">12  </w:t>
      </w:r>
      <w:r>
        <w:rPr>
          <w:rFonts w:hint="eastAsia" w:ascii="仿宋" w:hAnsi="仿宋" w:eastAsia="仿宋" w:cs="仿宋"/>
          <w:b/>
          <w:bCs/>
          <w:color w:val="auto"/>
          <w:sz w:val="24"/>
          <w:szCs w:val="24"/>
          <w:highlight w:val="none"/>
        </w:rPr>
        <w:t>事故处理</w:t>
      </w:r>
      <w:bookmarkEnd w:id="144"/>
      <w:bookmarkEnd w:id="145"/>
      <w:bookmarkEnd w:id="146"/>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687936"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29" name="文本框 30"/>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发生事故的通</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知</w:t>
                            </w:r>
                          </w:p>
                          <w:p>
                            <w:pPr>
                              <w:rPr>
                                <w:rFonts w:cs="Times New Roman"/>
                                <w:color w:val="000000"/>
                                <w:sz w:val="18"/>
                                <w:szCs w:val="18"/>
                              </w:rPr>
                            </w:pPr>
                          </w:p>
                        </w:txbxContent>
                      </wps:txbx>
                      <wps:bodyPr upright="1"/>
                    </wps:wsp>
                  </a:graphicData>
                </a:graphic>
              </wp:anchor>
            </w:drawing>
          </mc:Choice>
          <mc:Fallback>
            <w:pict>
              <v:shape id="文本框 30" o:spid="_x0000_s1026" o:spt="202" type="#_x0000_t202" style="position:absolute;left:0pt;margin-left:-9pt;margin-top:18.05pt;height:41.25pt;width:81pt;z-index:251687936;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QGxh/WAAAA&#10;CgEAAA8AAAAAAAAAAQAgAAAAIgAAAGRycy9kb3ducmV2LnhtbFBLAQIUABQAAAAIAIdO4kB4ahTL&#10;rQEAAFADAAAOAAAAAAAAAAEAIAAAACUBAABkcnMvZTJvRG9jLnhtbFBLBQYAAAAABgAGAFkBAABE&#10;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发生事故的通</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知</w:t>
                      </w:r>
                    </w:p>
                    <w:p>
                      <w:pPr>
                        <w:rPr>
                          <w:rFonts w:cs="Times New Roman"/>
                          <w:color w:val="000000"/>
                          <w:sz w:val="18"/>
                          <w:szCs w:val="18"/>
                        </w:rPr>
                      </w:pPr>
                    </w:p>
                  </w:txbxContent>
                </v:textbox>
              </v:shape>
            </w:pict>
          </mc:Fallback>
        </mc:AlternateContent>
      </w:r>
      <w:r>
        <w:rPr>
          <w:rFonts w:ascii="仿宋" w:hAnsi="仿宋" w:eastAsia="仿宋" w:cs="仿宋"/>
          <w:b/>
          <w:bCs/>
          <w:color w:val="auto"/>
          <w:sz w:val="24"/>
          <w:szCs w:val="24"/>
          <w:highlight w:val="none"/>
        </w:rPr>
        <w:t xml:space="preserve">12.1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合同履行期间，合同工程发生质量与安全事故，承包人立即通知监理工程师和发包人。</w:t>
      </w:r>
    </w:p>
    <w:p>
      <w:pPr>
        <w:pStyle w:val="2"/>
        <w:shd w:val="clear" w:color="000000" w:fill="auto"/>
        <w:adjustRightInd w:val="0"/>
        <w:snapToGrid w:val="0"/>
        <w:spacing w:line="480" w:lineRule="auto"/>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88960"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0" name="文本框 31"/>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事故的处理</w:t>
                            </w:r>
                          </w:p>
                        </w:txbxContent>
                      </wps:txbx>
                      <wps:bodyPr upright="1"/>
                    </wps:wsp>
                  </a:graphicData>
                </a:graphic>
              </wp:anchor>
            </w:drawing>
          </mc:Choice>
          <mc:Fallback>
            <w:pict>
              <v:shape id="文本框 31" o:spid="_x0000_s1026" o:spt="202" type="#_x0000_t202" style="position:absolute;left:0pt;margin-left:-9pt;margin-top:17.7pt;height:23.4pt;width:81pt;z-index:251688960;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1nJll1gAA&#10;AAkBAAAPAAAAAAAAAAEAIAAAACIAAABkcnMvZG93bnJldi54bWxQSwECFAAUAAAACACHTuJAoG1u&#10;Fa4BAABQAwAADgAAAAAAAAABACAAAAAlAQAAZHJzL2Uyb0RvYy54bWxQSwUGAAAAAAYABgBZAQAA&#10;RQ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事故的处理</w:t>
                      </w:r>
                    </w:p>
                  </w:txbxContent>
                </v:textbox>
              </v:shape>
            </w:pict>
          </mc:Fallback>
        </mc:AlternateContent>
      </w:r>
      <w:r>
        <w:rPr>
          <w:rFonts w:ascii="仿宋" w:hAnsi="仿宋" w:eastAsia="仿宋" w:cs="仿宋"/>
          <w:b/>
          <w:bCs/>
          <w:color w:val="auto"/>
          <w:sz w:val="24"/>
          <w:szCs w:val="24"/>
          <w:highlight w:val="none"/>
        </w:rPr>
        <w:t xml:space="preserve">12.2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接到事故通知后，合同双方当事人应立即组织人员和设备进行紧急抢救和抢修，减少人员伤亡和财产损失，防止事故扩大，并保护事故现场。需移动现场物品时，应做好标记和书面记录，妥善保护有关证据。</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合同双方当事人应按照国家规定时限如实上报政府有关部门，配合政府有关部门的调查和处理，由此发生的费用和（或）延误的工期由事故责任方承担。</w:t>
      </w:r>
    </w:p>
    <w:p>
      <w:pPr>
        <w:pStyle w:val="2"/>
        <w:shd w:val="clear" w:color="000000" w:fill="auto"/>
        <w:adjustRightInd w:val="0"/>
        <w:snapToGrid w:val="0"/>
        <w:spacing w:line="48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689984"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1" name="文本框 32"/>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事故争议认定</w:t>
                            </w:r>
                          </w:p>
                        </w:txbxContent>
                      </wps:txbx>
                      <wps:bodyPr upright="1"/>
                    </wps:wsp>
                  </a:graphicData>
                </a:graphic>
              </wp:anchor>
            </w:drawing>
          </mc:Choice>
          <mc:Fallback>
            <w:pict>
              <v:shape id="文本框 32" o:spid="_x0000_s1026" o:spt="202" type="#_x0000_t202" style="position:absolute;left:0pt;margin-left:-9pt;margin-top:17.7pt;height:23.4pt;width:81pt;z-index:251689984;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1nJll1gAA&#10;AAkBAAAPAAAAAAAAAAEAIAAAACIAAABkcnMvZG93bnJldi54bWxQSwECFAAUAAAACACHTuJACcfZ&#10;/K4BAABQAwAADgAAAAAAAAABACAAAAAlAQAAZHJzL2Uyb0RvYy54bWxQSwUGAAAAAAYABgBZAQAA&#10;RQ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事故争议认定</w:t>
                      </w:r>
                    </w:p>
                  </w:txbxContent>
                </v:textbox>
              </v:shape>
            </w:pict>
          </mc:Fallback>
        </mc:AlternateContent>
      </w:r>
      <w:r>
        <w:rPr>
          <w:rFonts w:ascii="仿宋" w:hAnsi="仿宋" w:eastAsia="仿宋" w:cs="仿宋"/>
          <w:b/>
          <w:bCs/>
          <w:color w:val="auto"/>
          <w:sz w:val="24"/>
          <w:szCs w:val="24"/>
          <w:highlight w:val="none"/>
        </w:rPr>
        <w:t xml:space="preserve">12.3  </w:t>
      </w:r>
      <w:r>
        <w:rPr>
          <w:rFonts w:ascii="仿宋" w:hAnsi="仿宋" w:eastAsia="仿宋" w:cs="仿宋"/>
          <w:b/>
          <w:bCs/>
          <w:color w:val="auto"/>
          <w:sz w:val="24"/>
          <w:szCs w:val="24"/>
          <w:highlight w:val="none"/>
          <w:u w:val="dotted"/>
        </w:rPr>
        <w:t xml:space="preserve">                                                                                                        </w:t>
      </w:r>
    </w:p>
    <w:p>
      <w:pPr>
        <w:pStyle w:val="2"/>
        <w:shd w:val="clear" w:color="000000" w:fill="auto"/>
        <w:tabs>
          <w:tab w:val="left" w:pos="1620"/>
        </w:tabs>
        <w:adjustRightInd w:val="0"/>
        <w:snapToGrid w:val="0"/>
        <w:spacing w:line="360" w:lineRule="auto"/>
        <w:ind w:left="1418" w:leftChars="67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合同双方当事人对事故责任有争议时，应按照政府有关部门的认定处理或由司法机关判决。</w:t>
      </w:r>
    </w:p>
    <w:p>
      <w:pPr>
        <w:pStyle w:val="2"/>
        <w:shd w:val="clear" w:color="000000" w:fill="auto"/>
        <w:adjustRightInd w:val="0"/>
        <w:snapToGrid w:val="0"/>
        <w:spacing w:line="480" w:lineRule="auto"/>
        <w:ind w:right="-238"/>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u w:val="single"/>
        </w:rPr>
        <w:t xml:space="preserve">                                                                                  </w:t>
      </w:r>
      <w:r>
        <w:rPr>
          <w:rFonts w:ascii="仿宋" w:hAnsi="仿宋" w:eastAsia="仿宋" w:cs="仿宋"/>
          <w:b/>
          <w:bCs/>
          <w:color w:val="auto"/>
          <w:sz w:val="24"/>
          <w:szCs w:val="24"/>
          <w:highlight w:val="none"/>
        </w:rPr>
        <w:t xml:space="preserve">  </w:t>
      </w:r>
      <w:r>
        <w:rPr>
          <w:rFonts w:ascii="仿宋" w:hAnsi="仿宋" w:eastAsia="仿宋" w:cs="仿宋"/>
          <w:color w:val="auto"/>
          <w:sz w:val="24"/>
          <w:szCs w:val="24"/>
          <w:highlight w:val="none"/>
        </w:rPr>
        <w:t xml:space="preserve">                         </w:t>
      </w:r>
    </w:p>
    <w:p>
      <w:pPr>
        <w:pStyle w:val="2"/>
        <w:shd w:val="clear" w:color="000000" w:fill="auto"/>
        <w:tabs>
          <w:tab w:val="left" w:pos="1620"/>
        </w:tabs>
        <w:adjustRightInd w:val="0"/>
        <w:snapToGrid w:val="0"/>
        <w:spacing w:before="240" w:beforeLines="100" w:line="360" w:lineRule="auto"/>
        <w:ind w:right="-237" w:rightChars="-113"/>
        <w:outlineLvl w:val="2"/>
        <w:rPr>
          <w:rFonts w:ascii="仿宋" w:hAnsi="仿宋" w:eastAsia="仿宋" w:cs="Times New Roman"/>
          <w:b/>
          <w:bCs/>
          <w:color w:val="auto"/>
          <w:sz w:val="24"/>
          <w:szCs w:val="24"/>
          <w:highlight w:val="none"/>
        </w:rPr>
      </w:pPr>
      <w:bookmarkStart w:id="147" w:name="_Toc469383992"/>
      <w:bookmarkStart w:id="148" w:name="_Toc28145"/>
      <w:bookmarkStart w:id="149" w:name="_Toc10624832"/>
      <w:r>
        <w:rPr>
          <w:rFonts w:ascii="仿宋" w:hAnsi="仿宋" w:eastAsia="仿宋" w:cs="仿宋"/>
          <w:b/>
          <w:bCs/>
          <w:color w:val="auto"/>
          <w:sz w:val="24"/>
          <w:szCs w:val="24"/>
          <w:highlight w:val="none"/>
        </w:rPr>
        <w:t xml:space="preserve">13  </w:t>
      </w:r>
      <w:r>
        <w:rPr>
          <w:rFonts w:hint="eastAsia" w:ascii="仿宋" w:hAnsi="仿宋" w:eastAsia="仿宋" w:cs="仿宋"/>
          <w:b/>
          <w:bCs/>
          <w:color w:val="auto"/>
          <w:sz w:val="24"/>
          <w:szCs w:val="24"/>
          <w:highlight w:val="none"/>
        </w:rPr>
        <w:t>交通运输</w:t>
      </w:r>
      <w:bookmarkEnd w:id="147"/>
      <w:bookmarkEnd w:id="148"/>
      <w:bookmarkEnd w:id="149"/>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691008"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32" name="文本框 33"/>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道路通行权和</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场外设施</w:t>
                            </w:r>
                          </w:p>
                          <w:p>
                            <w:pPr>
                              <w:rPr>
                                <w:rFonts w:cs="Times New Roman"/>
                                <w:color w:val="0000FF"/>
                                <w:sz w:val="18"/>
                                <w:szCs w:val="18"/>
                              </w:rPr>
                            </w:pPr>
                          </w:p>
                          <w:p>
                            <w:pPr>
                              <w:rPr>
                                <w:rFonts w:cs="Times New Roman"/>
                                <w:sz w:val="18"/>
                                <w:szCs w:val="18"/>
                              </w:rPr>
                            </w:pPr>
                          </w:p>
                        </w:txbxContent>
                      </wps:txbx>
                      <wps:bodyPr upright="1"/>
                    </wps:wsp>
                  </a:graphicData>
                </a:graphic>
              </wp:anchor>
            </w:drawing>
          </mc:Choice>
          <mc:Fallback>
            <w:pict>
              <v:shape id="文本框 33" o:spid="_x0000_s1026" o:spt="202" type="#_x0000_t202" style="position:absolute;left:0pt;margin-left:-9pt;margin-top:18.05pt;height:41.25pt;width:81pt;z-index:251691008;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UBsYf1gAA&#10;AAoBAAAPAAAAAAAAAAEAIAAAACIAAABkcnMvZG93bnJldi54bWxQSwECFAAUAAAACACHTuJA0QeR&#10;aK4BAABQAwAADgAAAAAAAAABACAAAAAlAQAAZHJzL2Uyb0RvYy54bWxQSwUGAAAAAAYABgBZAQAA&#10;RQ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道路通行权和</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场外设施</w:t>
                      </w:r>
                    </w:p>
                    <w:p>
                      <w:pPr>
                        <w:rPr>
                          <w:rFonts w:cs="Times New Roman"/>
                          <w:color w:val="0000FF"/>
                          <w:sz w:val="18"/>
                          <w:szCs w:val="18"/>
                        </w:rPr>
                      </w:pPr>
                    </w:p>
                    <w:p>
                      <w:pPr>
                        <w:rPr>
                          <w:rFonts w:cs="Times New Roman"/>
                          <w:sz w:val="18"/>
                          <w:szCs w:val="18"/>
                        </w:rPr>
                      </w:pPr>
                    </w:p>
                  </w:txbxContent>
                </v:textbox>
              </v:shape>
            </w:pict>
          </mc:Fallback>
        </mc:AlternateContent>
      </w:r>
      <w:r>
        <w:rPr>
          <w:rFonts w:ascii="仿宋" w:hAnsi="仿宋" w:eastAsia="仿宋" w:cs="仿宋"/>
          <w:b/>
          <w:bCs/>
          <w:color w:val="auto"/>
          <w:sz w:val="24"/>
          <w:szCs w:val="24"/>
          <w:highlight w:val="none"/>
        </w:rPr>
        <w:t xml:space="preserve">13.1                   </w:t>
      </w:r>
    </w:p>
    <w:p>
      <w:pPr>
        <w:pStyle w:val="2"/>
        <w:shd w:val="clear" w:color="000000" w:fill="auto"/>
        <w:tabs>
          <w:tab w:val="left" w:pos="1202"/>
        </w:tabs>
        <w:adjustRightInd w:val="0"/>
        <w:snapToGrid w:val="0"/>
        <w:spacing w:line="360" w:lineRule="auto"/>
        <w:ind w:left="1619" w:leftChars="77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除专用条款另有约定外，发包人应根据实施合同工程的需要，负责办理取得出入施工场地的专用和临时道路的通行权，以及取得为实施合同工程所需修建场外设施的权利，并承担有关费用（包括运输超大件或超重件所需的道路和桥梁临时加固改造费用和其他有关费用）。承包人应协助发包人办理上述手续。</w:t>
      </w:r>
    </w:p>
    <w:p>
      <w:pPr>
        <w:pStyle w:val="2"/>
        <w:shd w:val="clear" w:color="000000" w:fill="auto"/>
        <w:tabs>
          <w:tab w:val="left" w:pos="1202"/>
        </w:tabs>
        <w:adjustRightInd w:val="0"/>
        <w:snapToGrid w:val="0"/>
        <w:spacing w:line="360" w:lineRule="auto"/>
        <w:ind w:left="1619" w:leftChars="771"/>
        <w:rPr>
          <w:rFonts w:ascii="仿宋" w:hAnsi="仿宋" w:eastAsia="仿宋" w:cs="仿宋"/>
          <w:color w:val="auto"/>
          <w:sz w:val="24"/>
          <w:szCs w:val="24"/>
          <w:highlight w:val="none"/>
        </w:rPr>
      </w:pPr>
      <w:r>
        <w:rPr>
          <w:rFonts w:ascii="仿宋" w:hAnsi="仿宋" w:eastAsia="仿宋" w:cs="仿宋"/>
          <w:color w:val="auto"/>
          <w:sz w:val="24"/>
          <w:szCs w:val="24"/>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pPr>
        <w:pStyle w:val="2"/>
        <w:shd w:val="clear" w:color="000000" w:fill="auto"/>
        <w:tabs>
          <w:tab w:val="left" w:pos="1202"/>
        </w:tabs>
        <w:adjustRightInd w:val="0"/>
        <w:snapToGrid w:val="0"/>
        <w:spacing w:line="360" w:lineRule="auto"/>
        <w:ind w:left="1417" w:leftChars="1" w:hanging="1415" w:hangingChars="674"/>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92032" behindDoc="0" locked="0" layoutInCell="1" allowOverlap="1">
                <wp:simplePos x="0" y="0"/>
                <wp:positionH relativeFrom="column">
                  <wp:posOffset>-114300</wp:posOffset>
                </wp:positionH>
                <wp:positionV relativeFrom="paragraph">
                  <wp:posOffset>333375</wp:posOffset>
                </wp:positionV>
                <wp:extent cx="1028700" cy="523875"/>
                <wp:effectExtent l="0" t="0" r="0" b="0"/>
                <wp:wrapNone/>
                <wp:docPr id="33" name="文本框 34"/>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场内临时道路</w:t>
                            </w:r>
                          </w:p>
                          <w:p>
                            <w:pPr>
                              <w:rPr>
                                <w:rFonts w:ascii="宋体" w:cs="Times New Roman"/>
                                <w:color w:val="000000"/>
                                <w:sz w:val="24"/>
                                <w:szCs w:val="24"/>
                              </w:rPr>
                            </w:pPr>
                            <w:r>
                              <w:rPr>
                                <w:rFonts w:hint="eastAsia" w:ascii="楷体_GB2312" w:hAnsi="宋体" w:eastAsia="楷体_GB2312" w:cs="楷体_GB2312"/>
                                <w:b/>
                                <w:bCs/>
                                <w:color w:val="000000"/>
                                <w:sz w:val="18"/>
                                <w:szCs w:val="18"/>
                              </w:rPr>
                              <w:t>和交通设施</w:t>
                            </w:r>
                          </w:p>
                          <w:p>
                            <w:pPr>
                              <w:rPr>
                                <w:rFonts w:cs="Times New Roman"/>
                                <w:color w:val="0000FF"/>
                                <w:sz w:val="18"/>
                                <w:szCs w:val="18"/>
                              </w:rPr>
                            </w:pPr>
                          </w:p>
                          <w:p>
                            <w:pPr>
                              <w:rPr>
                                <w:rFonts w:cs="Times New Roman"/>
                                <w:sz w:val="18"/>
                                <w:szCs w:val="18"/>
                              </w:rPr>
                            </w:pPr>
                          </w:p>
                        </w:txbxContent>
                      </wps:txbx>
                      <wps:bodyPr upright="1"/>
                    </wps:wsp>
                  </a:graphicData>
                </a:graphic>
              </wp:anchor>
            </w:drawing>
          </mc:Choice>
          <mc:Fallback>
            <w:pict>
              <v:shape id="文本框 34" o:spid="_x0000_s1026" o:spt="202" type="#_x0000_t202" style="position:absolute;left:0pt;margin-left:-9pt;margin-top:26.25pt;height:41.25pt;width:81pt;z-index:251692032;mso-width-relative:page;mso-height-relative:page;" filled="f" stroked="f" coordsize="21600,21600" o:gfxdata="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SeK5nY&#10;AAAACgEAAA8AAAAAAAAAAQAgAAAAIgAAAGRycy9kb3ducmV2LnhtbFBLAQIUABQAAAAIAIdO4kCI&#10;sliorgEAAFADAAAOAAAAAAAAAAEAIAAAACcBAABkcnMvZTJvRG9jLnhtbFBLBQYAAAAABgAGAFkB&#10;AABH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场内临时道路</w:t>
                      </w:r>
                    </w:p>
                    <w:p>
                      <w:pPr>
                        <w:rPr>
                          <w:rFonts w:ascii="宋体" w:cs="Times New Roman"/>
                          <w:color w:val="000000"/>
                          <w:sz w:val="24"/>
                          <w:szCs w:val="24"/>
                        </w:rPr>
                      </w:pPr>
                      <w:r>
                        <w:rPr>
                          <w:rFonts w:hint="eastAsia" w:ascii="楷体_GB2312" w:hAnsi="宋体" w:eastAsia="楷体_GB2312" w:cs="楷体_GB2312"/>
                          <w:b/>
                          <w:bCs/>
                          <w:color w:val="000000"/>
                          <w:sz w:val="18"/>
                          <w:szCs w:val="18"/>
                        </w:rPr>
                        <w:t>和交通设施</w:t>
                      </w:r>
                    </w:p>
                    <w:p>
                      <w:pPr>
                        <w:rPr>
                          <w:rFonts w:cs="Times New Roman"/>
                          <w:color w:val="0000FF"/>
                          <w:sz w:val="18"/>
                          <w:szCs w:val="18"/>
                        </w:rPr>
                      </w:pPr>
                    </w:p>
                    <w:p>
                      <w:pPr>
                        <w:rPr>
                          <w:rFonts w:cs="Times New Roman"/>
                          <w:sz w:val="18"/>
                          <w:szCs w:val="18"/>
                        </w:rPr>
                      </w:pPr>
                    </w:p>
                  </w:txbxContent>
                </v:textbox>
              </v:shape>
            </w:pict>
          </mc:Fallback>
        </mc:AlternateContent>
      </w:r>
      <w:r>
        <w:rPr>
          <w:rFonts w:ascii="仿宋" w:hAnsi="仿宋" w:eastAsia="仿宋" w:cs="仿宋"/>
          <w:b/>
          <w:bCs/>
          <w:color w:val="auto"/>
          <w:sz w:val="24"/>
          <w:szCs w:val="24"/>
          <w:highlight w:val="none"/>
        </w:rPr>
        <w:t>13.2</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除专用条款另有约定外，承包人应负责修建、维修、养护和管理施工场地内所需的临时道路和交通设施，包括维修、养护和管理发包人提供的道路和交通设施，并承担相应费用。</w:t>
      </w:r>
    </w:p>
    <w:p>
      <w:pPr>
        <w:pStyle w:val="2"/>
        <w:shd w:val="clear" w:color="000000" w:fill="auto"/>
        <w:tabs>
          <w:tab w:val="left" w:pos="1202"/>
        </w:tabs>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承包人修建的临时道路和交通设施应免费提供发包人使用。</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693056"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4" name="文本框 35"/>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场外交通</w:t>
                            </w:r>
                          </w:p>
                        </w:txbxContent>
                      </wps:txbx>
                      <wps:bodyPr upright="1"/>
                    </wps:wsp>
                  </a:graphicData>
                </a:graphic>
              </wp:anchor>
            </w:drawing>
          </mc:Choice>
          <mc:Fallback>
            <w:pict>
              <v:shape id="文本框 35" o:spid="_x0000_s1026" o:spt="202" type="#_x0000_t202" style="position:absolute;left:0pt;margin-left:-9pt;margin-top:17.7pt;height:23.4pt;width:81pt;z-index:251693056;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tZyZZdYA&#10;AAAJAQAADwAAAAAAAAABACAAAAAiAAAAZHJzL2Rvd25yZXYueG1sUEsBAhQAFAAAAAgAh07iQGb0&#10;rlevAQAAUAMAAA4AAAAAAAAAAQAgAAAAJQEAAGRycy9lMm9Eb2MueG1sUEsFBgAAAAAGAAYAWQEA&#10;AEY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场外交通</w:t>
                      </w:r>
                    </w:p>
                  </w:txbxContent>
                </v:textbox>
              </v:shape>
            </w:pict>
          </mc:Fallback>
        </mc:AlternateContent>
      </w:r>
      <w:r>
        <w:rPr>
          <w:rFonts w:ascii="仿宋" w:hAnsi="仿宋" w:eastAsia="仿宋" w:cs="仿宋"/>
          <w:b/>
          <w:bCs/>
          <w:color w:val="auto"/>
          <w:sz w:val="24"/>
          <w:szCs w:val="24"/>
          <w:highlight w:val="none"/>
        </w:rPr>
        <w:t xml:space="preserve">13.3  </w:t>
      </w:r>
      <w:r>
        <w:rPr>
          <w:rFonts w:ascii="仿宋" w:hAnsi="仿宋" w:eastAsia="仿宋" w:cs="仿宋"/>
          <w:b/>
          <w:bCs/>
          <w:color w:val="auto"/>
          <w:sz w:val="24"/>
          <w:szCs w:val="24"/>
          <w:highlight w:val="none"/>
          <w:u w:val="dotted"/>
        </w:rPr>
        <w:t xml:space="preserve">                                                                                                        </w:t>
      </w:r>
    </w:p>
    <w:p>
      <w:pPr>
        <w:pStyle w:val="2"/>
        <w:shd w:val="clear" w:color="000000" w:fill="auto"/>
        <w:tabs>
          <w:tab w:val="left" w:pos="1202"/>
        </w:tabs>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承包人应遵守有关交通法规，严格按照道路和桥梁的限制荷重安全行驶，并服从交通管理部门的检查和监督。承包人车辆外出行驶所需的场外公共道路的通行费、养路费和税款等，由承包人承担。</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694080"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5" name="文本框 36"/>
                <wp:cNvGraphicFramePr/>
                <a:graphic xmlns:a="http://schemas.openxmlformats.org/drawingml/2006/main">
                  <a:graphicData uri="http://schemas.microsoft.com/office/word/2010/wordprocessingShape">
                    <wps:wsp>
                      <wps:cNvSpPr txBox="1"/>
                      <wps:spPr>
                        <a:xfrm>
                          <a:off x="0" y="0"/>
                          <a:ext cx="1028700" cy="46609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超大件和超重</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件的运输</w:t>
                            </w:r>
                          </w:p>
                        </w:txbxContent>
                      </wps:txbx>
                      <wps:bodyPr upright="1"/>
                    </wps:wsp>
                  </a:graphicData>
                </a:graphic>
              </wp:anchor>
            </w:drawing>
          </mc:Choice>
          <mc:Fallback>
            <w:pict>
              <v:shape id="文本框 36" o:spid="_x0000_s1026" o:spt="202" type="#_x0000_t202" style="position:absolute;left:0pt;margin-left:-9pt;margin-top:17.7pt;height:36.7pt;width:81pt;z-index:251694080;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vSKrfX&#10;AAAACgEAAA8AAAAAAAAAAQAgAAAAIgAAAGRycy9kb3ducmV2LnhtbFBLAQIUABQAAAAIAIdO4kCP&#10;Mt0PrwEAAFADAAAOAAAAAAAAAAEAIAAAACYBAABkcnMvZTJvRG9jLnhtbFBLBQYAAAAABgAGAFkB&#10;AABH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超大件和超重</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件的运输</w:t>
                      </w:r>
                    </w:p>
                  </w:txbxContent>
                </v:textbox>
              </v:shape>
            </w:pict>
          </mc:Fallback>
        </mc:AlternateContent>
      </w:r>
      <w:r>
        <w:rPr>
          <w:rFonts w:ascii="仿宋" w:hAnsi="仿宋" w:eastAsia="仿宋" w:cs="仿宋"/>
          <w:b/>
          <w:bCs/>
          <w:color w:val="auto"/>
          <w:sz w:val="24"/>
          <w:szCs w:val="24"/>
          <w:highlight w:val="none"/>
        </w:rPr>
        <w:t xml:space="preserve">13.4  </w:t>
      </w:r>
      <w:r>
        <w:rPr>
          <w:rFonts w:ascii="仿宋" w:hAnsi="仿宋" w:eastAsia="仿宋" w:cs="仿宋"/>
          <w:b/>
          <w:bCs/>
          <w:color w:val="auto"/>
          <w:sz w:val="24"/>
          <w:szCs w:val="24"/>
          <w:highlight w:val="none"/>
          <w:u w:val="dotted"/>
        </w:rPr>
        <w:t xml:space="preserve">                                                                                                        </w:t>
      </w:r>
    </w:p>
    <w:p>
      <w:pPr>
        <w:pStyle w:val="2"/>
        <w:shd w:val="clear" w:color="000000" w:fill="auto"/>
        <w:tabs>
          <w:tab w:val="left" w:pos="1202"/>
        </w:tabs>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应负责向交通管理部门办理运输超大件或超重件的申请手续，发包人应协助承包人办理上述手续。除专用条款另有约定外，运输超大件或超重件所需的道路和桥梁临时加固改造费用和其他有关费用，由承包人承担。</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695104"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6" name="文本框 37"/>
                <wp:cNvGraphicFramePr/>
                <a:graphic xmlns:a="http://schemas.openxmlformats.org/drawingml/2006/main">
                  <a:graphicData uri="http://schemas.microsoft.com/office/word/2010/wordprocessingShape">
                    <wps:wsp>
                      <wps:cNvSpPr txBox="1"/>
                      <wps:spPr>
                        <a:xfrm>
                          <a:off x="0" y="0"/>
                          <a:ext cx="1028700" cy="46609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道路和桥梁的</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损坏责任</w:t>
                            </w:r>
                          </w:p>
                        </w:txbxContent>
                      </wps:txbx>
                      <wps:bodyPr upright="1"/>
                    </wps:wsp>
                  </a:graphicData>
                </a:graphic>
              </wp:anchor>
            </w:drawing>
          </mc:Choice>
          <mc:Fallback>
            <w:pict>
              <v:shape id="文本框 37" o:spid="_x0000_s1026" o:spt="202" type="#_x0000_t202" style="position:absolute;left:0pt;margin-left:-9pt;margin-top:17.7pt;height:36.7pt;width:81pt;z-index:251695104;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vSKrfX&#10;AAAACgEAAA8AAAAAAAAAAQAgAAAAIgAAAGRycy9kb3ducmV2LnhtbFBLAQIUABQAAAAIAIdO4kDF&#10;1ArHrwEAAFADAAAOAAAAAAAAAAEAIAAAACYBAABkcnMvZTJvRG9jLnhtbFBLBQYAAAAABgAGAFkB&#10;AABH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道路和桥梁的</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损坏责任</w:t>
                      </w:r>
                    </w:p>
                  </w:txbxContent>
                </v:textbox>
              </v:shape>
            </w:pict>
          </mc:Fallback>
        </mc:AlternateContent>
      </w:r>
      <w:r>
        <w:rPr>
          <w:rFonts w:ascii="仿宋" w:hAnsi="仿宋" w:eastAsia="仿宋" w:cs="仿宋"/>
          <w:b/>
          <w:bCs/>
          <w:color w:val="auto"/>
          <w:sz w:val="24"/>
          <w:szCs w:val="24"/>
          <w:highlight w:val="none"/>
        </w:rPr>
        <w:t xml:space="preserve">13.5  </w:t>
      </w:r>
      <w:r>
        <w:rPr>
          <w:rFonts w:ascii="仿宋" w:hAnsi="仿宋" w:eastAsia="仿宋" w:cs="仿宋"/>
          <w:b/>
          <w:bCs/>
          <w:color w:val="auto"/>
          <w:sz w:val="24"/>
          <w:szCs w:val="24"/>
          <w:highlight w:val="none"/>
          <w:u w:val="dotted"/>
        </w:rPr>
        <w:t xml:space="preserve">                                                                                                        </w:t>
      </w:r>
    </w:p>
    <w:p>
      <w:pPr>
        <w:pStyle w:val="2"/>
        <w:shd w:val="clear" w:color="000000" w:fill="auto"/>
        <w:tabs>
          <w:tab w:val="left" w:pos="1202"/>
        </w:tabs>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因承包人运输造成施工场地内外公共道路和桥梁损坏的，由承包人承担修复损坏的全部费用和可能引起的赔偿。</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696128" behindDoc="0" locked="0" layoutInCell="1" allowOverlap="1">
                <wp:simplePos x="0" y="0"/>
                <wp:positionH relativeFrom="column">
                  <wp:posOffset>-114300</wp:posOffset>
                </wp:positionH>
                <wp:positionV relativeFrom="paragraph">
                  <wp:posOffset>224790</wp:posOffset>
                </wp:positionV>
                <wp:extent cx="1028700" cy="608330"/>
                <wp:effectExtent l="0" t="0" r="0" b="0"/>
                <wp:wrapNone/>
                <wp:docPr id="37" name="文本框 38"/>
                <wp:cNvGraphicFramePr/>
                <a:graphic xmlns:a="http://schemas.openxmlformats.org/drawingml/2006/main">
                  <a:graphicData uri="http://schemas.microsoft.com/office/word/2010/wordprocessingShape">
                    <wps:wsp>
                      <wps:cNvSpPr txBox="1"/>
                      <wps:spPr>
                        <a:xfrm>
                          <a:off x="0" y="0"/>
                          <a:ext cx="1028700" cy="60833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水路和航空运</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输</w:t>
                            </w:r>
                          </w:p>
                        </w:txbxContent>
                      </wps:txbx>
                      <wps:bodyPr upright="1"/>
                    </wps:wsp>
                  </a:graphicData>
                </a:graphic>
              </wp:anchor>
            </w:drawing>
          </mc:Choice>
          <mc:Fallback>
            <w:pict>
              <v:shape id="文本框 38" o:spid="_x0000_s1026" o:spt="202" type="#_x0000_t202" style="position:absolute;left:0pt;margin-left:-9pt;margin-top:17.7pt;height:47.9pt;width:81pt;z-index:251696128;mso-width-relative:page;mso-height-relative:page;" filled="f" stroked="f" coordsize="21600,21600" o:gfxdata="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eKadSdcA&#10;AAAKAQAADwAAAAAAAAABACAAAAAiAAAAZHJzL2Rvd25yZXYueG1sUEsBAhQAFAAAAAgAh07iQA/l&#10;nM6uAQAAUAMAAA4AAAAAAAAAAQAgAAAAJgEAAGRycy9lMm9Eb2MueG1sUEsFBgAAAAAGAAYAWQEA&#10;AEY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水路和航空运</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输</w:t>
                      </w:r>
                    </w:p>
                  </w:txbxContent>
                </v:textbox>
              </v:shape>
            </w:pict>
          </mc:Fallback>
        </mc:AlternateContent>
      </w:r>
      <w:r>
        <w:rPr>
          <w:rFonts w:ascii="仿宋" w:hAnsi="仿宋" w:eastAsia="仿宋" w:cs="仿宋"/>
          <w:b/>
          <w:bCs/>
          <w:color w:val="auto"/>
          <w:sz w:val="24"/>
          <w:szCs w:val="24"/>
          <w:highlight w:val="none"/>
        </w:rPr>
        <w:t xml:space="preserve">13.6 </w:t>
      </w:r>
      <w:r>
        <w:rPr>
          <w:rFonts w:ascii="仿宋" w:hAnsi="仿宋" w:eastAsia="仿宋" w:cs="仿宋"/>
          <w:b/>
          <w:bCs/>
          <w:color w:val="auto"/>
          <w:sz w:val="24"/>
          <w:szCs w:val="24"/>
          <w:highlight w:val="none"/>
          <w:u w:val="dotted"/>
        </w:rPr>
        <w:t xml:space="preserve">                                                                                                        </w:t>
      </w:r>
    </w:p>
    <w:p>
      <w:pPr>
        <w:pStyle w:val="2"/>
        <w:shd w:val="clear" w:color="000000" w:fill="auto"/>
        <w:tabs>
          <w:tab w:val="left" w:pos="1202"/>
        </w:tabs>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本条内容适用于水路运输和航空运输，其中“道路”包括河道、航线、船闸、机场、码头、堤防以及水路或航空运输中其他相似结构物；“车辆”包括船舶和飞机等。</w:t>
      </w:r>
    </w:p>
    <w:p>
      <w:pPr>
        <w:pStyle w:val="2"/>
        <w:shd w:val="clear" w:color="000000" w:fill="auto"/>
        <w:tabs>
          <w:tab w:val="left" w:pos="1202"/>
        </w:tabs>
        <w:adjustRightInd w:val="0"/>
        <w:snapToGrid w:val="0"/>
        <w:spacing w:line="240" w:lineRule="exact"/>
        <w:jc w:val="left"/>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u w:val="single"/>
        </w:rPr>
        <w:t xml:space="preserve">                                                                              </w:t>
      </w:r>
      <w:r>
        <w:rPr>
          <w:rFonts w:ascii="仿宋" w:hAnsi="仿宋" w:eastAsia="仿宋" w:cs="仿宋"/>
          <w:b/>
          <w:bCs/>
          <w:color w:val="auto"/>
          <w:sz w:val="24"/>
          <w:szCs w:val="24"/>
          <w:highlight w:val="none"/>
        </w:rPr>
        <w:t xml:space="preserve">  </w:t>
      </w:r>
    </w:p>
    <w:p>
      <w:pPr>
        <w:pStyle w:val="2"/>
        <w:shd w:val="clear" w:color="000000" w:fill="auto"/>
        <w:tabs>
          <w:tab w:val="left" w:pos="3818"/>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150" w:name="_Toc10624833"/>
      <w:bookmarkStart w:id="151" w:name="_Toc469383993"/>
      <w:bookmarkStart w:id="152" w:name="_Toc21522"/>
      <w:r>
        <w:rPr>
          <w:rFonts w:ascii="仿宋" w:hAnsi="仿宋" w:eastAsia="仿宋" w:cs="仿宋"/>
          <w:b/>
          <w:bCs/>
          <w:color w:val="auto"/>
          <w:sz w:val="24"/>
          <w:szCs w:val="24"/>
          <w:highlight w:val="none"/>
        </w:rPr>
        <w:t xml:space="preserve">14  </w:t>
      </w:r>
      <w:r>
        <w:rPr>
          <w:rFonts w:hint="eastAsia" w:ascii="仿宋" w:hAnsi="仿宋" w:eastAsia="仿宋" w:cs="仿宋"/>
          <w:b/>
          <w:bCs/>
          <w:color w:val="auto"/>
          <w:sz w:val="24"/>
          <w:szCs w:val="24"/>
          <w:highlight w:val="none"/>
        </w:rPr>
        <w:t>专项批准事件的签认</w:t>
      </w:r>
      <w:bookmarkEnd w:id="150"/>
      <w:bookmarkEnd w:id="151"/>
      <w:bookmarkEnd w:id="152"/>
      <w:r>
        <w:rPr>
          <w:rFonts w:ascii="仿宋" w:hAnsi="仿宋" w:eastAsia="仿宋" w:cs="Times New Roman"/>
          <w:b/>
          <w:bCs/>
          <w:color w:val="auto"/>
          <w:sz w:val="24"/>
          <w:szCs w:val="24"/>
          <w:highlight w:val="none"/>
        </w:rPr>
        <w:tab/>
      </w:r>
    </w:p>
    <w:p>
      <w:pPr>
        <w:pStyle w:val="2"/>
        <w:shd w:val="clear" w:color="000000" w:fill="auto"/>
        <w:tabs>
          <w:tab w:val="left" w:pos="1202"/>
        </w:tabs>
        <w:adjustRightInd w:val="0"/>
        <w:snapToGrid w:val="0"/>
        <w:spacing w:line="360" w:lineRule="auto"/>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697152" behindDoc="0" locked="0" layoutInCell="1" allowOverlap="1">
                <wp:simplePos x="0" y="0"/>
                <wp:positionH relativeFrom="column">
                  <wp:posOffset>-114300</wp:posOffset>
                </wp:positionH>
                <wp:positionV relativeFrom="paragraph">
                  <wp:posOffset>246380</wp:posOffset>
                </wp:positionV>
                <wp:extent cx="914400" cy="875665"/>
                <wp:effectExtent l="0" t="0" r="0" b="0"/>
                <wp:wrapNone/>
                <wp:docPr id="38" name="文本框 39"/>
                <wp:cNvGraphicFramePr/>
                <a:graphic xmlns:a="http://schemas.openxmlformats.org/drawingml/2006/main">
                  <a:graphicData uri="http://schemas.microsoft.com/office/word/2010/wordprocessingShape">
                    <wps:wsp>
                      <wps:cNvSpPr txBox="1"/>
                      <wps:spPr>
                        <a:xfrm>
                          <a:off x="0" y="0"/>
                          <a:ext cx="914400" cy="87566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专项批准事件的签认</w:t>
                            </w:r>
                          </w:p>
                        </w:txbxContent>
                      </wps:txbx>
                      <wps:bodyPr upright="1"/>
                    </wps:wsp>
                  </a:graphicData>
                </a:graphic>
              </wp:anchor>
            </w:drawing>
          </mc:Choice>
          <mc:Fallback>
            <w:pict>
              <v:shape id="文本框 39" o:spid="_x0000_s1026" o:spt="202" type="#_x0000_t202" style="position:absolute;left:0pt;margin-left:-9pt;margin-top:19.4pt;height:68.95pt;width:72pt;z-index:251697152;mso-width-relative:page;mso-height-relative:page;" filled="f" stroked="f" coordsize="21600,21600" o:gfxdata="UEsDBAoAAAAAAIdO4kAAAAAAAAAAAAAAAAAEAAAAZHJzL1BLAwQUAAAACACHTuJAbHBLGN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xwSxjY&#10;AAAACgEAAA8AAAAAAAAAAQAgAAAAIgAAAGRycy9kb3ducmV2LnhtbFBLAQIUABQAAAAIAIdO4kCi&#10;nenorgEAAE8DAAAOAAAAAAAAAAEAIAAAACcBAABkcnMvZTJvRG9jLnhtbFBLBQYAAAAABgAGAFkB&#10;AABH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专项批准事件的签认</w:t>
                      </w:r>
                    </w:p>
                  </w:txbxContent>
                </v:textbox>
              </v:shape>
            </w:pict>
          </mc:Fallback>
        </mc:AlternateContent>
      </w:r>
      <w:r>
        <w:rPr>
          <w:rFonts w:ascii="仿宋" w:hAnsi="仿宋" w:eastAsia="仿宋" w:cs="仿宋"/>
          <w:b/>
          <w:bCs/>
          <w:color w:val="auto"/>
          <w:sz w:val="24"/>
          <w:szCs w:val="24"/>
          <w:highlight w:val="none"/>
        </w:rPr>
        <w:t xml:space="preserve">14.1      </w:t>
      </w:r>
    </w:p>
    <w:p>
      <w:pPr>
        <w:pStyle w:val="2"/>
        <w:shd w:val="clear" w:color="000000" w:fill="auto"/>
        <w:tabs>
          <w:tab w:val="left" w:pos="1202"/>
        </w:tabs>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合同履行期间，合同工程发生第</w:t>
      </w:r>
      <w:r>
        <w:rPr>
          <w:rFonts w:ascii="仿宋" w:hAnsi="仿宋" w:eastAsia="仿宋" w:cs="仿宋"/>
          <w:color w:val="auto"/>
          <w:sz w:val="24"/>
          <w:szCs w:val="24"/>
          <w:highlight w:val="none"/>
        </w:rPr>
        <w:t>23.3</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24.3</w:t>
      </w:r>
      <w:r>
        <w:rPr>
          <w:rFonts w:hint="eastAsia" w:ascii="仿宋" w:hAnsi="仿宋" w:eastAsia="仿宋" w:cs="仿宋"/>
          <w:color w:val="auto"/>
          <w:sz w:val="24"/>
          <w:szCs w:val="24"/>
          <w:highlight w:val="none"/>
        </w:rPr>
        <w:t>款专项批准事件的，发包人批准后应通知监理工程师和（或）造价工程师按照合同约定以书面形式向承包人发出工作指令，提供所需的相关资料。承包人在收到监理工程师和（或）造价工程师发出的工作指令后，应按照合同约定实施发生事件的相关工作。</w:t>
      </w:r>
    </w:p>
    <w:p>
      <w:pPr>
        <w:pStyle w:val="2"/>
        <w:shd w:val="clear" w:color="000000" w:fill="auto"/>
        <w:tabs>
          <w:tab w:val="left" w:pos="1202"/>
        </w:tabs>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合同双方当事人应按照第</w:t>
      </w:r>
      <w:r>
        <w:rPr>
          <w:rFonts w:ascii="仿宋" w:hAnsi="仿宋" w:eastAsia="仿宋" w:cs="仿宋"/>
          <w:color w:val="auto"/>
          <w:sz w:val="24"/>
          <w:szCs w:val="24"/>
          <w:highlight w:val="none"/>
        </w:rPr>
        <w:t>14.2</w:t>
      </w:r>
      <w:r>
        <w:rPr>
          <w:rFonts w:hint="eastAsia" w:ascii="仿宋" w:hAnsi="仿宋" w:eastAsia="仿宋" w:cs="仿宋"/>
          <w:color w:val="auto"/>
          <w:sz w:val="24"/>
          <w:szCs w:val="24"/>
          <w:highlight w:val="none"/>
        </w:rPr>
        <w:t>款规定对发生的专项批准事件予以签认，并及时将发生事件的相关资料整理、归档，同时按第</w:t>
      </w:r>
      <w:r>
        <w:rPr>
          <w:rFonts w:ascii="仿宋" w:hAnsi="仿宋" w:eastAsia="仿宋" w:cs="仿宋"/>
          <w:color w:val="auto"/>
          <w:sz w:val="24"/>
          <w:szCs w:val="24"/>
          <w:highlight w:val="none"/>
        </w:rPr>
        <w:t>23.2</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24.2</w:t>
      </w:r>
      <w:r>
        <w:rPr>
          <w:rFonts w:hint="eastAsia" w:ascii="仿宋" w:hAnsi="仿宋" w:eastAsia="仿宋" w:cs="仿宋"/>
          <w:color w:val="auto"/>
          <w:sz w:val="24"/>
          <w:szCs w:val="24"/>
          <w:highlight w:val="none"/>
        </w:rPr>
        <w:t>款规定职权将其中一份送监理工程师和（或）造价工程师留存。</w:t>
      </w:r>
    </w:p>
    <w:p>
      <w:pPr>
        <w:pStyle w:val="2"/>
        <w:shd w:val="clear" w:color="000000" w:fill="auto"/>
        <w:tabs>
          <w:tab w:val="left" w:pos="2160"/>
        </w:tabs>
        <w:spacing w:before="192" w:beforeLines="80"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14.2  </w:t>
      </w:r>
      <w:r>
        <w:rPr>
          <w:rFonts w:ascii="仿宋" w:hAnsi="仿宋" w:eastAsia="仿宋" w:cs="仿宋"/>
          <w:b/>
          <w:bCs/>
          <w:color w:val="auto"/>
          <w:sz w:val="24"/>
          <w:szCs w:val="24"/>
          <w:highlight w:val="none"/>
          <w:u w:val="dotted"/>
        </w:rPr>
        <w:t xml:space="preserve">                                                                                 </w:t>
      </w:r>
    </w:p>
    <w:p>
      <w:pPr>
        <w:pStyle w:val="2"/>
        <w:shd w:val="clear" w:color="000000" w:fill="auto"/>
        <w:tabs>
          <w:tab w:val="left" w:pos="1620"/>
        </w:tabs>
        <w:spacing w:line="360" w:lineRule="auto"/>
        <w:ind w:left="1618" w:leftChars="770" w:hanging="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98176" behindDoc="0" locked="0" layoutInCell="1" allowOverlap="1">
                <wp:simplePos x="0" y="0"/>
                <wp:positionH relativeFrom="column">
                  <wp:posOffset>0</wp:posOffset>
                </wp:positionH>
                <wp:positionV relativeFrom="paragraph">
                  <wp:posOffset>10795</wp:posOffset>
                </wp:positionV>
                <wp:extent cx="914400" cy="875665"/>
                <wp:effectExtent l="0" t="0" r="0" b="0"/>
                <wp:wrapNone/>
                <wp:docPr id="39" name="文本框 40"/>
                <wp:cNvGraphicFramePr/>
                <a:graphic xmlns:a="http://schemas.openxmlformats.org/drawingml/2006/main">
                  <a:graphicData uri="http://schemas.microsoft.com/office/word/2010/wordprocessingShape">
                    <wps:wsp>
                      <wps:cNvSpPr txBox="1"/>
                      <wps:spPr>
                        <a:xfrm>
                          <a:off x="0" y="0"/>
                          <a:ext cx="914400" cy="87566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专项批准事件签认人的要求</w:t>
                            </w:r>
                          </w:p>
                        </w:txbxContent>
                      </wps:txbx>
                      <wps:bodyPr upright="1"/>
                    </wps:wsp>
                  </a:graphicData>
                </a:graphic>
              </wp:anchor>
            </w:drawing>
          </mc:Choice>
          <mc:Fallback>
            <w:pict>
              <v:shape id="文本框 40" o:spid="_x0000_s1026" o:spt="202" type="#_x0000_t202" style="position:absolute;left:0pt;margin-left:0pt;margin-top:0.85pt;height:68.95pt;width:72pt;z-index:251698176;mso-width-relative:page;mso-height-relative:page;" filled="f" stroked="f" coordsize="21600,21600" o:gfxdata="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OakbmLTAAAABgEA&#10;AA8AAAAAAAAAAQAgAAAAIgAAAGRycy9kb3ducmV2LnhtbFBLAQIUABQAAAAIAIdO4kD/9/YhrQEA&#10;AE8DAAAOAAAAAAAAAAEAIAAAACIBAABkcnMvZTJvRG9jLnhtbFBLBQYAAAAABgAGAFkBAABBBQAA&#10;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专项批准事件签认人的要求</w:t>
                      </w:r>
                    </w:p>
                  </w:txbxContent>
                </v:textbox>
              </v:shape>
            </w:pict>
          </mc:Fallback>
        </mc:AlternateContent>
      </w:r>
      <w:r>
        <w:rPr>
          <w:rFonts w:hint="eastAsia" w:ascii="仿宋" w:hAnsi="仿宋" w:eastAsia="仿宋" w:cs="仿宋"/>
          <w:color w:val="auto"/>
          <w:sz w:val="24"/>
          <w:szCs w:val="24"/>
          <w:highlight w:val="none"/>
        </w:rPr>
        <w:t>合同双方当事人应按照第</w:t>
      </w:r>
      <w:r>
        <w:rPr>
          <w:rFonts w:ascii="仿宋" w:hAnsi="仿宋" w:eastAsia="仿宋" w:cs="仿宋"/>
          <w:color w:val="auto"/>
          <w:sz w:val="24"/>
          <w:szCs w:val="24"/>
          <w:highlight w:val="none"/>
        </w:rPr>
        <w:t>23.1</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24.1</w:t>
      </w:r>
      <w:r>
        <w:rPr>
          <w:rFonts w:hint="eastAsia" w:ascii="仿宋" w:hAnsi="仿宋" w:eastAsia="仿宋" w:cs="仿宋"/>
          <w:color w:val="auto"/>
          <w:sz w:val="24"/>
          <w:szCs w:val="24"/>
          <w:highlight w:val="none"/>
        </w:rPr>
        <w:t>款和第</w:t>
      </w:r>
      <w:r>
        <w:rPr>
          <w:rFonts w:ascii="仿宋" w:hAnsi="仿宋" w:eastAsia="仿宋" w:cs="仿宋"/>
          <w:color w:val="auto"/>
          <w:sz w:val="24"/>
          <w:szCs w:val="24"/>
          <w:highlight w:val="none"/>
        </w:rPr>
        <w:t>25.1</w:t>
      </w:r>
      <w:r>
        <w:rPr>
          <w:rFonts w:hint="eastAsia" w:ascii="仿宋" w:hAnsi="仿宋" w:eastAsia="仿宋" w:cs="仿宋"/>
          <w:color w:val="auto"/>
          <w:sz w:val="24"/>
          <w:szCs w:val="24"/>
          <w:highlight w:val="none"/>
        </w:rPr>
        <w:t>款规定，分别在专用条款中写明负责专项批准事件签认的监理工程师、造价工程师和建造师具体人选，授予其负责专项批准事件签认的权力，并提供该人选的印章、签字式样，作为本合同的附件。当专项批准事件发生时，该人选应在其职权范围内，按照本合同约定的程序、时限、生效条件等要求，对发生事件的内容、数量和单价等办理签认手续，并加盖所在单位的法人公章或其授权的施工现场管理机构章。</w:t>
      </w:r>
    </w:p>
    <w:p>
      <w:pPr>
        <w:pStyle w:val="2"/>
        <w:shd w:val="clear" w:color="000000" w:fill="auto"/>
        <w:adjustRightInd w:val="0"/>
        <w:snapToGrid w:val="0"/>
        <w:ind w:right="-238"/>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153" w:name="_Toc10624834"/>
      <w:bookmarkStart w:id="154" w:name="_Toc469383994"/>
      <w:bookmarkStart w:id="155" w:name="_Toc29441"/>
      <w:r>
        <w:rPr>
          <w:rFonts w:ascii="仿宋" w:hAnsi="仿宋" w:eastAsia="仿宋" w:cs="仿宋"/>
          <w:b/>
          <w:bCs/>
          <w:color w:val="auto"/>
          <w:sz w:val="24"/>
          <w:szCs w:val="24"/>
          <w:highlight w:val="none"/>
        </w:rPr>
        <w:t xml:space="preserve">15  </w:t>
      </w:r>
      <w:r>
        <w:rPr>
          <w:rFonts w:hint="eastAsia" w:ascii="仿宋" w:hAnsi="仿宋" w:eastAsia="仿宋" w:cs="仿宋"/>
          <w:b/>
          <w:bCs/>
          <w:color w:val="auto"/>
          <w:sz w:val="24"/>
          <w:szCs w:val="24"/>
          <w:highlight w:val="none"/>
        </w:rPr>
        <w:t>专利技术</w:t>
      </w:r>
      <w:bookmarkEnd w:id="153"/>
      <w:bookmarkEnd w:id="154"/>
      <w:bookmarkEnd w:id="155"/>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15.1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99200"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40" name="文本框 41"/>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侵犯专利技术责任</w:t>
                            </w:r>
                          </w:p>
                        </w:txbxContent>
                      </wps:txbx>
                      <wps:bodyPr upright="1"/>
                    </wps:wsp>
                  </a:graphicData>
                </a:graphic>
              </wp:anchor>
            </w:drawing>
          </mc:Choice>
          <mc:Fallback>
            <w:pict>
              <v:shape id="文本框 41" o:spid="_x0000_s1026" o:spt="202" type="#_x0000_t202" style="position:absolute;left:0pt;margin-left:-9pt;margin-top:1.8pt;height:37.15pt;width:72pt;z-index:251699200;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ptk6TWAAAA&#10;CAEAAA8AAAAAAAAAAQAgAAAAIgAAAGRycy9kb3ducmV2LnhtbFBLAQIUABQAAAAIAIdO4kAkb/tt&#10;rQEAAE8DAAAOAAAAAAAAAAEAIAAAACUBAABkcnMvZTJvRG9jLnhtbFBLBQYAAAAABgAGAFkBAABE&#10;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侵犯专利技术责任</w:t>
                      </w:r>
                    </w:p>
                  </w:txbxContent>
                </v:textbox>
              </v:shape>
            </w:pict>
          </mc:Fallback>
        </mc:AlternateContent>
      </w:r>
      <w:r>
        <w:rPr>
          <w:rFonts w:hint="eastAsia" w:ascii="仿宋" w:hAnsi="仿宋" w:eastAsia="仿宋" w:cs="仿宋"/>
          <w:color w:val="auto"/>
          <w:sz w:val="24"/>
          <w:szCs w:val="24"/>
          <w:highlight w:val="none"/>
        </w:rPr>
        <w:t>承包人在实施、完成并保修合同工程过程中，如因采用施工工艺或使用施工设备及自身供应的材料和工程设备，而发生侵犯他人商标、图案、工艺、材料、设备专利权或知识产权的行为，并引起索赔或诉讼，则一切与此有关的损失、赔偿、诉讼等责任，均由承包人承担。但由于遵守发包人提供的施工设计图纸、标准与规范、技术说明和要求而造成的侵权，则属例外。</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15.2</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00224"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41" name="文本框 42"/>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专利技术的使用</w:t>
                            </w:r>
                          </w:p>
                        </w:txbxContent>
                      </wps:txbx>
                      <wps:bodyPr upright="1"/>
                    </wps:wsp>
                  </a:graphicData>
                </a:graphic>
              </wp:anchor>
            </w:drawing>
          </mc:Choice>
          <mc:Fallback>
            <w:pict>
              <v:shape id="文本框 42" o:spid="_x0000_s1026" o:spt="202" type="#_x0000_t202" style="position:absolute;left:0pt;margin-left:-9pt;margin-top:1.8pt;height:37.15pt;width:72pt;z-index:251700224;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ptk6TWAAAA&#10;CAEAAA8AAAAAAAAAAQAgAAAAIgAAAGRycy9kb3ducmV2LnhtbFBLAQIUABQAAAAIAIdO4kAi8/S5&#10;rQEAAE8DAAAOAAAAAAAAAAEAIAAAACUBAABkcnMvZTJvRG9jLnhtbFBLBQYAAAAABgAGAFkBAABE&#10;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专利技术的使用</w:t>
                      </w:r>
                    </w:p>
                  </w:txbxContent>
                </v:textbox>
              </v:shape>
            </w:pict>
          </mc:Fallback>
        </mc:AlternateContent>
      </w:r>
      <w:r>
        <w:rPr>
          <w:rFonts w:hint="eastAsia" w:ascii="仿宋" w:hAnsi="仿宋" w:eastAsia="仿宋" w:cs="仿宋"/>
          <w:color w:val="auto"/>
          <w:sz w:val="24"/>
          <w:szCs w:val="24"/>
          <w:highlight w:val="none"/>
        </w:rPr>
        <w:t>承包人在投标文件中采用专利技术的，其发生的费用已包含在投标报价内。承包人的技术秘密和第</w:t>
      </w:r>
      <w:r>
        <w:rPr>
          <w:rFonts w:ascii="仿宋" w:hAnsi="仿宋" w:eastAsia="仿宋" w:cs="仿宋"/>
          <w:color w:val="auto"/>
          <w:sz w:val="24"/>
          <w:szCs w:val="24"/>
          <w:highlight w:val="none"/>
        </w:rPr>
        <w:t>91</w:t>
      </w:r>
      <w:r>
        <w:rPr>
          <w:rFonts w:hint="eastAsia" w:ascii="仿宋" w:hAnsi="仿宋" w:eastAsia="仿宋" w:cs="仿宋"/>
          <w:color w:val="auto"/>
          <w:sz w:val="24"/>
          <w:szCs w:val="24"/>
          <w:highlight w:val="none"/>
        </w:rPr>
        <w:t>条规定的保密信息、资料等，发包人应严格按照第</w:t>
      </w:r>
      <w:r>
        <w:rPr>
          <w:rFonts w:ascii="仿宋" w:hAnsi="仿宋" w:eastAsia="仿宋" w:cs="仿宋"/>
          <w:color w:val="auto"/>
          <w:sz w:val="24"/>
          <w:szCs w:val="24"/>
          <w:highlight w:val="none"/>
        </w:rPr>
        <w:t>91</w:t>
      </w:r>
      <w:r>
        <w:rPr>
          <w:rFonts w:hint="eastAsia" w:ascii="仿宋" w:hAnsi="仿宋" w:eastAsia="仿宋" w:cs="仿宋"/>
          <w:color w:val="auto"/>
          <w:sz w:val="24"/>
          <w:szCs w:val="24"/>
          <w:highlight w:val="none"/>
        </w:rPr>
        <w:t>条规定不得为合同以外的目的泄露给第三方。</w:t>
      </w:r>
    </w:p>
    <w:p>
      <w:pPr>
        <w:pStyle w:val="2"/>
        <w:shd w:val="clear" w:color="000000" w:fill="auto"/>
        <w:tabs>
          <w:tab w:val="left" w:pos="1680"/>
        </w:tabs>
        <w:adjustRightInd w:val="0"/>
        <w:snapToGrid w:val="0"/>
        <w:spacing w:line="360" w:lineRule="auto"/>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01248" behindDoc="0" locked="0" layoutInCell="1" allowOverlap="1">
                <wp:simplePos x="0" y="0"/>
                <wp:positionH relativeFrom="column">
                  <wp:posOffset>-114300</wp:posOffset>
                </wp:positionH>
                <wp:positionV relativeFrom="paragraph">
                  <wp:posOffset>241300</wp:posOffset>
                </wp:positionV>
                <wp:extent cx="914400" cy="497840"/>
                <wp:effectExtent l="0" t="0" r="0" b="0"/>
                <wp:wrapNone/>
                <wp:docPr id="42" name="文本框 43"/>
                <wp:cNvGraphicFramePr/>
                <a:graphic xmlns:a="http://schemas.openxmlformats.org/drawingml/2006/main">
                  <a:graphicData uri="http://schemas.microsoft.com/office/word/2010/wordprocessingShape">
                    <wps:wsp>
                      <wps:cNvSpPr txBox="1"/>
                      <wps:spPr>
                        <a:xfrm>
                          <a:off x="0" y="0"/>
                          <a:ext cx="914400" cy="49784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版权和知识产权</w:t>
                            </w:r>
                          </w:p>
                        </w:txbxContent>
                      </wps:txbx>
                      <wps:bodyPr upright="1"/>
                    </wps:wsp>
                  </a:graphicData>
                </a:graphic>
              </wp:anchor>
            </w:drawing>
          </mc:Choice>
          <mc:Fallback>
            <w:pict>
              <v:shape id="文本框 43" o:spid="_x0000_s1026" o:spt="202" type="#_x0000_t202" style="position:absolute;left:0pt;margin-left:-9pt;margin-top:19pt;height:39.2pt;width:72pt;z-index:251701248;mso-width-relative:page;mso-height-relative:page;" filled="f" stroked="f" coordsize="21600,21600" o:gfxdata="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fV6GkdcA&#10;AAAKAQAADwAAAAAAAAABACAAAAAiAAAAZHJzL2Rvd25yZXYueG1sUEsBAhQAFAAAAAgAh07iQBs3&#10;WOCuAQAATwMAAA4AAAAAAAAAAQAgAAAAJgEAAGRycy9lMm9Eb2MueG1sUEsFBgAAAAAGAAYAWQEA&#10;AEY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版权和知识产权</w:t>
                      </w:r>
                    </w:p>
                  </w:txbxContent>
                </v:textbox>
              </v:shape>
            </w:pict>
          </mc:Fallback>
        </mc:AlternateContent>
      </w:r>
      <w:r>
        <w:rPr>
          <w:rFonts w:ascii="仿宋" w:hAnsi="仿宋" w:eastAsia="仿宋" w:cs="仿宋"/>
          <w:color w:val="auto"/>
          <w:sz w:val="24"/>
          <w:szCs w:val="24"/>
          <w:highlight w:val="none"/>
        </w:rPr>
        <w:t xml:space="preserve">15.3  </w:t>
      </w:r>
      <w:r>
        <w:rPr>
          <w:rFonts w:ascii="仿宋" w:hAnsi="仿宋" w:eastAsia="仿宋" w:cs="仿宋"/>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各自对属于自己的施工设计图纸及其他文件保留版权和知识产权。双方签订本合同后，应视为分别授权对方当事人为实施合同工程而复制、使用、传送上述施工设计图纸和文件。但未经对方当事人同意，另一方当事人不得将其另作他用或转给第三方。</w:t>
      </w:r>
    </w:p>
    <w:p>
      <w:pPr>
        <w:pStyle w:val="2"/>
        <w:shd w:val="clear" w:color="000000" w:fill="auto"/>
        <w:adjustRightInd w:val="0"/>
        <w:snapToGrid w:val="0"/>
        <w:spacing w:line="360" w:lineRule="auto"/>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adjustRightInd w:val="0"/>
        <w:snapToGrid w:val="0"/>
        <w:spacing w:line="360" w:lineRule="auto"/>
        <w:outlineLvl w:val="2"/>
        <w:rPr>
          <w:rFonts w:ascii="仿宋" w:hAnsi="仿宋" w:eastAsia="仿宋" w:cs="Times New Roman"/>
          <w:b/>
          <w:bCs/>
          <w:color w:val="auto"/>
          <w:sz w:val="24"/>
          <w:szCs w:val="24"/>
          <w:highlight w:val="none"/>
        </w:rPr>
      </w:pPr>
      <w:bookmarkStart w:id="156" w:name="_Toc25840"/>
      <w:bookmarkStart w:id="157" w:name="_Toc10624835"/>
      <w:bookmarkStart w:id="158" w:name="_Toc469383995"/>
      <w:r>
        <w:rPr>
          <w:rFonts w:ascii="仿宋" w:hAnsi="仿宋" w:eastAsia="仿宋" w:cs="仿宋"/>
          <w:b/>
          <w:bCs/>
          <w:color w:val="auto"/>
          <w:sz w:val="24"/>
          <w:szCs w:val="24"/>
          <w:highlight w:val="none"/>
        </w:rPr>
        <w:t xml:space="preserve">16  </w:t>
      </w:r>
      <w:r>
        <w:rPr>
          <w:rFonts w:hint="eastAsia" w:ascii="仿宋" w:hAnsi="仿宋" w:eastAsia="仿宋" w:cs="仿宋"/>
          <w:b/>
          <w:bCs/>
          <w:color w:val="auto"/>
          <w:sz w:val="24"/>
          <w:szCs w:val="24"/>
          <w:highlight w:val="none"/>
        </w:rPr>
        <w:t>联合的责任</w:t>
      </w:r>
      <w:bookmarkEnd w:id="156"/>
      <w:bookmarkEnd w:id="157"/>
      <w:bookmarkEnd w:id="158"/>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702272" behindDoc="0" locked="0" layoutInCell="1" allowOverlap="1">
                <wp:simplePos x="0" y="0"/>
                <wp:positionH relativeFrom="column">
                  <wp:posOffset>-114300</wp:posOffset>
                </wp:positionH>
                <wp:positionV relativeFrom="paragraph">
                  <wp:posOffset>234950</wp:posOffset>
                </wp:positionV>
                <wp:extent cx="914400" cy="461010"/>
                <wp:effectExtent l="0" t="0" r="0" b="0"/>
                <wp:wrapNone/>
                <wp:docPr id="43" name="文本框 44"/>
                <wp:cNvGraphicFramePr/>
                <a:graphic xmlns:a="http://schemas.openxmlformats.org/drawingml/2006/main">
                  <a:graphicData uri="http://schemas.microsoft.com/office/word/2010/wordprocessingShape">
                    <wps:wsp>
                      <wps:cNvSpPr txBox="1"/>
                      <wps:spPr>
                        <a:xfrm>
                          <a:off x="0" y="0"/>
                          <a:ext cx="914400" cy="46101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共同的和各自的责任</w:t>
                            </w:r>
                          </w:p>
                        </w:txbxContent>
                      </wps:txbx>
                      <wps:bodyPr upright="1"/>
                    </wps:wsp>
                  </a:graphicData>
                </a:graphic>
              </wp:anchor>
            </w:drawing>
          </mc:Choice>
          <mc:Fallback>
            <w:pict>
              <v:shape id="文本框 44" o:spid="_x0000_s1026" o:spt="202" type="#_x0000_t202" style="position:absolute;left:0pt;margin-left:-9pt;margin-top:18.5pt;height:36.3pt;width:72pt;z-index:251702272;mso-width-relative:page;mso-height-relative:page;" filled="f" stroked="f" coordsize="21600,21600" o:gfxdata="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ImsTqfXAAAA&#10;CgEAAA8AAAAAAAAAAQAgAAAAIgAAAGRycy9kb3ducmV2LnhtbFBLAQIUABQAAAAIAIdO4kDlOh+C&#10;rAEAAE8DAAAOAAAAAAAAAAEAIAAAACYBAABkcnMvZTJvRG9jLnhtbFBLBQYAAAAABgAGAFkBAABE&#10;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共同的和各自的责任</w:t>
                      </w:r>
                    </w:p>
                  </w:txbxContent>
                </v:textbox>
              </v:shape>
            </w:pict>
          </mc:Fallback>
        </mc:AlternateContent>
      </w:r>
      <w:r>
        <w:rPr>
          <w:rFonts w:ascii="仿宋" w:hAnsi="仿宋" w:eastAsia="仿宋" w:cs="仿宋"/>
          <w:b/>
          <w:bCs/>
          <w:color w:val="auto"/>
          <w:sz w:val="24"/>
          <w:szCs w:val="24"/>
          <w:highlight w:val="none"/>
        </w:rPr>
        <w:t xml:space="preserve">16.1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承包人是联合体经营，则联合体各方应共同与发包人签订合同协议书，并在工程开工前签订联合体施工协议书，作为本合同的附件。该联合体各方都应在合同履行期间对发包人负有共同的连带责任和各自的责任。</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03296" behindDoc="0" locked="0" layoutInCell="1" allowOverlap="1">
                <wp:simplePos x="0" y="0"/>
                <wp:positionH relativeFrom="column">
                  <wp:posOffset>-114300</wp:posOffset>
                </wp:positionH>
                <wp:positionV relativeFrom="paragraph">
                  <wp:posOffset>245745</wp:posOffset>
                </wp:positionV>
                <wp:extent cx="914400" cy="495300"/>
                <wp:effectExtent l="0" t="0" r="0" b="0"/>
                <wp:wrapNone/>
                <wp:docPr id="44" name="文本框 4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联合体文件签暑</w:t>
                            </w:r>
                          </w:p>
                        </w:txbxContent>
                      </wps:txbx>
                      <wps:bodyPr upright="1"/>
                    </wps:wsp>
                  </a:graphicData>
                </a:graphic>
              </wp:anchor>
            </w:drawing>
          </mc:Choice>
          <mc:Fallback>
            <w:pict>
              <v:shape id="文本框 45" o:spid="_x0000_s1026" o:spt="202" type="#_x0000_t202" style="position:absolute;left:0pt;margin-left:-9pt;margin-top:19.35pt;height:39pt;width:72pt;z-index:251703296;mso-width-relative:page;mso-height-relative:page;" filled="f" stroked="f" coordsize="21600,21600" o:gfxdata="UEsDBAoAAAAAAIdO4kAAAAAAAAAAAAAAAAAEAAAAZHJzL1BLAwQUAAAACACHTuJAC7HiBt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C7HiBtgA&#10;AAAKAQAADwAAAAAAAAABACAAAAAiAAAAZHJzL2Rvd25yZXYueG1sUEsBAhQAFAAAAAgAh07iQKMq&#10;HB2tAQAATwMAAA4AAAAAAAAAAQAgAAAAJwEAAGRycy9lMm9Eb2MueG1sUEsFBgAAAAAGAAYAWQEA&#10;AEY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联合体文件签暑</w:t>
                      </w:r>
                    </w:p>
                  </w:txbxContent>
                </v:textbox>
              </v:shape>
            </w:pict>
          </mc:Fallback>
        </mc:AlternateContent>
      </w:r>
      <w:r>
        <w:rPr>
          <w:rFonts w:ascii="仿宋" w:hAnsi="仿宋" w:eastAsia="仿宋" w:cs="仿宋"/>
          <w:b/>
          <w:bCs/>
          <w:color w:val="auto"/>
          <w:sz w:val="24"/>
          <w:szCs w:val="24"/>
          <w:highlight w:val="none"/>
        </w:rPr>
        <w:t xml:space="preserve">16.2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联合体应有一个被授权的、对联合体各方有约束力的牵头人，由其负责与发包人、监理人和工程造价咨询人（如有）联系，组织联合体各方全面履行合同。该牵头人应指派专职代表负责，履行合同的有关文件由该专职代表签署。未经发包人事先书面同意，联合体的组成、结构和施工协议书不得随意变动。</w:t>
      </w:r>
    </w:p>
    <w:p>
      <w:pPr>
        <w:shd w:val="clear" w:color="000000" w:fill="auto"/>
        <w:tabs>
          <w:tab w:val="left" w:pos="1620"/>
        </w:tabs>
        <w:spacing w:line="240" w:lineRule="exact"/>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105"/>
        </w:tabs>
        <w:adjustRightInd w:val="0"/>
        <w:snapToGrid w:val="0"/>
        <w:spacing w:before="240" w:beforeLines="100"/>
        <w:outlineLvl w:val="2"/>
        <w:rPr>
          <w:rFonts w:ascii="仿宋" w:hAnsi="仿宋" w:eastAsia="仿宋" w:cs="Times New Roman"/>
          <w:b/>
          <w:bCs/>
          <w:color w:val="auto"/>
          <w:sz w:val="24"/>
          <w:szCs w:val="24"/>
          <w:highlight w:val="none"/>
        </w:rPr>
      </w:pPr>
      <w:bookmarkStart w:id="159" w:name="_Toc469383996"/>
      <w:bookmarkStart w:id="160" w:name="_Toc10624836"/>
      <w:bookmarkStart w:id="161" w:name="_Toc6878"/>
      <w:r>
        <w:rPr>
          <w:rFonts w:ascii="仿宋" w:hAnsi="仿宋" w:eastAsia="仿宋" w:cs="仿宋"/>
          <w:b/>
          <w:bCs/>
          <w:color w:val="auto"/>
          <w:sz w:val="24"/>
          <w:szCs w:val="24"/>
          <w:highlight w:val="none"/>
        </w:rPr>
        <w:t xml:space="preserve">17  </w:t>
      </w:r>
      <w:r>
        <w:rPr>
          <w:rFonts w:hint="eastAsia" w:ascii="仿宋" w:hAnsi="仿宋" w:eastAsia="仿宋" w:cs="仿宋"/>
          <w:b/>
          <w:bCs/>
          <w:color w:val="auto"/>
          <w:sz w:val="24"/>
          <w:szCs w:val="24"/>
          <w:highlight w:val="none"/>
        </w:rPr>
        <w:t>保障</w:t>
      </w:r>
      <w:bookmarkEnd w:id="159"/>
      <w:bookmarkEnd w:id="160"/>
      <w:bookmarkEnd w:id="161"/>
    </w:p>
    <w:p>
      <w:pPr>
        <w:pStyle w:val="2"/>
        <w:shd w:val="clear" w:color="000000" w:fill="auto"/>
        <w:tabs>
          <w:tab w:val="left" w:pos="1202"/>
        </w:tabs>
        <w:adjustRightInd w:val="0"/>
        <w:snapToGrid w:val="0"/>
        <w:spacing w:line="360" w:lineRule="auto"/>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704320" behindDoc="0" locked="0" layoutInCell="1" allowOverlap="1">
                <wp:simplePos x="0" y="0"/>
                <wp:positionH relativeFrom="column">
                  <wp:posOffset>0</wp:posOffset>
                </wp:positionH>
                <wp:positionV relativeFrom="paragraph">
                  <wp:posOffset>181610</wp:posOffset>
                </wp:positionV>
                <wp:extent cx="914400" cy="594360"/>
                <wp:effectExtent l="0" t="0" r="0" b="0"/>
                <wp:wrapNone/>
                <wp:docPr id="45" name="文本框 46"/>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合同双方相互保障</w:t>
                            </w:r>
                          </w:p>
                        </w:txbxContent>
                      </wps:txbx>
                      <wps:bodyPr upright="1"/>
                    </wps:wsp>
                  </a:graphicData>
                </a:graphic>
              </wp:anchor>
            </w:drawing>
          </mc:Choice>
          <mc:Fallback>
            <w:pict>
              <v:shape id="文本框 46" o:spid="_x0000_s1026" o:spt="202" type="#_x0000_t202" style="position:absolute;left:0pt;margin-left:0pt;margin-top:14.3pt;height:46.8pt;width:72pt;z-index:251704320;mso-width-relative:page;mso-height-relative:page;" filled="f" stroked="f" coordsize="21600,21600" o:gfxdata="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4YJDVAAAA&#10;BwEAAA8AAAAAAAAAAQAgAAAAIgAAAGRycy9kb3ducmV2LnhtbFBLAQIUABQAAAAIAIdO4kDnSzHw&#10;rgEAAE8DAAAOAAAAAAAAAAEAIAAAACQBAABkcnMvZTJvRG9jLnhtbFBLBQYAAAAABgAGAFkBAABE&#10;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合同双方相互保障</w:t>
                      </w:r>
                    </w:p>
                  </w:txbxContent>
                </v:textbox>
              </v:shape>
            </w:pict>
          </mc:Fallback>
        </mc:AlternateContent>
      </w:r>
      <w:r>
        <w:rPr>
          <w:rFonts w:ascii="仿宋" w:hAnsi="仿宋" w:eastAsia="仿宋" w:cs="仿宋"/>
          <w:b/>
          <w:bCs/>
          <w:color w:val="auto"/>
          <w:sz w:val="24"/>
          <w:szCs w:val="24"/>
          <w:highlight w:val="none"/>
        </w:rPr>
        <w:t xml:space="preserve">17.1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一方当事人应负责和保障另一方当事人不因其自身的行为或疏忽而引起的一切损害、损失和赔偿。但受保障的一方当事人应积极采取合理措施减少可能发生的损失或损害。因受保障的一方当事人未采取合理措施而导致损失扩大，则损失扩大部分由其自身承担。</w:t>
      </w:r>
    </w:p>
    <w:p>
      <w:pPr>
        <w:pStyle w:val="2"/>
        <w:shd w:val="clear" w:color="000000" w:fill="auto"/>
        <w:tabs>
          <w:tab w:val="left" w:pos="1202"/>
        </w:tabs>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05344" behindDoc="0" locked="0" layoutInCell="1" allowOverlap="1">
                <wp:simplePos x="0" y="0"/>
                <wp:positionH relativeFrom="column">
                  <wp:posOffset>-114300</wp:posOffset>
                </wp:positionH>
                <wp:positionV relativeFrom="paragraph">
                  <wp:posOffset>240665</wp:posOffset>
                </wp:positionV>
                <wp:extent cx="914400" cy="534670"/>
                <wp:effectExtent l="0" t="0" r="0" b="0"/>
                <wp:wrapNone/>
                <wp:docPr id="46" name="文本框 47"/>
                <wp:cNvGraphicFramePr/>
                <a:graphic xmlns:a="http://schemas.openxmlformats.org/drawingml/2006/main">
                  <a:graphicData uri="http://schemas.microsoft.com/office/word/2010/wordprocessingShape">
                    <wps:wsp>
                      <wps:cNvSpPr txBox="1"/>
                      <wps:spPr>
                        <a:xfrm>
                          <a:off x="0" y="0"/>
                          <a:ext cx="914400" cy="53467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承包人对发包人的保障</w:t>
                            </w:r>
                          </w:p>
                        </w:txbxContent>
                      </wps:txbx>
                      <wps:bodyPr upright="1"/>
                    </wps:wsp>
                  </a:graphicData>
                </a:graphic>
              </wp:anchor>
            </w:drawing>
          </mc:Choice>
          <mc:Fallback>
            <w:pict>
              <v:shape id="文本框 47" o:spid="_x0000_s1026" o:spt="202" type="#_x0000_t202" style="position:absolute;left:0pt;margin-left:-9pt;margin-top:18.95pt;height:42.1pt;width:72pt;z-index:251705344;mso-width-relative:page;mso-height-relative:page;" filled="f" stroked="f" coordsize="21600,21600" o:gfxdata="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YHkGfY&#10;AAAACgEAAA8AAAAAAAAAAQAgAAAAIgAAAGRycy9kb3ducmV2LnhtbFBLAQIUABQAAAAIAIdO4kBj&#10;J1TorgEAAE8DAAAOAAAAAAAAAAEAIAAAACcBAABkcnMvZTJvRG9jLnhtbFBLBQYAAAAABgAGAFkB&#10;AABH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承包人对发包人的保障</w:t>
                      </w:r>
                    </w:p>
                  </w:txbxContent>
                </v:textbox>
              </v:shape>
            </w:pict>
          </mc:Fallback>
        </mc:AlternateContent>
      </w:r>
      <w:r>
        <w:rPr>
          <w:rFonts w:ascii="仿宋" w:hAnsi="仿宋" w:eastAsia="仿宋" w:cs="仿宋"/>
          <w:b/>
          <w:bCs/>
          <w:color w:val="auto"/>
          <w:sz w:val="24"/>
          <w:szCs w:val="24"/>
          <w:highlight w:val="none"/>
        </w:rPr>
        <w:t xml:space="preserve">17.2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承包人应保障发包人不承担因承包人移动或使用施工场地外的施工设备和临时设施所造成的损害而引起的赔偿。</w:t>
      </w:r>
    </w:p>
    <w:p>
      <w:pPr>
        <w:pStyle w:val="2"/>
        <w:shd w:val="clear" w:color="000000" w:fill="auto"/>
        <w:adjustRightInd w:val="0"/>
        <w:snapToGrid w:val="0"/>
        <w:spacing w:line="360" w:lineRule="auto"/>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adjustRightInd w:val="0"/>
        <w:snapToGrid w:val="0"/>
        <w:spacing w:before="240" w:beforeLines="100"/>
        <w:outlineLvl w:val="2"/>
        <w:rPr>
          <w:rFonts w:ascii="仿宋" w:hAnsi="仿宋" w:eastAsia="仿宋" w:cs="Times New Roman"/>
          <w:b/>
          <w:bCs/>
          <w:color w:val="auto"/>
          <w:sz w:val="24"/>
          <w:szCs w:val="24"/>
          <w:highlight w:val="none"/>
        </w:rPr>
      </w:pPr>
      <w:bookmarkStart w:id="162" w:name="_Toc11803"/>
      <w:bookmarkStart w:id="163" w:name="_Toc469383997"/>
      <w:bookmarkStart w:id="164" w:name="_Toc10624837"/>
      <w:r>
        <w:rPr>
          <w:rFonts w:ascii="仿宋" w:hAnsi="仿宋" w:eastAsia="仿宋" w:cs="仿宋"/>
          <w:b/>
          <w:bCs/>
          <w:color w:val="auto"/>
          <w:sz w:val="24"/>
          <w:szCs w:val="24"/>
          <w:highlight w:val="none"/>
        </w:rPr>
        <w:t xml:space="preserve">18  </w:t>
      </w:r>
      <w:r>
        <w:rPr>
          <w:rFonts w:hint="eastAsia" w:ascii="仿宋" w:hAnsi="仿宋" w:eastAsia="仿宋" w:cs="仿宋"/>
          <w:b/>
          <w:bCs/>
          <w:color w:val="auto"/>
          <w:sz w:val="24"/>
          <w:szCs w:val="24"/>
          <w:highlight w:val="none"/>
        </w:rPr>
        <w:t>财产</w:t>
      </w:r>
      <w:bookmarkEnd w:id="162"/>
      <w:bookmarkEnd w:id="163"/>
      <w:bookmarkEnd w:id="164"/>
    </w:p>
    <w:p>
      <w:pPr>
        <w:shd w:val="clear" w:color="000000" w:fill="auto"/>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18.1                       </w:t>
      </w:r>
    </w:p>
    <w:p>
      <w:pPr>
        <w:shd w:val="clear" w:color="000000" w:fill="auto"/>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06368" behindDoc="0" locked="0" layoutInCell="1" allowOverlap="1">
                <wp:simplePos x="0" y="0"/>
                <wp:positionH relativeFrom="column">
                  <wp:posOffset>-114300</wp:posOffset>
                </wp:positionH>
                <wp:positionV relativeFrom="paragraph">
                  <wp:posOffset>0</wp:posOffset>
                </wp:positionV>
                <wp:extent cx="914400" cy="724535"/>
                <wp:effectExtent l="0" t="0" r="0" b="0"/>
                <wp:wrapNone/>
                <wp:docPr id="47" name="文本框 48"/>
                <wp:cNvGraphicFramePr/>
                <a:graphic xmlns:a="http://schemas.openxmlformats.org/drawingml/2006/main">
                  <a:graphicData uri="http://schemas.microsoft.com/office/word/2010/wordprocessingShape">
                    <wps:wsp>
                      <wps:cNvSpPr txBox="1"/>
                      <wps:spPr>
                        <a:xfrm>
                          <a:off x="0" y="0"/>
                          <a:ext cx="914400" cy="72453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用于工程材料、工程设备和施工设备的</w:t>
                            </w:r>
                          </w:p>
                        </w:txbxContent>
                      </wps:txbx>
                      <wps:bodyPr upright="1"/>
                    </wps:wsp>
                  </a:graphicData>
                </a:graphic>
              </wp:anchor>
            </w:drawing>
          </mc:Choice>
          <mc:Fallback>
            <w:pict>
              <v:shape id="文本框 48" o:spid="_x0000_s1026" o:spt="202" type="#_x0000_t202" style="position:absolute;left:0pt;margin-left:-9pt;margin-top:0pt;height:57.05pt;width:72pt;z-index:251706368;mso-width-relative:page;mso-height-relative:page;" filled="f" stroked="f" coordsize="21600,21600" o:gfxdata="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BRSyLnVAAAA&#10;CAEAAA8AAAAAAAAAAQAgAAAAIgAAAGRycy9kb3ducmV2LnhtbFBLAQIUABQAAAAIAIdO4kDZhWvE&#10;rgEAAE8DAAAOAAAAAAAAAAEAIAAAACQBAABkcnMvZTJvRG9jLnhtbFBLBQYAAAAABgAGAFkBAABE&#10;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用于工程材料、工程设备和施工设备的</w:t>
                      </w:r>
                    </w:p>
                  </w:txbxContent>
                </v:textbox>
              </v:shape>
            </w:pict>
          </mc:Fallback>
        </mc:AlternateContent>
      </w:r>
      <w:r>
        <w:rPr>
          <w:rFonts w:hint="eastAsia" w:ascii="仿宋" w:hAnsi="仿宋" w:eastAsia="仿宋" w:cs="仿宋"/>
          <w:color w:val="auto"/>
          <w:sz w:val="24"/>
          <w:szCs w:val="24"/>
          <w:highlight w:val="none"/>
        </w:rPr>
        <w:t>合同工程所需的材料、工程设备（包括备品备件、安装专用工器具与随机资料）和承包人的施工设备一经运至施工现场，即成为实施合同工程的财产。没有经监理工程师同意并由其报发包人批准，承包人不得使用合同工程的财产，也不得将实施合同工程的财产运出施工现场，但用于运送材料和工程设备、施工设备和雇员的运输工具除外。</w:t>
      </w:r>
    </w:p>
    <w:p>
      <w:pPr>
        <w:shd w:val="clear" w:color="000000" w:fill="auto"/>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07392" behindDoc="0" locked="0" layoutInCell="1" allowOverlap="1">
                <wp:simplePos x="0" y="0"/>
                <wp:positionH relativeFrom="column">
                  <wp:posOffset>-114300</wp:posOffset>
                </wp:positionH>
                <wp:positionV relativeFrom="paragraph">
                  <wp:posOffset>282575</wp:posOffset>
                </wp:positionV>
                <wp:extent cx="914400" cy="460375"/>
                <wp:effectExtent l="0" t="0" r="0" b="0"/>
                <wp:wrapNone/>
                <wp:docPr id="48" name="文本框 49"/>
                <wp:cNvGraphicFramePr/>
                <a:graphic xmlns:a="http://schemas.openxmlformats.org/drawingml/2006/main">
                  <a:graphicData uri="http://schemas.microsoft.com/office/word/2010/wordprocessingShape">
                    <wps:wsp>
                      <wps:cNvSpPr txBox="1"/>
                      <wps:spPr>
                        <a:xfrm>
                          <a:off x="0" y="0"/>
                          <a:ext cx="914400" cy="46037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发包人财产及其使用</w:t>
                            </w:r>
                          </w:p>
                        </w:txbxContent>
                      </wps:txbx>
                      <wps:bodyPr upright="1"/>
                    </wps:wsp>
                  </a:graphicData>
                </a:graphic>
              </wp:anchor>
            </w:drawing>
          </mc:Choice>
          <mc:Fallback>
            <w:pict>
              <v:shape id="文本框 49" o:spid="_x0000_s1026" o:spt="202" type="#_x0000_t202" style="position:absolute;left:0pt;margin-left:-9pt;margin-top:22.25pt;height:36.25pt;width:72pt;z-index:251707392;mso-width-relative:page;mso-height-relative:page;" filled="f" stroked="f" coordsize="21600,21600" o:gfxdata="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uho1LdcA&#10;AAAKAQAADwAAAAAAAAABACAAAAAiAAAAZHJzL2Rvd25yZXYueG1sUEsBAhQAFAAAAAgAh07iQEJv&#10;7FWuAQAATwMAAA4AAAAAAAAAAQAgAAAAJgEAAGRycy9lMm9Eb2MueG1sUEsFBgAAAAAGAAYAWQEA&#10;AEY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发包人财产及其使用</w:t>
                      </w:r>
                    </w:p>
                  </w:txbxContent>
                </v:textbox>
              </v:shape>
            </w:pict>
          </mc:Fallback>
        </mc:AlternateContent>
      </w:r>
      <w:r>
        <w:rPr>
          <w:rFonts w:ascii="仿宋" w:hAnsi="仿宋" w:eastAsia="仿宋" w:cs="仿宋"/>
          <w:b/>
          <w:bCs/>
          <w:color w:val="auto"/>
          <w:sz w:val="24"/>
          <w:szCs w:val="24"/>
          <w:highlight w:val="none"/>
        </w:rPr>
        <w:t xml:space="preserve">18.2  </w:t>
      </w:r>
      <w:r>
        <w:rPr>
          <w:rFonts w:ascii="仿宋" w:hAnsi="仿宋" w:eastAsia="仿宋" w:cs="仿宋"/>
          <w:b/>
          <w:bCs/>
          <w:color w:val="auto"/>
          <w:sz w:val="24"/>
          <w:szCs w:val="24"/>
          <w:highlight w:val="none"/>
          <w:u w:val="dotted"/>
        </w:rPr>
        <w:t xml:space="preserve">                                                                                                       </w:t>
      </w:r>
    </w:p>
    <w:p>
      <w:pPr>
        <w:shd w:val="clear" w:color="000000" w:fill="auto"/>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如果发包人依据第</w:t>
      </w:r>
      <w:r>
        <w:rPr>
          <w:rFonts w:ascii="仿宋" w:hAnsi="仿宋" w:eastAsia="仿宋" w:cs="仿宋"/>
          <w:color w:val="auto"/>
          <w:sz w:val="24"/>
          <w:szCs w:val="24"/>
          <w:highlight w:val="none"/>
        </w:rPr>
        <w:t>87.3</w:t>
      </w:r>
      <w:r>
        <w:rPr>
          <w:rFonts w:hint="eastAsia" w:ascii="仿宋" w:hAnsi="仿宋" w:eastAsia="仿宋" w:cs="仿宋"/>
          <w:color w:val="auto"/>
          <w:sz w:val="24"/>
          <w:szCs w:val="24"/>
          <w:highlight w:val="none"/>
        </w:rPr>
        <w:t>款规定的情形解除合同，则合同工程和临时工程，应认为是发包人的财产。</w:t>
      </w:r>
    </w:p>
    <w:p>
      <w:pPr>
        <w:shd w:val="clear" w:color="000000" w:fill="auto"/>
        <w:spacing w:line="48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08416" behindDoc="0" locked="0" layoutInCell="1" allowOverlap="1">
                <wp:simplePos x="0" y="0"/>
                <wp:positionH relativeFrom="column">
                  <wp:posOffset>-114300</wp:posOffset>
                </wp:positionH>
                <wp:positionV relativeFrom="paragraph">
                  <wp:posOffset>282575</wp:posOffset>
                </wp:positionV>
                <wp:extent cx="914400" cy="544195"/>
                <wp:effectExtent l="0" t="0" r="0" b="0"/>
                <wp:wrapNone/>
                <wp:docPr id="49" name="文本框 50"/>
                <wp:cNvGraphicFramePr/>
                <a:graphic xmlns:a="http://schemas.openxmlformats.org/drawingml/2006/main">
                  <a:graphicData uri="http://schemas.microsoft.com/office/word/2010/wordprocessingShape">
                    <wps:wsp>
                      <wps:cNvSpPr txBox="1"/>
                      <wps:spPr>
                        <a:xfrm>
                          <a:off x="0" y="0"/>
                          <a:ext cx="914400" cy="54419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承包人财产及其使用</w:t>
                            </w:r>
                          </w:p>
                        </w:txbxContent>
                      </wps:txbx>
                      <wps:bodyPr upright="1"/>
                    </wps:wsp>
                  </a:graphicData>
                </a:graphic>
              </wp:anchor>
            </w:drawing>
          </mc:Choice>
          <mc:Fallback>
            <w:pict>
              <v:shape id="文本框 50" o:spid="_x0000_s1026" o:spt="202" type="#_x0000_t202" style="position:absolute;left:0pt;margin-left:-9pt;margin-top:22.25pt;height:42.85pt;width:72pt;z-index:251708416;mso-width-relative:page;mso-height-relative:page;" filled="f" stroked="f" coordsize="21600,21600" o:gfxdata="UEsDBAoAAAAAAIdO4kAAAAAAAAAAAAAAAAAEAAAAZHJzL1BLAwQUAAAACACHTuJApbsBX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luwFc2AAA&#10;AAoBAAAPAAAAAAAAAAEAIAAAACIAAABkcnMvZG93bnJldi54bWxQSwECFAAUAAAACACHTuJAJSGm&#10;rqwBAABPAwAADgAAAAAAAAABACAAAAAnAQAAZHJzL2Uyb0RvYy54bWxQSwUGAAAAAAYABgBZAQAA&#10;RQ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承包人财产及其使用</w:t>
                      </w:r>
                    </w:p>
                  </w:txbxContent>
                </v:textbox>
              </v:shape>
            </w:pict>
          </mc:Fallback>
        </mc:AlternateContent>
      </w:r>
      <w:r>
        <w:rPr>
          <w:rFonts w:ascii="仿宋" w:hAnsi="仿宋" w:eastAsia="仿宋" w:cs="仿宋"/>
          <w:b/>
          <w:bCs/>
          <w:color w:val="auto"/>
          <w:sz w:val="24"/>
          <w:szCs w:val="24"/>
          <w:highlight w:val="none"/>
        </w:rPr>
        <w:t xml:space="preserve">18.3  </w:t>
      </w:r>
      <w:r>
        <w:rPr>
          <w:rFonts w:ascii="仿宋" w:hAnsi="仿宋" w:eastAsia="仿宋" w:cs="仿宋"/>
          <w:b/>
          <w:bCs/>
          <w:color w:val="auto"/>
          <w:sz w:val="24"/>
          <w:szCs w:val="24"/>
          <w:highlight w:val="none"/>
          <w:u w:val="dotted"/>
        </w:rPr>
        <w:t xml:space="preserve">                                                                                                       </w:t>
      </w:r>
    </w:p>
    <w:p>
      <w:pPr>
        <w:shd w:val="clear" w:color="000000" w:fill="auto"/>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如果承包人依据第</w:t>
      </w:r>
      <w:r>
        <w:rPr>
          <w:rFonts w:ascii="仿宋" w:hAnsi="仿宋" w:eastAsia="仿宋" w:cs="仿宋"/>
          <w:color w:val="auto"/>
          <w:sz w:val="24"/>
          <w:szCs w:val="24"/>
          <w:highlight w:val="none"/>
        </w:rPr>
        <w:t>87.4</w:t>
      </w:r>
      <w:r>
        <w:rPr>
          <w:rFonts w:hint="eastAsia" w:ascii="仿宋" w:hAnsi="仿宋" w:eastAsia="仿宋" w:cs="仿宋"/>
          <w:color w:val="auto"/>
          <w:sz w:val="24"/>
          <w:szCs w:val="24"/>
          <w:highlight w:val="none"/>
        </w:rPr>
        <w:t>款规定的情形解除合同，则承包人有权要求发包人支付已完工程款，并赔偿因此造成的损失。发包人应为承包人撤出现场提供便利和协助。如发包人未付完相关款项，承包人有权留置施工现场，直到发包人付完款项为止。</w:t>
      </w:r>
    </w:p>
    <w:p>
      <w:pPr>
        <w:shd w:val="clear" w:color="000000" w:fill="auto"/>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u w:val="single"/>
        </w:rPr>
        <w:t xml:space="preserve">                                                                                                              </w:t>
      </w:r>
    </w:p>
    <w:p>
      <w:pPr>
        <w:shd w:val="clear" w:color="000000" w:fill="auto"/>
        <w:spacing w:line="360" w:lineRule="auto"/>
        <w:ind w:firstLine="2879" w:firstLineChars="1195"/>
        <w:outlineLvl w:val="1"/>
        <w:rPr>
          <w:rFonts w:ascii="仿宋" w:hAnsi="仿宋" w:eastAsia="仿宋" w:cs="Times New Roman"/>
          <w:b/>
          <w:bCs/>
          <w:color w:val="auto"/>
          <w:sz w:val="24"/>
          <w:szCs w:val="24"/>
          <w:highlight w:val="none"/>
        </w:rPr>
      </w:pPr>
      <w:bookmarkStart w:id="165" w:name="_Toc19381"/>
      <w:bookmarkStart w:id="166" w:name="_Toc10624838"/>
      <w:bookmarkStart w:id="167" w:name="_Toc469383998"/>
      <w:bookmarkStart w:id="168" w:name="_Toc3262"/>
      <w:r>
        <w:rPr>
          <w:rFonts w:hint="eastAsia" w:ascii="仿宋" w:hAnsi="仿宋" w:eastAsia="仿宋" w:cs="仿宋"/>
          <w:b/>
          <w:bCs/>
          <w:color w:val="auto"/>
          <w:sz w:val="24"/>
          <w:szCs w:val="24"/>
          <w:highlight w:val="none"/>
        </w:rPr>
        <w:t>二、合同主体</w:t>
      </w:r>
      <w:bookmarkEnd w:id="165"/>
      <w:bookmarkEnd w:id="166"/>
      <w:bookmarkEnd w:id="167"/>
      <w:bookmarkEnd w:id="168"/>
    </w:p>
    <w:p>
      <w:pPr>
        <w:pStyle w:val="5"/>
        <w:numPr>
          <w:ilvl w:val="0"/>
          <w:numId w:val="0"/>
        </w:numPr>
        <w:shd w:val="clear" w:color="000000" w:fill="auto"/>
        <w:tabs>
          <w:tab w:val="left" w:pos="420"/>
        </w:tabs>
        <w:ind w:left="720"/>
        <w:rPr>
          <w:rFonts w:ascii="仿宋" w:hAnsi="仿宋" w:eastAsia="仿宋"/>
          <w:color w:val="auto"/>
          <w:sz w:val="24"/>
          <w:szCs w:val="24"/>
          <w:highlight w:val="none"/>
        </w:rPr>
      </w:pPr>
      <w:bookmarkStart w:id="169" w:name="_Toc10624839"/>
      <w:bookmarkStart w:id="170" w:name="_Toc469383999"/>
      <w:bookmarkStart w:id="171" w:name="_Toc16756"/>
      <w:r>
        <w:rPr>
          <w:rFonts w:ascii="仿宋" w:hAnsi="仿宋" w:eastAsia="仿宋" w:cs="仿宋"/>
          <w:color w:val="auto"/>
          <w:sz w:val="24"/>
          <w:szCs w:val="24"/>
          <w:highlight w:val="none"/>
        </w:rPr>
        <w:t xml:space="preserve">19  </w:t>
      </w:r>
      <w:r>
        <w:rPr>
          <w:rFonts w:hint="eastAsia" w:ascii="仿宋" w:hAnsi="仿宋" w:eastAsia="仿宋" w:cs="仿宋"/>
          <w:color w:val="auto"/>
          <w:sz w:val="24"/>
          <w:szCs w:val="24"/>
          <w:highlight w:val="none"/>
        </w:rPr>
        <w:t>发包人</w:t>
      </w:r>
      <w:bookmarkEnd w:id="169"/>
      <w:bookmarkEnd w:id="170"/>
      <w:bookmarkEnd w:id="171"/>
    </w:p>
    <w:p>
      <w:pPr>
        <w:shd w:val="clear" w:color="000000" w:fill="auto"/>
        <w:tabs>
          <w:tab w:val="left" w:pos="1620"/>
        </w:tabs>
        <w:ind w:left="-2" w:leftChars="-1" w:firstLine="1"/>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19.1                                                        </w:t>
      </w:r>
    </w:p>
    <w:p>
      <w:pPr>
        <w:shd w:val="clear" w:color="000000" w:fill="auto"/>
        <w:tabs>
          <w:tab w:val="left" w:pos="1620"/>
        </w:tabs>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09440"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50" name="文本框 51"/>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wps:txbx>
                      <wps:bodyPr upright="1"/>
                    </wps:wsp>
                  </a:graphicData>
                </a:graphic>
              </wp:anchor>
            </w:drawing>
          </mc:Choice>
          <mc:Fallback>
            <w:pict>
              <v:shape id="文本框 51" o:spid="_x0000_s1026" o:spt="202" type="#_x0000_t202" style="position:absolute;left:0pt;margin-left:-9pt;margin-top:0.35pt;height:33.85pt;width:72pt;z-index:251709440;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hRaKZNUAAAAH&#10;AQAADwAAAAAAAAABACAAAAAiAAAAZHJzL2Rvd25yZXYueG1sUEsBAhQAFAAAAAgAh07iQJJYmvKt&#10;AQAATwMAAA4AAAAAAAAAAQAgAAAAJAEAAGRycy9lMm9Eb2MueG1sUEsFBgAAAAAGAAYAWQEAAEMF&#10;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hint="eastAsia" w:ascii="仿宋" w:hAnsi="仿宋" w:eastAsia="仿宋" w:cs="仿宋"/>
          <w:color w:val="auto"/>
          <w:sz w:val="24"/>
          <w:szCs w:val="24"/>
          <w:highlight w:val="none"/>
        </w:rPr>
        <w:t>发包人在履行合同期间应遵守法律，并保证承包人免于承担因发包人违反法律而引起的任何责任；遵守国家、省、市有关社会信用体系建设工作的法律、行政法规、规章、规范性文件，严格执行信用承诺制度，违背信用承诺约定时，承担违约责任，并依法承担相应法律责任。</w:t>
      </w:r>
    </w:p>
    <w:p>
      <w:pPr>
        <w:shd w:val="clear" w:color="000000" w:fill="auto"/>
        <w:tabs>
          <w:tab w:val="left" w:pos="1620"/>
        </w:tabs>
        <w:spacing w:line="360" w:lineRule="auto"/>
        <w:ind w:left="-2" w:leftChars="-1" w:firstLine="1"/>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19.2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pPr>
        <w:shd w:val="clear" w:color="000000" w:fill="auto"/>
        <w:spacing w:line="360" w:lineRule="auto"/>
        <w:ind w:left="1620"/>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10464"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51" name="文本框 52"/>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发包人工作</w:t>
                            </w:r>
                          </w:p>
                        </w:txbxContent>
                      </wps:txbx>
                      <wps:bodyPr upright="1"/>
                    </wps:wsp>
                  </a:graphicData>
                </a:graphic>
              </wp:anchor>
            </w:drawing>
          </mc:Choice>
          <mc:Fallback>
            <w:pict>
              <v:shape id="文本框 52" o:spid="_x0000_s1026" o:spt="202" type="#_x0000_t202" style="position:absolute;left:0pt;margin-left:-9pt;margin-top:0.35pt;height:33.85pt;width:72pt;z-index:251710464;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hRaKZNUAAAAH&#10;AQAADwAAAAAAAAABACAAAAAiAAAAZHJzL2Rvd25yZXYueG1sUEsBAhQAFAAAAAgAh07iQJTElSat&#10;AQAATwMAAA4AAAAAAAAAAQAgAAAAJAEAAGRycy9lMm9Eb2MueG1sUEsFBgAAAAAGAAYAWQEAAEMF&#10;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发包人工作</w:t>
                      </w:r>
                    </w:p>
                  </w:txbxContent>
                </v:textbox>
              </v:shape>
            </w:pict>
          </mc:Fallback>
        </mc:AlternateContent>
      </w:r>
      <w:r>
        <w:rPr>
          <w:rFonts w:hint="eastAsia" w:ascii="仿宋" w:hAnsi="仿宋" w:eastAsia="仿宋" w:cs="仿宋"/>
          <w:color w:val="auto"/>
          <w:sz w:val="24"/>
          <w:szCs w:val="24"/>
          <w:highlight w:val="none"/>
        </w:rPr>
        <w:t>发包人应按照合同约定完成下列工作，包括但不限于：</w:t>
      </w:r>
    </w:p>
    <w:p>
      <w:pPr>
        <w:numPr>
          <w:ilvl w:val="0"/>
          <w:numId w:val="4"/>
        </w:numPr>
        <w:shd w:val="clear" w:color="000000" w:fill="auto"/>
        <w:tabs>
          <w:tab w:val="left" w:pos="1080"/>
          <w:tab w:val="left" w:pos="1470"/>
          <w:tab w:val="left" w:pos="1980"/>
          <w:tab w:val="clear" w:pos="990"/>
        </w:tabs>
        <w:spacing w:line="360" w:lineRule="auto"/>
        <w:ind w:left="1616" w:leftChars="749" w:hanging="43" w:hangingChars="18"/>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办理土地征用、拆迁、平整施工场地等工作，使施工场地具备施工条件，并在开工后继续负责解决上述工作遗留的问题；</w:t>
      </w:r>
    </w:p>
    <w:p>
      <w:pPr>
        <w:numPr>
          <w:ilvl w:val="0"/>
          <w:numId w:val="4"/>
        </w:numPr>
        <w:shd w:val="clear" w:color="000000" w:fill="auto"/>
        <w:tabs>
          <w:tab w:val="left" w:pos="1080"/>
          <w:tab w:val="left" w:pos="1470"/>
          <w:tab w:val="left" w:pos="1980"/>
          <w:tab w:val="clear" w:pos="990"/>
        </w:tabs>
        <w:spacing w:line="360" w:lineRule="auto"/>
        <w:ind w:left="1635" w:leftChars="750" w:hanging="60" w:hangingChars="2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将施工所需水、电、通讯线路从施工场地外部接驳至专用条款约定的地点，</w:t>
      </w:r>
    </w:p>
    <w:p>
      <w:pPr>
        <w:shd w:val="clear" w:color="000000" w:fill="auto"/>
        <w:tabs>
          <w:tab w:val="left" w:pos="1980"/>
        </w:tabs>
        <w:spacing w:line="360" w:lineRule="auto"/>
        <w:ind w:left="1575" w:leftChars="750" w:firstLine="43" w:firstLineChars="18"/>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保证施工期间的需要；</w:t>
      </w:r>
    </w:p>
    <w:p>
      <w:pPr>
        <w:numPr>
          <w:ilvl w:val="0"/>
          <w:numId w:val="4"/>
        </w:numPr>
        <w:shd w:val="clear" w:color="000000" w:fill="auto"/>
        <w:tabs>
          <w:tab w:val="left" w:pos="1080"/>
          <w:tab w:val="left" w:pos="1470"/>
          <w:tab w:val="left" w:pos="1980"/>
          <w:tab w:val="clear" w:pos="990"/>
        </w:tabs>
        <w:spacing w:line="360" w:lineRule="auto"/>
        <w:ind w:left="1635" w:leftChars="750" w:hanging="60" w:hangingChars="2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开通施工场地与城乡公共道路间的通道，满足第</w:t>
      </w:r>
      <w:r>
        <w:rPr>
          <w:rFonts w:ascii="仿宋" w:hAnsi="仿宋" w:eastAsia="仿宋" w:cs="仿宋"/>
          <w:color w:val="auto"/>
          <w:sz w:val="24"/>
          <w:szCs w:val="24"/>
          <w:highlight w:val="none"/>
        </w:rPr>
        <w:t>13</w:t>
      </w:r>
      <w:r>
        <w:rPr>
          <w:rFonts w:hint="eastAsia" w:ascii="仿宋" w:hAnsi="仿宋" w:eastAsia="仿宋" w:cs="仿宋"/>
          <w:color w:val="auto"/>
          <w:sz w:val="24"/>
          <w:szCs w:val="24"/>
          <w:highlight w:val="none"/>
        </w:rPr>
        <w:t>条交通运输的需要；</w:t>
      </w:r>
    </w:p>
    <w:p>
      <w:pPr>
        <w:numPr>
          <w:ilvl w:val="0"/>
          <w:numId w:val="4"/>
        </w:numPr>
        <w:shd w:val="clear" w:color="000000" w:fill="auto"/>
        <w:tabs>
          <w:tab w:val="left" w:pos="1080"/>
          <w:tab w:val="left" w:pos="1470"/>
          <w:tab w:val="left" w:pos="1980"/>
          <w:tab w:val="clear" w:pos="990"/>
        </w:tabs>
        <w:spacing w:line="360" w:lineRule="auto"/>
        <w:ind w:left="1616" w:leftChars="749" w:hanging="43" w:hangingChars="18"/>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向承包人提供施工场地的工程地质勘察资料，以及施工现场及毗邻区域内供水、排水、供电、供气、供热、通信、广播电视等地下管线资料，气象和水文观测资料，邻近建筑物和构筑物、地下工程的有关资料，并保证资料的真实、准确、完整；</w:t>
      </w:r>
    </w:p>
    <w:p>
      <w:pPr>
        <w:numPr>
          <w:ilvl w:val="0"/>
          <w:numId w:val="4"/>
        </w:numPr>
        <w:shd w:val="clear" w:color="000000" w:fill="auto"/>
        <w:tabs>
          <w:tab w:val="left" w:pos="1080"/>
          <w:tab w:val="left" w:pos="1470"/>
          <w:tab w:val="left" w:pos="1980"/>
          <w:tab w:val="clear" w:pos="990"/>
        </w:tabs>
        <w:spacing w:line="360" w:lineRule="auto"/>
        <w:ind w:left="1616" w:leftChars="748" w:hanging="45" w:hangingChars="1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办理施工许可及其他所需证件、批准文件和办理临时用地、停水、停电、中断道路交通、爆破作业等的申请批准手续（承包人自身施工资质的证件除外）；</w:t>
      </w:r>
    </w:p>
    <w:p>
      <w:pPr>
        <w:numPr>
          <w:ilvl w:val="0"/>
          <w:numId w:val="4"/>
        </w:numPr>
        <w:shd w:val="clear" w:color="000000" w:fill="auto"/>
        <w:tabs>
          <w:tab w:val="left" w:pos="1080"/>
          <w:tab w:val="left" w:pos="1470"/>
          <w:tab w:val="left" w:pos="1980"/>
          <w:tab w:val="clear" w:pos="990"/>
        </w:tabs>
        <w:spacing w:line="360" w:lineRule="auto"/>
        <w:ind w:left="1635" w:leftChars="750" w:hanging="60" w:hangingChars="2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确定水准点与坐标控制点，组织现场交验并以书面形式移交给承包人；</w:t>
      </w:r>
    </w:p>
    <w:p>
      <w:pPr>
        <w:shd w:val="clear" w:color="000000" w:fill="auto"/>
        <w:tabs>
          <w:tab w:val="left" w:pos="1980"/>
        </w:tabs>
        <w:spacing w:line="360" w:lineRule="auto"/>
        <w:ind w:left="540" w:leftChars="257" w:firstLine="1017" w:firstLineChars="424"/>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(7) </w:t>
      </w:r>
      <w:r>
        <w:rPr>
          <w:rFonts w:hint="eastAsia" w:ascii="仿宋" w:hAnsi="仿宋" w:eastAsia="仿宋" w:cs="仿宋"/>
          <w:color w:val="auto"/>
          <w:sz w:val="24"/>
          <w:szCs w:val="24"/>
          <w:highlight w:val="none"/>
        </w:rPr>
        <w:t>按照专用条款约定的时间向承包人提供一式两份约定的标准与规范；</w:t>
      </w:r>
    </w:p>
    <w:p>
      <w:pPr>
        <w:shd w:val="clear" w:color="000000" w:fill="auto"/>
        <w:tabs>
          <w:tab w:val="left" w:pos="1080"/>
          <w:tab w:val="left" w:pos="1980"/>
        </w:tabs>
        <w:spacing w:line="360" w:lineRule="auto"/>
        <w:ind w:left="1575"/>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(8) </w:t>
      </w:r>
      <w:r>
        <w:rPr>
          <w:rFonts w:hint="eastAsia" w:ascii="仿宋" w:hAnsi="仿宋" w:eastAsia="仿宋" w:cs="仿宋"/>
          <w:color w:val="auto"/>
          <w:sz w:val="24"/>
          <w:szCs w:val="24"/>
          <w:highlight w:val="none"/>
        </w:rPr>
        <w:t>组织承包人和设计人进行图纸会审和设计交底；</w:t>
      </w:r>
    </w:p>
    <w:p>
      <w:pPr>
        <w:shd w:val="clear" w:color="000000" w:fill="auto"/>
        <w:tabs>
          <w:tab w:val="left" w:pos="1980"/>
        </w:tabs>
        <w:spacing w:line="360" w:lineRule="auto"/>
        <w:ind w:left="1575"/>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(9)</w:t>
      </w:r>
      <w:r>
        <w:rPr>
          <w:rFonts w:hint="eastAsia" w:ascii="仿宋" w:hAnsi="仿宋" w:eastAsia="仿宋" w:cs="仿宋"/>
          <w:color w:val="auto"/>
          <w:sz w:val="24"/>
          <w:szCs w:val="24"/>
          <w:highlight w:val="none"/>
        </w:rPr>
        <w:t>协调处理施工场地周围地形关系问题和做好邻近建筑物、构筑物（包括文物</w:t>
      </w:r>
    </w:p>
    <w:p>
      <w:pPr>
        <w:shd w:val="clear" w:color="000000" w:fill="auto"/>
        <w:tabs>
          <w:tab w:val="left" w:pos="1980"/>
        </w:tabs>
        <w:spacing w:line="360" w:lineRule="auto"/>
        <w:ind w:left="1575" w:leftChars="750" w:firstLine="43" w:firstLineChars="18"/>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保护建筑）、古树名木等的保护工作；</w:t>
      </w:r>
    </w:p>
    <w:p>
      <w:pPr>
        <w:shd w:val="clear" w:color="000000" w:fill="auto"/>
        <w:tabs>
          <w:tab w:val="left" w:pos="1980"/>
        </w:tabs>
        <w:spacing w:line="360" w:lineRule="auto"/>
        <w:ind w:left="480" w:firstLine="1140" w:firstLineChars="475"/>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(10)</w:t>
      </w:r>
      <w:r>
        <w:rPr>
          <w:rFonts w:hint="eastAsia" w:ascii="仿宋" w:hAnsi="仿宋" w:eastAsia="仿宋" w:cs="仿宋"/>
          <w:color w:val="auto"/>
          <w:sz w:val="24"/>
          <w:szCs w:val="24"/>
          <w:highlight w:val="none"/>
        </w:rPr>
        <w:t>及时接收已完工程，并按照合同约定及时支付工程款及其他各种款项。</w:t>
      </w:r>
    </w:p>
    <w:p>
      <w:pPr>
        <w:pStyle w:val="25"/>
        <w:shd w:val="clear" w:color="000000" w:fill="auto"/>
        <w:tabs>
          <w:tab w:val="left" w:pos="1980"/>
        </w:tabs>
        <w:ind w:left="1619" w:leftChars="771" w:firstLine="1" w:firstLineChars="0"/>
        <w:rPr>
          <w:rFonts w:ascii="仿宋" w:hAnsi="仿宋" w:eastAsia="仿宋"/>
          <w:color w:val="auto"/>
          <w:highlight w:val="none"/>
        </w:rPr>
      </w:pPr>
      <w:r>
        <w:rPr>
          <w:rFonts w:hint="eastAsia" w:ascii="仿宋" w:hAnsi="仿宋" w:eastAsia="仿宋" w:cs="仿宋"/>
          <w:color w:val="auto"/>
          <w:highlight w:val="none"/>
        </w:rPr>
        <w:t>发包人可将其中部分工作委托给承包人办理，具体由合同双方当事人在专用条款中约定。除合同价款已包括外，由发包人承担所需费用，并向承包人支付合理利润。</w:t>
      </w:r>
    </w:p>
    <w:p>
      <w:pPr>
        <w:shd w:val="clear" w:color="000000" w:fill="auto"/>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19.3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shd w:val="clear" w:color="000000" w:fill="auto"/>
        <w:spacing w:line="360" w:lineRule="auto"/>
        <w:ind w:left="1619" w:leftChars="771" w:firstLine="2"/>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11488"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52" name="文本框 53"/>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发包人提供施工场地</w:t>
                            </w:r>
                          </w:p>
                        </w:txbxContent>
                      </wps:txbx>
                      <wps:bodyPr upright="1"/>
                    </wps:wsp>
                  </a:graphicData>
                </a:graphic>
              </wp:anchor>
            </w:drawing>
          </mc:Choice>
          <mc:Fallback>
            <w:pict>
              <v:shape id="文本框 53" o:spid="_x0000_s1026" o:spt="202" type="#_x0000_t202" style="position:absolute;left:0pt;margin-left:-9pt;margin-top:0pt;height:39pt;width:72pt;z-index:251711488;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kLuITtQAAAAH&#10;AQAADwAAAAAAAAABACAAAAAiAAAAZHJzL2Rvd25yZXYueG1sUEsBAhQAFAAAAAgAh07iQO9zrUau&#10;AQAATwMAAA4AAAAAAAAAAQAgAAAAIwEAAGRycy9lMm9Eb2MueG1sUEsFBgAAAAAGAAYAWQEAAEMF&#10;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发包人提供施工场地</w:t>
                      </w:r>
                    </w:p>
                  </w:txbxContent>
                </v:textbox>
              </v:shape>
            </w:pict>
          </mc:Fallback>
        </mc:AlternateContent>
      </w:r>
      <w:r>
        <w:rPr>
          <w:rFonts w:hint="eastAsia" w:ascii="仿宋" w:hAnsi="仿宋" w:eastAsia="仿宋" w:cs="仿宋"/>
          <w:color w:val="auto"/>
          <w:sz w:val="24"/>
          <w:szCs w:val="24"/>
          <w:highlight w:val="none"/>
        </w:rPr>
        <w:t>发包人应按照专用条款约定的时间提供施工场地，并在确保承包人按照计划进度顺利开工的时间内给予承包人进入和使用施工场地的权利。</w:t>
      </w:r>
    </w:p>
    <w:p>
      <w:pPr>
        <w:shd w:val="clear" w:color="000000" w:fill="auto"/>
        <w:spacing w:line="360" w:lineRule="auto"/>
        <w:ind w:left="1619" w:leftChars="771" w:firstLine="2"/>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发包人保留其工作人员、雇员和相关执法人员进入和使用施工场地的权利。</w:t>
      </w:r>
    </w:p>
    <w:p>
      <w:pPr>
        <w:shd w:val="clear" w:color="000000" w:fill="auto"/>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19.4  </w:t>
      </w:r>
      <w:r>
        <w:rPr>
          <w:rFonts w:ascii="仿宋" w:hAnsi="仿宋" w:eastAsia="仿宋" w:cs="仿宋"/>
          <w:b/>
          <w:bCs/>
          <w:color w:val="auto"/>
          <w:sz w:val="24"/>
          <w:szCs w:val="24"/>
          <w:highlight w:val="none"/>
          <w:u w:val="dotted"/>
        </w:rPr>
        <w:t xml:space="preserve">                                                                                                       </w:t>
      </w:r>
    </w:p>
    <w:p>
      <w:pPr>
        <w:shd w:val="clear" w:color="000000" w:fill="auto"/>
        <w:spacing w:line="360" w:lineRule="auto"/>
        <w:ind w:left="1619" w:leftChars="771"/>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12512" behindDoc="0" locked="0" layoutInCell="1" allowOverlap="1">
                <wp:simplePos x="0" y="0"/>
                <wp:positionH relativeFrom="column">
                  <wp:posOffset>-114300</wp:posOffset>
                </wp:positionH>
                <wp:positionV relativeFrom="paragraph">
                  <wp:posOffset>15240</wp:posOffset>
                </wp:positionV>
                <wp:extent cx="914400" cy="715645"/>
                <wp:effectExtent l="0" t="0" r="0" b="0"/>
                <wp:wrapNone/>
                <wp:docPr id="53" name="文本框 54"/>
                <wp:cNvGraphicFramePr/>
                <a:graphic xmlns:a="http://schemas.openxmlformats.org/drawingml/2006/main">
                  <a:graphicData uri="http://schemas.microsoft.com/office/word/2010/wordprocessingShape">
                    <wps:wsp>
                      <wps:cNvSpPr txBox="1"/>
                      <wps:spPr>
                        <a:xfrm>
                          <a:off x="0" y="0"/>
                          <a:ext cx="914400" cy="71564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发包人支付款项</w:t>
                            </w:r>
                          </w:p>
                        </w:txbxContent>
                      </wps:txbx>
                      <wps:bodyPr upright="1"/>
                    </wps:wsp>
                  </a:graphicData>
                </a:graphic>
              </wp:anchor>
            </w:drawing>
          </mc:Choice>
          <mc:Fallback>
            <w:pict>
              <v:shape id="文本框 54" o:spid="_x0000_s1026" o:spt="202" type="#_x0000_t202" style="position:absolute;left:0pt;margin-left:-9pt;margin-top:1.2pt;height:56.35pt;width:72pt;z-index:251712512;mso-width-relative:page;mso-height-relative:page;" filled="f" stroked="f" coordsize="21600,21600" o:gfxdata="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VDE7k1gAA&#10;AAkBAAAPAAAAAAAAAAEAIAAAACIAAABkcnMvZG93bnJldi54bWxQSwECFAAUAAAACACHTuJAQX/l&#10;Bq4BAABPAwAADgAAAAAAAAABACAAAAAlAQAAZHJzL2Uyb0RvYy54bWxQSwUGAAAAAAYABgBZAQAA&#10;RQ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发包人支付款项</w:t>
                      </w:r>
                    </w:p>
                  </w:txbxContent>
                </v:textbox>
              </v:shape>
            </w:pict>
          </mc:Fallback>
        </mc:AlternateContent>
      </w:r>
      <w:r>
        <w:rPr>
          <w:rFonts w:hint="eastAsia" w:ascii="仿宋" w:hAnsi="仿宋" w:eastAsia="仿宋" w:cs="仿宋"/>
          <w:color w:val="auto"/>
          <w:sz w:val="24"/>
          <w:szCs w:val="24"/>
          <w:highlight w:val="none"/>
        </w:rPr>
        <w:t>发包人应按照合同约定的期限和方式向承包人支付工程款及其他应支付的款项。</w:t>
      </w:r>
    </w:p>
    <w:p>
      <w:pPr>
        <w:shd w:val="clear" w:color="000000" w:fill="auto"/>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19.5  </w:t>
      </w:r>
      <w:r>
        <w:rPr>
          <w:rFonts w:ascii="仿宋" w:hAnsi="仿宋" w:eastAsia="仿宋" w:cs="仿宋"/>
          <w:b/>
          <w:bCs/>
          <w:color w:val="auto"/>
          <w:sz w:val="24"/>
          <w:szCs w:val="24"/>
          <w:highlight w:val="none"/>
          <w:u w:val="dotted"/>
        </w:rPr>
        <w:t xml:space="preserve">                                                                                                       </w:t>
      </w:r>
    </w:p>
    <w:p>
      <w:pPr>
        <w:shd w:val="clear" w:color="000000" w:fill="auto"/>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13536" behindDoc="0" locked="0" layoutInCell="1" allowOverlap="1">
                <wp:simplePos x="0" y="0"/>
                <wp:positionH relativeFrom="column">
                  <wp:posOffset>-114300</wp:posOffset>
                </wp:positionH>
                <wp:positionV relativeFrom="paragraph">
                  <wp:posOffset>15240</wp:posOffset>
                </wp:positionV>
                <wp:extent cx="914400" cy="852170"/>
                <wp:effectExtent l="0" t="0" r="0" b="0"/>
                <wp:wrapNone/>
                <wp:docPr id="54" name="文本框 55"/>
                <wp:cNvGraphicFramePr/>
                <a:graphic xmlns:a="http://schemas.openxmlformats.org/drawingml/2006/main">
                  <a:graphicData uri="http://schemas.microsoft.com/office/word/2010/wordprocessingShape">
                    <wps:wsp>
                      <wps:cNvSpPr txBox="1"/>
                      <wps:spPr>
                        <a:xfrm>
                          <a:off x="0" y="0"/>
                          <a:ext cx="914400" cy="85217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发包人组织竣工验收</w:t>
                            </w:r>
                          </w:p>
                        </w:txbxContent>
                      </wps:txbx>
                      <wps:bodyPr upright="1"/>
                    </wps:wsp>
                  </a:graphicData>
                </a:graphic>
              </wp:anchor>
            </w:drawing>
          </mc:Choice>
          <mc:Fallback>
            <w:pict>
              <v:shape id="文本框 55" o:spid="_x0000_s1026" o:spt="202" type="#_x0000_t202" style="position:absolute;left:0pt;margin-left:-9pt;margin-top:1.2pt;height:67.1pt;width:72pt;z-index:251713536;mso-width-relative:page;mso-height-relative:page;" filled="f" stroked="f" coordsize="21600,21600" o:gfxdata="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6csd5dYA&#10;AAAJAQAADwAAAAAAAAABACAAAAAiAAAAZHJzL2Rvd25yZXYueG1sUEsBAhQAFAAAAAgAh07iQOBo&#10;GLOvAQAATwMAAA4AAAAAAAAAAQAgAAAAJQEAAGRycy9lMm9Eb2MueG1sUEsFBgAAAAAGAAYAWQEA&#10;AEY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发包人组织竣工验收</w:t>
                      </w:r>
                    </w:p>
                  </w:txbxContent>
                </v:textbox>
              </v:shape>
            </w:pict>
          </mc:Fallback>
        </mc:AlternateContent>
      </w:r>
      <w:r>
        <w:rPr>
          <w:rFonts w:hint="eastAsia" w:ascii="仿宋" w:hAnsi="仿宋" w:eastAsia="仿宋" w:cs="仿宋"/>
          <w:color w:val="auto"/>
          <w:sz w:val="24"/>
          <w:szCs w:val="24"/>
          <w:highlight w:val="none"/>
        </w:rPr>
        <w:t>发包人应按照第</w:t>
      </w:r>
      <w:r>
        <w:rPr>
          <w:rFonts w:ascii="仿宋" w:hAnsi="仿宋" w:eastAsia="仿宋" w:cs="仿宋"/>
          <w:color w:val="auto"/>
          <w:sz w:val="24"/>
          <w:szCs w:val="24"/>
          <w:highlight w:val="none"/>
        </w:rPr>
        <w:t>58</w:t>
      </w:r>
      <w:r>
        <w:rPr>
          <w:rFonts w:hint="eastAsia" w:ascii="仿宋" w:hAnsi="仿宋" w:eastAsia="仿宋" w:cs="仿宋"/>
          <w:color w:val="auto"/>
          <w:sz w:val="24"/>
          <w:szCs w:val="24"/>
          <w:highlight w:val="none"/>
        </w:rPr>
        <w:t>条规定组织承包人、设计人、监理人和工程造价咨询人（如有）等进行竣工验收。</w:t>
      </w:r>
    </w:p>
    <w:p>
      <w:pPr>
        <w:shd w:val="clear" w:color="000000" w:fill="auto"/>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14560" behindDoc="0" locked="0" layoutInCell="1" allowOverlap="1">
                <wp:simplePos x="0" y="0"/>
                <wp:positionH relativeFrom="column">
                  <wp:posOffset>-114300</wp:posOffset>
                </wp:positionH>
                <wp:positionV relativeFrom="paragraph">
                  <wp:posOffset>273050</wp:posOffset>
                </wp:positionV>
                <wp:extent cx="914400" cy="1162685"/>
                <wp:effectExtent l="0" t="0" r="0" b="0"/>
                <wp:wrapNone/>
                <wp:docPr id="55" name="文本框 56"/>
                <wp:cNvGraphicFramePr/>
                <a:graphic xmlns:a="http://schemas.openxmlformats.org/drawingml/2006/main">
                  <a:graphicData uri="http://schemas.microsoft.com/office/word/2010/wordprocessingShape">
                    <wps:wsp>
                      <wps:cNvSpPr txBox="1"/>
                      <wps:spPr>
                        <a:xfrm>
                          <a:off x="0" y="0"/>
                          <a:ext cx="914400" cy="116268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发包人供应材料和工程设备要求</w:t>
                            </w:r>
                          </w:p>
                        </w:txbxContent>
                      </wps:txbx>
                      <wps:bodyPr upright="1"/>
                    </wps:wsp>
                  </a:graphicData>
                </a:graphic>
              </wp:anchor>
            </w:drawing>
          </mc:Choice>
          <mc:Fallback>
            <w:pict>
              <v:shape id="文本框 56" o:spid="_x0000_s1026" o:spt="202" type="#_x0000_t202" style="position:absolute;left:0pt;margin-left:-9pt;margin-top:21.5pt;height:91.55pt;width:72pt;z-index:251714560;mso-width-relative:page;mso-height-relative:page;" filled="f" stroked="f" coordsize="21600,21600" o:gfxdata="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izItJdcA&#10;AAAKAQAADwAAAAAAAAABACAAAAAiAAAAZHJzL2Rvd25yZXYueG1sUEsBAhQAFAAAAAgAh07iQPJt&#10;mk6uAQAAUAMAAA4AAAAAAAAAAQAgAAAAJgEAAGRycy9lMm9Eb2MueG1sUEsFBgAAAAAGAAYAWQEA&#10;AEY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发包人供应材料和工程设备要求</w:t>
                      </w:r>
                    </w:p>
                  </w:txbxContent>
                </v:textbox>
              </v:shape>
            </w:pict>
          </mc:Fallback>
        </mc:AlternateContent>
      </w:r>
      <w:r>
        <w:rPr>
          <w:rFonts w:ascii="仿宋" w:hAnsi="仿宋" w:eastAsia="仿宋" w:cs="仿宋"/>
          <w:b/>
          <w:bCs/>
          <w:color w:val="auto"/>
          <w:sz w:val="24"/>
          <w:szCs w:val="24"/>
          <w:highlight w:val="none"/>
        </w:rPr>
        <w:t xml:space="preserve">19.6  </w:t>
      </w:r>
      <w:r>
        <w:rPr>
          <w:rFonts w:ascii="仿宋" w:hAnsi="仿宋" w:eastAsia="仿宋" w:cs="仿宋"/>
          <w:b/>
          <w:bCs/>
          <w:color w:val="auto"/>
          <w:sz w:val="24"/>
          <w:szCs w:val="24"/>
          <w:highlight w:val="none"/>
          <w:u w:val="dotted"/>
        </w:rPr>
        <w:t xml:space="preserve">                                                                                                       </w:t>
      </w:r>
    </w:p>
    <w:p>
      <w:pPr>
        <w:shd w:val="clear" w:color="000000" w:fill="auto"/>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发包人供应材料和工程设备的，发包人应按照第</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条规定向承包人提供材料和工程设备。</w:t>
      </w:r>
    </w:p>
    <w:p>
      <w:pPr>
        <w:shd w:val="clear" w:color="000000" w:fill="auto"/>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19.7  </w:t>
      </w:r>
      <w:r>
        <w:rPr>
          <w:rFonts w:ascii="仿宋" w:hAnsi="仿宋" w:eastAsia="仿宋" w:cs="仿宋"/>
          <w:b/>
          <w:bCs/>
          <w:color w:val="auto"/>
          <w:sz w:val="24"/>
          <w:szCs w:val="24"/>
          <w:highlight w:val="none"/>
          <w:u w:val="dotted"/>
        </w:rPr>
        <w:t xml:space="preserve">                                                                                                       </w:t>
      </w:r>
    </w:p>
    <w:p>
      <w:pPr>
        <w:shd w:val="clear" w:color="000000" w:fill="auto"/>
        <w:spacing w:line="360" w:lineRule="auto"/>
        <w:ind w:left="1619" w:leftChars="771" w:firstLine="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15584" behindDoc="0" locked="0" layoutInCell="1" allowOverlap="1">
                <wp:simplePos x="0" y="0"/>
                <wp:positionH relativeFrom="column">
                  <wp:posOffset>-114300</wp:posOffset>
                </wp:positionH>
                <wp:positionV relativeFrom="paragraph">
                  <wp:posOffset>0</wp:posOffset>
                </wp:positionV>
                <wp:extent cx="914400" cy="449580"/>
                <wp:effectExtent l="0" t="0" r="0" b="0"/>
                <wp:wrapNone/>
                <wp:docPr id="56" name="文本框 57"/>
                <wp:cNvGraphicFramePr/>
                <a:graphic xmlns:a="http://schemas.openxmlformats.org/drawingml/2006/main">
                  <a:graphicData uri="http://schemas.microsoft.com/office/word/2010/wordprocessingShape">
                    <wps:wsp>
                      <wps:cNvSpPr txBox="1"/>
                      <wps:spPr>
                        <a:xfrm>
                          <a:off x="0" y="0"/>
                          <a:ext cx="914400" cy="44958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发包人未尽义务的责任</w:t>
                            </w:r>
                          </w:p>
                        </w:txbxContent>
                      </wps:txbx>
                      <wps:bodyPr upright="1"/>
                    </wps:wsp>
                  </a:graphicData>
                </a:graphic>
              </wp:anchor>
            </w:drawing>
          </mc:Choice>
          <mc:Fallback>
            <w:pict>
              <v:shape id="文本框 57" o:spid="_x0000_s1026" o:spt="202" type="#_x0000_t202" style="position:absolute;left:0pt;margin-left:-9pt;margin-top:0pt;height:35.4pt;width:72pt;z-index:251715584;mso-width-relative:page;mso-height-relative:page;" filled="f" stroked="f" coordsize="21600,21600" o:gfxdata="UEsDBAoAAAAAAIdO4kAAAAAAAAAAAAAAAAAEAAAAZHJzL1BLAwQUAAAACACHTuJAp3Dy2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dw8trUAAAA&#10;BwEAAA8AAAAAAAAAAQAgAAAAIgAAAGRycy9kb3ducmV2LnhtbFBLAQIUABQAAAAIAIdO4kCSRvnG&#10;rwEAAE8DAAAOAAAAAAAAAAEAIAAAACMBAABkcnMvZTJvRG9jLnhtbFBLBQYAAAAABgAGAFkBAABE&#10;BQ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发包人未尽义务的责任</w:t>
                      </w:r>
                    </w:p>
                  </w:txbxContent>
                </v:textbox>
              </v:shape>
            </w:pict>
          </mc:Fallback>
        </mc:AlternateContent>
      </w:r>
      <w:r>
        <w:rPr>
          <w:rFonts w:hint="eastAsia" w:ascii="仿宋" w:hAnsi="仿宋" w:eastAsia="仿宋" w:cs="仿宋"/>
          <w:color w:val="auto"/>
          <w:sz w:val="24"/>
          <w:szCs w:val="24"/>
          <w:highlight w:val="none"/>
        </w:rPr>
        <w:t>发包人未能正确完成本合同约定的全部义务，导致费用的增加和（或）延误的工期，由发包人承担；给承包人造成损失的，发包人应予赔偿。</w:t>
      </w:r>
    </w:p>
    <w:p>
      <w:pPr>
        <w:shd w:val="clear" w:color="000000" w:fill="auto"/>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numPr>
          <w:ilvl w:val="0"/>
          <w:numId w:val="0"/>
        </w:numPr>
        <w:shd w:val="clear" w:color="000000" w:fill="auto"/>
        <w:tabs>
          <w:tab w:val="left" w:pos="420"/>
        </w:tabs>
        <w:ind w:left="720"/>
        <w:rPr>
          <w:rFonts w:ascii="仿宋" w:hAnsi="仿宋" w:eastAsia="仿宋"/>
          <w:color w:val="auto"/>
          <w:sz w:val="24"/>
          <w:szCs w:val="24"/>
          <w:highlight w:val="none"/>
        </w:rPr>
      </w:pPr>
      <w:bookmarkStart w:id="172" w:name="_Toc469384000"/>
      <w:bookmarkStart w:id="173" w:name="_Toc10624840"/>
      <w:bookmarkStart w:id="174" w:name="_Toc9314"/>
      <w:r>
        <w:rPr>
          <w:rFonts w:ascii="仿宋" w:hAnsi="仿宋" w:eastAsia="仿宋" w:cs="仿宋"/>
          <w:color w:val="auto"/>
          <w:sz w:val="24"/>
          <w:szCs w:val="24"/>
          <w:highlight w:val="none"/>
        </w:rPr>
        <w:t xml:space="preserve">20  </w:t>
      </w:r>
      <w:r>
        <w:rPr>
          <w:rFonts w:hint="eastAsia" w:ascii="仿宋" w:hAnsi="仿宋" w:eastAsia="仿宋" w:cs="仿宋"/>
          <w:color w:val="auto"/>
          <w:sz w:val="24"/>
          <w:szCs w:val="24"/>
          <w:highlight w:val="none"/>
        </w:rPr>
        <w:t>承包人</w:t>
      </w:r>
      <w:bookmarkEnd w:id="172"/>
      <w:bookmarkEnd w:id="173"/>
      <w:bookmarkEnd w:id="174"/>
    </w:p>
    <w:p>
      <w:pPr>
        <w:shd w:val="clear" w:color="000000" w:fill="auto"/>
        <w:tabs>
          <w:tab w:val="left" w:pos="1620"/>
        </w:tabs>
        <w:spacing w:line="360" w:lineRule="auto"/>
        <w:ind w:left="-2" w:leftChars="-1" w:firstLine="1"/>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20.1                                                        </w:t>
      </w:r>
    </w:p>
    <w:p>
      <w:pPr>
        <w:shd w:val="clear" w:color="000000" w:fill="auto"/>
        <w:tabs>
          <w:tab w:val="left" w:pos="1620"/>
        </w:tabs>
        <w:spacing w:line="360" w:lineRule="auto"/>
        <w:ind w:left="1260" w:leftChars="600"/>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16608"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57" name="文本框 58"/>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wps:txbx>
                      <wps:bodyPr upright="1"/>
                    </wps:wsp>
                  </a:graphicData>
                </a:graphic>
              </wp:anchor>
            </w:drawing>
          </mc:Choice>
          <mc:Fallback>
            <w:pict>
              <v:shape id="文本框 58" o:spid="_x0000_s1026" o:spt="202" type="#_x0000_t202" style="position:absolute;left:0pt;margin-left:-9pt;margin-top:0.35pt;height:33.85pt;width:72pt;z-index:251716608;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IUWimTVAAAA&#10;BwEAAA8AAAAAAAAAAQAgAAAAIgAAAGRycy9kb3ducmV2LnhtbFBLAQIUABQAAAAIAIdO4kBDhiez&#10;rgEAAE8DAAAOAAAAAAAAAAEAIAAAACQBAABkcnMvZTJvRG9jLnhtbFBLBQYAAAAABgAGAFkBAABE&#10;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hint="eastAsia" w:ascii="仿宋" w:hAnsi="仿宋" w:eastAsia="仿宋" w:cs="仿宋"/>
          <w:color w:val="auto"/>
          <w:sz w:val="24"/>
          <w:szCs w:val="24"/>
          <w:highlight w:val="none"/>
        </w:rPr>
        <w:t>承包人在履行合同期间应遵守法律，并保证发包人免于承担因承包人违反法律而引起的任何责任。遵守国家、省、市有关社会信用体系建设工作的法律、行政法规、 部门规章，严格执行信用承诺制度，违背信用承诺约定时，承担违约责任，并依法承担相应法律责任。</w:t>
      </w:r>
    </w:p>
    <w:p>
      <w:pPr>
        <w:pStyle w:val="96"/>
        <w:shd w:val="clear" w:color="000000" w:fill="auto"/>
        <w:spacing w:before="0" w:beforeAutospacing="0" w:after="0" w:afterAutospacing="0" w:line="360" w:lineRule="auto"/>
        <w:ind w:left="1500" w:leftChars="600" w:hanging="240" w:hangingChars="100"/>
        <w:rPr>
          <w:rFonts w:ascii="仿宋" w:hAnsi="仿宋" w:eastAsia="仿宋" w:cs="仿宋"/>
          <w:color w:val="auto"/>
          <w:kern w:val="2"/>
          <w:highlight w:val="none"/>
        </w:rPr>
      </w:pPr>
      <w:r>
        <w:rPr>
          <w:rFonts w:hint="eastAsia" w:ascii="仿宋" w:hAnsi="仿宋" w:eastAsia="仿宋" w:cs="仿宋"/>
          <w:color w:val="auto"/>
          <w:kern w:val="2"/>
          <w:highlight w:val="none"/>
        </w:rPr>
        <w:t>承包人在本项目发包人的工程项目中存在下列行为的，将被拒绝参与发包人后续工程</w:t>
      </w:r>
    </w:p>
    <w:p>
      <w:pPr>
        <w:pStyle w:val="96"/>
        <w:shd w:val="clear" w:color="000000" w:fill="auto"/>
        <w:spacing w:before="0" w:beforeAutospacing="0" w:after="0" w:afterAutospacing="0" w:line="360" w:lineRule="auto"/>
        <w:ind w:left="1500" w:leftChars="600" w:hanging="240" w:hangingChars="100"/>
        <w:rPr>
          <w:rFonts w:ascii="仿宋" w:hAnsi="仿宋" w:eastAsia="仿宋" w:cs="Times New Roman"/>
          <w:color w:val="auto"/>
          <w:kern w:val="2"/>
          <w:highlight w:val="none"/>
        </w:rPr>
      </w:pPr>
      <w:r>
        <w:rPr>
          <w:rFonts w:hint="eastAsia" w:ascii="仿宋" w:hAnsi="仿宋" w:eastAsia="仿宋" w:cs="仿宋"/>
          <w:color w:val="auto"/>
          <w:kern w:val="2"/>
          <w:highlight w:val="none"/>
        </w:rPr>
        <w:t>投标。拒绝投标时限由发包人（招标人）视严重程度确定，并在专用条款中约定。</w:t>
      </w:r>
    </w:p>
    <w:p>
      <w:pPr>
        <w:pStyle w:val="96"/>
        <w:shd w:val="clear" w:color="000000" w:fill="auto"/>
        <w:spacing w:before="0" w:beforeAutospacing="0" w:after="0" w:afterAutospacing="0" w:line="360" w:lineRule="auto"/>
        <w:ind w:firstLine="1440" w:firstLineChars="600"/>
        <w:rPr>
          <w:rFonts w:ascii="仿宋" w:hAnsi="仿宋" w:eastAsia="仿宋" w:cs="Times New Roman"/>
          <w:color w:val="auto"/>
          <w:kern w:val="2"/>
          <w:highlight w:val="none"/>
        </w:rPr>
      </w:pPr>
      <w:r>
        <w:rPr>
          <w:rFonts w:ascii="仿宋" w:hAnsi="仿宋" w:eastAsia="仿宋" w:cs="仿宋"/>
          <w:color w:val="auto"/>
          <w:kern w:val="2"/>
          <w:highlight w:val="none"/>
        </w:rPr>
        <w:t>1.</w:t>
      </w:r>
      <w:r>
        <w:rPr>
          <w:rFonts w:hint="eastAsia" w:ascii="仿宋" w:hAnsi="仿宋" w:eastAsia="仿宋" w:cs="仿宋"/>
          <w:color w:val="auto"/>
          <w:kern w:val="2"/>
          <w:highlight w:val="none"/>
        </w:rPr>
        <w:t>将中标工程转包或者违法分包的；</w:t>
      </w:r>
    </w:p>
    <w:p>
      <w:pPr>
        <w:pStyle w:val="96"/>
        <w:shd w:val="clear" w:color="000000" w:fill="auto"/>
        <w:spacing w:before="0" w:beforeAutospacing="0" w:after="0" w:afterAutospacing="0" w:line="360" w:lineRule="auto"/>
        <w:ind w:firstLine="1440" w:firstLineChars="600"/>
        <w:rPr>
          <w:rFonts w:ascii="仿宋" w:hAnsi="仿宋" w:eastAsia="仿宋" w:cs="Times New Roman"/>
          <w:color w:val="auto"/>
          <w:kern w:val="2"/>
          <w:highlight w:val="none"/>
        </w:rPr>
      </w:pPr>
      <w:r>
        <w:rPr>
          <w:rFonts w:ascii="仿宋" w:hAnsi="仿宋" w:eastAsia="仿宋" w:cs="仿宋"/>
          <w:color w:val="auto"/>
          <w:kern w:val="2"/>
          <w:highlight w:val="none"/>
        </w:rPr>
        <w:t>2.</w:t>
      </w:r>
      <w:r>
        <w:rPr>
          <w:rFonts w:hint="eastAsia" w:ascii="仿宋" w:hAnsi="仿宋" w:eastAsia="仿宋" w:cs="仿宋"/>
          <w:color w:val="auto"/>
          <w:kern w:val="2"/>
          <w:highlight w:val="none"/>
        </w:rPr>
        <w:t>在中标工程中不执行质量、安全生产相关规定的，造成质量或安全事故的；</w:t>
      </w:r>
    </w:p>
    <w:p>
      <w:pPr>
        <w:pStyle w:val="96"/>
        <w:shd w:val="clear" w:color="000000" w:fill="auto"/>
        <w:spacing w:before="0" w:beforeAutospacing="0" w:after="0" w:afterAutospacing="0" w:line="360" w:lineRule="auto"/>
        <w:ind w:firstLine="1440" w:firstLineChars="600"/>
        <w:rPr>
          <w:rFonts w:ascii="仿宋" w:hAnsi="仿宋" w:eastAsia="仿宋" w:cs="Times New Roman"/>
          <w:color w:val="auto"/>
          <w:kern w:val="2"/>
          <w:highlight w:val="none"/>
        </w:rPr>
      </w:pPr>
      <w:r>
        <w:rPr>
          <w:rFonts w:ascii="仿宋" w:hAnsi="仿宋" w:eastAsia="仿宋" w:cs="仿宋"/>
          <w:color w:val="auto"/>
          <w:kern w:val="2"/>
          <w:highlight w:val="none"/>
        </w:rPr>
        <w:t>3.</w:t>
      </w:r>
      <w:r>
        <w:rPr>
          <w:rFonts w:hint="eastAsia" w:ascii="仿宋" w:hAnsi="仿宋" w:eastAsia="仿宋" w:cs="仿宋"/>
          <w:color w:val="auto"/>
          <w:kern w:val="2"/>
          <w:highlight w:val="none"/>
        </w:rPr>
        <w:t>存在围标或串标情形的；</w:t>
      </w:r>
    </w:p>
    <w:p>
      <w:pPr>
        <w:pStyle w:val="96"/>
        <w:shd w:val="clear" w:color="000000" w:fill="auto"/>
        <w:spacing w:before="0" w:beforeAutospacing="0" w:after="0" w:afterAutospacing="0" w:line="360" w:lineRule="auto"/>
        <w:ind w:firstLine="1440" w:firstLineChars="600"/>
        <w:rPr>
          <w:rFonts w:ascii="仿宋" w:hAnsi="仿宋" w:eastAsia="仿宋" w:cs="Times New Roman"/>
          <w:color w:val="auto"/>
          <w:kern w:val="2"/>
          <w:highlight w:val="none"/>
        </w:rPr>
      </w:pPr>
      <w:r>
        <w:rPr>
          <w:rFonts w:ascii="仿宋" w:hAnsi="仿宋" w:eastAsia="仿宋" w:cs="仿宋"/>
          <w:color w:val="auto"/>
          <w:kern w:val="2"/>
          <w:highlight w:val="none"/>
        </w:rPr>
        <w:t>4.</w:t>
      </w:r>
      <w:r>
        <w:rPr>
          <w:rFonts w:hint="eastAsia" w:ascii="仿宋" w:hAnsi="仿宋" w:eastAsia="仿宋" w:cs="仿宋"/>
          <w:color w:val="auto"/>
          <w:kern w:val="2"/>
          <w:highlight w:val="none"/>
        </w:rPr>
        <w:t>存在弄虚作假骗取中标情形的；</w:t>
      </w:r>
    </w:p>
    <w:p>
      <w:pPr>
        <w:pStyle w:val="96"/>
        <w:shd w:val="clear" w:color="000000" w:fill="auto"/>
        <w:spacing w:before="0" w:beforeAutospacing="0" w:after="0" w:afterAutospacing="0" w:line="360" w:lineRule="auto"/>
        <w:ind w:firstLine="1440" w:firstLineChars="600"/>
        <w:rPr>
          <w:rFonts w:ascii="仿宋" w:hAnsi="仿宋" w:eastAsia="仿宋" w:cs="Times New Roman"/>
          <w:color w:val="auto"/>
          <w:kern w:val="2"/>
          <w:highlight w:val="none"/>
        </w:rPr>
      </w:pPr>
      <w:r>
        <w:rPr>
          <w:rFonts w:ascii="仿宋" w:hAnsi="仿宋" w:eastAsia="仿宋" w:cs="仿宋"/>
          <w:color w:val="auto"/>
          <w:kern w:val="2"/>
          <w:highlight w:val="none"/>
        </w:rPr>
        <w:t>5.</w:t>
      </w:r>
      <w:r>
        <w:rPr>
          <w:rFonts w:hint="eastAsia" w:ascii="仿宋" w:hAnsi="仿宋" w:eastAsia="仿宋" w:cs="仿宋"/>
          <w:color w:val="auto"/>
          <w:kern w:val="2"/>
          <w:highlight w:val="none"/>
        </w:rPr>
        <w:t>存在因过错行为被生效法律文书认定承担违约或侵权责任的。</w:t>
      </w:r>
    </w:p>
    <w:p>
      <w:pPr>
        <w:shd w:val="clear" w:color="000000" w:fill="auto"/>
        <w:tabs>
          <w:tab w:val="left" w:pos="1620"/>
        </w:tabs>
        <w:spacing w:line="360" w:lineRule="auto"/>
        <w:ind w:left="1619" w:leftChars="771"/>
        <w:rPr>
          <w:rFonts w:ascii="仿宋" w:hAnsi="仿宋" w:eastAsia="仿宋" w:cs="Times New Roman"/>
          <w:color w:val="auto"/>
          <w:sz w:val="24"/>
          <w:szCs w:val="24"/>
          <w:highlight w:val="none"/>
        </w:rPr>
      </w:pPr>
    </w:p>
    <w:p>
      <w:pPr>
        <w:shd w:val="clear" w:color="000000" w:fill="auto"/>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20.2</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shd w:val="clear" w:color="000000" w:fill="auto"/>
        <w:tabs>
          <w:tab w:val="left" w:pos="1620"/>
        </w:tabs>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17632" behindDoc="0" locked="0" layoutInCell="1" allowOverlap="1">
                <wp:simplePos x="0" y="0"/>
                <wp:positionH relativeFrom="column">
                  <wp:posOffset>-114300</wp:posOffset>
                </wp:positionH>
                <wp:positionV relativeFrom="paragraph">
                  <wp:posOffset>0</wp:posOffset>
                </wp:positionV>
                <wp:extent cx="914400" cy="373380"/>
                <wp:effectExtent l="0" t="0" r="0" b="0"/>
                <wp:wrapNone/>
                <wp:docPr id="58" name="文本框 59"/>
                <wp:cNvGraphicFramePr/>
                <a:graphic xmlns:a="http://schemas.openxmlformats.org/drawingml/2006/main">
                  <a:graphicData uri="http://schemas.microsoft.com/office/word/2010/wordprocessingShape">
                    <wps:wsp>
                      <wps:cNvSpPr txBox="1"/>
                      <wps:spPr>
                        <a:xfrm>
                          <a:off x="0" y="0"/>
                          <a:ext cx="914400" cy="3733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承包人工作</w:t>
                            </w:r>
                          </w:p>
                        </w:txbxContent>
                      </wps:txbx>
                      <wps:bodyPr upright="1"/>
                    </wps:wsp>
                  </a:graphicData>
                </a:graphic>
              </wp:anchor>
            </w:drawing>
          </mc:Choice>
          <mc:Fallback>
            <w:pict>
              <v:shape id="文本框 59" o:spid="_x0000_s1026" o:spt="202" type="#_x0000_t202" style="position:absolute;left:0pt;margin-left:-9pt;margin-top:0pt;height:29.4pt;width:72pt;z-index:251717632;mso-width-relative:page;mso-height-relative:page;" filled="f" stroked="f" coordsize="21600,21600" o:gfxdata="UEsDBAoAAAAAAIdO4kAAAAAAAAAAAAAAAAAEAAAAZHJzL1BLAwQUAAAACACHTuJAaKfto9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in7aPUAAAA&#10;BwEAAA8AAAAAAAAAAQAgAAAAIgAAAGRycy9kb3ducmV2LnhtbFBLAQIUABQAAAAIAIdO4kBd0WLW&#10;rwEAAE8DAAAOAAAAAAAAAAEAIAAAACMBAABkcnMvZTJvRG9jLnhtbFBLBQYAAAAABgAGAFkBAABE&#10;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承包人工作</w:t>
                      </w:r>
                    </w:p>
                  </w:txbxContent>
                </v:textbox>
              </v:shape>
            </w:pict>
          </mc:Fallback>
        </mc:AlternateContent>
      </w:r>
      <w:r>
        <w:rPr>
          <w:rFonts w:hint="eastAsia" w:ascii="仿宋" w:hAnsi="仿宋" w:eastAsia="仿宋" w:cs="仿宋"/>
          <w:color w:val="auto"/>
          <w:sz w:val="24"/>
          <w:szCs w:val="24"/>
          <w:highlight w:val="none"/>
        </w:rPr>
        <w:t>承包人应按照合同约定完成下列工作，包括但不限于：</w:t>
      </w:r>
    </w:p>
    <w:p>
      <w:pPr>
        <w:numPr>
          <w:ilvl w:val="0"/>
          <w:numId w:val="5"/>
        </w:numPr>
        <w:shd w:val="clear" w:color="000000" w:fill="auto"/>
        <w:tabs>
          <w:tab w:val="left" w:pos="1980"/>
        </w:tabs>
        <w:spacing w:line="360" w:lineRule="auto"/>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按照合同约定和监理工程师的指令实施、完成并保修合同工程；</w:t>
      </w:r>
    </w:p>
    <w:p>
      <w:pPr>
        <w:numPr>
          <w:ilvl w:val="0"/>
          <w:numId w:val="5"/>
        </w:numPr>
        <w:shd w:val="clear" w:color="000000" w:fill="auto"/>
        <w:tabs>
          <w:tab w:val="left" w:pos="1980"/>
        </w:tabs>
        <w:spacing w:line="360" w:lineRule="auto"/>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按照合同约定和监理工程师的要求提交工程进度报告和进度计划；</w:t>
      </w:r>
    </w:p>
    <w:p>
      <w:pPr>
        <w:numPr>
          <w:ilvl w:val="0"/>
          <w:numId w:val="5"/>
        </w:numPr>
        <w:shd w:val="clear" w:color="000000" w:fill="auto"/>
        <w:tabs>
          <w:tab w:val="left" w:pos="1980"/>
        </w:tabs>
        <w:spacing w:line="360" w:lineRule="auto"/>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按照合同约定和造价工程师的要求提交支付申请和工程款报告，包括绿色施工安全防护费、进度款、结算款和调整合同价款等；</w:t>
      </w:r>
    </w:p>
    <w:p>
      <w:pPr>
        <w:numPr>
          <w:ilvl w:val="0"/>
          <w:numId w:val="5"/>
        </w:numPr>
        <w:shd w:val="clear" w:color="000000" w:fill="auto"/>
        <w:tabs>
          <w:tab w:val="left" w:pos="1980"/>
        </w:tabs>
        <w:spacing w:line="360" w:lineRule="auto"/>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负责施工场地安全保卫工作，防止因工程施工造成的人身伤害和财产损失，提供和维修非夜间施工使用的照明、围栏设施等安全标志；</w:t>
      </w:r>
    </w:p>
    <w:p>
      <w:pPr>
        <w:numPr>
          <w:ilvl w:val="0"/>
          <w:numId w:val="5"/>
        </w:numPr>
        <w:shd w:val="clear" w:color="000000" w:fill="auto"/>
        <w:tabs>
          <w:tab w:val="left" w:pos="1980"/>
        </w:tabs>
        <w:spacing w:line="360" w:lineRule="auto"/>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按照专用条款约定的数量和要求，向发包人提供施工场地办公和生活的房屋及设施，并在施工现场保留本合同、约定的标准与规范、变更资料等各一份，供监理工程师、造价工程师需要时使用；</w:t>
      </w:r>
    </w:p>
    <w:p>
      <w:pPr>
        <w:numPr>
          <w:ilvl w:val="0"/>
          <w:numId w:val="5"/>
        </w:numPr>
        <w:shd w:val="clear" w:color="000000" w:fill="auto"/>
        <w:tabs>
          <w:tab w:val="left" w:pos="1980"/>
          <w:tab w:val="clear" w:pos="1560"/>
        </w:tabs>
        <w:spacing w:line="360" w:lineRule="auto"/>
        <w:ind w:left="1618" w:leftChars="770" w:hanging="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遵守政府部门有关施工场地交通、环境保护、施工噪声、绿色施工安全防护等的管理规定，办理有关手续，并以书面形式通知发包人，费用按政府有关部门相关文件规定由发（承）包人各自承担；</w:t>
      </w:r>
      <w:r>
        <w:rPr>
          <w:rFonts w:ascii="仿宋" w:hAnsi="仿宋" w:eastAsia="仿宋" w:cs="仿宋"/>
          <w:color w:val="auto"/>
          <w:sz w:val="24"/>
          <w:szCs w:val="24"/>
          <w:highlight w:val="none"/>
        </w:rPr>
        <w:t xml:space="preserve"> </w:t>
      </w:r>
    </w:p>
    <w:p>
      <w:pPr>
        <w:numPr>
          <w:ilvl w:val="0"/>
          <w:numId w:val="5"/>
        </w:numPr>
        <w:shd w:val="clear" w:color="000000" w:fill="auto"/>
        <w:tabs>
          <w:tab w:val="left" w:pos="1980"/>
          <w:tab w:val="left" w:pos="2520"/>
          <w:tab w:val="clear" w:pos="1560"/>
        </w:tabs>
        <w:spacing w:line="360" w:lineRule="auto"/>
        <w:ind w:left="1618" w:leftChars="770" w:hanging="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在合同工程或其某单位工程已竣工未移交给发包人之前，负责已完工程的照管工作。工程接收证书颁发时尚有部分未竣工工程的，还应负责该未竣工工程的照管工作，直至竣工后移交给发包人为止。照管期间发生损坏的，应予以修复并承担费用；发包人要求采取特殊保护措施的，由发包人承担相应费用；</w:t>
      </w:r>
    </w:p>
    <w:p>
      <w:pPr>
        <w:numPr>
          <w:ilvl w:val="0"/>
          <w:numId w:val="5"/>
        </w:numPr>
        <w:shd w:val="clear" w:color="000000" w:fill="auto"/>
        <w:tabs>
          <w:tab w:val="left" w:pos="1980"/>
          <w:tab w:val="left" w:pos="2520"/>
        </w:tabs>
        <w:spacing w:line="360" w:lineRule="auto"/>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做好施工场地地下管线和邻近建筑物、构筑物（包括文物保护建筑）、古树</w:t>
      </w:r>
    </w:p>
    <w:p>
      <w:pPr>
        <w:shd w:val="clear" w:color="000000" w:fill="auto"/>
        <w:tabs>
          <w:tab w:val="left" w:pos="1980"/>
          <w:tab w:val="left" w:pos="2520"/>
        </w:tabs>
        <w:spacing w:line="360" w:lineRule="auto"/>
        <w:ind w:left="1138" w:leftChars="542" w:firstLine="480" w:firstLineChars="2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名木的保护工作；</w:t>
      </w:r>
    </w:p>
    <w:p>
      <w:pPr>
        <w:numPr>
          <w:ilvl w:val="0"/>
          <w:numId w:val="5"/>
        </w:numPr>
        <w:shd w:val="clear" w:color="000000" w:fill="auto"/>
        <w:tabs>
          <w:tab w:val="left" w:pos="1980"/>
          <w:tab w:val="left" w:pos="2520"/>
          <w:tab w:val="clear" w:pos="1560"/>
        </w:tabs>
        <w:spacing w:line="360" w:lineRule="auto"/>
        <w:ind w:left="1618" w:leftChars="770" w:hanging="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遵守政府部门有关环境卫生的管理规定，保证施工场地的清洁和做好交工前施工现场的清理工作，并承担因自身责任造成的损失和罚款；</w:t>
      </w:r>
    </w:p>
    <w:p>
      <w:pPr>
        <w:numPr>
          <w:ilvl w:val="0"/>
          <w:numId w:val="5"/>
        </w:numPr>
        <w:shd w:val="clear" w:color="000000" w:fill="auto"/>
        <w:tabs>
          <w:tab w:val="left" w:pos="1440"/>
          <w:tab w:val="left" w:pos="1980"/>
          <w:tab w:val="clear" w:pos="1560"/>
        </w:tabs>
        <w:spacing w:line="360" w:lineRule="auto"/>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工程完工后，应按照合同约定提交竣工验收申请报告和竣工结算文件。</w:t>
      </w:r>
    </w:p>
    <w:p>
      <w:pPr>
        <w:shd w:val="clear" w:color="000000" w:fill="auto"/>
        <w:tabs>
          <w:tab w:val="left" w:pos="4970"/>
        </w:tabs>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20.3   </w:t>
      </w:r>
      <w:r>
        <w:rPr>
          <w:rFonts w:ascii="仿宋" w:hAnsi="仿宋" w:eastAsia="仿宋" w:cs="仿宋"/>
          <w:b/>
          <w:bCs/>
          <w:color w:val="auto"/>
          <w:sz w:val="24"/>
          <w:szCs w:val="24"/>
          <w:highlight w:val="none"/>
          <w:u w:val="dotted"/>
        </w:rPr>
        <w:t xml:space="preserve">                                                                                                       </w:t>
      </w:r>
    </w:p>
    <w:p>
      <w:pPr>
        <w:shd w:val="clear" w:color="000000" w:fill="auto"/>
        <w:tabs>
          <w:tab w:val="left" w:pos="4970"/>
        </w:tabs>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18656"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59" name="文本框 60"/>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承包人实施工作</w:t>
                            </w:r>
                          </w:p>
                        </w:txbxContent>
                      </wps:txbx>
                      <wps:bodyPr upright="1"/>
                    </wps:wsp>
                  </a:graphicData>
                </a:graphic>
              </wp:anchor>
            </w:drawing>
          </mc:Choice>
          <mc:Fallback>
            <w:pict>
              <v:shape id="文本框 60" o:spid="_x0000_s1026" o:spt="202" type="#_x0000_t202" style="position:absolute;left:0pt;margin-left:-9pt;margin-top:0pt;height:46.8pt;width:72pt;z-index:251718656;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SyfpMtUAAAAH&#10;AQAADwAAAAAAAAABACAAAAAiAAAAZHJzL2Rvd25yZXYueG1sUEsBAhQAFAAAAAgAh07iQGb5Va+t&#10;AQAATwMAAA4AAAAAAAAAAQAgAAAAJAEAAGRycy9lMm9Eb2MueG1sUEsFBgAAAAAGAAYAWQEAAEMF&#10;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承包人实施工作</w:t>
                      </w:r>
                    </w:p>
                  </w:txbxContent>
                </v:textbox>
              </v:shape>
            </w:pict>
          </mc:Fallback>
        </mc:AlternateContent>
      </w:r>
      <w:r>
        <w:rPr>
          <w:rFonts w:hint="eastAsia" w:ascii="仿宋" w:hAnsi="仿宋" w:eastAsia="仿宋" w:cs="仿宋"/>
          <w:color w:val="auto"/>
          <w:sz w:val="24"/>
          <w:szCs w:val="24"/>
          <w:highlight w:val="none"/>
        </w:rPr>
        <w:t>承包人应按照合同约定和监理工程师指令实施、完成并保修合同工程。除专用条款另有约定外，承包人应提供为完成合同工程所需的劳务、材料、工程设备、施工设备和其他物品。如果承包人不按照合同约定或监理工程师依据合同发出的指令组织施工，且在监理工程师书面要求改正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仍未采取补救措施的，则发包人可自行或委托第三方进行补救，由此发生的费用和造成的损失由承包人承担。该笔款项经造价工程师核实后，由发包人从应支付或将支付给承包人的工程进度款或结算款中扣除。</w:t>
      </w:r>
    </w:p>
    <w:p>
      <w:pPr>
        <w:shd w:val="clear" w:color="000000" w:fill="auto"/>
        <w:tabs>
          <w:tab w:val="left" w:pos="4970"/>
        </w:tabs>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20.4   </w:t>
      </w:r>
      <w:r>
        <w:rPr>
          <w:rFonts w:ascii="仿宋" w:hAnsi="仿宋" w:eastAsia="仿宋" w:cs="仿宋"/>
          <w:b/>
          <w:bCs/>
          <w:color w:val="auto"/>
          <w:sz w:val="24"/>
          <w:szCs w:val="24"/>
          <w:highlight w:val="none"/>
          <w:u w:val="dotted"/>
        </w:rPr>
        <w:t xml:space="preserve">                                                                                                      </w:t>
      </w:r>
    </w:p>
    <w:p>
      <w:pPr>
        <w:shd w:val="clear" w:color="000000" w:fill="auto"/>
        <w:tabs>
          <w:tab w:val="left" w:pos="4970"/>
        </w:tabs>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19680" behindDoc="0" locked="0" layoutInCell="1" allowOverlap="1">
                <wp:simplePos x="0" y="0"/>
                <wp:positionH relativeFrom="column">
                  <wp:posOffset>-114300</wp:posOffset>
                </wp:positionH>
                <wp:positionV relativeFrom="paragraph">
                  <wp:posOffset>22860</wp:posOffset>
                </wp:positionV>
                <wp:extent cx="914400" cy="1003935"/>
                <wp:effectExtent l="0" t="0" r="0" b="0"/>
                <wp:wrapNone/>
                <wp:docPr id="60" name="文本框 61"/>
                <wp:cNvGraphicFramePr/>
                <a:graphic xmlns:a="http://schemas.openxmlformats.org/drawingml/2006/main">
                  <a:graphicData uri="http://schemas.microsoft.com/office/word/2010/wordprocessingShape">
                    <wps:wsp>
                      <wps:cNvSpPr txBox="1"/>
                      <wps:spPr>
                        <a:xfrm>
                          <a:off x="0" y="0"/>
                          <a:ext cx="914400" cy="100393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wps:txbx>
                      <wps:bodyPr upright="1"/>
                    </wps:wsp>
                  </a:graphicData>
                </a:graphic>
              </wp:anchor>
            </w:drawing>
          </mc:Choice>
          <mc:Fallback>
            <w:pict>
              <v:shape id="文本框 61" o:spid="_x0000_s1026" o:spt="202" type="#_x0000_t202" style="position:absolute;left:0pt;margin-left:-9pt;margin-top:1.8pt;height:79.05pt;width:72pt;z-index:251719680;mso-width-relative:page;mso-height-relative:page;" filled="f" stroked="f" coordsize="21600,21600" o:gfxdata="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av4EJ1gAA&#10;AAkBAAAPAAAAAAAAAAEAIAAAACIAAABkcnMvZG93bnJldi54bWxQSwECFAAUAAAACACHTuJArBKA&#10;jq4BAABQAwAADgAAAAAAAAABACAAAAAlAQAAZHJzL2Uyb0RvYy54bWxQSwUGAAAAAAYABgBZAQAA&#10;RQ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v:textbox>
              </v:shape>
            </w:pict>
          </mc:Fallback>
        </mc:AlternateContent>
      </w:r>
      <w:r>
        <w:rPr>
          <w:rFonts w:hint="eastAsia" w:ascii="仿宋" w:hAnsi="仿宋" w:eastAsia="仿宋" w:cs="仿宋"/>
          <w:color w:val="auto"/>
          <w:sz w:val="24"/>
          <w:szCs w:val="24"/>
          <w:highlight w:val="none"/>
        </w:rPr>
        <w:t>承包人对所有现场作业和施工方法的完备性、稳定性和安全性负责，并应按照合同约定的工作内容和施工进度要求，向监理工程师提交合同工程拟采用的施工组织设计和工作安排的详细说明。如承包人对施工组织设计和工作安排作出重大修改，应事先征得监理工程师同意。</w:t>
      </w:r>
    </w:p>
    <w:p>
      <w:pPr>
        <w:shd w:val="clear" w:color="000000" w:fill="auto"/>
        <w:tabs>
          <w:tab w:val="left" w:pos="4970"/>
        </w:tabs>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20.5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33"/>
        <w:shd w:val="clear" w:color="000000" w:fill="auto"/>
        <w:tabs>
          <w:tab w:val="left" w:pos="4970"/>
        </w:tabs>
        <w:ind w:left="1619" w:leftChars="771"/>
        <w:rPr>
          <w:rFonts w:ascii="仿宋" w:hAnsi="仿宋" w:eastAsia="仿宋"/>
          <w:color w:val="auto"/>
          <w:highlight w:val="none"/>
        </w:rPr>
      </w:pPr>
      <w:r>
        <w:rPr>
          <w:color w:val="auto"/>
          <w:highlight w:val="none"/>
        </w:rPr>
        <mc:AlternateContent>
          <mc:Choice Requires="wps">
            <w:drawing>
              <wp:anchor distT="0" distB="0" distL="114300" distR="114300" simplePos="0" relativeHeight="251720704" behindDoc="0" locked="0" layoutInCell="1" allowOverlap="1">
                <wp:simplePos x="0" y="0"/>
                <wp:positionH relativeFrom="column">
                  <wp:posOffset>-114300</wp:posOffset>
                </wp:positionH>
                <wp:positionV relativeFrom="paragraph">
                  <wp:posOffset>15240</wp:posOffset>
                </wp:positionV>
                <wp:extent cx="914400" cy="657860"/>
                <wp:effectExtent l="0" t="0" r="0" b="0"/>
                <wp:wrapNone/>
                <wp:docPr id="61" name="文本框 62"/>
                <wp:cNvGraphicFramePr/>
                <a:graphic xmlns:a="http://schemas.openxmlformats.org/drawingml/2006/main">
                  <a:graphicData uri="http://schemas.microsoft.com/office/word/2010/wordprocessingShape">
                    <wps:wsp>
                      <wps:cNvSpPr txBox="1"/>
                      <wps:spPr>
                        <a:xfrm>
                          <a:off x="0" y="0"/>
                          <a:ext cx="914400" cy="657860"/>
                        </a:xfrm>
                        <a:prstGeom prst="rect">
                          <a:avLst/>
                        </a:prstGeom>
                        <a:noFill/>
                        <a:ln>
                          <a:noFill/>
                        </a:ln>
                      </wps:spPr>
                      <wps:txbx>
                        <w:txbxContent>
                          <w:p>
                            <w:pPr>
                              <w:spacing w:line="240" w:lineRule="exact"/>
                              <w:rPr>
                                <w:rFonts w:ascii="楷体_GB2312" w:hAnsi="宋体" w:eastAsia="楷体_GB2312" w:cs="Times New Roman"/>
                                <w:sz w:val="18"/>
                                <w:szCs w:val="18"/>
                              </w:rPr>
                            </w:pPr>
                            <w:r>
                              <w:rPr>
                                <w:rFonts w:hint="eastAsia" w:ascii="楷体_GB2312" w:eastAsia="楷体_GB2312" w:cs="楷体_GB2312"/>
                                <w:b/>
                                <w:bCs/>
                                <w:color w:val="000000"/>
                                <w:sz w:val="18"/>
                                <w:szCs w:val="18"/>
                              </w:rPr>
                              <w:t>承包人为发包人的人员提供配合</w:t>
                            </w:r>
                          </w:p>
                        </w:txbxContent>
                      </wps:txbx>
                      <wps:bodyPr upright="1"/>
                    </wps:wsp>
                  </a:graphicData>
                </a:graphic>
              </wp:anchor>
            </w:drawing>
          </mc:Choice>
          <mc:Fallback>
            <w:pict>
              <v:shape id="文本框 62" o:spid="_x0000_s1026" o:spt="202" type="#_x0000_t202" style="position:absolute;left:0pt;margin-left:-9pt;margin-top:1.2pt;height:51.8pt;width:72pt;z-index:251720704;mso-width-relative:page;mso-height-relative:page;" filled="f" stroked="f" coordsize="21600,21600" o:gfxdata="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GULfA9QAAAAJ&#10;AQAADwAAAAAAAAABACAAAAAiAAAAZHJzL2Rvd25yZXYueG1sUEsBAhQAFAAAAAgAh07iQI9bWLWu&#10;AQAATwMAAA4AAAAAAAAAAQAgAAAAIwEAAGRycy9lMm9Eb2MueG1sUEsFBgAAAAAGAAYAWQEAAEMF&#10;A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eastAsia="楷体_GB2312" w:cs="楷体_GB2312"/>
                          <w:b/>
                          <w:bCs/>
                          <w:color w:val="000000"/>
                          <w:sz w:val="18"/>
                          <w:szCs w:val="18"/>
                        </w:rPr>
                        <w:t>承包人为发包人的人员提供配合</w:t>
                      </w:r>
                    </w:p>
                  </w:txbxContent>
                </v:textbox>
              </v:shape>
            </w:pict>
          </mc:Fallback>
        </mc:AlternateContent>
      </w:r>
      <w:r>
        <w:rPr>
          <w:rFonts w:hint="eastAsia" w:ascii="仿宋" w:hAnsi="仿宋" w:eastAsia="仿宋" w:cs="仿宋"/>
          <w:color w:val="auto"/>
          <w:highlight w:val="none"/>
        </w:rPr>
        <w:t>承包人应按照合同约定或监理工程师的指令，配合和协助下述人员在施工场地及其附近实施与合同工程有关的各项工作：</w:t>
      </w:r>
    </w:p>
    <w:p>
      <w:pPr>
        <w:shd w:val="clear" w:color="000000" w:fill="auto"/>
        <w:tabs>
          <w:tab w:val="left" w:pos="1980"/>
          <w:tab w:val="left" w:pos="4970"/>
        </w:tabs>
        <w:spacing w:line="360" w:lineRule="auto"/>
        <w:ind w:left="161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）发包人的工作人员；</w:t>
      </w:r>
    </w:p>
    <w:p>
      <w:pPr>
        <w:shd w:val="clear" w:color="000000" w:fill="auto"/>
        <w:tabs>
          <w:tab w:val="left" w:pos="1980"/>
          <w:tab w:val="left" w:pos="4970"/>
        </w:tabs>
        <w:spacing w:line="360" w:lineRule="auto"/>
        <w:ind w:left="161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）发包人的雇员；</w:t>
      </w:r>
    </w:p>
    <w:p>
      <w:pPr>
        <w:shd w:val="clear" w:color="000000" w:fill="auto"/>
        <w:tabs>
          <w:tab w:val="left" w:pos="1980"/>
          <w:tab w:val="left" w:pos="4970"/>
        </w:tabs>
        <w:spacing w:line="360" w:lineRule="auto"/>
        <w:ind w:left="161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）任何监督管理机构的执法人员。</w:t>
      </w:r>
    </w:p>
    <w:p>
      <w:pPr>
        <w:pStyle w:val="25"/>
        <w:shd w:val="clear" w:color="000000" w:fill="auto"/>
        <w:tabs>
          <w:tab w:val="left" w:pos="2520"/>
        </w:tabs>
        <w:ind w:left="1619" w:leftChars="771" w:firstLine="0" w:firstLineChars="0"/>
        <w:rPr>
          <w:rFonts w:ascii="仿宋" w:hAnsi="仿宋" w:eastAsia="仿宋"/>
          <w:color w:val="auto"/>
          <w:highlight w:val="none"/>
        </w:rPr>
      </w:pPr>
      <w:r>
        <w:rPr>
          <w:rFonts w:hint="eastAsia" w:ascii="仿宋" w:hAnsi="仿宋" w:eastAsia="仿宋" w:cs="仿宋"/>
          <w:color w:val="auto"/>
          <w:highlight w:val="none"/>
        </w:rPr>
        <w:t>此类指令若增加了承包人的工作或支出，包括使用了承包人的设备、临时工程或通行道路等，则视为工程变更，按照第</w:t>
      </w:r>
      <w:r>
        <w:rPr>
          <w:rFonts w:ascii="仿宋" w:hAnsi="仿宋" w:eastAsia="仿宋" w:cs="仿宋"/>
          <w:color w:val="auto"/>
          <w:highlight w:val="none"/>
        </w:rPr>
        <w:t>72</w:t>
      </w:r>
      <w:r>
        <w:rPr>
          <w:rFonts w:hint="eastAsia" w:ascii="仿宋" w:hAnsi="仿宋" w:eastAsia="仿宋" w:cs="仿宋"/>
          <w:color w:val="auto"/>
          <w:highlight w:val="none"/>
        </w:rPr>
        <w:t>条规定调整合同价款。</w:t>
      </w:r>
    </w:p>
    <w:p>
      <w:pPr>
        <w:shd w:val="clear" w:color="000000" w:fill="auto"/>
        <w:tabs>
          <w:tab w:val="left" w:pos="4970"/>
        </w:tabs>
        <w:spacing w:line="48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20.6  </w:t>
      </w:r>
      <w:r>
        <w:rPr>
          <w:rFonts w:ascii="仿宋" w:hAnsi="仿宋" w:eastAsia="仿宋" w:cs="仿宋"/>
          <w:b/>
          <w:bCs/>
          <w:color w:val="auto"/>
          <w:sz w:val="24"/>
          <w:szCs w:val="24"/>
          <w:highlight w:val="none"/>
          <w:u w:val="dotted"/>
        </w:rPr>
        <w:t xml:space="preserve">                                                                                                        </w:t>
      </w:r>
    </w:p>
    <w:p>
      <w:pPr>
        <w:shd w:val="clear" w:color="000000" w:fill="auto"/>
        <w:tabs>
          <w:tab w:val="left" w:pos="4970"/>
        </w:tabs>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21728"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62" name="文本框 63"/>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承包人避免施工损害他人利益</w:t>
                            </w:r>
                          </w:p>
                        </w:txbxContent>
                      </wps:txbx>
                      <wps:bodyPr upright="1"/>
                    </wps:wsp>
                  </a:graphicData>
                </a:graphic>
              </wp:anchor>
            </w:drawing>
          </mc:Choice>
          <mc:Fallback>
            <w:pict>
              <v:shape id="文本框 63" o:spid="_x0000_s1026" o:spt="202" type="#_x0000_t202" style="position:absolute;left:0pt;margin-left:-9pt;margin-top:0pt;height:62.4pt;width:72pt;z-index:251721728;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qTZUc1QAA&#10;AAgBAAAPAAAAAAAAAAEAIAAAACIAAABkcnMvZG93bnJldi54bWxQSwECFAAUAAAACACHTuJAjeIk&#10;0q8BAABPAwAADgAAAAAAAAABACAAAAAkAQAAZHJzL2Uyb0RvYy54bWxQSwUGAAAAAAYABgBZAQAA&#10;RQU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承包人避免施工损害他人利益</w:t>
                      </w:r>
                    </w:p>
                  </w:txbxContent>
                </v:textbox>
              </v:shape>
            </w:pict>
          </mc:Fallback>
        </mc:AlternateContent>
      </w:r>
      <w:r>
        <w:rPr>
          <w:rFonts w:hint="eastAsia" w:ascii="仿宋" w:hAnsi="仿宋" w:eastAsia="仿宋" w:cs="仿宋"/>
          <w:color w:val="auto"/>
          <w:sz w:val="24"/>
          <w:szCs w:val="24"/>
          <w:highlight w:val="none"/>
        </w:rPr>
        <w:t>承包人在施工过程中，不得侵害发包人与他人使用公用道路、水源、市政管网等公共设施的权利，避免对邻近的公共设施产生干扰。承包人占用或使用他人的施工场地，影响他人作业或生活的，应承担相应责任。</w:t>
      </w:r>
    </w:p>
    <w:p>
      <w:pPr>
        <w:shd w:val="clear" w:color="000000" w:fill="auto"/>
        <w:tabs>
          <w:tab w:val="left" w:pos="4970"/>
        </w:tabs>
        <w:spacing w:line="48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20.7  </w:t>
      </w:r>
      <w:r>
        <w:rPr>
          <w:rFonts w:ascii="仿宋" w:hAnsi="仿宋" w:eastAsia="仿宋" w:cs="仿宋"/>
          <w:b/>
          <w:bCs/>
          <w:color w:val="auto"/>
          <w:sz w:val="24"/>
          <w:szCs w:val="24"/>
          <w:highlight w:val="none"/>
          <w:u w:val="dotted"/>
        </w:rPr>
        <w:t xml:space="preserve">                                                                                                        </w:t>
      </w:r>
    </w:p>
    <w:p>
      <w:pPr>
        <w:shd w:val="clear" w:color="000000" w:fill="auto"/>
        <w:tabs>
          <w:tab w:val="left" w:pos="4970"/>
        </w:tabs>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22752"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63" name="文本框 64"/>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承包人未尽义务的责任</w:t>
                            </w:r>
                          </w:p>
                        </w:txbxContent>
                      </wps:txbx>
                      <wps:bodyPr upright="1"/>
                    </wps:wsp>
                  </a:graphicData>
                </a:graphic>
              </wp:anchor>
            </w:drawing>
          </mc:Choice>
          <mc:Fallback>
            <w:pict>
              <v:shape id="文本框 64" o:spid="_x0000_s1026" o:spt="202" type="#_x0000_t202" style="position:absolute;left:0pt;margin-left:-9pt;margin-top:0pt;height:39pt;width:72pt;z-index:251722752;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Qu4hO1AAAAAcB&#10;AAAPAAAAAAAAAAEAIAAAACIAAABkcnMvZG93bnJldi54bWxQSwECFAAUAAAACACHTuJAIm4c6a0B&#10;AABPAwAADgAAAAAAAAABACAAAAAjAQAAZHJzL2Uyb0RvYy54bWxQSwUGAAAAAAYABgBZAQAAQgUA&#10;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承包人未尽义务的责任</w:t>
                      </w:r>
                    </w:p>
                  </w:txbxContent>
                </v:textbox>
              </v:shape>
            </w:pict>
          </mc:Fallback>
        </mc:AlternateContent>
      </w:r>
      <w:r>
        <w:rPr>
          <w:rFonts w:hint="eastAsia" w:ascii="仿宋" w:hAnsi="仿宋" w:eastAsia="仿宋" w:cs="仿宋"/>
          <w:color w:val="auto"/>
          <w:sz w:val="24"/>
          <w:szCs w:val="24"/>
          <w:highlight w:val="none"/>
        </w:rPr>
        <w:t>承包人未能正确完成本合同约定的全部义务，导致费用的增加和（或）延误的工期，由承包人承担；给发包人造成损失的，承包人应予赔偿。</w:t>
      </w:r>
    </w:p>
    <w:p>
      <w:pPr>
        <w:pStyle w:val="2"/>
        <w:shd w:val="clear" w:color="000000" w:fill="auto"/>
        <w:adjustRightInd w:val="0"/>
        <w:snapToGrid w:val="0"/>
        <w:spacing w:line="480" w:lineRule="auto"/>
        <w:ind w:right="-238"/>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175" w:name="_Toc24472"/>
      <w:bookmarkStart w:id="176" w:name="_Toc10624841"/>
      <w:bookmarkStart w:id="177" w:name="_Toc469384001"/>
      <w:r>
        <w:rPr>
          <w:rFonts w:ascii="仿宋" w:hAnsi="仿宋" w:eastAsia="仿宋" w:cs="仿宋"/>
          <w:b/>
          <w:bCs/>
          <w:color w:val="auto"/>
          <w:sz w:val="24"/>
          <w:szCs w:val="24"/>
          <w:highlight w:val="none"/>
        </w:rPr>
        <w:t xml:space="preserve">21  </w:t>
      </w:r>
      <w:r>
        <w:rPr>
          <w:rFonts w:hint="eastAsia" w:ascii="仿宋" w:hAnsi="仿宋" w:eastAsia="仿宋" w:cs="仿宋"/>
          <w:b/>
          <w:bCs/>
          <w:color w:val="auto"/>
          <w:sz w:val="24"/>
          <w:szCs w:val="24"/>
          <w:highlight w:val="none"/>
        </w:rPr>
        <w:t>现场管理人员任命和更换</w:t>
      </w:r>
      <w:bookmarkEnd w:id="175"/>
      <w:bookmarkEnd w:id="176"/>
      <w:bookmarkEnd w:id="177"/>
    </w:p>
    <w:p>
      <w:pPr>
        <w:pStyle w:val="2"/>
        <w:shd w:val="clear" w:color="000000" w:fill="auto"/>
        <w:tabs>
          <w:tab w:val="left" w:pos="1320"/>
        </w:tabs>
        <w:adjustRightInd w:val="0"/>
        <w:snapToGrid w:val="0"/>
        <w:spacing w:line="360" w:lineRule="auto"/>
        <w:ind w:right="-240"/>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21.1</w:t>
      </w:r>
    </w:p>
    <w:p>
      <w:pPr>
        <w:pStyle w:val="2"/>
        <w:shd w:val="clear" w:color="000000" w:fill="auto"/>
        <w:adjustRightInd w:val="0"/>
        <w:snapToGrid w:val="0"/>
        <w:spacing w:line="360" w:lineRule="auto"/>
        <w:ind w:left="1619" w:leftChars="771" w:firstLine="2"/>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23776" behindDoc="0" locked="0" layoutInCell="1" allowOverlap="1">
                <wp:simplePos x="0" y="0"/>
                <wp:positionH relativeFrom="column">
                  <wp:posOffset>-114300</wp:posOffset>
                </wp:positionH>
                <wp:positionV relativeFrom="paragraph">
                  <wp:posOffset>7620</wp:posOffset>
                </wp:positionV>
                <wp:extent cx="914400" cy="602615"/>
                <wp:effectExtent l="0" t="0" r="0" b="0"/>
                <wp:wrapNone/>
                <wp:docPr id="64" name="文本框 65"/>
                <wp:cNvGraphicFramePr/>
                <a:graphic xmlns:a="http://schemas.openxmlformats.org/drawingml/2006/main">
                  <a:graphicData uri="http://schemas.microsoft.com/office/word/2010/wordprocessingShape">
                    <wps:wsp>
                      <wps:cNvSpPr txBox="1"/>
                      <wps:spPr>
                        <a:xfrm>
                          <a:off x="0" y="0"/>
                          <a:ext cx="914400" cy="602615"/>
                        </a:xfrm>
                        <a:prstGeom prst="rect">
                          <a:avLst/>
                        </a:prstGeom>
                        <a:noFill/>
                        <a:ln>
                          <a:noFill/>
                        </a:ln>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发包人现场管理人员任命和更换</w:t>
                            </w:r>
                          </w:p>
                        </w:txbxContent>
                      </wps:txbx>
                      <wps:bodyPr upright="1"/>
                    </wps:wsp>
                  </a:graphicData>
                </a:graphic>
              </wp:anchor>
            </w:drawing>
          </mc:Choice>
          <mc:Fallback>
            <w:pict>
              <v:shape id="文本框 65" o:spid="_x0000_s1026" o:spt="202" type="#_x0000_t202" style="position:absolute;left:0pt;margin-left:-9pt;margin-top:0.6pt;height:47.45pt;width:72pt;z-index:251723776;mso-width-relative:page;mso-height-relative:page;" filled="f" stroked="f" coordsize="21600,21600" o:gfxdata="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N1v51AAAAAgB&#10;AAAPAAAAAAAAAAEAIAAAACIAAABkcnMvZG93bnJldi54bWxQSwECFAAUAAAACACHTuJAM4mtaq0B&#10;AABPAwAADgAAAAAAAAABACAAAAAjAQAAZHJzL2Uyb0RvYy54bWxQSwUGAAAAAAYABgBZAQAAQgUA&#10;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发包人现场管理人员任命和更换</w:t>
                      </w:r>
                    </w:p>
                  </w:txbxContent>
                </v:textbox>
              </v:shape>
            </w:pict>
          </mc:Fallback>
        </mc:AlternateContent>
      </w:r>
      <w:r>
        <w:rPr>
          <w:rFonts w:hint="eastAsia" w:ascii="仿宋" w:hAnsi="仿宋" w:eastAsia="仿宋" w:cs="仿宋"/>
          <w:color w:val="auto"/>
          <w:sz w:val="24"/>
          <w:szCs w:val="24"/>
          <w:highlight w:val="none"/>
        </w:rPr>
        <w:t>发包人应任命代表发包人工作的现场管理人员，并在开工前将该任命书以书面形式通知承包人。该类管理人员可包括发包人代表、监理工程师、造价工程师等。国家、省规定发包人可不委托监理人和（或）工程造价咨询人（如有），发包人因而没有任命监理工程师和（或）造价工程师的，本合同规定的监理工程师和（或）造价工程师及其代表的工作，由发包人代表担任。</w:t>
      </w:r>
    </w:p>
    <w:p>
      <w:pPr>
        <w:pStyle w:val="2"/>
        <w:shd w:val="clear" w:color="000000" w:fill="auto"/>
        <w:adjustRightInd w:val="0"/>
        <w:snapToGrid w:val="0"/>
        <w:spacing w:line="360" w:lineRule="auto"/>
        <w:ind w:left="1619" w:leftChars="771" w:firstLine="2"/>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发包人如需更换现场管理人员，应至少提前</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天以书面形式通知承包人，否则该项更换无效。承包人应在收到通知后</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天内予以回复，否则视为已收到通知。后任现场管理人员应继续行使合同规定的前任现场管理人员的职权和履行相应的义务。</w:t>
      </w:r>
    </w:p>
    <w:p>
      <w:pPr>
        <w:pStyle w:val="2"/>
        <w:shd w:val="clear" w:color="000000" w:fill="auto"/>
        <w:tabs>
          <w:tab w:val="left" w:pos="1320"/>
          <w:tab w:val="left" w:pos="1620"/>
        </w:tabs>
        <w:adjustRightInd w:val="0"/>
        <w:snapToGrid w:val="0"/>
        <w:spacing w:line="360" w:lineRule="auto"/>
        <w:ind w:right="-238"/>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21.2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24800" behindDoc="0" locked="0" layoutInCell="1" allowOverlap="1">
                <wp:simplePos x="0" y="0"/>
                <wp:positionH relativeFrom="column">
                  <wp:posOffset>-114300</wp:posOffset>
                </wp:positionH>
                <wp:positionV relativeFrom="paragraph">
                  <wp:posOffset>84455</wp:posOffset>
                </wp:positionV>
                <wp:extent cx="914400" cy="457200"/>
                <wp:effectExtent l="0" t="0" r="0" b="0"/>
                <wp:wrapNone/>
                <wp:docPr id="65" name="文本框 66"/>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a:noFill/>
                        </a:ln>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承包人代表任命和更换</w:t>
                            </w:r>
                          </w:p>
                        </w:txbxContent>
                      </wps:txbx>
                      <wps:bodyPr upright="1"/>
                    </wps:wsp>
                  </a:graphicData>
                </a:graphic>
              </wp:anchor>
            </w:drawing>
          </mc:Choice>
          <mc:Fallback>
            <w:pict>
              <v:shape id="文本框 66" o:spid="_x0000_s1026" o:spt="202" type="#_x0000_t202" style="position:absolute;left:0pt;margin-left:-9pt;margin-top:6.65pt;height:36pt;width:72pt;z-index:251724800;mso-width-relative:page;mso-height-relative:page;" filled="f" stroked="f" coordsize="21600,21600" o:gfxdata="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EwJ+nWAAAA&#10;CQEAAA8AAAAAAAAAAQAgAAAAIgAAAGRycy9kb3ducmV2LnhtbFBLAQIUABQAAAAIAIdO4kBdGf5V&#10;rQEAAE8DAAAOAAAAAAAAAAEAIAAAACUBAABkcnMvZTJvRG9jLnhtbFBLBQYAAAAABgAGAFkBAABE&#10;BQ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承包人代表任命和更换</w:t>
                      </w:r>
                    </w:p>
                  </w:txbxContent>
                </v:textbox>
              </v:shape>
            </w:pict>
          </mc:Fallback>
        </mc:AlternateContent>
      </w:r>
      <w:r>
        <w:rPr>
          <w:rFonts w:hint="eastAsia" w:ascii="仿宋" w:hAnsi="仿宋" w:eastAsia="仿宋" w:cs="仿宋"/>
          <w:color w:val="auto"/>
          <w:sz w:val="24"/>
          <w:szCs w:val="24"/>
          <w:highlight w:val="none"/>
        </w:rPr>
        <w:t>承包人应任命代表承包人工作的承包人代表，该代表的人选应具有注册建造师执业资格，由承包人在开工前依法向发包人提出，经发包人同意后在专用条款中写明。建设行政主管部门有规定的，应遵守其规定；招标工程的承包人代表，应为投标文件所载明的人选。</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承包人如需更换承包人代表，应取得发包人的同意和遵守建设行政主管部门的规定，并至少提前</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天以书面形式通知发包人，否则该项更换无效。发包人应在收到通知后的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天内予以答复，否则视为同意。后任承包人代表应继续行使合同规定的前任承包人代表的职权和履行相应的义务。</w:t>
      </w:r>
    </w:p>
    <w:p>
      <w:pPr>
        <w:pStyle w:val="2"/>
        <w:shd w:val="clear" w:color="000000" w:fill="auto"/>
        <w:tabs>
          <w:tab w:val="left" w:pos="1320"/>
        </w:tabs>
        <w:adjustRightInd w:val="0"/>
        <w:snapToGrid w:val="0"/>
        <w:spacing w:line="360" w:lineRule="auto"/>
        <w:ind w:right="-238"/>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21.3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25824" behindDoc="0" locked="0" layoutInCell="1" allowOverlap="1">
                <wp:simplePos x="0" y="0"/>
                <wp:positionH relativeFrom="column">
                  <wp:posOffset>-83820</wp:posOffset>
                </wp:positionH>
                <wp:positionV relativeFrom="paragraph">
                  <wp:posOffset>46355</wp:posOffset>
                </wp:positionV>
                <wp:extent cx="1231900" cy="720725"/>
                <wp:effectExtent l="0" t="0" r="0" b="0"/>
                <wp:wrapNone/>
                <wp:docPr id="66" name="文本框 67"/>
                <wp:cNvGraphicFramePr/>
                <a:graphic xmlns:a="http://schemas.openxmlformats.org/drawingml/2006/main">
                  <a:graphicData uri="http://schemas.microsoft.com/office/word/2010/wordprocessingShape">
                    <wps:wsp>
                      <wps:cNvSpPr txBox="1"/>
                      <wps:spPr>
                        <a:xfrm>
                          <a:off x="0" y="0"/>
                          <a:ext cx="1231900" cy="72072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造价工程师代</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表任命和撤回</w:t>
                            </w:r>
                          </w:p>
                        </w:txbxContent>
                      </wps:txbx>
                      <wps:bodyPr upright="1"/>
                    </wps:wsp>
                  </a:graphicData>
                </a:graphic>
              </wp:anchor>
            </w:drawing>
          </mc:Choice>
          <mc:Fallback>
            <w:pict>
              <v:shape id="文本框 67" o:spid="_x0000_s1026" o:spt="202" type="#_x0000_t202" style="position:absolute;left:0pt;margin-left:-6.6pt;margin-top:3.65pt;height:56.75pt;width:97pt;z-index:251725824;mso-width-relative:page;mso-height-relative:page;" filled="f" stroked="f" coordsize="21600,21600" o:gfxdata="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QVlyPVAAAA&#10;CQEAAA8AAAAAAAAAAQAgAAAAIgAAAGRycy9kb3ducmV2LnhtbFBLAQIUABQAAAAIAIdO4kCYW8hO&#10;rgEAAFADAAAOAAAAAAAAAAEAIAAAACQBAABkcnMvZTJvRG9jLnhtbFBLBQYAAAAABgAGAFkBAABE&#10;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造价工程师代</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表任命和撤回</w:t>
                      </w:r>
                    </w:p>
                  </w:txbxContent>
                </v:textbox>
              </v:shape>
            </w:pict>
          </mc:Fallback>
        </mc:AlternateContent>
      </w:r>
      <w:r>
        <w:rPr>
          <w:rFonts w:hint="eastAsia" w:ascii="仿宋" w:hAnsi="仿宋" w:eastAsia="仿宋" w:cs="仿宋"/>
          <w:color w:val="auto"/>
          <w:sz w:val="24"/>
          <w:szCs w:val="24"/>
          <w:highlight w:val="none"/>
        </w:rPr>
        <w:t>除合同约定或依法应由监理工程师、造价工程师行使的职权外，监理工程师、造价工程师可将其职权以书面形式授予其任命的监理工程师、造价工程师代表，亦可将其授权撤回。任何此类任命或撤回，均应至少提前</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天以书面形式通知承包人。未将有关文件送交承包人之前，任何此类任命或撤回均为无效。</w:t>
      </w:r>
    </w:p>
    <w:p>
      <w:pPr>
        <w:pStyle w:val="2"/>
        <w:shd w:val="clear" w:color="000000" w:fill="auto"/>
        <w:tabs>
          <w:tab w:val="left" w:pos="1320"/>
        </w:tabs>
        <w:adjustRightInd w:val="0"/>
        <w:snapToGrid w:val="0"/>
        <w:spacing w:line="360" w:lineRule="auto"/>
        <w:ind w:right="-238"/>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21.4  </w:t>
      </w:r>
      <w:r>
        <w:rPr>
          <w:rFonts w:ascii="仿宋" w:hAnsi="仿宋" w:eastAsia="仿宋" w:cs="仿宋"/>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26848" behindDoc="0" locked="0" layoutInCell="1" allowOverlap="1">
                <wp:simplePos x="0" y="0"/>
                <wp:positionH relativeFrom="column">
                  <wp:posOffset>-114300</wp:posOffset>
                </wp:positionH>
                <wp:positionV relativeFrom="paragraph">
                  <wp:posOffset>35560</wp:posOffset>
                </wp:positionV>
                <wp:extent cx="914400" cy="559435"/>
                <wp:effectExtent l="0" t="0" r="0" b="0"/>
                <wp:wrapNone/>
                <wp:docPr id="67" name="文本框 68"/>
                <wp:cNvGraphicFramePr/>
                <a:graphic xmlns:a="http://schemas.openxmlformats.org/drawingml/2006/main">
                  <a:graphicData uri="http://schemas.microsoft.com/office/word/2010/wordprocessingShape">
                    <wps:wsp>
                      <wps:cNvSpPr txBox="1"/>
                      <wps:spPr>
                        <a:xfrm>
                          <a:off x="0" y="0"/>
                          <a:ext cx="914400" cy="55943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wps:txbx>
                      <wps:bodyPr upright="1"/>
                    </wps:wsp>
                  </a:graphicData>
                </a:graphic>
              </wp:anchor>
            </w:drawing>
          </mc:Choice>
          <mc:Fallback>
            <w:pict>
              <v:shape id="文本框 68" o:spid="_x0000_s1026" o:spt="202" type="#_x0000_t202" style="position:absolute;left:0pt;margin-left:-9pt;margin-top:2.8pt;height:44.05pt;width:72pt;z-index:251726848;mso-width-relative:page;mso-height-relative:page;" filled="f" stroked="f" coordsize="21600,21600" o:gfxdata="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F4g4Z1gAA&#10;AAgBAAAPAAAAAAAAAAEAIAAAACIAAABkcnMvZG93bnJldi54bWxQSwECFAAUAAAACACHTuJA572b&#10;vq4BAABPAwAADgAAAAAAAAABACAAAAAlAQAAZHJzL2Uyb0RvYy54bWxQSwUGAAAAAAYABgBZAQAA&#10;R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v:textbox>
              </v:shape>
            </w:pict>
          </mc:Fallback>
        </mc:AlternateContent>
      </w:r>
      <w:r>
        <w:rPr>
          <w:rFonts w:hint="eastAsia" w:ascii="仿宋" w:hAnsi="仿宋" w:eastAsia="仿宋" w:cs="仿宋"/>
          <w:color w:val="auto"/>
          <w:sz w:val="24"/>
          <w:szCs w:val="24"/>
          <w:highlight w:val="none"/>
        </w:rPr>
        <w:t>除合同约定或依法应由承包人代表行使的职权外，承包人代表可将其职权以书</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面形式授予其任命的合格人选，亦可将其授权撤回。任何此类任命或撤回，均应至少提前</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天以书面形式通知发包人和监理工程师、造价工程师。未将有关文件提交发包人和监理工程师、造价工程师之前，任何此类任命或撤回均为无效。</w:t>
      </w:r>
    </w:p>
    <w:p>
      <w:pPr>
        <w:shd w:val="clear" w:color="000000" w:fill="auto"/>
        <w:spacing w:line="360" w:lineRule="auto"/>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numPr>
          <w:ilvl w:val="0"/>
          <w:numId w:val="0"/>
        </w:numPr>
        <w:shd w:val="clear" w:color="000000" w:fill="auto"/>
        <w:tabs>
          <w:tab w:val="left" w:pos="420"/>
        </w:tabs>
        <w:ind w:left="720"/>
        <w:rPr>
          <w:rFonts w:ascii="仿宋" w:hAnsi="仿宋" w:eastAsia="仿宋"/>
          <w:color w:val="auto"/>
          <w:sz w:val="24"/>
          <w:szCs w:val="24"/>
          <w:highlight w:val="none"/>
        </w:rPr>
      </w:pPr>
      <w:bookmarkStart w:id="178" w:name="_Toc10624842"/>
      <w:bookmarkStart w:id="179" w:name="_Toc469384002"/>
      <w:bookmarkStart w:id="180" w:name="_Toc3174"/>
      <w:r>
        <w:rPr>
          <w:rFonts w:ascii="仿宋" w:hAnsi="仿宋" w:eastAsia="仿宋" w:cs="仿宋"/>
          <w:color w:val="auto"/>
          <w:sz w:val="24"/>
          <w:szCs w:val="24"/>
          <w:highlight w:val="none"/>
        </w:rPr>
        <w:t xml:space="preserve">22  </w:t>
      </w:r>
      <w:r>
        <w:rPr>
          <w:rFonts w:hint="eastAsia" w:ascii="仿宋" w:hAnsi="仿宋" w:eastAsia="仿宋" w:cs="仿宋"/>
          <w:color w:val="auto"/>
          <w:sz w:val="24"/>
          <w:szCs w:val="24"/>
          <w:highlight w:val="none"/>
        </w:rPr>
        <w:t>发包人代表</w:t>
      </w:r>
      <w:bookmarkEnd w:id="178"/>
      <w:bookmarkEnd w:id="179"/>
      <w:bookmarkEnd w:id="180"/>
    </w:p>
    <w:p>
      <w:pPr>
        <w:shd w:val="clear" w:color="000000" w:fill="auto"/>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22.1                           </w:t>
      </w:r>
    </w:p>
    <w:p>
      <w:pPr>
        <w:pStyle w:val="33"/>
        <w:shd w:val="clear" w:color="000000" w:fill="auto"/>
        <w:ind w:left="1619" w:leftChars="771"/>
        <w:rPr>
          <w:rFonts w:ascii="仿宋" w:hAnsi="仿宋" w:eastAsia="仿宋"/>
          <w:color w:val="auto"/>
          <w:highlight w:val="none"/>
        </w:rPr>
      </w:pPr>
      <w:r>
        <w:rPr>
          <w:color w:val="auto"/>
          <w:highlight w:val="none"/>
        </w:rPr>
        <mc:AlternateContent>
          <mc:Choice Requires="wps">
            <w:drawing>
              <wp:anchor distT="0" distB="0" distL="114300" distR="114300" simplePos="0" relativeHeight="251727872" behindDoc="0" locked="0" layoutInCell="1" allowOverlap="1">
                <wp:simplePos x="0" y="0"/>
                <wp:positionH relativeFrom="column">
                  <wp:posOffset>-114300</wp:posOffset>
                </wp:positionH>
                <wp:positionV relativeFrom="paragraph">
                  <wp:posOffset>53340</wp:posOffset>
                </wp:positionV>
                <wp:extent cx="914400" cy="443230"/>
                <wp:effectExtent l="0" t="0" r="0" b="0"/>
                <wp:wrapNone/>
                <wp:docPr id="68" name="文本框 69"/>
                <wp:cNvGraphicFramePr/>
                <a:graphic xmlns:a="http://schemas.openxmlformats.org/drawingml/2006/main">
                  <a:graphicData uri="http://schemas.microsoft.com/office/word/2010/wordprocessingShape">
                    <wps:wsp>
                      <wps:cNvSpPr txBox="1"/>
                      <wps:spPr>
                        <a:xfrm>
                          <a:off x="0" y="0"/>
                          <a:ext cx="914400" cy="44323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发包人对其代表授权</w:t>
                            </w:r>
                          </w:p>
                        </w:txbxContent>
                      </wps:txbx>
                      <wps:bodyPr upright="1"/>
                    </wps:wsp>
                  </a:graphicData>
                </a:graphic>
              </wp:anchor>
            </w:drawing>
          </mc:Choice>
          <mc:Fallback>
            <w:pict>
              <v:shape id="文本框 69" o:spid="_x0000_s1026" o:spt="202" type="#_x0000_t202" style="position:absolute;left:0pt;margin-left:-9pt;margin-top:4.2pt;height:34.9pt;width:72pt;z-index:251727872;mso-width-relative:page;mso-height-relative:page;" filled="f" stroked="f" coordsize="21600,21600" o:gfxdata="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MK7rAXVAAAA&#10;CAEAAA8AAAAAAAAAAQAgAAAAIgAAAGRycy9kb3ducmV2LnhtbFBLAQIUABQAAAAIAIdO4kA1Su+M&#10;rgEAAE8DAAAOAAAAAAAAAAEAIAAAACQBAABkcnMvZTJvRG9jLnhtbFBLBQYAAAAABgAGAFkBAABE&#10;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发包人对其代表授权</w:t>
                      </w:r>
                    </w:p>
                  </w:txbxContent>
                </v:textbox>
              </v:shape>
            </w:pict>
          </mc:Fallback>
        </mc:AlternateContent>
      </w:r>
      <w:r>
        <w:rPr>
          <w:rFonts w:hint="eastAsia" w:ascii="仿宋" w:hAnsi="仿宋" w:eastAsia="仿宋" w:cs="仿宋"/>
          <w:color w:val="auto"/>
          <w:highlight w:val="none"/>
        </w:rPr>
        <w:t>发包人应在专用条款中写明发包人代表具体人选，并在开工前将发包人代表任命书以书面形式通知承包人，授予其代表发包人履行合同规定职责所需的一切权力。除专用条款另有约定外，发包人不应对发包人代表的权力另有限制。</w:t>
      </w:r>
    </w:p>
    <w:p>
      <w:pPr>
        <w:shd w:val="clear" w:color="000000" w:fill="auto"/>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22.2   </w:t>
      </w:r>
      <w:r>
        <w:rPr>
          <w:rFonts w:ascii="仿宋" w:hAnsi="仿宋" w:eastAsia="仿宋" w:cs="仿宋"/>
          <w:b/>
          <w:bCs/>
          <w:color w:val="auto"/>
          <w:sz w:val="24"/>
          <w:szCs w:val="24"/>
          <w:highlight w:val="none"/>
          <w:u w:val="dotted"/>
        </w:rPr>
        <w:t xml:space="preserve">                                                                                                      </w:t>
      </w:r>
    </w:p>
    <w:p>
      <w:pPr>
        <w:pStyle w:val="33"/>
        <w:shd w:val="clear" w:color="000000" w:fill="auto"/>
        <w:ind w:left="1619" w:leftChars="771"/>
        <w:rPr>
          <w:rFonts w:ascii="仿宋" w:hAnsi="仿宋" w:eastAsia="仿宋"/>
          <w:color w:val="auto"/>
          <w:highlight w:val="none"/>
        </w:rPr>
      </w:pPr>
      <w:r>
        <w:rPr>
          <w:color w:val="auto"/>
          <w:highlight w:val="none"/>
        </w:rPr>
        <mc:AlternateContent>
          <mc:Choice Requires="wps">
            <w:drawing>
              <wp:anchor distT="0" distB="0" distL="114300" distR="114300" simplePos="0" relativeHeight="251728896" behindDoc="0" locked="0" layoutInCell="1" allowOverlap="1">
                <wp:simplePos x="0" y="0"/>
                <wp:positionH relativeFrom="column">
                  <wp:posOffset>-114300</wp:posOffset>
                </wp:positionH>
                <wp:positionV relativeFrom="paragraph">
                  <wp:posOffset>76200</wp:posOffset>
                </wp:positionV>
                <wp:extent cx="914400" cy="396240"/>
                <wp:effectExtent l="0" t="0" r="0" b="0"/>
                <wp:wrapNone/>
                <wp:docPr id="69" name="文本框 7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发包人代表职权</w:t>
                            </w:r>
                          </w:p>
                        </w:txbxContent>
                      </wps:txbx>
                      <wps:bodyPr upright="1"/>
                    </wps:wsp>
                  </a:graphicData>
                </a:graphic>
              </wp:anchor>
            </w:drawing>
          </mc:Choice>
          <mc:Fallback>
            <w:pict>
              <v:shape id="文本框 70" o:spid="_x0000_s1026" o:spt="202" type="#_x0000_t202" style="position:absolute;left:0pt;margin-left:-9pt;margin-top:6pt;height:31.2pt;width:72pt;z-index:251728896;mso-width-relative:page;mso-height-relative:page;" filled="f" stroked="f" coordsize="21600,21600" o:gfxdata="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M2N7btYAAAAJ&#10;AQAADwAAAAAAAAABACAAAAAiAAAAZHJzL2Rvd25yZXYueG1sUEsBAhQAFAAAAAgAh07iQMalTV+s&#10;AQAATwMAAA4AAAAAAAAAAQAgAAAAJQEAAGRycy9lMm9Eb2MueG1sUEsFBgAAAAAGAAYAWQEAAEMF&#10;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发包人代表职权</w:t>
                      </w:r>
                    </w:p>
                  </w:txbxContent>
                </v:textbox>
              </v:shape>
            </w:pict>
          </mc:Fallback>
        </mc:AlternateContent>
      </w:r>
      <w:r>
        <w:rPr>
          <w:rFonts w:hint="eastAsia" w:ascii="仿宋" w:hAnsi="仿宋" w:eastAsia="仿宋" w:cs="仿宋"/>
          <w:color w:val="auto"/>
          <w:highlight w:val="none"/>
        </w:rPr>
        <w:t>发包人代表应代表发包人履行合同规定的职责、行使合同明文规定和必然隐含的权力，对发包人负责。发包人代表在发包人授予职权范围内工作，发包人应予认可。</w:t>
      </w:r>
    </w:p>
    <w:p>
      <w:pPr>
        <w:shd w:val="clear" w:color="000000" w:fill="auto"/>
        <w:spacing w:line="360" w:lineRule="auto"/>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numPr>
          <w:ilvl w:val="0"/>
          <w:numId w:val="0"/>
        </w:numPr>
        <w:shd w:val="clear" w:color="000000" w:fill="auto"/>
        <w:tabs>
          <w:tab w:val="left" w:pos="420"/>
        </w:tabs>
        <w:rPr>
          <w:rFonts w:ascii="仿宋" w:hAnsi="仿宋" w:eastAsia="仿宋"/>
          <w:bCs w:val="0"/>
          <w:color w:val="auto"/>
          <w:sz w:val="24"/>
          <w:szCs w:val="24"/>
          <w:highlight w:val="none"/>
        </w:rPr>
      </w:pPr>
      <w:bookmarkStart w:id="181" w:name="_Toc10624843"/>
      <w:bookmarkStart w:id="182" w:name="_Toc469384003"/>
      <w:bookmarkStart w:id="183" w:name="_Toc2907"/>
      <w:r>
        <w:rPr>
          <w:rFonts w:ascii="仿宋" w:hAnsi="仿宋" w:eastAsia="仿宋" w:cs="仿宋"/>
          <w:bCs w:val="0"/>
          <w:color w:val="auto"/>
          <w:sz w:val="24"/>
          <w:szCs w:val="24"/>
          <w:highlight w:val="none"/>
        </w:rPr>
        <w:t xml:space="preserve">23  </w:t>
      </w:r>
      <w:r>
        <w:rPr>
          <w:rFonts w:hint="eastAsia" w:ascii="仿宋" w:hAnsi="仿宋" w:eastAsia="仿宋" w:cs="仿宋"/>
          <w:bCs w:val="0"/>
          <w:color w:val="auto"/>
          <w:sz w:val="24"/>
          <w:szCs w:val="24"/>
          <w:highlight w:val="none"/>
        </w:rPr>
        <w:t>监理工程师</w:t>
      </w:r>
      <w:bookmarkEnd w:id="181"/>
      <w:bookmarkEnd w:id="182"/>
      <w:bookmarkEnd w:id="183"/>
    </w:p>
    <w:p>
      <w:pPr>
        <w:shd w:val="clear" w:color="000000" w:fill="auto"/>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23.1  </w:t>
      </w:r>
      <w:r>
        <w:rPr>
          <w:rFonts w:ascii="仿宋" w:hAnsi="仿宋" w:eastAsia="仿宋" w:cs="仿宋"/>
          <w:b/>
          <w:bCs/>
          <w:color w:val="auto"/>
          <w:sz w:val="24"/>
          <w:szCs w:val="24"/>
          <w:highlight w:val="none"/>
          <w:u w:val="dotted"/>
        </w:rPr>
        <w:t xml:space="preserve">                                                                                                        </w:t>
      </w:r>
    </w:p>
    <w:p>
      <w:pPr>
        <w:pStyle w:val="33"/>
        <w:shd w:val="clear" w:color="000000" w:fill="auto"/>
        <w:ind w:left="1619" w:leftChars="771"/>
        <w:rPr>
          <w:rFonts w:ascii="仿宋" w:hAnsi="仿宋" w:eastAsia="仿宋"/>
          <w:color w:val="auto"/>
          <w:highlight w:val="none"/>
        </w:rPr>
      </w:pPr>
      <w:r>
        <w:rPr>
          <w:color w:val="auto"/>
          <w:highlight w:val="none"/>
        </w:rPr>
        <mc:AlternateContent>
          <mc:Choice Requires="wps">
            <w:drawing>
              <wp:anchor distT="0" distB="0" distL="114300" distR="114300" simplePos="0" relativeHeight="251729920" behindDoc="0" locked="0" layoutInCell="1" allowOverlap="1">
                <wp:simplePos x="0" y="0"/>
                <wp:positionH relativeFrom="column">
                  <wp:posOffset>-114300</wp:posOffset>
                </wp:positionH>
                <wp:positionV relativeFrom="paragraph">
                  <wp:posOffset>53340</wp:posOffset>
                </wp:positionV>
                <wp:extent cx="914400" cy="389890"/>
                <wp:effectExtent l="0" t="0" r="0" b="0"/>
                <wp:wrapNone/>
                <wp:docPr id="70" name="文本框 71"/>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发包人对监理工程师授权</w:t>
                            </w:r>
                          </w:p>
                        </w:txbxContent>
                      </wps:txbx>
                      <wps:bodyPr upright="1"/>
                    </wps:wsp>
                  </a:graphicData>
                </a:graphic>
              </wp:anchor>
            </w:drawing>
          </mc:Choice>
          <mc:Fallback>
            <w:pict>
              <v:shape id="文本框 71" o:spid="_x0000_s1026" o:spt="202" type="#_x0000_t202" style="position:absolute;left:0pt;margin-left:-9pt;margin-top:4.2pt;height:30.7pt;width:72pt;z-index:251729920;mso-width-relative:page;mso-height-relative:page;" filled="f" stroked="f" coordsize="21600,21600" o:gfxdata="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4YBILVAAAA&#10;CAEAAA8AAAAAAAAAAQAgAAAAIgAAAGRycy9kb3ducmV2LnhtbFBLAQIUABQAAAAIAIdO4kDv19eo&#10;rgEAAE8DAAAOAAAAAAAAAAEAIAAAACQBAABkcnMvZTJvRG9jLnhtbFBLBQYAAAAABgAGAFkBAABE&#10;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发包人对监理工程师授权</w:t>
                      </w:r>
                    </w:p>
                  </w:txbxContent>
                </v:textbox>
              </v:shape>
            </w:pict>
          </mc:Fallback>
        </mc:AlternateContent>
      </w:r>
      <w:r>
        <w:rPr>
          <w:rFonts w:hint="eastAsia" w:ascii="仿宋" w:hAnsi="仿宋" w:eastAsia="仿宋" w:cs="仿宋"/>
          <w:color w:val="auto"/>
          <w:highlight w:val="none"/>
        </w:rPr>
        <w:t>发包人应在专用条款中写明负责合同工程监理专业技术的监理人名称和监理工程师具体人选，并在开工前将监理工程师任命书以书面形式通知承包人，授予其代表发包人履行合同规定职责所需的权力。</w:t>
      </w:r>
    </w:p>
    <w:p>
      <w:pPr>
        <w:shd w:val="clear" w:color="000000" w:fill="auto"/>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23.2  </w:t>
      </w:r>
      <w:r>
        <w:rPr>
          <w:rFonts w:ascii="仿宋" w:hAnsi="仿宋" w:eastAsia="仿宋" w:cs="仿宋"/>
          <w:b/>
          <w:bCs/>
          <w:color w:val="auto"/>
          <w:sz w:val="24"/>
          <w:szCs w:val="24"/>
          <w:highlight w:val="none"/>
          <w:u w:val="dotted"/>
        </w:rPr>
        <w:t xml:space="preserve">                                                                                                        </w:t>
      </w:r>
    </w:p>
    <w:p>
      <w:pPr>
        <w:shd w:val="clear" w:color="000000" w:fill="auto"/>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30944" behindDoc="0" locked="0" layoutInCell="1" allowOverlap="1">
                <wp:simplePos x="0" y="0"/>
                <wp:positionH relativeFrom="column">
                  <wp:posOffset>-114300</wp:posOffset>
                </wp:positionH>
                <wp:positionV relativeFrom="paragraph">
                  <wp:posOffset>38100</wp:posOffset>
                </wp:positionV>
                <wp:extent cx="914400" cy="483870"/>
                <wp:effectExtent l="0" t="0" r="0" b="0"/>
                <wp:wrapNone/>
                <wp:docPr id="71" name="文本框 72"/>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w:t>
                            </w:r>
                          </w:p>
                        </w:txbxContent>
                      </wps:txbx>
                      <wps:bodyPr upright="1"/>
                    </wps:wsp>
                  </a:graphicData>
                </a:graphic>
              </wp:anchor>
            </w:drawing>
          </mc:Choice>
          <mc:Fallback>
            <w:pict>
              <v:shape id="文本框 72" o:spid="_x0000_s1026" o:spt="202" type="#_x0000_t202" style="position:absolute;left:0pt;margin-left:-9pt;margin-top:3pt;height:38.1pt;width:72pt;z-index:251730944;mso-width-relative:page;mso-height-relative:page;" filled="f" stroked="f" coordsize="21600,21600" o:gfxdata="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sfmE7VAAAA&#10;CAEAAA8AAAAAAAAAAQAgAAAAIgAAAGRycy9kb3ducmV2LnhtbFBLAQIUABQAAAAIAIdO4kCOJZun&#10;rgEAAE8DAAAOAAAAAAAAAAEAIAAAACQBAABkcnMvZTJvRG9jLnhtbFBLBQYAAAAABgAGAFkBAABE&#10;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w:t>
                      </w:r>
                    </w:p>
                  </w:txbxContent>
                </v:textbox>
              </v:shape>
            </w:pict>
          </mc:Fallback>
        </mc:AlternateContent>
      </w:r>
      <w:r>
        <w:rPr>
          <w:rFonts w:hint="eastAsia" w:ascii="仿宋" w:hAnsi="仿宋" w:eastAsia="仿宋" w:cs="仿宋"/>
          <w:color w:val="auto"/>
          <w:sz w:val="24"/>
          <w:szCs w:val="24"/>
          <w:highlight w:val="none"/>
        </w:rPr>
        <w:t>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力、义务和责任。</w:t>
      </w:r>
    </w:p>
    <w:p>
      <w:pPr>
        <w:shd w:val="clear" w:color="000000" w:fill="auto"/>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23.3  </w:t>
      </w:r>
      <w:r>
        <w:rPr>
          <w:rFonts w:ascii="仿宋" w:hAnsi="仿宋" w:eastAsia="仿宋" w:cs="仿宋"/>
          <w:b/>
          <w:bCs/>
          <w:color w:val="auto"/>
          <w:sz w:val="24"/>
          <w:szCs w:val="24"/>
          <w:highlight w:val="none"/>
          <w:u w:val="dotted"/>
        </w:rPr>
        <w:t xml:space="preserve">                                                                                                        </w:t>
      </w:r>
    </w:p>
    <w:p>
      <w:pPr>
        <w:shd w:val="clear" w:color="000000" w:fill="auto"/>
        <w:spacing w:line="360" w:lineRule="auto"/>
        <w:ind w:left="1619" w:leftChars="771" w:firstLine="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31968" behindDoc="0" locked="0" layoutInCell="1" allowOverlap="1">
                <wp:simplePos x="0" y="0"/>
                <wp:positionH relativeFrom="column">
                  <wp:posOffset>-114300</wp:posOffset>
                </wp:positionH>
                <wp:positionV relativeFrom="paragraph">
                  <wp:posOffset>68580</wp:posOffset>
                </wp:positionV>
                <wp:extent cx="914400" cy="410210"/>
                <wp:effectExtent l="0" t="0" r="0" b="0"/>
                <wp:wrapNone/>
                <wp:docPr id="72" name="文本框 73"/>
                <wp:cNvGraphicFramePr/>
                <a:graphic xmlns:a="http://schemas.openxmlformats.org/drawingml/2006/main">
                  <a:graphicData uri="http://schemas.microsoft.com/office/word/2010/wordprocessingShape">
                    <wps:wsp>
                      <wps:cNvSpPr txBox="1"/>
                      <wps:spPr>
                        <a:xfrm>
                          <a:off x="0" y="0"/>
                          <a:ext cx="914400" cy="41021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监理工程师职权限制</w:t>
                            </w:r>
                          </w:p>
                        </w:txbxContent>
                      </wps:txbx>
                      <wps:bodyPr upright="1"/>
                    </wps:wsp>
                  </a:graphicData>
                </a:graphic>
              </wp:anchor>
            </w:drawing>
          </mc:Choice>
          <mc:Fallback>
            <w:pict>
              <v:shape id="文本框 73" o:spid="_x0000_s1026" o:spt="202" type="#_x0000_t202" style="position:absolute;left:0pt;margin-left:-9pt;margin-top:5.4pt;height:32.3pt;width:72pt;z-index:251731968;mso-width-relative:page;mso-height-relative:page;" filled="f" stroked="f" coordsize="21600,21600" o:gfxdata="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TBLaHVAAAA&#10;CQEAAA8AAAAAAAAAAQAgAAAAIgAAAGRycy9kb3ducmV2LnhtbFBLAQIUABQAAAAIAIdO4kA0OhPg&#10;rgEAAE8DAAAOAAAAAAAAAAEAIAAAACQBAABkcnMvZTJvRG9jLnhtbFBLBQYAAAAABgAGAFkBAABE&#10;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监理工程师职权限制</w:t>
                      </w:r>
                    </w:p>
                  </w:txbxContent>
                </v:textbox>
              </v:shape>
            </w:pict>
          </mc:Fallback>
        </mc:AlternateContent>
      </w:r>
      <w:r>
        <w:rPr>
          <w:rFonts w:hint="eastAsia" w:ascii="仿宋" w:hAnsi="仿宋" w:eastAsia="仿宋" w:cs="仿宋"/>
          <w:color w:val="auto"/>
          <w:sz w:val="24"/>
          <w:szCs w:val="24"/>
          <w:highlight w:val="none"/>
        </w:rPr>
        <w:t>除属于第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条规定的争议外，监理工程师在职权范围内的工作，发包人应予认可，但下列事件应事先取得发包人的专项批准：</w:t>
      </w:r>
    </w:p>
    <w:p>
      <w:pPr>
        <w:numPr>
          <w:ilvl w:val="0"/>
          <w:numId w:val="6"/>
        </w:numPr>
        <w:shd w:val="clear" w:color="000000" w:fill="auto"/>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5.2</w:t>
      </w:r>
      <w:r>
        <w:rPr>
          <w:rFonts w:hint="eastAsia" w:ascii="仿宋" w:hAnsi="仿宋" w:eastAsia="仿宋" w:cs="仿宋"/>
          <w:color w:val="auto"/>
          <w:sz w:val="24"/>
          <w:szCs w:val="24"/>
          <w:highlight w:val="none"/>
        </w:rPr>
        <w:t>款规定批准承包人提供的配合施工设计图纸；</w:t>
      </w:r>
    </w:p>
    <w:p>
      <w:pPr>
        <w:numPr>
          <w:ilvl w:val="0"/>
          <w:numId w:val="6"/>
        </w:numPr>
        <w:shd w:val="clear" w:color="000000" w:fill="auto"/>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7.2</w:t>
      </w:r>
      <w:r>
        <w:rPr>
          <w:rFonts w:hint="eastAsia" w:ascii="仿宋" w:hAnsi="仿宋" w:eastAsia="仿宋" w:cs="仿宋"/>
          <w:color w:val="auto"/>
          <w:sz w:val="24"/>
          <w:szCs w:val="24"/>
          <w:highlight w:val="none"/>
        </w:rPr>
        <w:t>款规定同意承包人分包工程；</w:t>
      </w:r>
    </w:p>
    <w:p>
      <w:pPr>
        <w:numPr>
          <w:ilvl w:val="0"/>
          <w:numId w:val="6"/>
        </w:numPr>
        <w:shd w:val="clear" w:color="000000" w:fill="auto"/>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18.1</w:t>
      </w:r>
      <w:r>
        <w:rPr>
          <w:rFonts w:hint="eastAsia" w:ascii="仿宋" w:hAnsi="仿宋" w:eastAsia="仿宋" w:cs="仿宋"/>
          <w:color w:val="auto"/>
          <w:sz w:val="24"/>
          <w:szCs w:val="24"/>
          <w:highlight w:val="none"/>
        </w:rPr>
        <w:t>款规定批准承包人将材料和工程设备、施工设备移出施工场地；</w:t>
      </w:r>
    </w:p>
    <w:p>
      <w:pPr>
        <w:numPr>
          <w:ilvl w:val="0"/>
          <w:numId w:val="6"/>
        </w:numPr>
        <w:shd w:val="clear" w:color="000000" w:fill="auto"/>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33</w:t>
      </w:r>
      <w:r>
        <w:rPr>
          <w:rFonts w:hint="eastAsia" w:ascii="仿宋" w:hAnsi="仿宋" w:eastAsia="仿宋" w:cs="仿宋"/>
          <w:color w:val="auto"/>
          <w:sz w:val="24"/>
          <w:szCs w:val="24"/>
          <w:highlight w:val="none"/>
        </w:rPr>
        <w:t>条规定批准承包人的施工组织设计和工程进度计划；</w:t>
      </w:r>
    </w:p>
    <w:p>
      <w:pPr>
        <w:numPr>
          <w:ilvl w:val="0"/>
          <w:numId w:val="6"/>
        </w:numPr>
        <w:shd w:val="clear" w:color="000000" w:fill="auto"/>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34.2</w:t>
      </w:r>
      <w:r>
        <w:rPr>
          <w:rFonts w:hint="eastAsia" w:ascii="仿宋" w:hAnsi="仿宋" w:eastAsia="仿宋" w:cs="仿宋"/>
          <w:color w:val="auto"/>
          <w:sz w:val="24"/>
          <w:szCs w:val="24"/>
          <w:highlight w:val="none"/>
        </w:rPr>
        <w:t>款规定发出的工程开工令；</w:t>
      </w:r>
    </w:p>
    <w:p>
      <w:pPr>
        <w:numPr>
          <w:ilvl w:val="0"/>
          <w:numId w:val="6"/>
        </w:numPr>
        <w:shd w:val="clear" w:color="000000" w:fill="auto"/>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37.2</w:t>
      </w:r>
      <w:r>
        <w:rPr>
          <w:rFonts w:hint="eastAsia" w:ascii="仿宋" w:hAnsi="仿宋" w:eastAsia="仿宋" w:cs="仿宋"/>
          <w:color w:val="auto"/>
          <w:sz w:val="24"/>
          <w:szCs w:val="24"/>
          <w:highlight w:val="none"/>
        </w:rPr>
        <w:t>款规定发出加快进度的变更指令；</w:t>
      </w:r>
    </w:p>
    <w:p>
      <w:pPr>
        <w:numPr>
          <w:ilvl w:val="0"/>
          <w:numId w:val="6"/>
        </w:numPr>
        <w:shd w:val="clear" w:color="000000" w:fill="auto"/>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49.6</w:t>
      </w:r>
      <w:r>
        <w:rPr>
          <w:rFonts w:hint="eastAsia" w:ascii="仿宋" w:hAnsi="仿宋" w:eastAsia="仿宋" w:cs="仿宋"/>
          <w:color w:val="auto"/>
          <w:sz w:val="24"/>
          <w:szCs w:val="24"/>
          <w:highlight w:val="none"/>
        </w:rPr>
        <w:t>款规定使用替换材料；</w:t>
      </w:r>
    </w:p>
    <w:p>
      <w:pPr>
        <w:numPr>
          <w:ilvl w:val="0"/>
          <w:numId w:val="6"/>
        </w:numPr>
        <w:shd w:val="clear" w:color="000000" w:fill="auto"/>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63</w:t>
      </w:r>
      <w:r>
        <w:rPr>
          <w:rFonts w:hint="eastAsia" w:ascii="仿宋" w:hAnsi="仿宋" w:eastAsia="仿宋" w:cs="仿宋"/>
          <w:color w:val="auto"/>
          <w:sz w:val="24"/>
          <w:szCs w:val="24"/>
          <w:highlight w:val="none"/>
        </w:rPr>
        <w:t>条规定发出使用暂列金额的工作指令；</w:t>
      </w:r>
    </w:p>
    <w:p>
      <w:pPr>
        <w:numPr>
          <w:ilvl w:val="0"/>
          <w:numId w:val="6"/>
        </w:numPr>
        <w:shd w:val="clear" w:color="000000" w:fill="auto"/>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64</w:t>
      </w:r>
      <w:r>
        <w:rPr>
          <w:rFonts w:hint="eastAsia" w:ascii="仿宋" w:hAnsi="仿宋" w:eastAsia="仿宋" w:cs="仿宋"/>
          <w:color w:val="auto"/>
          <w:sz w:val="24"/>
          <w:szCs w:val="24"/>
          <w:highlight w:val="none"/>
        </w:rPr>
        <w:t>条规定发出使用计日工的工作指令；</w:t>
      </w:r>
    </w:p>
    <w:p>
      <w:pPr>
        <w:pStyle w:val="87"/>
        <w:shd w:val="clear" w:color="000000" w:fill="auto"/>
        <w:spacing w:line="360" w:lineRule="auto"/>
        <w:ind w:firstLine="1440" w:firstLineChars="600"/>
        <w:jc w:val="left"/>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（1</w:t>
      </w:r>
      <w:r>
        <w:rPr>
          <w:rFonts w:ascii="仿宋" w:hAnsi="仿宋" w:eastAsia="仿宋" w:cs="仿宋"/>
          <w:color w:val="auto"/>
          <w:sz w:val="24"/>
          <w:szCs w:val="24"/>
          <w:highlight w:val="none"/>
        </w:rPr>
        <w:t>0</w:t>
      </w: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条规定指令或批准的工程变更；</w:t>
      </w:r>
    </w:p>
    <w:p>
      <w:pPr>
        <w:pStyle w:val="87"/>
        <w:shd w:val="clear" w:color="000000" w:fill="auto"/>
        <w:spacing w:line="360" w:lineRule="auto"/>
        <w:ind w:firstLine="1440" w:firstLineChars="6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（1</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75</w:t>
      </w:r>
      <w:r>
        <w:rPr>
          <w:rFonts w:hint="eastAsia" w:ascii="仿宋" w:hAnsi="仿宋" w:eastAsia="仿宋" w:cs="仿宋"/>
          <w:color w:val="auto"/>
          <w:sz w:val="24"/>
          <w:szCs w:val="24"/>
          <w:highlight w:val="none"/>
        </w:rPr>
        <w:t>条规定指令或确认的现场签证；</w:t>
      </w:r>
    </w:p>
    <w:p>
      <w:pPr>
        <w:shd w:val="clear" w:color="000000" w:fill="auto"/>
        <w:spacing w:line="360" w:lineRule="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 xml:space="preserve">             （</w:t>
      </w:r>
      <w:r>
        <w:rPr>
          <w:rFonts w:ascii="仿宋" w:hAnsi="仿宋" w:eastAsia="仿宋" w:cs="仿宋"/>
          <w:color w:val="auto"/>
          <w:sz w:val="24"/>
          <w:szCs w:val="24"/>
          <w:highlight w:val="none"/>
        </w:rPr>
        <w:t>12</w:t>
      </w:r>
      <w:r>
        <w:rPr>
          <w:rFonts w:hint="eastAsia" w:ascii="仿宋" w:hAnsi="仿宋" w:eastAsia="仿宋" w:cs="仿宋"/>
          <w:color w:val="auto"/>
          <w:sz w:val="24"/>
          <w:szCs w:val="24"/>
          <w:highlight w:val="none"/>
        </w:rPr>
        <w:t>）专用条款约定需要发包人批准的其他事项。</w:t>
      </w:r>
    </w:p>
    <w:p>
      <w:pPr>
        <w:shd w:val="clear" w:color="000000" w:fill="auto"/>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32992" behindDoc="0" locked="0" layoutInCell="1" allowOverlap="1">
                <wp:simplePos x="0" y="0"/>
                <wp:positionH relativeFrom="column">
                  <wp:posOffset>-114300</wp:posOffset>
                </wp:positionH>
                <wp:positionV relativeFrom="paragraph">
                  <wp:posOffset>278130</wp:posOffset>
                </wp:positionV>
                <wp:extent cx="1028700" cy="457200"/>
                <wp:effectExtent l="0" t="0" r="0" b="0"/>
                <wp:wrapNone/>
                <wp:docPr id="73" name="文本框 74"/>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监理工程师指</w:t>
                            </w:r>
                          </w:p>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令</w:t>
                            </w:r>
                          </w:p>
                        </w:txbxContent>
                      </wps:txbx>
                      <wps:bodyPr upright="1"/>
                    </wps:wsp>
                  </a:graphicData>
                </a:graphic>
              </wp:anchor>
            </w:drawing>
          </mc:Choice>
          <mc:Fallback>
            <w:pict>
              <v:shape id="文本框 74" o:spid="_x0000_s1026" o:spt="202" type="#_x0000_t202" style="position:absolute;left:0pt;margin-left:-9pt;margin-top:21.9pt;height:36pt;width:81pt;z-index:251732992;mso-width-relative:page;mso-height-relative:page;" filled="f" stroked="f" coordsize="21600,21600" o:gfxdata="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OZhKhdcA&#10;AAAKAQAADwAAAAAAAAABACAAAAAiAAAAZHJzL2Rvd25yZXYueG1sUEsBAhQAFAAAAAgAh07iQM+P&#10;A1WuAQAAUAMAAA4AAAAAAAAAAQAgAAAAJg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监理工程师指</w:t>
                      </w:r>
                    </w:p>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ascii="仿宋" w:hAnsi="仿宋" w:eastAsia="仿宋" w:cs="仿宋"/>
          <w:b/>
          <w:bCs/>
          <w:color w:val="auto"/>
          <w:sz w:val="24"/>
          <w:szCs w:val="24"/>
          <w:highlight w:val="none"/>
        </w:rPr>
        <w:t xml:space="preserve">23.4  </w:t>
      </w:r>
      <w:r>
        <w:rPr>
          <w:rFonts w:ascii="仿宋" w:hAnsi="仿宋" w:eastAsia="仿宋" w:cs="仿宋"/>
          <w:b/>
          <w:bCs/>
          <w:color w:val="auto"/>
          <w:sz w:val="24"/>
          <w:szCs w:val="24"/>
          <w:highlight w:val="none"/>
          <w:u w:val="dotted"/>
        </w:rPr>
        <w:t xml:space="preserve">                                                                                                       </w:t>
      </w:r>
    </w:p>
    <w:p>
      <w:pPr>
        <w:shd w:val="clear" w:color="000000" w:fill="auto"/>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监理工程师应按照合同约定时间向承包人提供实施合同工程的进度、质量和安全工作所需的批准、确认和通知等指令。</w:t>
      </w:r>
    </w:p>
    <w:p>
      <w:pPr>
        <w:shd w:val="clear" w:color="000000" w:fill="auto"/>
        <w:tabs>
          <w:tab w:val="left" w:pos="1260"/>
        </w:tabs>
        <w:spacing w:line="360" w:lineRule="auto"/>
        <w:ind w:left="1619" w:leftChars="771"/>
        <w:rPr>
          <w:rFonts w:ascii="仿宋" w:hAnsi="仿宋" w:eastAsia="仿宋" w:cs="Times New Roman"/>
          <w:b/>
          <w:bCs/>
          <w:color w:val="auto"/>
          <w:sz w:val="24"/>
          <w:szCs w:val="24"/>
          <w:highlight w:val="none"/>
        </w:rPr>
      </w:pPr>
      <w:r>
        <w:rPr>
          <w:rFonts w:hint="eastAsia" w:ascii="仿宋" w:hAnsi="仿宋" w:eastAsia="仿宋" w:cs="仿宋"/>
          <w:color w:val="auto"/>
          <w:sz w:val="24"/>
          <w:szCs w:val="24"/>
          <w:highlight w:val="none"/>
        </w:rPr>
        <w:t>监理工程师提供的指令，均应采用书面形式。在紧急情况下，监理工程师可发出口头指令，但应在</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小时内给予书面确认。对监理工程师的口头指令，承包人应予执行。如果承包人在监理工程师发出口头指令</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小时后未收到书面确认，则应在接到口头指令后的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天内向监理工程师发出书面确认函。监理工程师应在承包人发出书面确认函后</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小时内给予答复；逾期未予答复的，视为承包人的书面确认函已被认可。</w:t>
      </w:r>
    </w:p>
    <w:p>
      <w:pPr>
        <w:shd w:val="clear" w:color="000000" w:fill="auto"/>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23.5  </w:t>
      </w:r>
      <w:r>
        <w:rPr>
          <w:rFonts w:ascii="仿宋" w:hAnsi="仿宋" w:eastAsia="仿宋" w:cs="仿宋"/>
          <w:b/>
          <w:bCs/>
          <w:color w:val="auto"/>
          <w:sz w:val="24"/>
          <w:szCs w:val="24"/>
          <w:highlight w:val="none"/>
          <w:u w:val="dotted"/>
        </w:rPr>
        <w:t xml:space="preserve">                                                                                                        </w:t>
      </w:r>
    </w:p>
    <w:p>
      <w:pPr>
        <w:shd w:val="clear" w:color="000000" w:fill="auto"/>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34016" behindDoc="0" locked="0" layoutInCell="1" allowOverlap="1">
                <wp:simplePos x="0" y="0"/>
                <wp:positionH relativeFrom="column">
                  <wp:posOffset>-114300</wp:posOffset>
                </wp:positionH>
                <wp:positionV relativeFrom="paragraph">
                  <wp:posOffset>49530</wp:posOffset>
                </wp:positionV>
                <wp:extent cx="914400" cy="430530"/>
                <wp:effectExtent l="0" t="0" r="0" b="0"/>
                <wp:wrapNone/>
                <wp:docPr id="74" name="文本框 75"/>
                <wp:cNvGraphicFramePr/>
                <a:graphic xmlns:a="http://schemas.openxmlformats.org/drawingml/2006/main">
                  <a:graphicData uri="http://schemas.microsoft.com/office/word/2010/wordprocessingShape">
                    <wps:wsp>
                      <wps:cNvSpPr txBox="1"/>
                      <wps:spPr>
                        <a:xfrm>
                          <a:off x="0" y="0"/>
                          <a:ext cx="914400" cy="43053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承包人执行监理工程师指令</w:t>
                            </w:r>
                          </w:p>
                        </w:txbxContent>
                      </wps:txbx>
                      <wps:bodyPr upright="1"/>
                    </wps:wsp>
                  </a:graphicData>
                </a:graphic>
              </wp:anchor>
            </w:drawing>
          </mc:Choice>
          <mc:Fallback>
            <w:pict>
              <v:shape id="文本框 75" o:spid="_x0000_s1026" o:spt="202" type="#_x0000_t202" style="position:absolute;left:0pt;margin-left:-9pt;margin-top:3.9pt;height:33.9pt;width:72pt;z-index:251734016;mso-width-relative:page;mso-height-relative:page;" filled="f" stroked="f" coordsize="21600,21600" o:gfxdata="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Wd8frUAAAA&#10;CAEAAA8AAAAAAAAAAQAgAAAAIgAAAGRycy9kb3ducmV2LnhtbFBLAQIUABQAAAAIAIdO4kDccLDd&#10;rwEAAE8DAAAOAAAAAAAAAAEAIAAAACMBAABkcnMvZTJvRG9jLnhtbFBLBQYAAAAABgAGAFkBAABE&#10;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承包人执行监理工程师指令</w:t>
                      </w:r>
                    </w:p>
                  </w:txbxContent>
                </v:textbox>
              </v:shape>
            </w:pict>
          </mc:Fallback>
        </mc:AlternateContent>
      </w:r>
      <w:r>
        <w:rPr>
          <w:rFonts w:hint="eastAsia" w:ascii="仿宋" w:hAnsi="仿宋" w:eastAsia="仿宋" w:cs="仿宋"/>
          <w:color w:val="auto"/>
          <w:sz w:val="24"/>
          <w:szCs w:val="24"/>
          <w:highlight w:val="none"/>
        </w:rPr>
        <w:t>如果承包人认为监理工程师的指令不合理，应在收到指令后</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小时内向监理工程师提出书面报告，监理工程师应在收到承包人报告后</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小时内做出修改指令或继续执行原指令的决定，并书面通知承包人。逾期不做出决定的，承包人可不执行监理工程师的指令。</w:t>
      </w:r>
    </w:p>
    <w:p>
      <w:pPr>
        <w:shd w:val="clear" w:color="000000" w:fill="auto"/>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23.6</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shd w:val="clear" w:color="000000" w:fill="auto"/>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35040" behindDoc="0" locked="0" layoutInCell="1" allowOverlap="1">
                <wp:simplePos x="0" y="0"/>
                <wp:positionH relativeFrom="column">
                  <wp:posOffset>-114300</wp:posOffset>
                </wp:positionH>
                <wp:positionV relativeFrom="paragraph">
                  <wp:posOffset>21590</wp:posOffset>
                </wp:positionV>
                <wp:extent cx="914400" cy="443230"/>
                <wp:effectExtent l="0" t="0" r="0" b="0"/>
                <wp:wrapNone/>
                <wp:docPr id="75" name="文本框 76"/>
                <wp:cNvGraphicFramePr/>
                <a:graphic xmlns:a="http://schemas.openxmlformats.org/drawingml/2006/main">
                  <a:graphicData uri="http://schemas.microsoft.com/office/word/2010/wordprocessingShape">
                    <wps:wsp>
                      <wps:cNvSpPr txBox="1"/>
                      <wps:spPr>
                        <a:xfrm>
                          <a:off x="0" y="0"/>
                          <a:ext cx="914400" cy="44323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监理工程师职权委托</w:t>
                            </w:r>
                          </w:p>
                        </w:txbxContent>
                      </wps:txbx>
                      <wps:bodyPr upright="1"/>
                    </wps:wsp>
                  </a:graphicData>
                </a:graphic>
              </wp:anchor>
            </w:drawing>
          </mc:Choice>
          <mc:Fallback>
            <w:pict>
              <v:shape id="文本框 76" o:spid="_x0000_s1026" o:spt="202" type="#_x0000_t202" style="position:absolute;left:0pt;margin-left:-9pt;margin-top:1.7pt;height:34.9pt;width:72pt;z-index:251735040;mso-width-relative:page;mso-height-relative:page;" filled="f" stroked="f" coordsize="21600,21600" o:gfxdata="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pLIZsdYA&#10;AAAIAQAADwAAAAAAAAABACAAAAAiAAAAZHJzL2Rvd25yZXYueG1sUEsBAhQAFAAAAAgAh07iQBmN&#10;6jOvAQAATwMAAA4AAAAAAAAAAQAgAAAAJQ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监理工程师职权委托</w:t>
                      </w:r>
                    </w:p>
                  </w:txbxContent>
                </v:textbox>
              </v:shape>
            </w:pict>
          </mc:Fallback>
        </mc:AlternateContent>
      </w:r>
      <w:r>
        <w:rPr>
          <w:rFonts w:hint="eastAsia" w:ascii="仿宋" w:hAnsi="仿宋" w:eastAsia="仿宋" w:cs="仿宋"/>
          <w:color w:val="auto"/>
          <w:sz w:val="24"/>
          <w:szCs w:val="24"/>
          <w:highlight w:val="none"/>
        </w:rPr>
        <w:t>监理工程师可按照第</w:t>
      </w:r>
      <w:r>
        <w:rPr>
          <w:rFonts w:ascii="仿宋" w:hAnsi="仿宋" w:eastAsia="仿宋" w:cs="仿宋"/>
          <w:color w:val="auto"/>
          <w:sz w:val="24"/>
          <w:szCs w:val="24"/>
          <w:highlight w:val="none"/>
        </w:rPr>
        <w:t>21.3</w:t>
      </w:r>
      <w:r>
        <w:rPr>
          <w:rFonts w:hint="eastAsia" w:ascii="仿宋" w:hAnsi="仿宋" w:eastAsia="仿宋" w:cs="仿宋"/>
          <w:color w:val="auto"/>
          <w:sz w:val="24"/>
          <w:szCs w:val="24"/>
          <w:highlight w:val="none"/>
        </w:rPr>
        <w:t>款规定授权给其任命的监理工程师代表，亦可将其授权撤回。监理工程师代表行使监理工程师授予的职权，对监理工程师负责。监理工程师代表在监理工程师授予职权范围内工作，监理工程师应予认可，但监理工程师保留因监理工程师代表未反对合同工程的工程质量检查、材料和工程设备使用等工作的错误而否定该类工作，并发出纠正指令的权力。未按照第</w:t>
      </w:r>
      <w:r>
        <w:rPr>
          <w:rFonts w:ascii="仿宋" w:hAnsi="仿宋" w:eastAsia="仿宋" w:cs="仿宋"/>
          <w:color w:val="auto"/>
          <w:sz w:val="24"/>
          <w:szCs w:val="24"/>
          <w:highlight w:val="none"/>
        </w:rPr>
        <w:t>21.3</w:t>
      </w:r>
      <w:r>
        <w:rPr>
          <w:rFonts w:hint="eastAsia" w:ascii="仿宋" w:hAnsi="仿宋" w:eastAsia="仿宋" w:cs="仿宋"/>
          <w:color w:val="auto"/>
          <w:sz w:val="24"/>
          <w:szCs w:val="24"/>
          <w:highlight w:val="none"/>
        </w:rPr>
        <w:t>款规定，任何此类任命或撤回均为无效。</w:t>
      </w:r>
    </w:p>
    <w:p>
      <w:pPr>
        <w:shd w:val="clear" w:color="000000" w:fill="auto"/>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23.7  </w:t>
      </w:r>
      <w:r>
        <w:rPr>
          <w:rFonts w:ascii="仿宋" w:hAnsi="仿宋" w:eastAsia="仿宋" w:cs="仿宋"/>
          <w:b/>
          <w:bCs/>
          <w:color w:val="auto"/>
          <w:sz w:val="24"/>
          <w:szCs w:val="24"/>
          <w:highlight w:val="none"/>
          <w:u w:val="dotted"/>
        </w:rPr>
        <w:t xml:space="preserve">                                                                                                        </w:t>
      </w:r>
    </w:p>
    <w:p>
      <w:pPr>
        <w:shd w:val="clear" w:color="000000" w:fill="auto"/>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36064" behindDoc="0" locked="0" layoutInCell="1" allowOverlap="1">
                <wp:simplePos x="0" y="0"/>
                <wp:positionH relativeFrom="column">
                  <wp:posOffset>-114300</wp:posOffset>
                </wp:positionH>
                <wp:positionV relativeFrom="paragraph">
                  <wp:posOffset>29210</wp:posOffset>
                </wp:positionV>
                <wp:extent cx="914400" cy="610870"/>
                <wp:effectExtent l="0" t="0" r="0" b="0"/>
                <wp:wrapNone/>
                <wp:docPr id="76" name="文本框 77"/>
                <wp:cNvGraphicFramePr/>
                <a:graphic xmlns:a="http://schemas.openxmlformats.org/drawingml/2006/main">
                  <a:graphicData uri="http://schemas.microsoft.com/office/word/2010/wordprocessingShape">
                    <wps:wsp>
                      <wps:cNvSpPr txBox="1"/>
                      <wps:spPr>
                        <a:xfrm>
                          <a:off x="0" y="0"/>
                          <a:ext cx="914400" cy="61087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wps:txbx>
                      <wps:bodyPr upright="1"/>
                    </wps:wsp>
                  </a:graphicData>
                </a:graphic>
              </wp:anchor>
            </w:drawing>
          </mc:Choice>
          <mc:Fallback>
            <w:pict>
              <v:shape id="文本框 77" o:spid="_x0000_s1026" o:spt="202" type="#_x0000_t202" style="position:absolute;left:0pt;margin-left:-9pt;margin-top:2.3pt;height:48.1pt;width:72pt;z-index:251736064;mso-width-relative:page;mso-height-relative:page;" filled="f" stroked="f" coordsize="21600,21600" o:gfxdata="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46hzP1gAA&#10;AAkBAAAPAAAAAAAAAAEAIAAAACIAAABkcnMvZG93bnJldi54bWxQSwECFAAUAAAACACHTuJA5ni1&#10;AK4BAABPAwAADgAAAAAAAAABACAAAAAlAQAAZHJzL2Uyb0RvYy54bWxQSwUGAAAAAAYABgBZAQAA&#10;R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v:textbox>
              </v:shape>
            </w:pict>
          </mc:Fallback>
        </mc:AlternateContent>
      </w:r>
      <w:r>
        <w:rPr>
          <w:rFonts w:hint="eastAsia" w:ascii="仿宋" w:hAnsi="仿宋" w:eastAsia="仿宋" w:cs="仿宋"/>
          <w:color w:val="auto"/>
          <w:sz w:val="24"/>
          <w:szCs w:val="24"/>
          <w:highlight w:val="none"/>
        </w:rPr>
        <w:t>监理工程师（含其代表）未能正确完成本合同约定的全部义务，或工作出现失误，导致费用的增加和（或）延误的工期，由发包人承担；给承包人造成损失的，发包人应予赔偿。</w:t>
      </w:r>
    </w:p>
    <w:p>
      <w:pPr>
        <w:shd w:val="clear" w:color="000000" w:fill="auto"/>
        <w:tabs>
          <w:tab w:val="left" w:pos="1260"/>
        </w:tabs>
        <w:spacing w:line="360" w:lineRule="auto"/>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numPr>
          <w:ilvl w:val="0"/>
          <w:numId w:val="0"/>
        </w:numPr>
        <w:shd w:val="clear" w:color="000000" w:fill="auto"/>
        <w:tabs>
          <w:tab w:val="left" w:pos="420"/>
        </w:tabs>
        <w:ind w:left="720"/>
        <w:rPr>
          <w:rFonts w:ascii="仿宋" w:hAnsi="仿宋" w:eastAsia="仿宋"/>
          <w:color w:val="auto"/>
          <w:sz w:val="24"/>
          <w:szCs w:val="24"/>
          <w:highlight w:val="none"/>
        </w:rPr>
      </w:pPr>
      <w:bookmarkStart w:id="184" w:name="_Toc23632"/>
      <w:bookmarkStart w:id="185" w:name="_Toc10624844"/>
      <w:bookmarkStart w:id="186" w:name="_Toc469384004"/>
      <w:r>
        <w:rPr>
          <w:rFonts w:ascii="仿宋" w:hAnsi="仿宋" w:eastAsia="仿宋" w:cs="仿宋"/>
          <w:color w:val="auto"/>
          <w:sz w:val="24"/>
          <w:szCs w:val="24"/>
          <w:highlight w:val="none"/>
        </w:rPr>
        <w:t xml:space="preserve">24  </w:t>
      </w:r>
      <w:r>
        <w:rPr>
          <w:rFonts w:hint="eastAsia" w:ascii="仿宋" w:hAnsi="仿宋" w:eastAsia="仿宋" w:cs="仿宋"/>
          <w:color w:val="auto"/>
          <w:sz w:val="24"/>
          <w:szCs w:val="24"/>
          <w:highlight w:val="none"/>
        </w:rPr>
        <w:t>造价工程师</w:t>
      </w:r>
      <w:bookmarkEnd w:id="184"/>
      <w:bookmarkEnd w:id="185"/>
      <w:bookmarkEnd w:id="186"/>
    </w:p>
    <w:p>
      <w:pPr>
        <w:shd w:val="clear" w:color="000000" w:fill="auto"/>
        <w:tabs>
          <w:tab w:val="left" w:pos="1260"/>
        </w:tabs>
        <w:spacing w:line="400" w:lineRule="exact"/>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24.1                                                   </w:t>
      </w:r>
    </w:p>
    <w:p>
      <w:pPr>
        <w:pStyle w:val="33"/>
        <w:shd w:val="clear" w:color="000000" w:fill="auto"/>
        <w:tabs>
          <w:tab w:val="left" w:pos="1260"/>
          <w:tab w:val="left" w:pos="1620"/>
        </w:tabs>
        <w:ind w:left="1619" w:leftChars="771"/>
        <w:rPr>
          <w:rFonts w:ascii="仿宋" w:hAnsi="仿宋" w:eastAsia="仿宋"/>
          <w:color w:val="auto"/>
          <w:highlight w:val="none"/>
        </w:rPr>
      </w:pPr>
      <w:r>
        <w:rPr>
          <w:color w:val="auto"/>
          <w:highlight w:val="none"/>
        </w:rPr>
        <mc:AlternateContent>
          <mc:Choice Requires="wps">
            <w:drawing>
              <wp:anchor distT="0" distB="0" distL="114300" distR="114300" simplePos="0" relativeHeight="251737088" behindDoc="0" locked="0" layoutInCell="1" allowOverlap="1">
                <wp:simplePos x="0" y="0"/>
                <wp:positionH relativeFrom="column">
                  <wp:posOffset>-114300</wp:posOffset>
                </wp:positionH>
                <wp:positionV relativeFrom="paragraph">
                  <wp:posOffset>45720</wp:posOffset>
                </wp:positionV>
                <wp:extent cx="914400" cy="449580"/>
                <wp:effectExtent l="0" t="0" r="0" b="0"/>
                <wp:wrapNone/>
                <wp:docPr id="77" name="文本框 78"/>
                <wp:cNvGraphicFramePr/>
                <a:graphic xmlns:a="http://schemas.openxmlformats.org/drawingml/2006/main">
                  <a:graphicData uri="http://schemas.microsoft.com/office/word/2010/wordprocessingShape">
                    <wps:wsp>
                      <wps:cNvSpPr txBox="1"/>
                      <wps:spPr>
                        <a:xfrm>
                          <a:off x="0" y="0"/>
                          <a:ext cx="914400" cy="44958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发包人对造价工程师授权</w:t>
                            </w:r>
                          </w:p>
                        </w:txbxContent>
                      </wps:txbx>
                      <wps:bodyPr upright="1"/>
                    </wps:wsp>
                  </a:graphicData>
                </a:graphic>
              </wp:anchor>
            </w:drawing>
          </mc:Choice>
          <mc:Fallback>
            <w:pict>
              <v:shape id="文本框 78" o:spid="_x0000_s1026" o:spt="202" type="#_x0000_t202" style="position:absolute;left:0pt;margin-left:-9pt;margin-top:3.6pt;height:35.4pt;width:72pt;z-index:251737088;mso-width-relative:page;mso-height-relative:page;" filled="f" stroked="f" coordsize="21600,21600" o:gfxdata="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bo5MUNMAAAAI&#10;AQAADwAAAAAAAAABACAAAAAiAAAAZHJzL2Rvd25yZXYueG1sUEsBAhQAFAAAAAgAh07iQL0onQCv&#10;AQAATwMAAA4AAAAAAAAAAQAgAAAAIgEAAGRycy9lMm9Eb2MueG1sUEsFBgAAAAAGAAYAWQEAAEMF&#10;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发包人对造价工程师授权</w:t>
                      </w:r>
                    </w:p>
                  </w:txbxContent>
                </v:textbox>
              </v:shape>
            </w:pict>
          </mc:Fallback>
        </mc:AlternateContent>
      </w:r>
      <w:r>
        <w:rPr>
          <w:rFonts w:hint="eastAsia" w:ascii="仿宋" w:hAnsi="仿宋" w:eastAsia="仿宋" w:cs="仿宋"/>
          <w:color w:val="auto"/>
          <w:highlight w:val="none"/>
        </w:rPr>
        <w:t>发包人应在专用条款中写明负责合同工程造价专业技术的工程造价咨询人（如有）名称和造价工程师具体人选，并在开工前将造价工程师任命书以书面形式通知承包人，授予其代表发包人履行合同规定职责所需的权力。</w:t>
      </w:r>
    </w:p>
    <w:p>
      <w:pPr>
        <w:shd w:val="clear" w:color="000000" w:fill="auto"/>
        <w:tabs>
          <w:tab w:val="left" w:pos="1260"/>
        </w:tabs>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24.2  </w:t>
      </w:r>
      <w:r>
        <w:rPr>
          <w:rFonts w:ascii="仿宋" w:hAnsi="仿宋" w:eastAsia="仿宋" w:cs="仿宋"/>
          <w:b/>
          <w:bCs/>
          <w:color w:val="auto"/>
          <w:sz w:val="24"/>
          <w:szCs w:val="24"/>
          <w:highlight w:val="none"/>
          <w:u w:val="dotted"/>
        </w:rPr>
        <w:t xml:space="preserve">                                                                                                        </w:t>
      </w:r>
    </w:p>
    <w:p>
      <w:pPr>
        <w:shd w:val="clear" w:color="000000" w:fill="auto"/>
        <w:tabs>
          <w:tab w:val="left" w:pos="1260"/>
        </w:tabs>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38112" behindDoc="0" locked="0" layoutInCell="1" allowOverlap="1">
                <wp:simplePos x="0" y="0"/>
                <wp:positionH relativeFrom="column">
                  <wp:posOffset>-114300</wp:posOffset>
                </wp:positionH>
                <wp:positionV relativeFrom="paragraph">
                  <wp:posOffset>-1270</wp:posOffset>
                </wp:positionV>
                <wp:extent cx="914400" cy="427990"/>
                <wp:effectExtent l="0" t="0" r="0" b="0"/>
                <wp:wrapNone/>
                <wp:docPr id="78" name="文本框 79"/>
                <wp:cNvGraphicFramePr/>
                <a:graphic xmlns:a="http://schemas.openxmlformats.org/drawingml/2006/main">
                  <a:graphicData uri="http://schemas.microsoft.com/office/word/2010/wordprocessingShape">
                    <wps:wsp>
                      <wps:cNvSpPr txBox="1"/>
                      <wps:spPr>
                        <a:xfrm>
                          <a:off x="0" y="0"/>
                          <a:ext cx="914400" cy="42799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w:t>
                            </w:r>
                          </w:p>
                        </w:txbxContent>
                      </wps:txbx>
                      <wps:bodyPr upright="1"/>
                    </wps:wsp>
                  </a:graphicData>
                </a:graphic>
              </wp:anchor>
            </w:drawing>
          </mc:Choice>
          <mc:Fallback>
            <w:pict>
              <v:shape id="文本框 79" o:spid="_x0000_s1026" o:spt="202" type="#_x0000_t202" style="position:absolute;left:0pt;margin-left:-9pt;margin-top:-0.1pt;height:33.7pt;width:72pt;z-index:251738112;mso-width-relative:page;mso-height-relative:page;" filled="f" stroked="f" coordsize="21600,21600" o:gfxdata="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yitqPVAAAA&#10;CAEAAA8AAAAAAAAAAQAgAAAAIgAAAGRycy9kb3ducmV2LnhtbFBLAQIUABQAAAAIAIdO4kBBOrc2&#10;rgEAAE8DAAAOAAAAAAAAAAEAIAAAACQBAABkcnMvZTJvRG9jLnhtbFBLBQYAAAAABgAGAFkBAABE&#10;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w:t>
                      </w:r>
                    </w:p>
                  </w:txbxContent>
                </v:textbox>
              </v:shape>
            </w:pict>
          </mc:Fallback>
        </mc:AlternateContent>
      </w:r>
      <w:r>
        <w:rPr>
          <w:rFonts w:hint="eastAsia" w:ascii="仿宋" w:hAnsi="仿宋" w:eastAsia="仿宋" w:cs="仿宋"/>
          <w:color w:val="auto"/>
          <w:sz w:val="24"/>
          <w:szCs w:val="24"/>
          <w:highlight w:val="none"/>
        </w:rPr>
        <w:t>造价工程师行使合同明文规定和必然隐含的职权，代表发包人负责工程计量和计价，工程进度款的调整和核实，结算价款的编制、调整和复核，签发支付证书，及时向承包人提供合同价款的核实、调整和通知等指令。造价工程师无权免除或变更合同规定的合同任何一方当事人在合同履行期间的权力、义务和责任。</w:t>
      </w:r>
    </w:p>
    <w:p>
      <w:pPr>
        <w:shd w:val="clear" w:color="000000" w:fill="auto"/>
        <w:tabs>
          <w:tab w:val="left" w:pos="1260"/>
        </w:tabs>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24.3  </w:t>
      </w:r>
      <w:r>
        <w:rPr>
          <w:rFonts w:ascii="仿宋" w:hAnsi="仿宋" w:eastAsia="仿宋" w:cs="仿宋"/>
          <w:b/>
          <w:bCs/>
          <w:color w:val="auto"/>
          <w:sz w:val="24"/>
          <w:szCs w:val="24"/>
          <w:highlight w:val="none"/>
          <w:u w:val="dotted"/>
        </w:rPr>
        <w:t xml:space="preserve">                                                                                                        </w:t>
      </w:r>
    </w:p>
    <w:p>
      <w:pPr>
        <w:shd w:val="clear" w:color="000000" w:fill="auto"/>
        <w:tabs>
          <w:tab w:val="left" w:pos="1260"/>
        </w:tabs>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39136" behindDoc="0" locked="0" layoutInCell="1" allowOverlap="1">
                <wp:simplePos x="0" y="0"/>
                <wp:positionH relativeFrom="column">
                  <wp:posOffset>-114300</wp:posOffset>
                </wp:positionH>
                <wp:positionV relativeFrom="paragraph">
                  <wp:posOffset>0</wp:posOffset>
                </wp:positionV>
                <wp:extent cx="914400" cy="510540"/>
                <wp:effectExtent l="0" t="0" r="0" b="0"/>
                <wp:wrapNone/>
                <wp:docPr id="79" name="文本框 80"/>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造价工程师职权限制</w:t>
                            </w:r>
                          </w:p>
                        </w:txbxContent>
                      </wps:txbx>
                      <wps:bodyPr upright="1"/>
                    </wps:wsp>
                  </a:graphicData>
                </a:graphic>
              </wp:anchor>
            </w:drawing>
          </mc:Choice>
          <mc:Fallback>
            <w:pict>
              <v:shape id="文本框 80" o:spid="_x0000_s1026" o:spt="202" type="#_x0000_t202" style="position:absolute;left:0pt;margin-left:-9pt;margin-top:0pt;height:40.2pt;width:72pt;z-index:251739136;mso-width-relative:page;mso-height-relative:page;" filled="f" stroked="f" coordsize="21600,21600" o:gfxdata="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u7y521AAAAAcB&#10;AAAPAAAAAAAAAAEAIAAAACIAAABkcnMvZG93bnJldi54bWxQSwECFAAUAAAACACHTuJAvCSTza0B&#10;AABPAwAADgAAAAAAAAABACAAAAAjAQAAZHJzL2Uyb0RvYy54bWxQSwUGAAAAAAYABgBZAQAAQgUA&#10;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造价工程师职权限制</w:t>
                      </w:r>
                    </w:p>
                  </w:txbxContent>
                </v:textbox>
              </v:shape>
            </w:pict>
          </mc:Fallback>
        </mc:AlternateContent>
      </w:r>
      <w:r>
        <w:rPr>
          <w:rFonts w:hint="eastAsia" w:ascii="仿宋" w:hAnsi="仿宋" w:eastAsia="仿宋" w:cs="仿宋"/>
          <w:color w:val="auto"/>
          <w:sz w:val="24"/>
          <w:szCs w:val="24"/>
          <w:highlight w:val="none"/>
        </w:rPr>
        <w:t>除属于第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条规定的争议外，造价工程师在职权范围内的工作，发包人应予认可，但下列事件应事先取得发包人的专项批准：</w:t>
      </w:r>
    </w:p>
    <w:p>
      <w:pPr>
        <w:numPr>
          <w:ilvl w:val="0"/>
          <w:numId w:val="7"/>
        </w:numPr>
        <w:shd w:val="clear" w:color="000000" w:fill="auto"/>
        <w:tabs>
          <w:tab w:val="left" w:pos="2160"/>
        </w:tabs>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63</w:t>
      </w:r>
      <w:r>
        <w:rPr>
          <w:rFonts w:hint="eastAsia" w:ascii="仿宋" w:hAnsi="仿宋" w:eastAsia="仿宋" w:cs="仿宋"/>
          <w:color w:val="auto"/>
          <w:sz w:val="24"/>
          <w:szCs w:val="24"/>
          <w:highlight w:val="none"/>
        </w:rPr>
        <w:t>条规定使用暂列金额；</w:t>
      </w:r>
    </w:p>
    <w:p>
      <w:pPr>
        <w:numPr>
          <w:ilvl w:val="0"/>
          <w:numId w:val="7"/>
        </w:numPr>
        <w:shd w:val="clear" w:color="000000" w:fill="auto"/>
        <w:tabs>
          <w:tab w:val="left" w:pos="2160"/>
        </w:tabs>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64</w:t>
      </w:r>
      <w:r>
        <w:rPr>
          <w:rFonts w:hint="eastAsia" w:ascii="仿宋" w:hAnsi="仿宋" w:eastAsia="仿宋" w:cs="仿宋"/>
          <w:color w:val="auto"/>
          <w:sz w:val="24"/>
          <w:szCs w:val="24"/>
          <w:highlight w:val="none"/>
        </w:rPr>
        <w:t>条规定使用计日工；</w:t>
      </w:r>
    </w:p>
    <w:p>
      <w:pPr>
        <w:numPr>
          <w:ilvl w:val="0"/>
          <w:numId w:val="7"/>
        </w:numPr>
        <w:shd w:val="clear" w:color="000000" w:fill="auto"/>
        <w:tabs>
          <w:tab w:val="left" w:pos="2160"/>
        </w:tabs>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65</w:t>
      </w:r>
      <w:r>
        <w:rPr>
          <w:rFonts w:hint="eastAsia" w:ascii="仿宋" w:hAnsi="仿宋" w:eastAsia="仿宋" w:cs="仿宋"/>
          <w:color w:val="auto"/>
          <w:sz w:val="24"/>
          <w:szCs w:val="24"/>
          <w:highlight w:val="none"/>
        </w:rPr>
        <w:t>条规定使用暂估价；</w:t>
      </w:r>
    </w:p>
    <w:p>
      <w:pPr>
        <w:numPr>
          <w:ilvl w:val="0"/>
          <w:numId w:val="7"/>
        </w:numPr>
        <w:shd w:val="clear" w:color="000000" w:fill="auto"/>
        <w:tabs>
          <w:tab w:val="left" w:pos="2160"/>
        </w:tabs>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66</w:t>
      </w:r>
      <w:r>
        <w:rPr>
          <w:rFonts w:hint="eastAsia" w:ascii="仿宋" w:hAnsi="仿宋" w:eastAsia="仿宋" w:cs="仿宋"/>
          <w:color w:val="auto"/>
          <w:sz w:val="24"/>
          <w:szCs w:val="24"/>
          <w:highlight w:val="none"/>
        </w:rPr>
        <w:t>条确定的提前竣工奖与误期赔偿费；</w:t>
      </w:r>
    </w:p>
    <w:p>
      <w:pPr>
        <w:numPr>
          <w:ilvl w:val="0"/>
          <w:numId w:val="7"/>
        </w:numPr>
        <w:shd w:val="clear" w:color="000000" w:fill="auto"/>
        <w:tabs>
          <w:tab w:val="left" w:pos="2160"/>
        </w:tabs>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67</w:t>
      </w:r>
      <w:r>
        <w:rPr>
          <w:rFonts w:hint="eastAsia" w:ascii="仿宋" w:hAnsi="仿宋" w:eastAsia="仿宋" w:cs="仿宋"/>
          <w:color w:val="auto"/>
          <w:sz w:val="24"/>
          <w:szCs w:val="24"/>
          <w:highlight w:val="none"/>
        </w:rPr>
        <w:t>条确定的工程优质费；</w:t>
      </w:r>
    </w:p>
    <w:p>
      <w:pPr>
        <w:numPr>
          <w:ilvl w:val="0"/>
          <w:numId w:val="7"/>
        </w:numPr>
        <w:shd w:val="clear" w:color="000000" w:fill="auto"/>
        <w:tabs>
          <w:tab w:val="left" w:pos="2160"/>
        </w:tabs>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68.2</w:t>
      </w:r>
      <w:r>
        <w:rPr>
          <w:rFonts w:hint="eastAsia" w:ascii="仿宋" w:hAnsi="仿宋" w:eastAsia="仿宋" w:cs="仿宋"/>
          <w:color w:val="auto"/>
          <w:sz w:val="24"/>
          <w:szCs w:val="24"/>
          <w:highlight w:val="none"/>
        </w:rPr>
        <w:t>款规定事件调整的合同价款；</w:t>
      </w:r>
    </w:p>
    <w:p>
      <w:pPr>
        <w:numPr>
          <w:ilvl w:val="0"/>
          <w:numId w:val="7"/>
        </w:numPr>
        <w:shd w:val="clear" w:color="000000" w:fill="auto"/>
        <w:tabs>
          <w:tab w:val="left" w:pos="2160"/>
        </w:tabs>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专用条款约定需要发包人批准的其他事项。</w:t>
      </w:r>
    </w:p>
    <w:p>
      <w:pPr>
        <w:shd w:val="clear" w:color="000000" w:fill="auto"/>
        <w:spacing w:line="400" w:lineRule="exact"/>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24.4  </w:t>
      </w:r>
      <w:r>
        <w:rPr>
          <w:rFonts w:ascii="仿宋" w:hAnsi="仿宋" w:eastAsia="仿宋" w:cs="仿宋"/>
          <w:b/>
          <w:bCs/>
          <w:color w:val="auto"/>
          <w:sz w:val="24"/>
          <w:szCs w:val="24"/>
          <w:highlight w:val="none"/>
          <w:u w:val="dotted"/>
        </w:rPr>
        <w:t xml:space="preserve">                                                                                                        </w:t>
      </w:r>
    </w:p>
    <w:p>
      <w:pPr>
        <w:shd w:val="clear" w:color="000000" w:fill="auto"/>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40160" behindDoc="0" locked="0" layoutInCell="1" allowOverlap="1">
                <wp:simplePos x="0" y="0"/>
                <wp:positionH relativeFrom="column">
                  <wp:posOffset>-114300</wp:posOffset>
                </wp:positionH>
                <wp:positionV relativeFrom="paragraph">
                  <wp:posOffset>0</wp:posOffset>
                </wp:positionV>
                <wp:extent cx="1092200" cy="434340"/>
                <wp:effectExtent l="0" t="0" r="0" b="0"/>
                <wp:wrapNone/>
                <wp:docPr id="80" name="文本框 81"/>
                <wp:cNvGraphicFramePr/>
                <a:graphic xmlns:a="http://schemas.openxmlformats.org/drawingml/2006/main">
                  <a:graphicData uri="http://schemas.microsoft.com/office/word/2010/wordprocessingShape">
                    <wps:wsp>
                      <wps:cNvSpPr txBox="1"/>
                      <wps:spPr>
                        <a:xfrm>
                          <a:off x="0" y="0"/>
                          <a:ext cx="1092200" cy="4343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造价工程师指</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令</w:t>
                            </w:r>
                          </w:p>
                        </w:txbxContent>
                      </wps:txbx>
                      <wps:bodyPr upright="1"/>
                    </wps:wsp>
                  </a:graphicData>
                </a:graphic>
              </wp:anchor>
            </w:drawing>
          </mc:Choice>
          <mc:Fallback>
            <w:pict>
              <v:shape id="文本框 81" o:spid="_x0000_s1026" o:spt="202" type="#_x0000_t202" style="position:absolute;left:0pt;margin-left:-9pt;margin-top:0pt;height:34.2pt;width:86pt;z-index:251740160;mso-width-relative:page;mso-height-relative:page;" filled="f" stroked="f" coordsize="21600,21600" o:gfxdata="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rxjfJ1QAAAAcB&#10;AAAPAAAAAAAAAAEAIAAAACIAAABkcnMvZG93bnJldi54bWxQSwECFAAUAAAACACHTuJA5xgtGawB&#10;AABQAwAADgAAAAAAAAABACAAAAAkAQAAZHJzL2Uyb0RvYy54bWxQSwUGAAAAAAYABgBZAQAAQgUA&#10;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造价工程师指</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hint="eastAsia" w:ascii="仿宋" w:hAnsi="仿宋" w:eastAsia="仿宋" w:cs="仿宋"/>
          <w:color w:val="auto"/>
          <w:sz w:val="24"/>
          <w:szCs w:val="24"/>
          <w:highlight w:val="none"/>
        </w:rPr>
        <w:t>造价工程师应按照合同约定时间向承包人提供实施合同工程的工程造价工作所需的核实、调整和通知等指令。</w:t>
      </w:r>
    </w:p>
    <w:p>
      <w:pPr>
        <w:shd w:val="clear" w:color="000000" w:fill="auto"/>
        <w:tabs>
          <w:tab w:val="left" w:pos="1260"/>
        </w:tabs>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造价工程师提供的指令，均应采用书面形式。在紧急情况下，造价工程师可发出口头指令，但应在</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小时内给予书面确认。对造价工程师的口头指令，承包人应予执行。如果承包人在造价工程师发出的口头指令</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小时后未收到书面确认，则应在接到口头指令后的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天内向造价工程师发出书面确认函。造价工程师应在承包人发出书面确认函后</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小时内给予答复；逾期未予答复的，视为承包人的书面确认函已被认可。</w:t>
      </w:r>
    </w:p>
    <w:p>
      <w:pPr>
        <w:shd w:val="clear" w:color="000000" w:fill="auto"/>
        <w:tabs>
          <w:tab w:val="left" w:pos="1260"/>
        </w:tabs>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24.5  </w:t>
      </w:r>
      <w:r>
        <w:rPr>
          <w:rFonts w:ascii="仿宋" w:hAnsi="仿宋" w:eastAsia="仿宋" w:cs="仿宋"/>
          <w:b/>
          <w:bCs/>
          <w:color w:val="auto"/>
          <w:sz w:val="24"/>
          <w:szCs w:val="24"/>
          <w:highlight w:val="none"/>
          <w:u w:val="dotted"/>
        </w:rPr>
        <w:t xml:space="preserve">                                                                                                        </w:t>
      </w:r>
    </w:p>
    <w:p>
      <w:pPr>
        <w:shd w:val="clear" w:color="000000" w:fill="auto"/>
        <w:tabs>
          <w:tab w:val="left" w:pos="1260"/>
        </w:tabs>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41184" behindDoc="0" locked="0" layoutInCell="1" allowOverlap="1">
                <wp:simplePos x="0" y="0"/>
                <wp:positionH relativeFrom="column">
                  <wp:posOffset>-114300</wp:posOffset>
                </wp:positionH>
                <wp:positionV relativeFrom="paragraph">
                  <wp:posOffset>15240</wp:posOffset>
                </wp:positionV>
                <wp:extent cx="914400" cy="448310"/>
                <wp:effectExtent l="0" t="0" r="0" b="0"/>
                <wp:wrapNone/>
                <wp:docPr id="81" name="文本框 82"/>
                <wp:cNvGraphicFramePr/>
                <a:graphic xmlns:a="http://schemas.openxmlformats.org/drawingml/2006/main">
                  <a:graphicData uri="http://schemas.microsoft.com/office/word/2010/wordprocessingShape">
                    <wps:wsp>
                      <wps:cNvSpPr txBox="1"/>
                      <wps:spPr>
                        <a:xfrm>
                          <a:off x="0" y="0"/>
                          <a:ext cx="914400" cy="44831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承包人执行造价工程师指令</w:t>
                            </w:r>
                          </w:p>
                        </w:txbxContent>
                      </wps:txbx>
                      <wps:bodyPr upright="1"/>
                    </wps:wsp>
                  </a:graphicData>
                </a:graphic>
              </wp:anchor>
            </w:drawing>
          </mc:Choice>
          <mc:Fallback>
            <w:pict>
              <v:shape id="文本框 82" o:spid="_x0000_s1026" o:spt="202" type="#_x0000_t202" style="position:absolute;left:0pt;margin-left:-9pt;margin-top:1.2pt;height:35.3pt;width:72pt;z-index:251741184;mso-width-relative:page;mso-height-relative:page;" filled="f" stroked="f" coordsize="21600,21600" o:gfxdata="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SqNdRdUAAAAI&#10;AQAADwAAAAAAAAABACAAAAAiAAAAZHJzL2Rvd25yZXYueG1sUEsBAhQAFAAAAAgAh07iQMA5TM6t&#10;AQAATwMAAA4AAAAAAAAAAQAgAAAAJAEAAGRycy9lMm9Eb2MueG1sUEsFBgAAAAAGAAYAWQEAAEMF&#10;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承包人执行造价工程师指令</w:t>
                      </w:r>
                    </w:p>
                  </w:txbxContent>
                </v:textbox>
              </v:shape>
            </w:pict>
          </mc:Fallback>
        </mc:AlternateContent>
      </w:r>
      <w:r>
        <w:rPr>
          <w:rFonts w:hint="eastAsia" w:ascii="仿宋" w:hAnsi="仿宋" w:eastAsia="仿宋" w:cs="仿宋"/>
          <w:color w:val="auto"/>
          <w:sz w:val="24"/>
          <w:szCs w:val="24"/>
          <w:highlight w:val="none"/>
        </w:rPr>
        <w:t>如果承包人认为造价工程师的指令不合理，应在收到指令后</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小时内向造价工程师提出书面报告，造价工程师应在收到承包人报告后</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小时内做出修改指令或继续执行原指令的决定，并书面通知承包人。逾期不做出决定的，承包人可不执行造价工程师的指令。</w:t>
      </w:r>
    </w:p>
    <w:p>
      <w:pPr>
        <w:shd w:val="clear" w:color="000000" w:fill="auto"/>
        <w:tabs>
          <w:tab w:val="left" w:pos="1260"/>
        </w:tabs>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24.6  </w:t>
      </w:r>
      <w:r>
        <w:rPr>
          <w:rFonts w:ascii="仿宋" w:hAnsi="仿宋" w:eastAsia="仿宋" w:cs="仿宋"/>
          <w:b/>
          <w:bCs/>
          <w:color w:val="auto"/>
          <w:sz w:val="24"/>
          <w:szCs w:val="24"/>
          <w:highlight w:val="none"/>
          <w:u w:val="dotted"/>
        </w:rPr>
        <w:t xml:space="preserve">                                                                                                        </w:t>
      </w:r>
    </w:p>
    <w:p>
      <w:pPr>
        <w:shd w:val="clear" w:color="000000" w:fill="auto"/>
        <w:tabs>
          <w:tab w:val="left" w:pos="1260"/>
        </w:tabs>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42208"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82" name="文本框 83"/>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造价工程师职权委托</w:t>
                            </w:r>
                          </w:p>
                        </w:txbxContent>
                      </wps:txbx>
                      <wps:bodyPr upright="1"/>
                    </wps:wsp>
                  </a:graphicData>
                </a:graphic>
              </wp:anchor>
            </w:drawing>
          </mc:Choice>
          <mc:Fallback>
            <w:pict>
              <v:shape id="文本框 83" o:spid="_x0000_s1026" o:spt="202" type="#_x0000_t202" style="position:absolute;left:0pt;margin-left:-9pt;margin-top:0pt;height:46.8pt;width:72pt;z-index:251742208;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LJ+ky1QAA&#10;AAcBAAAPAAAAAAAAAAEAIAAAACIAAABkcnMvZG93bnJldi54bWxQSwECFAAUAAAACACHTuJAtoHG&#10;Ra8BAABPAwAADgAAAAAAAAABACAAAAAkAQAAZHJzL2Uyb0RvYy54bWxQSwUGAAAAAAYABgBZAQAA&#10;RQU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造价工程师职权委托</w:t>
                      </w:r>
                    </w:p>
                  </w:txbxContent>
                </v:textbox>
              </v:shape>
            </w:pict>
          </mc:Fallback>
        </mc:AlternateContent>
      </w:r>
      <w:r>
        <w:rPr>
          <w:rFonts w:hint="eastAsia" w:ascii="仿宋" w:hAnsi="仿宋" w:eastAsia="仿宋" w:cs="仿宋"/>
          <w:color w:val="auto"/>
          <w:sz w:val="24"/>
          <w:szCs w:val="24"/>
          <w:highlight w:val="none"/>
        </w:rPr>
        <w:t>造价工程师可按照第</w:t>
      </w:r>
      <w:r>
        <w:rPr>
          <w:rFonts w:ascii="仿宋" w:hAnsi="仿宋" w:eastAsia="仿宋" w:cs="仿宋"/>
          <w:color w:val="auto"/>
          <w:sz w:val="24"/>
          <w:szCs w:val="24"/>
          <w:highlight w:val="none"/>
        </w:rPr>
        <w:t>21.3</w:t>
      </w:r>
      <w:r>
        <w:rPr>
          <w:rFonts w:hint="eastAsia" w:ascii="仿宋" w:hAnsi="仿宋" w:eastAsia="仿宋" w:cs="仿宋"/>
          <w:color w:val="auto"/>
          <w:sz w:val="24"/>
          <w:szCs w:val="24"/>
          <w:highlight w:val="none"/>
        </w:rPr>
        <w:t>款规定授权给其任命的造价工程师代表，亦可将其授权撤回，造价工程师代表行使造价工程师授予的职权，对造价工程师负责。造价工程师代表在造价工程师授予职权范围内工作，造价工程师应予认可，但造价工程师保留因造价工程师代表未反对合同工程的工程计量和计价工作的错误而否定该工作，并发出纠正指令的权力。未按照第</w:t>
      </w:r>
      <w:r>
        <w:rPr>
          <w:rFonts w:ascii="仿宋" w:hAnsi="仿宋" w:eastAsia="仿宋" w:cs="仿宋"/>
          <w:color w:val="auto"/>
          <w:sz w:val="24"/>
          <w:szCs w:val="24"/>
          <w:highlight w:val="none"/>
        </w:rPr>
        <w:t>21.3</w:t>
      </w:r>
      <w:r>
        <w:rPr>
          <w:rFonts w:hint="eastAsia" w:ascii="仿宋" w:hAnsi="仿宋" w:eastAsia="仿宋" w:cs="仿宋"/>
          <w:color w:val="auto"/>
          <w:sz w:val="24"/>
          <w:szCs w:val="24"/>
          <w:highlight w:val="none"/>
        </w:rPr>
        <w:t>款规定，任何此类任命或撤回均为无效。</w:t>
      </w:r>
    </w:p>
    <w:p>
      <w:pPr>
        <w:shd w:val="clear" w:color="000000" w:fill="auto"/>
        <w:tabs>
          <w:tab w:val="left" w:pos="1260"/>
        </w:tabs>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24.7</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shd w:val="clear" w:color="000000" w:fill="auto"/>
        <w:tabs>
          <w:tab w:val="left" w:pos="1260"/>
        </w:tabs>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43232"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83" name="文本框 84"/>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wps:txbx>
                      <wps:bodyPr upright="1"/>
                    </wps:wsp>
                  </a:graphicData>
                </a:graphic>
              </wp:anchor>
            </w:drawing>
          </mc:Choice>
          <mc:Fallback>
            <w:pict>
              <v:shape id="文本框 84" o:spid="_x0000_s1026" o:spt="202" type="#_x0000_t202" style="position:absolute;left:0pt;margin-left:-9pt;margin-top:0pt;height:46.8pt;width:72pt;z-index:251743232;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LJ+ky1QAA&#10;AAcBAAAPAAAAAAAAAAEAIAAAACIAAABkcnMvZG93bnJldi54bWxQSwECFAAUAAAACACHTuJAyXUf&#10;Nq8BAABPAwAADgAAAAAAAAABACAAAAAkAQAAZHJzL2Uyb0RvYy54bWxQSwUGAAAAAAYABgBZAQAA&#10;R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v:textbox>
              </v:shape>
            </w:pict>
          </mc:Fallback>
        </mc:AlternateContent>
      </w:r>
      <w:r>
        <w:rPr>
          <w:rFonts w:hint="eastAsia" w:ascii="仿宋" w:hAnsi="仿宋" w:eastAsia="仿宋" w:cs="仿宋"/>
          <w:color w:val="auto"/>
          <w:sz w:val="24"/>
          <w:szCs w:val="24"/>
          <w:highlight w:val="none"/>
        </w:rPr>
        <w:t>造价工程师（含其代表）未能正确完成本合同约定的全部义务，或工作出现失误，导致费用的增加和（或）延误的工期，由发包人承担；给承包人造成损失的，发包人应予赔偿。</w:t>
      </w:r>
    </w:p>
    <w:p>
      <w:pPr>
        <w:shd w:val="clear" w:color="000000" w:fill="auto"/>
        <w:tabs>
          <w:tab w:val="left" w:pos="540"/>
          <w:tab w:val="left" w:pos="720"/>
        </w:tabs>
        <w:spacing w:line="360" w:lineRule="auto"/>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numPr>
          <w:ilvl w:val="0"/>
          <w:numId w:val="0"/>
        </w:numPr>
        <w:shd w:val="clear" w:color="000000" w:fill="auto"/>
        <w:tabs>
          <w:tab w:val="left" w:pos="420"/>
        </w:tabs>
        <w:ind w:left="720"/>
        <w:rPr>
          <w:rFonts w:ascii="仿宋" w:hAnsi="仿宋" w:eastAsia="仿宋"/>
          <w:color w:val="auto"/>
          <w:sz w:val="24"/>
          <w:szCs w:val="24"/>
          <w:highlight w:val="none"/>
        </w:rPr>
      </w:pPr>
      <w:bookmarkStart w:id="187" w:name="_Toc10624845"/>
      <w:bookmarkStart w:id="188" w:name="_Toc469384005"/>
      <w:bookmarkStart w:id="189" w:name="_Toc9765"/>
      <w:r>
        <w:rPr>
          <w:rFonts w:ascii="仿宋" w:hAnsi="仿宋" w:eastAsia="仿宋" w:cs="仿宋"/>
          <w:color w:val="auto"/>
          <w:sz w:val="24"/>
          <w:szCs w:val="24"/>
          <w:highlight w:val="none"/>
        </w:rPr>
        <w:t xml:space="preserve">25  </w:t>
      </w:r>
      <w:r>
        <w:rPr>
          <w:rFonts w:hint="eastAsia" w:ascii="仿宋" w:hAnsi="仿宋" w:eastAsia="仿宋" w:cs="仿宋"/>
          <w:color w:val="auto"/>
          <w:sz w:val="24"/>
          <w:szCs w:val="24"/>
          <w:highlight w:val="none"/>
        </w:rPr>
        <w:t>承包人代表</w:t>
      </w:r>
      <w:bookmarkEnd w:id="187"/>
      <w:bookmarkEnd w:id="188"/>
      <w:bookmarkEnd w:id="189"/>
    </w:p>
    <w:p>
      <w:pPr>
        <w:shd w:val="clear" w:color="000000" w:fill="auto"/>
        <w:tabs>
          <w:tab w:val="left" w:pos="540"/>
          <w:tab w:val="left" w:pos="720"/>
        </w:tabs>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25.1                                 </w:t>
      </w:r>
    </w:p>
    <w:p>
      <w:pPr>
        <w:pStyle w:val="33"/>
        <w:shd w:val="clear" w:color="000000" w:fill="auto"/>
        <w:tabs>
          <w:tab w:val="left" w:pos="540"/>
          <w:tab w:val="left" w:pos="720"/>
        </w:tabs>
        <w:ind w:left="1619" w:leftChars="771"/>
        <w:rPr>
          <w:rFonts w:ascii="仿宋" w:hAnsi="仿宋" w:eastAsia="仿宋"/>
          <w:color w:val="auto"/>
          <w:highlight w:val="none"/>
        </w:rPr>
      </w:pPr>
      <w:r>
        <w:rPr>
          <w:color w:val="auto"/>
          <w:highlight w:val="none"/>
        </w:rPr>
        <mc:AlternateContent>
          <mc:Choice Requires="wps">
            <w:drawing>
              <wp:anchor distT="0" distB="0" distL="114300" distR="114300" simplePos="0" relativeHeight="251744256" behindDoc="0" locked="0" layoutInCell="1" allowOverlap="1">
                <wp:simplePos x="0" y="0"/>
                <wp:positionH relativeFrom="column">
                  <wp:posOffset>-114300</wp:posOffset>
                </wp:positionH>
                <wp:positionV relativeFrom="paragraph">
                  <wp:posOffset>0</wp:posOffset>
                </wp:positionV>
                <wp:extent cx="914400" cy="419100"/>
                <wp:effectExtent l="0" t="0" r="0" b="0"/>
                <wp:wrapNone/>
                <wp:docPr id="84" name="文本框 85"/>
                <wp:cNvGraphicFramePr/>
                <a:graphic xmlns:a="http://schemas.openxmlformats.org/drawingml/2006/main">
                  <a:graphicData uri="http://schemas.microsoft.com/office/word/2010/wordprocessingShape">
                    <wps:wsp>
                      <wps:cNvSpPr txBox="1"/>
                      <wps:spPr>
                        <a:xfrm>
                          <a:off x="0" y="0"/>
                          <a:ext cx="914400" cy="4191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承包人对其代表授权</w:t>
                            </w:r>
                          </w:p>
                        </w:txbxContent>
                      </wps:txbx>
                      <wps:bodyPr upright="1"/>
                    </wps:wsp>
                  </a:graphicData>
                </a:graphic>
              </wp:anchor>
            </w:drawing>
          </mc:Choice>
          <mc:Fallback>
            <w:pict>
              <v:shape id="文本框 85" o:spid="_x0000_s1026" o:spt="202" type="#_x0000_t202" style="position:absolute;left:0pt;margin-left:-9pt;margin-top:0pt;height:33pt;width:72pt;z-index:251744256;mso-width-relative:page;mso-height-relative:page;" filled="f" stroked="f" coordsize="21600,21600" o:gfxdata="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pc6rI1AAAAAcB&#10;AAAPAAAAAAAAAAEAIAAAACIAAABkcnMvZG93bnJldi54bWxQSwECFAAUAAAACACHTuJAzf4YD60B&#10;AABPAwAADgAAAAAAAAABACAAAAAjAQAAZHJzL2Uyb0RvYy54bWxQSwUGAAAAAAYABgBZAQAAQgUA&#10;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承包人对其代表授权</w:t>
                      </w:r>
                    </w:p>
                  </w:txbxContent>
                </v:textbox>
              </v:shape>
            </w:pict>
          </mc:Fallback>
        </mc:AlternateContent>
      </w:r>
      <w:r>
        <w:rPr>
          <w:rFonts w:hint="eastAsia" w:ascii="仿宋" w:hAnsi="仿宋" w:eastAsia="仿宋" w:cs="仿宋"/>
          <w:color w:val="auto"/>
          <w:highlight w:val="none"/>
        </w:rPr>
        <w:t>承包人应依据第</w:t>
      </w:r>
      <w:r>
        <w:rPr>
          <w:rFonts w:ascii="仿宋" w:hAnsi="仿宋" w:eastAsia="仿宋" w:cs="仿宋"/>
          <w:color w:val="auto"/>
          <w:highlight w:val="none"/>
        </w:rPr>
        <w:t>21.2</w:t>
      </w:r>
      <w:r>
        <w:rPr>
          <w:rFonts w:hint="eastAsia" w:ascii="仿宋" w:hAnsi="仿宋" w:eastAsia="仿宋" w:cs="仿宋"/>
          <w:color w:val="auto"/>
          <w:highlight w:val="none"/>
        </w:rPr>
        <w:t>款规定在专用条款中写明承包人代表具体人选，同时在开工前将承包人代表任命书以书面形式通知发包人，授予其代表承包人履行合同规定职责所需的一切权力。</w:t>
      </w:r>
    </w:p>
    <w:p>
      <w:pPr>
        <w:shd w:val="clear" w:color="000000" w:fill="auto"/>
        <w:tabs>
          <w:tab w:val="left" w:pos="540"/>
          <w:tab w:val="left" w:pos="720"/>
          <w:tab w:val="left" w:pos="1260"/>
          <w:tab w:val="left" w:pos="1440"/>
        </w:tabs>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25.2  </w:t>
      </w:r>
      <w:r>
        <w:rPr>
          <w:rFonts w:ascii="仿宋" w:hAnsi="仿宋" w:eastAsia="仿宋" w:cs="仿宋"/>
          <w:b/>
          <w:bCs/>
          <w:color w:val="auto"/>
          <w:sz w:val="24"/>
          <w:szCs w:val="24"/>
          <w:highlight w:val="none"/>
          <w:u w:val="dotted"/>
        </w:rPr>
        <w:t xml:space="preserve">                                                                                                        </w:t>
      </w:r>
    </w:p>
    <w:p>
      <w:pPr>
        <w:shd w:val="clear" w:color="000000" w:fill="auto"/>
        <w:tabs>
          <w:tab w:val="left" w:pos="540"/>
          <w:tab w:val="left" w:pos="720"/>
          <w:tab w:val="left" w:pos="1260"/>
          <w:tab w:val="left" w:pos="1440"/>
        </w:tabs>
        <w:spacing w:line="360" w:lineRule="auto"/>
        <w:ind w:left="1619" w:leftChars="771" w:firstLine="2"/>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45280"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85" name="文本框 86"/>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承包人代表职</w:t>
                            </w:r>
                          </w:p>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权</w:t>
                            </w:r>
                          </w:p>
                        </w:txbxContent>
                      </wps:txbx>
                      <wps:bodyPr upright="1"/>
                    </wps:wsp>
                  </a:graphicData>
                </a:graphic>
              </wp:anchor>
            </w:drawing>
          </mc:Choice>
          <mc:Fallback>
            <w:pict>
              <v:shape id="文本框 86" o:spid="_x0000_s1026" o:spt="202" type="#_x0000_t202" style="position:absolute;left:0pt;margin-left:-9pt;margin-top:0.6pt;height:31.2pt;width:81pt;z-index:251745280;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4yfBG1QAA&#10;AAgBAAAPAAAAAAAAAAEAIAAAACIAAABkcnMvZG93bnJldi54bWxQSwECFAAUAAAACACHTuJAxLLA&#10;EK8BAABQAwAADgAAAAAAAAABACAAAAAkAQAAZHJzL2Uyb0RvYy54bWxQSwUGAAAAAAYABgBZAQAA&#10;R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承包人代表职</w:t>
                      </w:r>
                    </w:p>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权</w:t>
                      </w:r>
                    </w:p>
                  </w:txbxContent>
                </v:textbox>
              </v:shape>
            </w:pict>
          </mc:Fallback>
        </mc:AlternateContent>
      </w:r>
      <w:r>
        <w:rPr>
          <w:rFonts w:hint="eastAsia" w:ascii="仿宋" w:hAnsi="仿宋" w:eastAsia="仿宋" w:cs="仿宋"/>
          <w:color w:val="auto"/>
          <w:sz w:val="24"/>
          <w:szCs w:val="24"/>
          <w:highlight w:val="none"/>
        </w:rPr>
        <w:t>承包人代表应代表承包人履行合同规定的职责、行使合同明文约定或必然隐含的权力，对承包人负责。承包人代表在承包人授予职权范围内的工作，承包人应予认可。</w:t>
      </w:r>
    </w:p>
    <w:p>
      <w:pPr>
        <w:shd w:val="clear" w:color="000000" w:fill="auto"/>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25.3  </w:t>
      </w:r>
      <w:r>
        <w:rPr>
          <w:rFonts w:ascii="仿宋" w:hAnsi="仿宋" w:eastAsia="仿宋" w:cs="仿宋"/>
          <w:b/>
          <w:bCs/>
          <w:color w:val="auto"/>
          <w:sz w:val="24"/>
          <w:szCs w:val="24"/>
          <w:highlight w:val="none"/>
          <w:u w:val="dotted"/>
        </w:rPr>
        <w:t xml:space="preserve">                                                                                                        </w:t>
      </w:r>
    </w:p>
    <w:p>
      <w:pPr>
        <w:shd w:val="clear" w:color="000000" w:fill="auto"/>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46304" behindDoc="0" locked="0" layoutInCell="1" allowOverlap="1">
                <wp:simplePos x="0" y="0"/>
                <wp:positionH relativeFrom="column">
                  <wp:posOffset>-114300</wp:posOffset>
                </wp:positionH>
                <wp:positionV relativeFrom="paragraph">
                  <wp:posOffset>0</wp:posOffset>
                </wp:positionV>
                <wp:extent cx="914400" cy="487680"/>
                <wp:effectExtent l="0" t="0" r="0" b="0"/>
                <wp:wrapNone/>
                <wp:docPr id="86" name="文本框 87"/>
                <wp:cNvGraphicFramePr/>
                <a:graphic xmlns:a="http://schemas.openxmlformats.org/drawingml/2006/main">
                  <a:graphicData uri="http://schemas.microsoft.com/office/word/2010/wordprocessingShape">
                    <wps:wsp>
                      <wps:cNvSpPr txBox="1"/>
                      <wps:spPr>
                        <a:xfrm>
                          <a:off x="0" y="0"/>
                          <a:ext cx="914400" cy="48768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承包人代表临时任命人职权</w:t>
                            </w:r>
                          </w:p>
                        </w:txbxContent>
                      </wps:txbx>
                      <wps:bodyPr upright="1"/>
                    </wps:wsp>
                  </a:graphicData>
                </a:graphic>
              </wp:anchor>
            </w:drawing>
          </mc:Choice>
          <mc:Fallback>
            <w:pict>
              <v:shape id="文本框 87" o:spid="_x0000_s1026" o:spt="202" type="#_x0000_t202" style="position:absolute;left:0pt;margin-left:-9pt;margin-top:0pt;height:38.4pt;width:72pt;z-index:251746304;mso-width-relative:page;mso-height-relative:page;" filled="f" stroked="f" coordsize="21600,21600" o:gfxdata="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Lt0V7VAAAA&#10;BwEAAA8AAAAAAAAAAQAgAAAAIgAAAGRycy9kb3ducmV2LnhtbFBLAQIUABQAAAAIAIdO4kAUOdsW&#10;rgEAAE8DAAAOAAAAAAAAAAEAIAAAACQBAABkcnMvZTJvRG9jLnhtbFBLBQYAAAAABgAGAFkBAABE&#10;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承包人代表临时任命人职权</w:t>
                      </w:r>
                    </w:p>
                  </w:txbxContent>
                </v:textbox>
              </v:shape>
            </w:pict>
          </mc:Fallback>
        </mc:AlternateContent>
      </w:r>
      <w:r>
        <w:rPr>
          <w:rFonts w:hint="eastAsia" w:ascii="仿宋" w:hAnsi="仿宋" w:eastAsia="仿宋" w:cs="仿宋"/>
          <w:color w:val="auto"/>
          <w:sz w:val="24"/>
          <w:szCs w:val="24"/>
          <w:highlight w:val="none"/>
        </w:rPr>
        <w:t>如果承包人代表在合同履行期间确需暂离现场，则应在监理工程师同意下，按照第</w:t>
      </w:r>
      <w:r>
        <w:rPr>
          <w:rFonts w:ascii="仿宋" w:hAnsi="仿宋" w:eastAsia="仿宋" w:cs="仿宋"/>
          <w:color w:val="auto"/>
          <w:sz w:val="24"/>
          <w:szCs w:val="24"/>
          <w:highlight w:val="none"/>
        </w:rPr>
        <w:t>21.4</w:t>
      </w:r>
      <w:r>
        <w:rPr>
          <w:rFonts w:hint="eastAsia" w:ascii="仿宋" w:hAnsi="仿宋" w:eastAsia="仿宋" w:cs="仿宋"/>
          <w:color w:val="auto"/>
          <w:sz w:val="24"/>
          <w:szCs w:val="24"/>
          <w:highlight w:val="none"/>
        </w:rPr>
        <w:t>款规定授权给其任命的合格人选，亦可将其授权撤回。任命的人选行使承包人代表授予的职权，对承包人代表负责。该人选在承包人代表授予职权范围内的工作，承包人代表应予认可，但承包人代表保留因该人选未曾对实施、完成合同工程工作错误加以反对的失误而否定该工作，并发出纠正通知的权力。未按照第</w:t>
      </w:r>
      <w:r>
        <w:rPr>
          <w:rFonts w:ascii="仿宋" w:hAnsi="仿宋" w:eastAsia="仿宋" w:cs="仿宋"/>
          <w:color w:val="auto"/>
          <w:sz w:val="24"/>
          <w:szCs w:val="24"/>
          <w:highlight w:val="none"/>
        </w:rPr>
        <w:t>21.4</w:t>
      </w:r>
      <w:r>
        <w:rPr>
          <w:rFonts w:hint="eastAsia" w:ascii="仿宋" w:hAnsi="仿宋" w:eastAsia="仿宋" w:cs="仿宋"/>
          <w:color w:val="auto"/>
          <w:sz w:val="24"/>
          <w:szCs w:val="24"/>
          <w:highlight w:val="none"/>
        </w:rPr>
        <w:t>款规定，任何此类任命或撤回均为无效。</w:t>
      </w:r>
    </w:p>
    <w:p>
      <w:pPr>
        <w:shd w:val="clear" w:color="000000" w:fill="auto"/>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25.4  </w:t>
      </w:r>
      <w:r>
        <w:rPr>
          <w:rFonts w:ascii="仿宋" w:hAnsi="仿宋" w:eastAsia="仿宋" w:cs="仿宋"/>
          <w:b/>
          <w:bCs/>
          <w:color w:val="auto"/>
          <w:sz w:val="24"/>
          <w:szCs w:val="24"/>
          <w:highlight w:val="none"/>
          <w:u w:val="dotted"/>
        </w:rPr>
        <w:t xml:space="preserve">                                                                                                        </w:t>
      </w:r>
    </w:p>
    <w:p>
      <w:pPr>
        <w:shd w:val="clear" w:color="000000" w:fill="auto"/>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47328" behindDoc="0" locked="0" layoutInCell="1" allowOverlap="1">
                <wp:simplePos x="0" y="0"/>
                <wp:positionH relativeFrom="column">
                  <wp:posOffset>-114300</wp:posOffset>
                </wp:positionH>
                <wp:positionV relativeFrom="paragraph">
                  <wp:posOffset>0</wp:posOffset>
                </wp:positionV>
                <wp:extent cx="914400" cy="762000"/>
                <wp:effectExtent l="0" t="0" r="0" b="0"/>
                <wp:wrapNone/>
                <wp:docPr id="87" name="文本框 88"/>
                <wp:cNvGraphicFramePr/>
                <a:graphic xmlns:a="http://schemas.openxmlformats.org/drawingml/2006/main">
                  <a:graphicData uri="http://schemas.microsoft.com/office/word/2010/wordprocessingShape">
                    <wps:wsp>
                      <wps:cNvSpPr txBox="1"/>
                      <wps:spPr>
                        <a:xfrm>
                          <a:off x="0" y="0"/>
                          <a:ext cx="914400" cy="7620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wps:txbx>
                      <wps:bodyPr upright="1"/>
                    </wps:wsp>
                  </a:graphicData>
                </a:graphic>
              </wp:anchor>
            </w:drawing>
          </mc:Choice>
          <mc:Fallback>
            <w:pict>
              <v:shape id="文本框 88" o:spid="_x0000_s1026" o:spt="202" type="#_x0000_t202" style="position:absolute;left:0pt;margin-left:-9pt;margin-top:0pt;height:60pt;width:72pt;z-index:251747328;mso-width-relative:page;mso-height-relative:page;" filled="f" stroked="f" coordsize="21600,21600" o:gfxdata="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9rvZW9QAAAAI&#10;AQAADwAAAAAAAAABACAAAAAiAAAAZHJzL2Rvd25yZXYueG1sUEsBAhQAFAAAAAgAh07iQFv4o8mu&#10;AQAATwMAAA4AAAAAAAAAAQAgAAAAIwEAAGRycy9lMm9Eb2MueG1sUEsFBgAAAAAGAAYAWQEAAEMF&#10;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v:textbox>
              </v:shape>
            </w:pict>
          </mc:Fallback>
        </mc:AlternateContent>
      </w:r>
      <w:r>
        <w:rPr>
          <w:rFonts w:hint="eastAsia" w:ascii="仿宋" w:hAnsi="仿宋" w:eastAsia="仿宋" w:cs="仿宋"/>
          <w:color w:val="auto"/>
          <w:sz w:val="24"/>
          <w:szCs w:val="24"/>
          <w:highlight w:val="none"/>
        </w:rPr>
        <w:t>承包人代表按照经发包人认可的施工组织设计和监理工程师发出的指令组织施工。在紧急情况下，且无法与监理工程师取得联系时，承包人代表应立即采取保证人员生命和工程、财产安全的有效措施，并在采取措施后</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向监理工程师提交书面报告，通知发包人。属于发包人或第三方责任的，其发生的费用和（或）延误的工期由发包人承担，并支付承包人合理利润；属于承包人责任的，其发生的费用和（或）延误的工期由承包人承担。</w:t>
      </w:r>
    </w:p>
    <w:p>
      <w:pPr>
        <w:pStyle w:val="2"/>
        <w:shd w:val="clear" w:color="000000" w:fill="auto"/>
        <w:tabs>
          <w:tab w:val="left" w:pos="540"/>
        </w:tabs>
        <w:adjustRightInd w:val="0"/>
        <w:snapToGrid w:val="0"/>
        <w:spacing w:line="360" w:lineRule="auto"/>
        <w:ind w:right="-240"/>
        <w:rPr>
          <w:rFonts w:ascii="仿宋" w:hAnsi="仿宋" w:eastAsia="仿宋" w:cs="仿宋"/>
          <w:b/>
          <w:bCs/>
          <w:color w:val="auto"/>
          <w:sz w:val="24"/>
          <w:szCs w:val="24"/>
          <w:highlight w:val="none"/>
          <w:u w:val="single"/>
        </w:rPr>
      </w:pPr>
      <w:bookmarkStart w:id="190" w:name="_Toc468936969"/>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ind w:right="-240"/>
        <w:outlineLvl w:val="2"/>
        <w:rPr>
          <w:rFonts w:ascii="仿宋" w:hAnsi="仿宋" w:eastAsia="仿宋" w:cs="Times New Roman"/>
          <w:b/>
          <w:bCs/>
          <w:color w:val="auto"/>
          <w:sz w:val="24"/>
          <w:szCs w:val="24"/>
          <w:highlight w:val="none"/>
        </w:rPr>
      </w:pPr>
      <w:bookmarkStart w:id="191" w:name="_Toc24567"/>
      <w:bookmarkStart w:id="192" w:name="_Toc469384006"/>
      <w:bookmarkStart w:id="193" w:name="_Toc10624846"/>
      <w:r>
        <w:rPr>
          <w:rFonts w:ascii="仿宋" w:hAnsi="仿宋" w:eastAsia="仿宋" w:cs="仿宋"/>
          <w:b/>
          <w:bCs/>
          <w:color w:val="auto"/>
          <w:sz w:val="24"/>
          <w:szCs w:val="24"/>
          <w:highlight w:val="none"/>
        </w:rPr>
        <w:t xml:space="preserve">26  </w:t>
      </w:r>
      <w:r>
        <w:rPr>
          <w:rFonts w:hint="eastAsia" w:ascii="仿宋" w:hAnsi="仿宋" w:eastAsia="仿宋" w:cs="仿宋"/>
          <w:b/>
          <w:bCs/>
          <w:color w:val="auto"/>
          <w:sz w:val="24"/>
          <w:szCs w:val="24"/>
          <w:highlight w:val="none"/>
        </w:rPr>
        <w:t>指定分包</w:t>
      </w:r>
      <w:bookmarkEnd w:id="190"/>
      <w:r>
        <w:rPr>
          <w:rFonts w:hint="eastAsia" w:ascii="仿宋" w:hAnsi="仿宋" w:eastAsia="仿宋" w:cs="仿宋"/>
          <w:b/>
          <w:bCs/>
          <w:color w:val="auto"/>
          <w:sz w:val="24"/>
          <w:szCs w:val="24"/>
          <w:highlight w:val="none"/>
        </w:rPr>
        <w:t>人</w:t>
      </w:r>
      <w:bookmarkEnd w:id="191"/>
      <w:bookmarkEnd w:id="192"/>
      <w:bookmarkEnd w:id="193"/>
    </w:p>
    <w:p>
      <w:pPr>
        <w:shd w:val="clear" w:color="000000" w:fill="auto"/>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26.1 </w:t>
      </w:r>
    </w:p>
    <w:p>
      <w:pPr>
        <w:pStyle w:val="2"/>
        <w:shd w:val="clear" w:color="000000" w:fill="auto"/>
        <w:adjustRightInd w:val="0"/>
        <w:snapToGrid w:val="0"/>
        <w:spacing w:line="360" w:lineRule="auto"/>
        <w:ind w:left="1978" w:leftChars="942"/>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48352" behindDoc="0" locked="0" layoutInCell="1" allowOverlap="1">
                <wp:simplePos x="0" y="0"/>
                <wp:positionH relativeFrom="column">
                  <wp:posOffset>-114300</wp:posOffset>
                </wp:positionH>
                <wp:positionV relativeFrom="paragraph">
                  <wp:posOffset>60325</wp:posOffset>
                </wp:positionV>
                <wp:extent cx="914400" cy="693420"/>
                <wp:effectExtent l="0" t="0" r="0" b="0"/>
                <wp:wrapNone/>
                <wp:docPr id="88" name="文本框 89"/>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指定分包人工作</w:t>
                            </w:r>
                          </w:p>
                        </w:txbxContent>
                      </wps:txbx>
                      <wps:bodyPr upright="1"/>
                    </wps:wsp>
                  </a:graphicData>
                </a:graphic>
              </wp:anchor>
            </w:drawing>
          </mc:Choice>
          <mc:Fallback>
            <w:pict>
              <v:shape id="文本框 89" o:spid="_x0000_s1026" o:spt="202" type="#_x0000_t202" style="position:absolute;left:0pt;margin-left:-9pt;margin-top:4.75pt;height:54.6pt;width:72pt;z-index:251748352;mso-width-relative:page;mso-height-relative:page;" filled="f" stroked="f" coordsize="21600,21600" o:gfxdata="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F7Lq11gAA&#10;AAkBAAAPAAAAAAAAAAEAIAAAACIAAABkcnMvZG93bnJldi54bWxQSwECFAAUAAAACACHTuJAqwNt&#10;8K4BAABPAwAADgAAAAAAAAABACAAAAAlAQAAZHJzL2Uyb0RvYy54bWxQSwUGAAAAAAYABgBZAQAA&#10;R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指定分包人工作</w:t>
                      </w:r>
                    </w:p>
                  </w:txbxContent>
                </v:textbox>
              </v:shape>
            </w:pict>
          </mc:Fallback>
        </mc:AlternateContent>
      </w:r>
      <w:r>
        <w:rPr>
          <w:rFonts w:hint="eastAsia" w:ascii="仿宋" w:hAnsi="仿宋" w:eastAsia="仿宋" w:cs="仿宋"/>
          <w:color w:val="auto"/>
          <w:sz w:val="24"/>
          <w:szCs w:val="24"/>
          <w:highlight w:val="none"/>
        </w:rPr>
        <w:t>指定分包人是指发包人事先指定的从事下列工作之一的分包人：</w:t>
      </w:r>
    </w:p>
    <w:p>
      <w:pPr>
        <w:pStyle w:val="2"/>
        <w:widowControl/>
        <w:shd w:val="clear" w:color="000000" w:fill="auto"/>
        <w:adjustRightInd w:val="0"/>
        <w:snapToGrid w:val="0"/>
        <w:spacing w:line="360" w:lineRule="auto"/>
        <w:ind w:left="1978"/>
        <w:jc w:val="left"/>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）根据专用条款的约定，发包人依法事先指定的实施、完成部分永久工程的分包人；</w:t>
      </w:r>
    </w:p>
    <w:p>
      <w:pPr>
        <w:pStyle w:val="2"/>
        <w:widowControl/>
        <w:shd w:val="clear" w:color="000000" w:fill="auto"/>
        <w:adjustRightInd w:val="0"/>
        <w:snapToGrid w:val="0"/>
        <w:spacing w:line="360" w:lineRule="auto"/>
        <w:ind w:left="1978" w:leftChars="942" w:firstLine="16" w:firstLineChars="7"/>
        <w:jc w:val="left"/>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）根据专用条款的约定，发包人选定的提供合同工程材料、工程设备和服务的分包人。</w:t>
      </w:r>
    </w:p>
    <w:p>
      <w:pPr>
        <w:shd w:val="clear" w:color="000000" w:fill="auto"/>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26.2  </w:t>
      </w:r>
      <w:r>
        <w:rPr>
          <w:rFonts w:ascii="仿宋" w:hAnsi="仿宋" w:eastAsia="仿宋" w:cs="仿宋"/>
          <w:b/>
          <w:bCs/>
          <w:color w:val="auto"/>
          <w:sz w:val="24"/>
          <w:szCs w:val="24"/>
          <w:highlight w:val="none"/>
          <w:u w:val="dotted"/>
        </w:rPr>
        <w:t xml:space="preserve">                                                                             </w:t>
      </w:r>
    </w:p>
    <w:p>
      <w:pPr>
        <w:pStyle w:val="2"/>
        <w:widowControl/>
        <w:shd w:val="clear" w:color="000000" w:fill="auto"/>
        <w:adjustRightInd w:val="0"/>
        <w:snapToGrid w:val="0"/>
        <w:spacing w:line="360" w:lineRule="auto"/>
        <w:ind w:left="1978" w:leftChars="942" w:firstLine="2" w:firstLineChars="1"/>
        <w:jc w:val="left"/>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49376" behindDoc="0" locked="0" layoutInCell="1" allowOverlap="1">
                <wp:simplePos x="0" y="0"/>
                <wp:positionH relativeFrom="column">
                  <wp:posOffset>-114300</wp:posOffset>
                </wp:positionH>
                <wp:positionV relativeFrom="paragraph">
                  <wp:posOffset>0</wp:posOffset>
                </wp:positionV>
                <wp:extent cx="1028700" cy="627380"/>
                <wp:effectExtent l="0" t="0" r="0" b="0"/>
                <wp:wrapNone/>
                <wp:docPr id="89" name="文本框 90"/>
                <wp:cNvGraphicFramePr/>
                <a:graphic xmlns:a="http://schemas.openxmlformats.org/drawingml/2006/main">
                  <a:graphicData uri="http://schemas.microsoft.com/office/word/2010/wordprocessingShape">
                    <wps:wsp>
                      <wps:cNvSpPr txBox="1"/>
                      <wps:spPr>
                        <a:xfrm>
                          <a:off x="0" y="0"/>
                          <a:ext cx="1028700" cy="62738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承包人对指定分包人的接受</w:t>
                            </w:r>
                          </w:p>
                        </w:txbxContent>
                      </wps:txbx>
                      <wps:bodyPr upright="1"/>
                    </wps:wsp>
                  </a:graphicData>
                </a:graphic>
              </wp:anchor>
            </w:drawing>
          </mc:Choice>
          <mc:Fallback>
            <w:pict>
              <v:shape id="文本框 90" o:spid="_x0000_s1026" o:spt="202" type="#_x0000_t202" style="position:absolute;left:0pt;margin-left:-9pt;margin-top:0pt;height:49.4pt;width:81pt;z-index:251749376;mso-width-relative:page;mso-height-relative:page;" filled="f" stroked="f" coordsize="21600,21600" o:gfxdata="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GgOwG1AAAAAcB&#10;AAAPAAAAAAAAAAEAIAAAACIAAABkcnMvZG93bnJldi54bWxQSwECFAAUAAAACACHTuJAXYr/O60B&#10;AABQAwAADgAAAAAAAAABACAAAAAjAQAAZHJzL2Uyb0RvYy54bWxQSwUGAAAAAAYABgBZAQAAQgUA&#10;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承包人对指定分包人的接受</w:t>
                      </w:r>
                    </w:p>
                  </w:txbxContent>
                </v:textbox>
              </v:shape>
            </w:pict>
          </mc:Fallback>
        </mc:AlternateContent>
      </w:r>
      <w:r>
        <w:rPr>
          <w:rFonts w:hint="eastAsia" w:ascii="仿宋" w:hAnsi="仿宋" w:eastAsia="仿宋" w:cs="仿宋"/>
          <w:color w:val="auto"/>
          <w:sz w:val="24"/>
          <w:szCs w:val="24"/>
          <w:highlight w:val="none"/>
        </w:rPr>
        <w:t>指定分包人属于承包人的分包人，发包人不应要求承包人有义务接受承包人有理由反对的任何指定分包人。</w:t>
      </w:r>
    </w:p>
    <w:p>
      <w:pPr>
        <w:shd w:val="clear" w:color="000000" w:fill="auto"/>
        <w:spacing w:line="360" w:lineRule="auto"/>
        <w:rPr>
          <w:rFonts w:ascii="仿宋" w:hAnsi="仿宋" w:eastAsia="仿宋" w:cs="Times New Roman"/>
          <w:b/>
          <w:bCs/>
          <w:color w:val="auto"/>
          <w:sz w:val="24"/>
          <w:szCs w:val="24"/>
          <w:highlight w:val="none"/>
          <w:u w:val="dotted"/>
        </w:rPr>
      </w:pPr>
      <w:r>
        <w:rPr>
          <w:color w:val="auto"/>
          <w:highlight w:val="none"/>
        </w:rPr>
        <mc:AlternateContent>
          <mc:Choice Requires="wps">
            <w:drawing>
              <wp:anchor distT="0" distB="0" distL="114300" distR="114300" simplePos="0" relativeHeight="251750400" behindDoc="0" locked="0" layoutInCell="1" allowOverlap="1">
                <wp:simplePos x="0" y="0"/>
                <wp:positionH relativeFrom="column">
                  <wp:posOffset>-114300</wp:posOffset>
                </wp:positionH>
                <wp:positionV relativeFrom="paragraph">
                  <wp:posOffset>237490</wp:posOffset>
                </wp:positionV>
                <wp:extent cx="1028700" cy="699135"/>
                <wp:effectExtent l="0" t="0" r="0" b="0"/>
                <wp:wrapNone/>
                <wp:docPr id="90" name="文本框 91"/>
                <wp:cNvGraphicFramePr/>
                <a:graphic xmlns:a="http://schemas.openxmlformats.org/drawingml/2006/main">
                  <a:graphicData uri="http://schemas.microsoft.com/office/word/2010/wordprocessingShape">
                    <wps:wsp>
                      <wps:cNvSpPr txBox="1"/>
                      <wps:spPr>
                        <a:xfrm>
                          <a:off x="0" y="0"/>
                          <a:ext cx="1028700" cy="69913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指定分包工程款结算与支付</w:t>
                            </w:r>
                          </w:p>
                        </w:txbxContent>
                      </wps:txbx>
                      <wps:bodyPr upright="1"/>
                    </wps:wsp>
                  </a:graphicData>
                </a:graphic>
              </wp:anchor>
            </w:drawing>
          </mc:Choice>
          <mc:Fallback>
            <w:pict>
              <v:shape id="文本框 91" o:spid="_x0000_s1026" o:spt="202" type="#_x0000_t202" style="position:absolute;left:0pt;margin-left:-9pt;margin-top:18.7pt;height:55.05pt;width:81pt;z-index:251750400;mso-width-relative:page;mso-height-relative:page;" filled="f" stroked="f" coordsize="21600,21600" o:gfxdata="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O8sHLtgA&#10;AAAKAQAADwAAAAAAAAABACAAAAAiAAAAZHJzL2Rvd25yZXYueG1sUEsBAhQAFAAAAAgAh07iQPUJ&#10;W6CtAQAAUAMAAA4AAAAAAAAAAQAgAAAAJw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指定分包工程款结算与支付</w:t>
                      </w:r>
                    </w:p>
                  </w:txbxContent>
                </v:textbox>
              </v:shape>
            </w:pict>
          </mc:Fallback>
        </mc:AlternateContent>
      </w:r>
      <w:r>
        <w:rPr>
          <w:rFonts w:ascii="仿宋" w:hAnsi="仿宋" w:eastAsia="仿宋" w:cs="仿宋"/>
          <w:b/>
          <w:bCs/>
          <w:color w:val="auto"/>
          <w:sz w:val="24"/>
          <w:szCs w:val="24"/>
          <w:highlight w:val="none"/>
        </w:rPr>
        <w:t xml:space="preserve">26.3  </w:t>
      </w:r>
      <w:r>
        <w:rPr>
          <w:rFonts w:ascii="仿宋" w:hAnsi="仿宋" w:eastAsia="仿宋" w:cs="仿宋"/>
          <w:b/>
          <w:bCs/>
          <w:color w:val="auto"/>
          <w:sz w:val="24"/>
          <w:szCs w:val="24"/>
          <w:highlight w:val="none"/>
          <w:u w:val="dotted"/>
        </w:rPr>
        <w:t xml:space="preserve">                                                                              </w:t>
      </w:r>
    </w:p>
    <w:p>
      <w:pPr>
        <w:pStyle w:val="2"/>
        <w:widowControl/>
        <w:shd w:val="clear" w:color="000000" w:fill="auto"/>
        <w:adjustRightInd w:val="0"/>
        <w:snapToGrid w:val="0"/>
        <w:spacing w:line="360" w:lineRule="auto"/>
        <w:ind w:firstLine="1920" w:firstLineChars="800"/>
        <w:jc w:val="left"/>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发包人应按照合同的约定向承包人支付指定分包人的分包工程配合费。</w:t>
      </w:r>
    </w:p>
    <w:p>
      <w:pPr>
        <w:pStyle w:val="2"/>
        <w:widowControl/>
        <w:shd w:val="clear" w:color="000000" w:fill="auto"/>
        <w:adjustRightInd w:val="0"/>
        <w:snapToGrid w:val="0"/>
        <w:spacing w:line="360" w:lineRule="auto"/>
        <w:ind w:left="1978"/>
        <w:jc w:val="left"/>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指定分包工程款的结算与支付，按照第</w:t>
      </w:r>
      <w:r>
        <w:rPr>
          <w:rFonts w:ascii="仿宋" w:hAnsi="仿宋" w:eastAsia="仿宋" w:cs="仿宋"/>
          <w:color w:val="auto"/>
          <w:sz w:val="24"/>
          <w:szCs w:val="24"/>
          <w:highlight w:val="none"/>
        </w:rPr>
        <w:t>7.4</w:t>
      </w:r>
      <w:r>
        <w:rPr>
          <w:rFonts w:hint="eastAsia" w:ascii="仿宋" w:hAnsi="仿宋" w:eastAsia="仿宋" w:cs="仿宋"/>
          <w:color w:val="auto"/>
          <w:sz w:val="24"/>
          <w:szCs w:val="24"/>
          <w:highlight w:val="none"/>
        </w:rPr>
        <w:t>款办理。</w:t>
      </w:r>
    </w:p>
    <w:p>
      <w:pPr>
        <w:shd w:val="clear" w:color="000000" w:fill="auto"/>
        <w:spacing w:line="360" w:lineRule="auto"/>
        <w:rPr>
          <w:rFonts w:ascii="仿宋" w:hAnsi="仿宋" w:eastAsia="仿宋" w:cs="Times New Roman"/>
          <w:b/>
          <w:bCs/>
          <w:color w:val="auto"/>
          <w:sz w:val="24"/>
          <w:szCs w:val="24"/>
          <w:highlight w:val="none"/>
          <w:u w:val="dotted"/>
        </w:rPr>
      </w:pPr>
      <w:r>
        <w:rPr>
          <w:color w:val="auto"/>
          <w:highlight w:val="none"/>
        </w:rPr>
        <mc:AlternateContent>
          <mc:Choice Requires="wps">
            <w:drawing>
              <wp:anchor distT="0" distB="0" distL="114300" distR="114300" simplePos="0" relativeHeight="251751424" behindDoc="0" locked="0" layoutInCell="1" allowOverlap="1">
                <wp:simplePos x="0" y="0"/>
                <wp:positionH relativeFrom="column">
                  <wp:posOffset>-66675</wp:posOffset>
                </wp:positionH>
                <wp:positionV relativeFrom="paragraph">
                  <wp:posOffset>199390</wp:posOffset>
                </wp:positionV>
                <wp:extent cx="1133475" cy="791845"/>
                <wp:effectExtent l="0" t="0" r="0" b="0"/>
                <wp:wrapNone/>
                <wp:docPr id="91" name="文本框 92"/>
                <wp:cNvGraphicFramePr/>
                <a:graphic xmlns:a="http://schemas.openxmlformats.org/drawingml/2006/main">
                  <a:graphicData uri="http://schemas.microsoft.com/office/word/2010/wordprocessingShape">
                    <wps:wsp>
                      <wps:cNvSpPr txBox="1"/>
                      <wps:spPr>
                        <a:xfrm>
                          <a:off x="0" y="0"/>
                          <a:ext cx="1133475" cy="79184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分包工程的义</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p>
                            <w:pPr>
                              <w:rPr>
                                <w:rFonts w:ascii="楷体_GB2312" w:hAnsi="宋体" w:eastAsia="楷体_GB2312" w:cs="Times New Roman"/>
                                <w:b/>
                                <w:bCs/>
                                <w:color w:val="000000"/>
                              </w:rPr>
                            </w:pPr>
                          </w:p>
                          <w:p>
                            <w:pPr>
                              <w:rPr>
                                <w:rFonts w:cs="Times New Roman"/>
                              </w:rPr>
                            </w:pPr>
                          </w:p>
                          <w:p>
                            <w:pPr>
                              <w:rPr>
                                <w:rFonts w:cs="Times New Roman"/>
                              </w:rPr>
                            </w:pPr>
                          </w:p>
                        </w:txbxContent>
                      </wps:txbx>
                      <wps:bodyPr upright="1"/>
                    </wps:wsp>
                  </a:graphicData>
                </a:graphic>
              </wp:anchor>
            </w:drawing>
          </mc:Choice>
          <mc:Fallback>
            <w:pict>
              <v:shape id="文本框 92" o:spid="_x0000_s1026" o:spt="202" type="#_x0000_t202" style="position:absolute;left:0pt;margin-left:-5.25pt;margin-top:15.7pt;height:62.35pt;width:89.25pt;z-index:251751424;mso-width-relative:page;mso-height-relative:page;" filled="f" stroked="f" coordsize="21600,21600" o:gfxdata="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JTIIv&#10;1wAAAAoBAAAPAAAAAAAAAAEAIAAAACIAAABkcnMvZG93bnJldi54bWxQSwECFAAUAAAACACHTuJA&#10;VPaclLABAABQAwAADgAAAAAAAAABACAAAAAmAQAAZHJzL2Uyb0RvYy54bWxQSwUGAAAAAAYABgBZ&#10;AQAAS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分包工程的义</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p>
                      <w:pPr>
                        <w:rPr>
                          <w:rFonts w:ascii="楷体_GB2312" w:hAnsi="宋体" w:eastAsia="楷体_GB2312" w:cs="Times New Roman"/>
                          <w:b/>
                          <w:bCs/>
                          <w:color w:val="000000"/>
                        </w:rPr>
                      </w:pPr>
                    </w:p>
                    <w:p>
                      <w:pPr>
                        <w:rPr>
                          <w:rFonts w:cs="Times New Roman"/>
                        </w:rPr>
                      </w:pPr>
                    </w:p>
                    <w:p>
                      <w:pPr>
                        <w:rPr>
                          <w:rFonts w:cs="Times New Roman"/>
                        </w:rPr>
                      </w:pPr>
                    </w:p>
                  </w:txbxContent>
                </v:textbox>
              </v:shape>
            </w:pict>
          </mc:Fallback>
        </mc:AlternateContent>
      </w:r>
      <w:r>
        <w:rPr>
          <w:rFonts w:ascii="仿宋" w:hAnsi="仿宋" w:eastAsia="仿宋" w:cs="仿宋"/>
          <w:b/>
          <w:bCs/>
          <w:color w:val="auto"/>
          <w:sz w:val="24"/>
          <w:szCs w:val="24"/>
          <w:highlight w:val="none"/>
        </w:rPr>
        <w:t>26.4</w:t>
      </w:r>
      <w:r>
        <w:rPr>
          <w:rFonts w:ascii="仿宋" w:hAnsi="仿宋" w:eastAsia="仿宋" w:cs="仿宋"/>
          <w:b/>
          <w:bCs/>
          <w:color w:val="auto"/>
          <w:sz w:val="24"/>
          <w:szCs w:val="24"/>
          <w:highlight w:val="none"/>
          <w:u w:val="dotted"/>
        </w:rPr>
        <w:t xml:space="preserve">                                                                               </w:t>
      </w:r>
    </w:p>
    <w:p>
      <w:pPr>
        <w:pStyle w:val="2"/>
        <w:widowControl/>
        <w:shd w:val="clear" w:color="000000" w:fill="auto"/>
        <w:tabs>
          <w:tab w:val="left" w:pos="1260"/>
        </w:tabs>
        <w:adjustRightInd w:val="0"/>
        <w:snapToGrid w:val="0"/>
        <w:spacing w:line="360" w:lineRule="auto"/>
        <w:ind w:left="1978" w:leftChars="942" w:firstLine="1"/>
        <w:jc w:val="left"/>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指定分包人应按照分包合同的约定对承包人负责。承包人有义务协助、配合指定分包人实施分包工程。</w:t>
      </w:r>
    </w:p>
    <w:p>
      <w:pPr>
        <w:shd w:val="clear" w:color="000000" w:fill="auto"/>
        <w:spacing w:line="360" w:lineRule="auto"/>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outlineLvl w:val="2"/>
        <w:rPr>
          <w:rFonts w:ascii="仿宋" w:hAnsi="仿宋" w:eastAsia="仿宋" w:cs="Times New Roman"/>
          <w:b/>
          <w:bCs/>
          <w:color w:val="auto"/>
          <w:sz w:val="24"/>
          <w:szCs w:val="24"/>
          <w:highlight w:val="none"/>
        </w:rPr>
      </w:pPr>
      <w:bookmarkStart w:id="194" w:name="_Toc469384007"/>
      <w:bookmarkStart w:id="195" w:name="_Toc10624847"/>
      <w:bookmarkStart w:id="196" w:name="_Toc17467"/>
      <w:r>
        <w:rPr>
          <w:rFonts w:ascii="仿宋" w:hAnsi="仿宋" w:eastAsia="仿宋" w:cs="仿宋"/>
          <w:b/>
          <w:bCs/>
          <w:color w:val="auto"/>
          <w:sz w:val="24"/>
          <w:szCs w:val="24"/>
          <w:highlight w:val="none"/>
        </w:rPr>
        <w:t xml:space="preserve">27  </w:t>
      </w:r>
      <w:r>
        <w:rPr>
          <w:rFonts w:hint="eastAsia" w:ascii="仿宋" w:hAnsi="仿宋" w:eastAsia="仿宋" w:cs="仿宋"/>
          <w:b/>
          <w:bCs/>
          <w:color w:val="auto"/>
          <w:sz w:val="24"/>
          <w:szCs w:val="24"/>
          <w:highlight w:val="none"/>
        </w:rPr>
        <w:t>承包人劳务</w:t>
      </w:r>
      <w:bookmarkEnd w:id="194"/>
      <w:bookmarkEnd w:id="195"/>
      <w:bookmarkEnd w:id="196"/>
    </w:p>
    <w:p>
      <w:pPr>
        <w:shd w:val="clear" w:color="000000" w:fill="auto"/>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27.1   </w:t>
      </w:r>
    </w:p>
    <w:p>
      <w:pPr>
        <w:widowControl/>
        <w:shd w:val="clear" w:color="000000" w:fill="auto"/>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52448" behindDoc="0" locked="0" layoutInCell="1" allowOverlap="1">
                <wp:simplePos x="0" y="0"/>
                <wp:positionH relativeFrom="column">
                  <wp:posOffset>-114300</wp:posOffset>
                </wp:positionH>
                <wp:positionV relativeFrom="paragraph">
                  <wp:posOffset>8255</wp:posOffset>
                </wp:positionV>
                <wp:extent cx="914400" cy="692150"/>
                <wp:effectExtent l="0" t="0" r="0" b="0"/>
                <wp:wrapNone/>
                <wp:docPr id="92" name="文本框 93"/>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wps:txbx>
                      <wps:bodyPr upright="1"/>
                    </wps:wsp>
                  </a:graphicData>
                </a:graphic>
              </wp:anchor>
            </w:drawing>
          </mc:Choice>
          <mc:Fallback>
            <w:pict>
              <v:shape id="文本框 93" o:spid="_x0000_s1026" o:spt="202" type="#_x0000_t202" style="position:absolute;left:0pt;margin-left:-9pt;margin-top:0.65pt;height:54.5pt;width:72pt;z-index:251752448;mso-width-relative:page;mso-height-relative:page;" filled="f" stroked="f" coordsize="21600,21600" o:gfxdata="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Ds6rC1QAA&#10;AAkBAAAPAAAAAAAAAAEAIAAAACIAAABkcnMvZG93bnJldi54bWxQSwECFAAUAAAACACHTuJAbwb4&#10;b68BAABPAwAADgAAAAAAAAABACAAAAAkAQAAZHJzL2Uyb0RvYy54bWxQSwUGAAAAAAYABgBZAQAA&#10;R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v:textbox>
              </v:shape>
            </w:pict>
          </mc:Fallback>
        </mc:AlternateContent>
      </w:r>
      <w:r>
        <w:rPr>
          <w:rFonts w:hint="eastAsia" w:ascii="仿宋" w:hAnsi="仿宋" w:eastAsia="仿宋" w:cs="仿宋"/>
          <w:color w:val="auto"/>
          <w:sz w:val="24"/>
          <w:szCs w:val="24"/>
          <w:highlight w:val="none"/>
        </w:rPr>
        <w:t>承包人应在接到开工令后</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向监理工程师提交承包人在施工场地的管理机构以及人员安排报告，并附上投标文件中的“主要人员一览表”。报告内容应包括管理机构的设置、各主要岗位的技术和管理人员名单及其资格，以及各工种技术工人的安排情况等。</w:t>
      </w:r>
    </w:p>
    <w:p>
      <w:pPr>
        <w:shd w:val="clear" w:color="000000" w:fill="auto"/>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27.2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pPr>
        <w:widowControl/>
        <w:shd w:val="clear" w:color="000000" w:fill="auto"/>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53472"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93" name="文本框 9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承包人人员的雇佣</w:t>
                            </w:r>
                          </w:p>
                        </w:txbxContent>
                      </wps:txbx>
                      <wps:bodyPr upright="1"/>
                    </wps:wsp>
                  </a:graphicData>
                </a:graphic>
              </wp:anchor>
            </w:drawing>
          </mc:Choice>
          <mc:Fallback>
            <w:pict>
              <v:shape id="文本框 94" o:spid="_x0000_s1026" o:spt="202" type="#_x0000_t202" style="position:absolute;left:0pt;margin-left:-9pt;margin-top:0.65pt;height:31.2pt;width:72pt;z-index:251753472;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Wt2iW1QAA&#10;AAgBAAAPAAAAAAAAAAEAIAAAACIAAABkcnMvZG93bnJldi54bWxQSwECFAAUAAAACACHTuJAcmrY&#10;868BAABPAwAADgAAAAAAAAABACAAAAAkAQAAZHJzL2Uyb0RvYy54bWxQSwUGAAAAAAYABgBZAQAA&#10;R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承包人人员的雇佣</w:t>
                      </w:r>
                    </w:p>
                  </w:txbxContent>
                </v:textbox>
              </v:shape>
            </w:pict>
          </mc:Fallback>
        </mc:AlternateContent>
      </w:r>
      <w:r>
        <w:rPr>
          <w:rFonts w:hint="eastAsia" w:ascii="仿宋" w:hAnsi="仿宋" w:eastAsia="仿宋" w:cs="仿宋"/>
          <w:color w:val="auto"/>
          <w:sz w:val="24"/>
          <w:szCs w:val="24"/>
          <w:highlight w:val="none"/>
        </w:rPr>
        <w:t>承包人除应雇佣投标文件中“主要人员一览表”中指明的人员外，也可以雇佣经监理工程师批准的其他人员，但不得从发包人或服务于发包人的人员中雇佣人员。</w:t>
      </w:r>
    </w:p>
    <w:p>
      <w:pPr>
        <w:shd w:val="clear" w:color="000000" w:fill="auto"/>
        <w:tabs>
          <w:tab w:val="left" w:pos="1620"/>
        </w:tabs>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27.3  </w:t>
      </w:r>
      <w:r>
        <w:rPr>
          <w:rFonts w:ascii="仿宋" w:hAnsi="仿宋" w:eastAsia="仿宋" w:cs="仿宋"/>
          <w:b/>
          <w:bCs/>
          <w:color w:val="auto"/>
          <w:sz w:val="24"/>
          <w:szCs w:val="24"/>
          <w:highlight w:val="none"/>
          <w:u w:val="dotted"/>
        </w:rPr>
        <w:t xml:space="preserve">                                                                                                        </w:t>
      </w:r>
    </w:p>
    <w:p>
      <w:pPr>
        <w:shd w:val="clear" w:color="000000" w:fill="auto"/>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54496" behindDoc="0" locked="0" layoutInCell="1" allowOverlap="1">
                <wp:simplePos x="0" y="0"/>
                <wp:positionH relativeFrom="column">
                  <wp:posOffset>-114300</wp:posOffset>
                </wp:positionH>
                <wp:positionV relativeFrom="paragraph">
                  <wp:posOffset>59690</wp:posOffset>
                </wp:positionV>
                <wp:extent cx="914400" cy="495300"/>
                <wp:effectExtent l="0" t="0" r="0" b="0"/>
                <wp:wrapNone/>
                <wp:docPr id="94" name="文本框 9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承包人对雇员应做的工作</w:t>
                            </w:r>
                          </w:p>
                        </w:txbxContent>
                      </wps:txbx>
                      <wps:bodyPr upright="1"/>
                    </wps:wsp>
                  </a:graphicData>
                </a:graphic>
              </wp:anchor>
            </w:drawing>
          </mc:Choice>
          <mc:Fallback>
            <w:pict>
              <v:shape id="文本框 95" o:spid="_x0000_s1026" o:spt="202" type="#_x0000_t202" style="position:absolute;left:0pt;margin-left:-9pt;margin-top:4.7pt;height:39pt;width:72pt;z-index:251754496;mso-width-relative:page;mso-height-relative:page;" filled="f" stroked="f" coordsize="21600,21600" o:gfxdata="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wVgKKNUAAAAI&#10;AQAADwAAAAAAAAABACAAAAAiAAAAZHJzL2Rvd25yZXYueG1sUEsBAhQAFAAAAAgAh07iQLglVSet&#10;AQAATwMAAA4AAAAAAAAAAQAgAAAAJAEAAGRycy9lMm9Eb2MueG1sUEsFBgAAAAAGAAYAWQEAAEMF&#10;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承包人对雇员应做的工作</w:t>
                      </w:r>
                    </w:p>
                  </w:txbxContent>
                </v:textbox>
              </v:shape>
            </w:pict>
          </mc:Fallback>
        </mc:AlternateContent>
      </w:r>
      <w:r>
        <w:rPr>
          <w:rFonts w:hint="eastAsia" w:ascii="仿宋" w:hAnsi="仿宋" w:eastAsia="仿宋" w:cs="仿宋"/>
          <w:color w:val="auto"/>
          <w:sz w:val="24"/>
          <w:szCs w:val="24"/>
          <w:highlight w:val="none"/>
        </w:rPr>
        <w:t>承包人应完善雇员的劳务注册手续，并与雇员订立劳动合同，明确双方的权利和义务。雇佣期间，承包人应做好下列工作：</w:t>
      </w:r>
    </w:p>
    <w:p>
      <w:pPr>
        <w:shd w:val="clear" w:color="000000" w:fill="auto"/>
        <w:tabs>
          <w:tab w:val="left" w:pos="1080"/>
          <w:tab w:val="left" w:pos="2160"/>
        </w:tabs>
        <w:spacing w:line="360" w:lineRule="auto"/>
        <w:ind w:left="1619"/>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负责为雇员提供必要的食宿及各种生活设施，采取合理的卫生、劳动保护和安全防护措施，保证雇员的健康和安全；</w:t>
      </w:r>
    </w:p>
    <w:p>
      <w:pPr>
        <w:shd w:val="clear" w:color="000000" w:fill="auto"/>
        <w:tabs>
          <w:tab w:val="left" w:pos="1080"/>
          <w:tab w:val="left" w:pos="2160"/>
        </w:tabs>
        <w:spacing w:line="360" w:lineRule="auto"/>
        <w:ind w:left="1680" w:leftChars="8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保障雇员的合法权利和人身安全，及时采取有效措施抢救和治疗施工中受伤害的雇员；</w:t>
      </w:r>
    </w:p>
    <w:p>
      <w:pPr>
        <w:shd w:val="clear" w:color="000000" w:fill="auto"/>
        <w:tabs>
          <w:tab w:val="left" w:pos="2160"/>
        </w:tabs>
        <w:spacing w:line="360" w:lineRule="auto"/>
        <w:ind w:left="1617"/>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充分考虑和保障雇员的休息时间和法定节假日休假时间，尊重雇员的宗教信仰和风俗习惯；</w:t>
      </w:r>
    </w:p>
    <w:p>
      <w:pPr>
        <w:shd w:val="clear" w:color="000000" w:fill="auto"/>
        <w:tabs>
          <w:tab w:val="left" w:pos="1080"/>
          <w:tab w:val="left" w:pos="2160"/>
        </w:tabs>
        <w:spacing w:line="360" w:lineRule="auto"/>
        <w:ind w:left="1617"/>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在施工现场主要出入口处设榜公布雇员工资发放时间和投诉电话，以及合同工程中标价格、进度款支付情况。</w:t>
      </w:r>
    </w:p>
    <w:p>
      <w:pPr>
        <w:shd w:val="clear" w:color="000000" w:fill="auto"/>
        <w:tabs>
          <w:tab w:val="left" w:pos="1080"/>
          <w:tab w:val="left" w:pos="2160"/>
        </w:tabs>
        <w:spacing w:line="360" w:lineRule="auto"/>
        <w:ind w:left="1617"/>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督促雇员和发包人现场人员应佩戴由合同双方当事人共同盖章、签发的工作证上岗；</w:t>
      </w:r>
    </w:p>
    <w:p>
      <w:pPr>
        <w:shd w:val="clear" w:color="000000" w:fill="auto"/>
        <w:tabs>
          <w:tab w:val="left" w:pos="1080"/>
          <w:tab w:val="left" w:pos="2160"/>
        </w:tabs>
        <w:spacing w:line="360" w:lineRule="auto"/>
        <w:ind w:left="1619"/>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(6)</w:t>
      </w:r>
      <w:r>
        <w:rPr>
          <w:rFonts w:hint="eastAsia" w:ascii="仿宋" w:hAnsi="仿宋" w:eastAsia="仿宋" w:cs="仿宋"/>
          <w:color w:val="auto"/>
          <w:sz w:val="24"/>
          <w:szCs w:val="24"/>
          <w:highlight w:val="none"/>
        </w:rPr>
        <w:t>办理雇员的意外伤害等一切保险，处理雇员因工伤亡事故的善后事宜。</w:t>
      </w:r>
    </w:p>
    <w:p>
      <w:pPr>
        <w:shd w:val="clear" w:color="000000" w:fill="auto"/>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27.4  </w:t>
      </w:r>
      <w:r>
        <w:rPr>
          <w:rFonts w:ascii="仿宋" w:hAnsi="仿宋" w:eastAsia="仿宋" w:cs="仿宋"/>
          <w:b/>
          <w:bCs/>
          <w:color w:val="auto"/>
          <w:sz w:val="24"/>
          <w:szCs w:val="24"/>
          <w:highlight w:val="none"/>
          <w:u w:val="dotted"/>
        </w:rPr>
        <w:t xml:space="preserve">                                                                                                        </w:t>
      </w:r>
    </w:p>
    <w:p>
      <w:pPr>
        <w:pStyle w:val="33"/>
        <w:shd w:val="clear" w:color="000000" w:fill="auto"/>
        <w:ind w:left="1619" w:leftChars="771"/>
        <w:rPr>
          <w:rFonts w:ascii="仿宋" w:hAnsi="仿宋" w:eastAsia="仿宋"/>
          <w:color w:val="auto"/>
          <w:highlight w:val="none"/>
        </w:rPr>
      </w:pPr>
      <w:r>
        <w:rPr>
          <w:color w:val="auto"/>
          <w:highlight w:val="none"/>
        </w:rPr>
        <mc:AlternateContent>
          <mc:Choice Requires="wps">
            <w:drawing>
              <wp:anchor distT="0" distB="0" distL="114300" distR="114300" simplePos="0" relativeHeight="251755520" behindDoc="0" locked="0" layoutInCell="1" allowOverlap="1">
                <wp:simplePos x="0" y="0"/>
                <wp:positionH relativeFrom="column">
                  <wp:posOffset>-114300</wp:posOffset>
                </wp:positionH>
                <wp:positionV relativeFrom="paragraph">
                  <wp:posOffset>0</wp:posOffset>
                </wp:positionV>
                <wp:extent cx="914400" cy="693420"/>
                <wp:effectExtent l="0" t="0" r="0" b="0"/>
                <wp:wrapNone/>
                <wp:docPr id="95" name="文本框 96"/>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承包人特殊时间施工的批准</w:t>
                            </w:r>
                          </w:p>
                        </w:txbxContent>
                      </wps:txbx>
                      <wps:bodyPr upright="1"/>
                    </wps:wsp>
                  </a:graphicData>
                </a:graphic>
              </wp:anchor>
            </w:drawing>
          </mc:Choice>
          <mc:Fallback>
            <w:pict>
              <v:shape id="文本框 96" o:spid="_x0000_s1026" o:spt="202" type="#_x0000_t202" style="position:absolute;left:0pt;margin-left:-9pt;margin-top:0pt;height:54.6pt;width:72pt;z-index:251755520;mso-width-relative:page;mso-height-relative:page;" filled="f" stroked="f" coordsize="21600,21600" o:gfxdata="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jlEVM9QAAAAI&#10;AQAADwAAAAAAAAABACAAAAAiAAAAZHJzL2Rvd25yZXYueG1sUEsBAhQAFAAAAAgAh07iQIfEaE+u&#10;AQAATwMAAA4AAAAAAAAAAQAgAAAAIwEAAGRycy9lMm9Eb2MueG1sUEsFBgAAAAAGAAYAWQEAAEMF&#10;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承包人特殊时间施工的批准</w:t>
                      </w:r>
                    </w:p>
                  </w:txbxContent>
                </v:textbox>
              </v:shape>
            </w:pict>
          </mc:Fallback>
        </mc:AlternateContent>
      </w:r>
      <w:r>
        <w:rPr>
          <w:rFonts w:hint="eastAsia" w:ascii="仿宋" w:hAnsi="仿宋" w:eastAsia="仿宋" w:cs="仿宋"/>
          <w:color w:val="auto"/>
          <w:highlight w:val="none"/>
        </w:rPr>
        <w:t>承包人如需在法定节假日施工，应经监理工程师同意；如需在夜间施工，除应经监理工程师同意外，还应经有关部门批准。此类情况，均不得超过法律规定的限度，并应按照法律规定给予雇员补休或付酬。如无特殊原因，只要在不影响工程质量、施工安全、周围环境的情况下，监理工程师应予同意。但为抢救生命、保护财产，或为工程安全、质量而不可避免的作业，则无需事先经监理工程师同意。</w:t>
      </w:r>
    </w:p>
    <w:p>
      <w:pPr>
        <w:shd w:val="clear" w:color="000000" w:fill="auto"/>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27.5  </w:t>
      </w:r>
      <w:r>
        <w:rPr>
          <w:rFonts w:ascii="仿宋" w:hAnsi="仿宋" w:eastAsia="仿宋" w:cs="仿宋"/>
          <w:b/>
          <w:bCs/>
          <w:color w:val="auto"/>
          <w:sz w:val="24"/>
          <w:szCs w:val="24"/>
          <w:highlight w:val="none"/>
          <w:u w:val="dotted"/>
        </w:rPr>
        <w:t xml:space="preserve">                                                                                                        </w:t>
      </w:r>
    </w:p>
    <w:p>
      <w:pPr>
        <w:pStyle w:val="33"/>
        <w:shd w:val="clear" w:color="000000" w:fill="auto"/>
        <w:ind w:left="1619" w:leftChars="771"/>
        <w:rPr>
          <w:rFonts w:ascii="仿宋" w:hAnsi="仿宋" w:eastAsia="仿宋"/>
          <w:color w:val="auto"/>
          <w:highlight w:val="none"/>
        </w:rPr>
      </w:pPr>
      <w:r>
        <w:rPr>
          <w:color w:val="auto"/>
          <w:highlight w:val="none"/>
        </w:rPr>
        <mc:AlternateContent>
          <mc:Choice Requires="wps">
            <w:drawing>
              <wp:anchor distT="0" distB="0" distL="114300" distR="114300" simplePos="0" relativeHeight="251756544" behindDoc="0" locked="0" layoutInCell="1" allowOverlap="1">
                <wp:simplePos x="0" y="0"/>
                <wp:positionH relativeFrom="column">
                  <wp:posOffset>-114300</wp:posOffset>
                </wp:positionH>
                <wp:positionV relativeFrom="paragraph">
                  <wp:posOffset>0</wp:posOffset>
                </wp:positionV>
                <wp:extent cx="914400" cy="480695"/>
                <wp:effectExtent l="0" t="0" r="0" b="0"/>
                <wp:wrapNone/>
                <wp:docPr id="96" name="文本框 97"/>
                <wp:cNvGraphicFramePr/>
                <a:graphic xmlns:a="http://schemas.openxmlformats.org/drawingml/2006/main">
                  <a:graphicData uri="http://schemas.microsoft.com/office/word/2010/wordprocessingShape">
                    <wps:wsp>
                      <wps:cNvSpPr txBox="1"/>
                      <wps:spPr>
                        <a:xfrm>
                          <a:off x="0" y="0"/>
                          <a:ext cx="914400" cy="4806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承包人向雇员支付劳务工资</w:t>
                            </w:r>
                          </w:p>
                        </w:txbxContent>
                      </wps:txbx>
                      <wps:bodyPr upright="1"/>
                    </wps:wsp>
                  </a:graphicData>
                </a:graphic>
              </wp:anchor>
            </w:drawing>
          </mc:Choice>
          <mc:Fallback>
            <w:pict>
              <v:shape id="文本框 97" o:spid="_x0000_s1026" o:spt="202" type="#_x0000_t202" style="position:absolute;left:0pt;margin-left:-9pt;margin-top:0pt;height:37.85pt;width:72pt;z-index:251756544;mso-width-relative:page;mso-height-relative:page;" filled="f" stroked="f" coordsize="21600,21600" o:gfxdata="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Y257LVAAAA&#10;BwEAAA8AAAAAAAAAAQAgAAAAIgAAAGRycy9kb3ducmV2LnhtbFBLAQIUABQAAAAIAIdO4kBA3HUR&#10;rgEAAE8DAAAOAAAAAAAAAAEAIAAAACQBAABkcnMvZTJvRG9jLnhtbFBLBQYAAAAABgAGAFkBAABE&#10;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承包人向雇员支付劳务工资</w:t>
                      </w:r>
                    </w:p>
                  </w:txbxContent>
                </v:textbox>
              </v:shape>
            </w:pict>
          </mc:Fallback>
        </mc:AlternateContent>
      </w:r>
      <w:r>
        <w:rPr>
          <w:rFonts w:hint="eastAsia" w:ascii="仿宋" w:hAnsi="仿宋" w:eastAsia="仿宋" w:cs="仿宋"/>
          <w:color w:val="auto"/>
          <w:highlight w:val="none"/>
        </w:rPr>
        <w:t>承包人应按照时足额向雇员支付劳务工资，并不低于当地最低工资标准。因承包人拖欠其雇员工资而造成群体性示威、游行等一切后果，由承包人承担。对发包人造成损失和（或）导致工期延误的，应赔偿发包人的损失，工期不予顺延。</w:t>
      </w:r>
    </w:p>
    <w:p>
      <w:pPr>
        <w:shd w:val="clear" w:color="000000" w:fill="auto"/>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27.6  </w:t>
      </w:r>
      <w:r>
        <w:rPr>
          <w:rFonts w:ascii="仿宋" w:hAnsi="仿宋" w:eastAsia="仿宋" w:cs="仿宋"/>
          <w:b/>
          <w:bCs/>
          <w:color w:val="auto"/>
          <w:sz w:val="24"/>
          <w:szCs w:val="24"/>
          <w:highlight w:val="none"/>
          <w:u w:val="dotted"/>
        </w:rPr>
        <w:t xml:space="preserve">                                                                                                        </w:t>
      </w:r>
    </w:p>
    <w:p>
      <w:pPr>
        <w:shd w:val="clear" w:color="000000" w:fill="auto"/>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57568" behindDoc="0" locked="0" layoutInCell="1" allowOverlap="1">
                <wp:simplePos x="0" y="0"/>
                <wp:positionH relativeFrom="column">
                  <wp:posOffset>-114300</wp:posOffset>
                </wp:positionH>
                <wp:positionV relativeFrom="paragraph">
                  <wp:posOffset>0</wp:posOffset>
                </wp:positionV>
                <wp:extent cx="914400" cy="891540"/>
                <wp:effectExtent l="0" t="0" r="0" b="0"/>
                <wp:wrapNone/>
                <wp:docPr id="97" name="文本框 98"/>
                <wp:cNvGraphicFramePr/>
                <a:graphic xmlns:a="http://schemas.openxmlformats.org/drawingml/2006/main">
                  <a:graphicData uri="http://schemas.microsoft.com/office/word/2010/wordprocessingShape">
                    <wps:wsp>
                      <wps:cNvSpPr txBox="1"/>
                      <wps:spPr>
                        <a:xfrm>
                          <a:off x="0" y="0"/>
                          <a:ext cx="914400" cy="8915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wps:txbx>
                      <wps:bodyPr upright="1"/>
                    </wps:wsp>
                  </a:graphicData>
                </a:graphic>
              </wp:anchor>
            </w:drawing>
          </mc:Choice>
          <mc:Fallback>
            <w:pict>
              <v:shape id="文本框 98" o:spid="_x0000_s1026" o:spt="202" type="#_x0000_t202" style="position:absolute;left:0pt;margin-left:-9pt;margin-top:0pt;height:70.2pt;width:72pt;z-index:251757568;mso-width-relative:page;mso-height-relative:page;" filled="f" stroked="f" coordsize="21600,21600" o:gfxdata="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KzjETUAAAA&#10;CAEAAA8AAAAAAAAAAQAgAAAAIgAAAGRycy9kb3ducmV2LnhtbFBLAQIUABQAAAAIAIdO4kAjoOHs&#10;rwEAAE8DAAAOAAAAAAAAAAEAIAAAACMBAABkcnMvZTJvRG9jLnhtbFBLBQYAAAAABgAGAFkBAABE&#10;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v:textbox>
              </v:shape>
            </w:pict>
          </mc:Fallback>
        </mc:AlternateContent>
      </w:r>
      <w:r>
        <w:rPr>
          <w:rFonts w:hint="eastAsia" w:ascii="仿宋" w:hAnsi="仿宋" w:eastAsia="仿宋" w:cs="仿宋"/>
          <w:color w:val="auto"/>
          <w:sz w:val="24"/>
          <w:szCs w:val="24"/>
          <w:highlight w:val="none"/>
        </w:rPr>
        <w:t>承包人的雇员应是在行业或职业内具有相应资格、技能和经验的人员。承包人应向施工场地派遣足够数量的下列雇员：</w:t>
      </w:r>
    </w:p>
    <w:p>
      <w:pPr>
        <w:numPr>
          <w:ilvl w:val="1"/>
          <w:numId w:val="8"/>
        </w:numPr>
        <w:shd w:val="clear" w:color="000000" w:fill="auto"/>
        <w:tabs>
          <w:tab w:val="left" w:pos="2160"/>
          <w:tab w:val="left" w:pos="2340"/>
        </w:tabs>
        <w:spacing w:line="360" w:lineRule="auto"/>
        <w:ind w:left="1619" w:leftChars="771"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具有相应资格的专业技工和合格的普工；</w:t>
      </w:r>
      <w:r>
        <w:rPr>
          <w:rFonts w:ascii="仿宋" w:hAnsi="仿宋" w:eastAsia="仿宋" w:cs="仿宋"/>
          <w:color w:val="auto"/>
          <w:sz w:val="24"/>
          <w:szCs w:val="24"/>
          <w:highlight w:val="none"/>
        </w:rPr>
        <w:t xml:space="preserve"> </w:t>
      </w:r>
    </w:p>
    <w:p>
      <w:pPr>
        <w:numPr>
          <w:ilvl w:val="1"/>
          <w:numId w:val="8"/>
        </w:numPr>
        <w:shd w:val="clear" w:color="000000" w:fill="auto"/>
        <w:tabs>
          <w:tab w:val="left" w:pos="2160"/>
          <w:tab w:val="left" w:pos="2340"/>
        </w:tabs>
        <w:spacing w:line="360" w:lineRule="auto"/>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具有相应施工经验的技术人员；</w:t>
      </w:r>
    </w:p>
    <w:p>
      <w:pPr>
        <w:numPr>
          <w:ilvl w:val="1"/>
          <w:numId w:val="8"/>
        </w:numPr>
        <w:shd w:val="clear" w:color="000000" w:fill="auto"/>
        <w:tabs>
          <w:tab w:val="left" w:pos="2160"/>
          <w:tab w:val="left" w:pos="2340"/>
        </w:tabs>
        <w:spacing w:line="360" w:lineRule="auto"/>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具有相应岗位资格的各级管理人员。</w:t>
      </w:r>
    </w:p>
    <w:p>
      <w:pPr>
        <w:shd w:val="clear" w:color="000000" w:fill="auto"/>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27.7  </w:t>
      </w:r>
      <w:r>
        <w:rPr>
          <w:rFonts w:ascii="仿宋" w:hAnsi="仿宋" w:eastAsia="仿宋" w:cs="仿宋"/>
          <w:b/>
          <w:bCs/>
          <w:color w:val="auto"/>
          <w:sz w:val="24"/>
          <w:szCs w:val="24"/>
          <w:highlight w:val="none"/>
          <w:u w:val="dotted"/>
        </w:rPr>
        <w:t xml:space="preserve">                                                                                                        </w:t>
      </w:r>
    </w:p>
    <w:p>
      <w:pPr>
        <w:shd w:val="clear" w:color="000000" w:fill="auto"/>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58592" behindDoc="0" locked="0" layoutInCell="1" allowOverlap="1">
                <wp:simplePos x="0" y="0"/>
                <wp:positionH relativeFrom="column">
                  <wp:posOffset>-114300</wp:posOffset>
                </wp:positionH>
                <wp:positionV relativeFrom="paragraph">
                  <wp:posOffset>0</wp:posOffset>
                </wp:positionV>
                <wp:extent cx="914400" cy="511175"/>
                <wp:effectExtent l="0" t="0" r="0" b="0"/>
                <wp:wrapNone/>
                <wp:docPr id="98" name="文本框 99"/>
                <wp:cNvGraphicFramePr/>
                <a:graphic xmlns:a="http://schemas.openxmlformats.org/drawingml/2006/main">
                  <a:graphicData uri="http://schemas.microsoft.com/office/word/2010/wordprocessingShape">
                    <wps:wsp>
                      <wps:cNvSpPr txBox="1"/>
                      <wps:spPr>
                        <a:xfrm>
                          <a:off x="0" y="0"/>
                          <a:ext cx="914400" cy="51117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承包人雇员安排和撤换</w:t>
                            </w:r>
                          </w:p>
                        </w:txbxContent>
                      </wps:txbx>
                      <wps:bodyPr upright="1"/>
                    </wps:wsp>
                  </a:graphicData>
                </a:graphic>
              </wp:anchor>
            </w:drawing>
          </mc:Choice>
          <mc:Fallback>
            <w:pict>
              <v:shape id="文本框 99" o:spid="_x0000_s1026" o:spt="202" type="#_x0000_t202" style="position:absolute;left:0pt;margin-left:-9pt;margin-top:0pt;height:40.25pt;width:72pt;z-index:251758592;mso-width-relative:page;mso-height-relative:page;" filled="f" stroked="f" coordsize="21600,21600" o:gfxdata="UEsDBAoAAAAAAIdO4kAAAAAAAAAAAAAAAAAEAAAAZHJzL1BLAwQUAAAACACHTuJAtm/Mod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2b8yh1AAAAAcB&#10;AAAPAAAAAAAAAAEAIAAAACIAAABkcnMvZG93bnJldi54bWxQSwECFAAUAAAACACHTuJAqBF9nq0B&#10;AABPAwAADgAAAAAAAAABACAAAAAjAQAAZHJzL2Uyb0RvYy54bWxQSwUGAAAAAAYABgBZAQAAQgUA&#10;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承包人雇员安排和撤换</w:t>
                      </w:r>
                    </w:p>
                  </w:txbxContent>
                </v:textbox>
              </v:shape>
            </w:pict>
          </mc:Fallback>
        </mc:AlternateContent>
      </w:r>
      <w:r>
        <w:rPr>
          <w:rFonts w:hint="eastAsia" w:ascii="仿宋" w:hAnsi="仿宋" w:eastAsia="仿宋" w:cs="仿宋"/>
          <w:color w:val="auto"/>
          <w:sz w:val="24"/>
          <w:szCs w:val="24"/>
          <w:highlight w:val="none"/>
        </w:rPr>
        <w:t>承包人安排在施工场地的雇员应保持相对稳定，但有下列行为的任何承包人雇员，监理工程师可要求承包人将其撤换：</w:t>
      </w:r>
    </w:p>
    <w:p>
      <w:pPr>
        <w:numPr>
          <w:ilvl w:val="0"/>
          <w:numId w:val="9"/>
        </w:numPr>
        <w:shd w:val="clear" w:color="000000" w:fill="auto"/>
        <w:tabs>
          <w:tab w:val="left" w:pos="2160"/>
        </w:tabs>
        <w:spacing w:line="360" w:lineRule="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经常行为不当，或工作漫不经心；</w:t>
      </w:r>
    </w:p>
    <w:p>
      <w:pPr>
        <w:numPr>
          <w:ilvl w:val="0"/>
          <w:numId w:val="9"/>
        </w:numPr>
        <w:shd w:val="clear" w:color="000000" w:fill="auto"/>
        <w:tabs>
          <w:tab w:val="left" w:pos="2160"/>
        </w:tabs>
        <w:spacing w:line="360" w:lineRule="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无能力履行义务或玩忽职守；</w:t>
      </w:r>
    </w:p>
    <w:p>
      <w:pPr>
        <w:numPr>
          <w:ilvl w:val="0"/>
          <w:numId w:val="9"/>
        </w:numPr>
        <w:shd w:val="clear" w:color="000000" w:fill="auto"/>
        <w:tabs>
          <w:tab w:val="left" w:pos="2160"/>
        </w:tabs>
        <w:spacing w:line="360" w:lineRule="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不遵守合同的约定；</w:t>
      </w:r>
    </w:p>
    <w:p>
      <w:pPr>
        <w:numPr>
          <w:ilvl w:val="0"/>
          <w:numId w:val="9"/>
        </w:numPr>
        <w:shd w:val="clear" w:color="000000" w:fill="auto"/>
        <w:tabs>
          <w:tab w:val="left" w:pos="2160"/>
        </w:tabs>
        <w:spacing w:line="360" w:lineRule="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有损安全、健康和不利于环境保护的行为。</w:t>
      </w:r>
    </w:p>
    <w:p>
      <w:pPr>
        <w:shd w:val="clear" w:color="000000" w:fill="auto"/>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27.8  </w:t>
      </w:r>
      <w:r>
        <w:rPr>
          <w:rFonts w:ascii="仿宋" w:hAnsi="仿宋" w:eastAsia="仿宋" w:cs="仿宋"/>
          <w:b/>
          <w:bCs/>
          <w:color w:val="auto"/>
          <w:sz w:val="24"/>
          <w:szCs w:val="24"/>
          <w:highlight w:val="none"/>
          <w:u w:val="dotted"/>
        </w:rPr>
        <w:t xml:space="preserve">                                                                                                        </w:t>
      </w:r>
    </w:p>
    <w:p>
      <w:pPr>
        <w:pStyle w:val="33"/>
        <w:shd w:val="clear" w:color="000000" w:fill="auto"/>
        <w:ind w:left="1619" w:leftChars="771"/>
        <w:rPr>
          <w:rFonts w:ascii="仿宋" w:hAnsi="仿宋" w:eastAsia="仿宋"/>
          <w:color w:val="auto"/>
          <w:highlight w:val="none"/>
        </w:rPr>
      </w:pPr>
      <w:r>
        <w:rPr>
          <w:color w:val="auto"/>
          <w:highlight w:val="none"/>
        </w:rPr>
        <mc:AlternateContent>
          <mc:Choice Requires="wps">
            <w:drawing>
              <wp:anchor distT="0" distB="0" distL="114300" distR="114300" simplePos="0" relativeHeight="251759616" behindDoc="0" locked="0" layoutInCell="1" allowOverlap="1">
                <wp:simplePos x="0" y="0"/>
                <wp:positionH relativeFrom="column">
                  <wp:posOffset>-114300</wp:posOffset>
                </wp:positionH>
                <wp:positionV relativeFrom="paragraph">
                  <wp:posOffset>0</wp:posOffset>
                </wp:positionV>
                <wp:extent cx="914400" cy="434975"/>
                <wp:effectExtent l="0" t="0" r="0" b="0"/>
                <wp:wrapNone/>
                <wp:docPr id="99" name="文本框 100"/>
                <wp:cNvGraphicFramePr/>
                <a:graphic xmlns:a="http://schemas.openxmlformats.org/drawingml/2006/main">
                  <a:graphicData uri="http://schemas.microsoft.com/office/word/2010/wordprocessingShape">
                    <wps:wsp>
                      <wps:cNvSpPr txBox="1"/>
                      <wps:spPr>
                        <a:xfrm>
                          <a:off x="0" y="0"/>
                          <a:ext cx="914400" cy="43497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承包人对雇员的保护</w:t>
                            </w:r>
                          </w:p>
                        </w:txbxContent>
                      </wps:txbx>
                      <wps:bodyPr upright="1"/>
                    </wps:wsp>
                  </a:graphicData>
                </a:graphic>
              </wp:anchor>
            </w:drawing>
          </mc:Choice>
          <mc:Fallback>
            <w:pict>
              <v:shape id="文本框 100" o:spid="_x0000_s1026" o:spt="202" type="#_x0000_t202" style="position:absolute;left:0pt;margin-left:-9pt;margin-top:0pt;height:34.25pt;width:72pt;z-index:251759616;mso-width-relative:page;mso-height-relative:page;" filled="f" stroked="f" coordsize="21600,21600" o:gfxdata="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S12O/VAAAA&#10;BwEAAA8AAAAAAAAAAQAgAAAAIgAAAGRycy9kb3ducmV2LnhtbFBLAQIUABQAAAAIAIdO4kDnaZTZ&#10;rgEAAFADAAAOAAAAAAAAAAEAIAAAACQBAABkcnMvZTJvRG9jLnhtbFBLBQYAAAAABgAGAFkBAABE&#10;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承包人对雇员的保护</w:t>
                      </w:r>
                    </w:p>
                  </w:txbxContent>
                </v:textbox>
              </v:shape>
            </w:pict>
          </mc:Fallback>
        </mc:AlternateContent>
      </w:r>
      <w:r>
        <w:rPr>
          <w:rFonts w:hint="eastAsia" w:ascii="仿宋" w:hAnsi="仿宋" w:eastAsia="仿宋" w:cs="仿宋"/>
          <w:color w:val="auto"/>
          <w:highlight w:val="none"/>
        </w:rPr>
        <w:t>承包人应自始至终采取各种合理的预防措施，防止雇员内部发生打斗和任何无序、非法的不良行为，以确保现场安定和保护现场及邻近人员的生命、财产安全。</w:t>
      </w:r>
    </w:p>
    <w:p>
      <w:pPr>
        <w:shd w:val="clear" w:color="000000" w:fill="auto"/>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u w:val="single"/>
        </w:rPr>
        <w:t xml:space="preserve">                                                                                                              </w:t>
      </w:r>
    </w:p>
    <w:p>
      <w:pPr>
        <w:pStyle w:val="2"/>
        <w:shd w:val="clear" w:color="000000" w:fill="auto"/>
        <w:adjustRightInd w:val="0"/>
        <w:snapToGrid w:val="0"/>
        <w:spacing w:line="360" w:lineRule="auto"/>
        <w:ind w:right="-238"/>
        <w:jc w:val="center"/>
        <w:outlineLvl w:val="1"/>
        <w:rPr>
          <w:rFonts w:ascii="仿宋" w:hAnsi="仿宋" w:eastAsia="仿宋" w:cs="Times New Roman"/>
          <w:b/>
          <w:bCs/>
          <w:color w:val="auto"/>
          <w:sz w:val="24"/>
          <w:szCs w:val="24"/>
          <w:highlight w:val="none"/>
        </w:rPr>
      </w:pPr>
      <w:bookmarkStart w:id="197" w:name="_Toc18616"/>
      <w:bookmarkStart w:id="198" w:name="_Toc6962"/>
      <w:bookmarkStart w:id="199" w:name="_Toc469384008"/>
      <w:bookmarkStart w:id="200" w:name="_Toc10624848"/>
      <w:r>
        <w:rPr>
          <w:rFonts w:hint="eastAsia" w:ascii="仿宋" w:hAnsi="仿宋" w:eastAsia="仿宋" w:cs="仿宋"/>
          <w:b/>
          <w:bCs/>
          <w:color w:val="auto"/>
          <w:sz w:val="24"/>
          <w:szCs w:val="24"/>
          <w:highlight w:val="none"/>
        </w:rPr>
        <w:t>三、担保、保险与风险</w:t>
      </w:r>
      <w:bookmarkEnd w:id="197"/>
      <w:bookmarkEnd w:id="198"/>
      <w:bookmarkEnd w:id="199"/>
      <w:bookmarkEnd w:id="200"/>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201" w:name="_Toc469384009"/>
      <w:bookmarkStart w:id="202" w:name="_Toc8242"/>
      <w:bookmarkStart w:id="203" w:name="_Toc10624849"/>
      <w:r>
        <w:rPr>
          <w:rFonts w:ascii="仿宋" w:hAnsi="仿宋" w:eastAsia="仿宋" w:cs="仿宋"/>
          <w:b/>
          <w:bCs/>
          <w:color w:val="auto"/>
          <w:sz w:val="24"/>
          <w:szCs w:val="24"/>
          <w:highlight w:val="none"/>
        </w:rPr>
        <w:t xml:space="preserve">28  </w:t>
      </w:r>
      <w:r>
        <w:rPr>
          <w:rFonts w:hint="eastAsia" w:ascii="仿宋" w:hAnsi="仿宋" w:eastAsia="仿宋" w:cs="仿宋"/>
          <w:b/>
          <w:bCs/>
          <w:color w:val="auto"/>
          <w:sz w:val="24"/>
          <w:szCs w:val="24"/>
          <w:highlight w:val="none"/>
        </w:rPr>
        <w:t>工程担保</w:t>
      </w:r>
      <w:bookmarkEnd w:id="201"/>
      <w:bookmarkEnd w:id="202"/>
      <w:bookmarkEnd w:id="203"/>
    </w:p>
    <w:p>
      <w:pPr>
        <w:pStyle w:val="2"/>
        <w:shd w:val="clear" w:color="000000" w:fill="auto"/>
        <w:tabs>
          <w:tab w:val="left" w:pos="1320"/>
        </w:tabs>
        <w:adjustRightInd w:val="0"/>
        <w:snapToGrid w:val="0"/>
        <w:spacing w:line="360" w:lineRule="auto"/>
        <w:ind w:right="-240"/>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760640" behindDoc="0" locked="0" layoutInCell="1" allowOverlap="1">
                <wp:simplePos x="0" y="0"/>
                <wp:positionH relativeFrom="column">
                  <wp:posOffset>-114300</wp:posOffset>
                </wp:positionH>
                <wp:positionV relativeFrom="paragraph">
                  <wp:posOffset>243840</wp:posOffset>
                </wp:positionV>
                <wp:extent cx="914400" cy="396240"/>
                <wp:effectExtent l="0" t="0" r="0" b="0"/>
                <wp:wrapNone/>
                <wp:docPr id="100" name="文本框 10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承包人提供履约担保</w:t>
                            </w:r>
                          </w:p>
                        </w:txbxContent>
                      </wps:txbx>
                      <wps:bodyPr upright="1"/>
                    </wps:wsp>
                  </a:graphicData>
                </a:graphic>
              </wp:anchor>
            </w:drawing>
          </mc:Choice>
          <mc:Fallback>
            <w:pict>
              <v:shape id="文本框 101" o:spid="_x0000_s1026" o:spt="202" type="#_x0000_t202" style="position:absolute;left:0pt;margin-left:-9pt;margin-top:19.2pt;height:31.2pt;width:72pt;z-index:251760640;mso-width-relative:page;mso-height-relative:page;" filled="f" stroked="f" coordsize="21600,21600" o:gfxdata="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7gblBNcA&#10;AAAKAQAADwAAAAAAAAABACAAAAAiAAAAZHJzL2Rvd25yZXYueG1sUEsBAhQAFAAAAAgAh07iQDej&#10;uZSuAQAAUQMAAA4AAAAAAAAAAQAgAAAAJg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承包人提供履约担保</w:t>
                      </w:r>
                    </w:p>
                  </w:txbxContent>
                </v:textbox>
              </v:shape>
            </w:pict>
          </mc:Fallback>
        </mc:AlternateContent>
      </w:r>
      <w:r>
        <w:rPr>
          <w:rFonts w:ascii="仿宋" w:hAnsi="仿宋" w:eastAsia="仿宋" w:cs="仿宋"/>
          <w:b/>
          <w:bCs/>
          <w:color w:val="auto"/>
          <w:sz w:val="24"/>
          <w:szCs w:val="24"/>
          <w:highlight w:val="none"/>
        </w:rPr>
        <w:t xml:space="preserve">28.1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为正确履行本合同，发包人应在招标文件中或在签订合同前明确履约担保的有关要求，承包人应按照合同约定时间向发包人提供履约担保。履约担保采用银行保函、担保公司担保或履约保证保险的形式，提供履约保函、担保公司担保、履约保证保险所发生的费用由承包人承担。</w:t>
      </w:r>
    </w:p>
    <w:p>
      <w:pPr>
        <w:pStyle w:val="2"/>
        <w:shd w:val="clear" w:color="000000" w:fill="auto"/>
        <w:tabs>
          <w:tab w:val="left" w:pos="1320"/>
        </w:tabs>
        <w:adjustRightInd w:val="0"/>
        <w:snapToGrid w:val="0"/>
        <w:spacing w:line="360" w:lineRule="auto"/>
        <w:ind w:right="-240"/>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61664" behindDoc="0" locked="0" layoutInCell="1" allowOverlap="1">
                <wp:simplePos x="0" y="0"/>
                <wp:positionH relativeFrom="column">
                  <wp:posOffset>-114300</wp:posOffset>
                </wp:positionH>
                <wp:positionV relativeFrom="paragraph">
                  <wp:posOffset>255905</wp:posOffset>
                </wp:positionV>
                <wp:extent cx="914400" cy="394970"/>
                <wp:effectExtent l="0" t="0" r="0" b="0"/>
                <wp:wrapNone/>
                <wp:docPr id="101" name="文本框 102"/>
                <wp:cNvGraphicFramePr/>
                <a:graphic xmlns:a="http://schemas.openxmlformats.org/drawingml/2006/main">
                  <a:graphicData uri="http://schemas.microsoft.com/office/word/2010/wordprocessingShape">
                    <wps:wsp>
                      <wps:cNvSpPr txBox="1"/>
                      <wps:spPr>
                        <a:xfrm>
                          <a:off x="0" y="0"/>
                          <a:ext cx="914400" cy="39497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履约担保期限和退还</w:t>
                            </w:r>
                          </w:p>
                        </w:txbxContent>
                      </wps:txbx>
                      <wps:bodyPr upright="1"/>
                    </wps:wsp>
                  </a:graphicData>
                </a:graphic>
              </wp:anchor>
            </w:drawing>
          </mc:Choice>
          <mc:Fallback>
            <w:pict>
              <v:shape id="文本框 102" o:spid="_x0000_s1026" o:spt="202" type="#_x0000_t202" style="position:absolute;left:0pt;margin-left:-9pt;margin-top:20.15pt;height:31.1pt;width:72pt;z-index:251761664;mso-width-relative:page;mso-height-relative:page;" filled="f" stroked="f" coordsize="21600,21600" o:gfxdata="UEsDBAoAAAAAAIdO4kAAAAAAAAAAAAAAAAAEAAAAZHJzL1BLAwQUAAAACACHTuJACkedS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CkedSNcA&#10;AAAKAQAADwAAAAAAAAABACAAAAAiAAAAZHJzL2Rvd25yZXYueG1sUEsBAhQAFAAAAAgAh07iQK7n&#10;3jWuAQAAUQMAAA4AAAAAAAAAAQAgAAAAJg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履约担保期限和退还</w:t>
                      </w:r>
                    </w:p>
                  </w:txbxContent>
                </v:textbox>
              </v:shape>
            </w:pict>
          </mc:Fallback>
        </mc:AlternateContent>
      </w:r>
      <w:r>
        <w:rPr>
          <w:rFonts w:ascii="仿宋" w:hAnsi="仿宋" w:eastAsia="仿宋" w:cs="仿宋"/>
          <w:b/>
          <w:bCs/>
          <w:color w:val="auto"/>
          <w:sz w:val="24"/>
          <w:szCs w:val="24"/>
          <w:highlight w:val="none"/>
        </w:rPr>
        <w:t xml:space="preserve">28.2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履约担保的有效期，是从提供履约担保之日起至合同工程竣工验收合格之日止。发包人应在担保有效期满后的</w:t>
      </w:r>
      <w:r>
        <w:rPr>
          <w:rFonts w:ascii="仿宋" w:hAnsi="仿宋" w:eastAsia="仿宋" w:cs="仿宋"/>
          <w:color w:val="auto"/>
          <w:sz w:val="24"/>
          <w:szCs w:val="24"/>
          <w:highlight w:val="none"/>
        </w:rPr>
        <w:t xml:space="preserve">14 </w:t>
      </w:r>
      <w:r>
        <w:rPr>
          <w:rFonts w:hint="eastAsia" w:ascii="仿宋" w:hAnsi="仿宋" w:eastAsia="仿宋" w:cs="仿宋"/>
          <w:color w:val="auto"/>
          <w:sz w:val="24"/>
          <w:szCs w:val="24"/>
          <w:highlight w:val="none"/>
        </w:rPr>
        <w:t>天内将此担保退还给承包人。</w:t>
      </w:r>
    </w:p>
    <w:p>
      <w:pPr>
        <w:pStyle w:val="2"/>
        <w:shd w:val="clear" w:color="000000" w:fill="auto"/>
        <w:tabs>
          <w:tab w:val="left" w:pos="1320"/>
        </w:tabs>
        <w:adjustRightInd w:val="0"/>
        <w:snapToGrid w:val="0"/>
        <w:spacing w:line="360" w:lineRule="auto"/>
        <w:ind w:right="-238"/>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62688" behindDoc="0" locked="0" layoutInCell="1" allowOverlap="1">
                <wp:simplePos x="0" y="0"/>
                <wp:positionH relativeFrom="column">
                  <wp:posOffset>-114300</wp:posOffset>
                </wp:positionH>
                <wp:positionV relativeFrom="paragraph">
                  <wp:posOffset>248920</wp:posOffset>
                </wp:positionV>
                <wp:extent cx="914400" cy="495300"/>
                <wp:effectExtent l="0" t="0" r="0" b="0"/>
                <wp:wrapNone/>
                <wp:docPr id="102" name="文本框 103"/>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向发包人支付索赔款项</w:t>
                            </w:r>
                          </w:p>
                        </w:txbxContent>
                      </wps:txbx>
                      <wps:bodyPr upright="1"/>
                    </wps:wsp>
                  </a:graphicData>
                </a:graphic>
              </wp:anchor>
            </w:drawing>
          </mc:Choice>
          <mc:Fallback>
            <w:pict>
              <v:shape id="文本框 103" o:spid="_x0000_s1026" o:spt="202" type="#_x0000_t202" style="position:absolute;left:0pt;margin-left:-9pt;margin-top:19.6pt;height:39pt;width:72pt;z-index:251762688;mso-width-relative:page;mso-height-relative:page;" filled="f" stroked="f" coordsize="21600,21600" o:gfxdata="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W7JD7Y&#10;AAAACgEAAA8AAAAAAAAAAQAgAAAAIgAAAGRycy9kb3ducmV2LnhtbFBLAQIUABQAAAAIAIdO4kCY&#10;ENgergEAAFEDAAAOAAAAAAAAAAEAIAAAACcBAABkcnMvZTJvRG9jLnhtbFBLBQYAAAAABgAGAFkB&#10;AABH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向发包人支付索赔款项</w:t>
                      </w:r>
                    </w:p>
                  </w:txbxContent>
                </v:textbox>
              </v:shape>
            </w:pict>
          </mc:Fallback>
        </mc:AlternateContent>
      </w:r>
      <w:r>
        <w:rPr>
          <w:rFonts w:ascii="仿宋" w:hAnsi="仿宋" w:eastAsia="仿宋" w:cs="仿宋"/>
          <w:b/>
          <w:bCs/>
          <w:color w:val="auto"/>
          <w:sz w:val="24"/>
          <w:szCs w:val="24"/>
          <w:highlight w:val="none"/>
        </w:rPr>
        <w:t xml:space="preserve">28.3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b/>
          <w:bCs/>
          <w:color w:val="auto"/>
          <w:sz w:val="24"/>
          <w:szCs w:val="24"/>
          <w:highlight w:val="none"/>
        </w:rPr>
      </w:pPr>
      <w:r>
        <w:rPr>
          <w:rFonts w:hint="eastAsia" w:ascii="仿宋" w:hAnsi="仿宋" w:eastAsia="仿宋" w:cs="仿宋"/>
          <w:color w:val="auto"/>
          <w:sz w:val="24"/>
          <w:szCs w:val="24"/>
          <w:highlight w:val="none"/>
        </w:rPr>
        <w:t>发包人在对履约担保提出索赔要求之前，应书面通知承包人，说明导致此项索赔的原因，并及时向担保人提出索赔文件。担保人根据担保合同的约定在担保范围内承担担保责任，并无须征得承包人的同意，直接向发包人支付索赔价款。</w:t>
      </w:r>
    </w:p>
    <w:p>
      <w:pPr>
        <w:pStyle w:val="2"/>
        <w:shd w:val="clear" w:color="000000" w:fill="auto"/>
        <w:tabs>
          <w:tab w:val="left" w:pos="540"/>
          <w:tab w:val="left" w:pos="720"/>
        </w:tabs>
        <w:adjustRightInd w:val="0"/>
        <w:snapToGrid w:val="0"/>
        <w:spacing w:line="360" w:lineRule="auto"/>
        <w:ind w:right="-238"/>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63712" behindDoc="0" locked="0" layoutInCell="1" allowOverlap="1">
                <wp:simplePos x="0" y="0"/>
                <wp:positionH relativeFrom="column">
                  <wp:posOffset>-114300</wp:posOffset>
                </wp:positionH>
                <wp:positionV relativeFrom="paragraph">
                  <wp:posOffset>251460</wp:posOffset>
                </wp:positionV>
                <wp:extent cx="914400" cy="417830"/>
                <wp:effectExtent l="0" t="0" r="0" b="0"/>
                <wp:wrapNone/>
                <wp:docPr id="103" name="文本框 104"/>
                <wp:cNvGraphicFramePr/>
                <a:graphic xmlns:a="http://schemas.openxmlformats.org/drawingml/2006/main">
                  <a:graphicData uri="http://schemas.microsoft.com/office/word/2010/wordprocessingShape">
                    <wps:wsp>
                      <wps:cNvSpPr txBox="1"/>
                      <wps:spPr>
                        <a:xfrm>
                          <a:off x="0" y="0"/>
                          <a:ext cx="914400" cy="41783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发包人提供支付担保</w:t>
                            </w:r>
                          </w:p>
                        </w:txbxContent>
                      </wps:txbx>
                      <wps:bodyPr upright="1"/>
                    </wps:wsp>
                  </a:graphicData>
                </a:graphic>
              </wp:anchor>
            </w:drawing>
          </mc:Choice>
          <mc:Fallback>
            <w:pict>
              <v:shape id="文本框 104" o:spid="_x0000_s1026" o:spt="202" type="#_x0000_t202" style="position:absolute;left:0pt;margin-left:-9pt;margin-top:19.8pt;height:32.9pt;width:72pt;z-index:251763712;mso-width-relative:page;mso-height-relative:page;" filled="f" stroked="f" coordsize="21600,21600" o:gfxdata="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LE7+Y&#10;2AAAAAoBAAAPAAAAAAAAAAEAIAAAACIAAABkcnMvZG93bnJldi54bWxQSwECFAAUAAAACACHTuJA&#10;2tHKmq8BAABRAwAADgAAAAAAAAABACAAAAAnAQAAZHJzL2Uyb0RvYy54bWxQSwUGAAAAAAYABgBZ&#10;AQAAS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发包人提供支付担保</w:t>
                      </w:r>
                    </w:p>
                  </w:txbxContent>
                </v:textbox>
              </v:shape>
            </w:pict>
          </mc:Fallback>
        </mc:AlternateContent>
      </w:r>
      <w:r>
        <w:rPr>
          <w:rFonts w:ascii="仿宋" w:hAnsi="仿宋" w:eastAsia="仿宋" w:cs="仿宋"/>
          <w:b/>
          <w:bCs/>
          <w:color w:val="auto"/>
          <w:sz w:val="24"/>
          <w:szCs w:val="24"/>
          <w:highlight w:val="none"/>
        </w:rPr>
        <w:t xml:space="preserve">28.4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承包人按照第</w:t>
      </w:r>
      <w:r>
        <w:rPr>
          <w:rFonts w:ascii="仿宋" w:hAnsi="仿宋" w:eastAsia="仿宋" w:cs="仿宋"/>
          <w:color w:val="auto"/>
          <w:sz w:val="24"/>
          <w:szCs w:val="24"/>
          <w:highlight w:val="none"/>
        </w:rPr>
        <w:t>28.1</w:t>
      </w:r>
      <w:r>
        <w:rPr>
          <w:rFonts w:hint="eastAsia" w:ascii="仿宋" w:hAnsi="仿宋" w:eastAsia="仿宋" w:cs="仿宋"/>
          <w:color w:val="auto"/>
          <w:sz w:val="24"/>
          <w:szCs w:val="24"/>
          <w:highlight w:val="none"/>
        </w:rPr>
        <w:t>款的要求提交了履约担保，发包人应按照合同约定时间向承包人提交与履约担保等值的支付担保；发、承包人也可约定由发包人向承包人提交预付款等值的支付担保。支付担保采用银行保函、担保公司担保或支付保证保险的形式，提供支付保函、担保公司担保、支付保证保险所发生的费用由发包人承担。</w:t>
      </w:r>
    </w:p>
    <w:p>
      <w:pPr>
        <w:pStyle w:val="2"/>
        <w:shd w:val="clear" w:color="000000" w:fill="auto"/>
        <w:tabs>
          <w:tab w:val="left" w:pos="1320"/>
        </w:tabs>
        <w:adjustRightInd w:val="0"/>
        <w:snapToGrid w:val="0"/>
        <w:spacing w:line="360" w:lineRule="auto"/>
        <w:ind w:right="-238"/>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64736" behindDoc="0" locked="0" layoutInCell="1" allowOverlap="1">
                <wp:simplePos x="0" y="0"/>
                <wp:positionH relativeFrom="column">
                  <wp:posOffset>-114300</wp:posOffset>
                </wp:positionH>
                <wp:positionV relativeFrom="paragraph">
                  <wp:posOffset>238125</wp:posOffset>
                </wp:positionV>
                <wp:extent cx="914400" cy="412750"/>
                <wp:effectExtent l="0" t="0" r="0" b="0"/>
                <wp:wrapNone/>
                <wp:docPr id="104" name="文本框 105"/>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支付担保期限和退还</w:t>
                            </w:r>
                          </w:p>
                        </w:txbxContent>
                      </wps:txbx>
                      <wps:bodyPr upright="1"/>
                    </wps:wsp>
                  </a:graphicData>
                </a:graphic>
              </wp:anchor>
            </w:drawing>
          </mc:Choice>
          <mc:Fallback>
            <w:pict>
              <v:shape id="文本框 105" o:spid="_x0000_s1026" o:spt="202" type="#_x0000_t202" style="position:absolute;left:0pt;margin-left:-9pt;margin-top:18.75pt;height:32.5pt;width:72pt;z-index:251764736;mso-width-relative:page;mso-height-relative:page;" filled="f" stroked="f" coordsize="21600,21600" o:gfxdata="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PDJ&#10;2NgAAAAKAQAADwAAAAAAAAABACAAAAAiAAAAZHJzL2Rvd25yZXYueG1sUEsBAhQAFAAAAAgAh07i&#10;QK4kpW2wAQAAUQMAAA4AAAAAAAAAAQAgAAAAJwEAAGRycy9lMm9Eb2MueG1sUEsFBgAAAAAGAAYA&#10;WQEAAEk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支付担保期限和退还</w:t>
                      </w:r>
                    </w:p>
                  </w:txbxContent>
                </v:textbox>
              </v:shape>
            </w:pict>
          </mc:Fallback>
        </mc:AlternateContent>
      </w:r>
      <w:r>
        <w:rPr>
          <w:rFonts w:ascii="仿宋" w:hAnsi="仿宋" w:eastAsia="仿宋" w:cs="仿宋"/>
          <w:b/>
          <w:bCs/>
          <w:color w:val="auto"/>
          <w:sz w:val="24"/>
          <w:szCs w:val="24"/>
          <w:highlight w:val="none"/>
        </w:rPr>
        <w:t xml:space="preserve">28.5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支付担保的有效期，是从提供支付担保之日起至发包人根据本合同约定支付完除质量保证金以外的全部款项之日止。承包人应在担保有效期满后的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天内将此担保退还给发包人。</w:t>
      </w:r>
    </w:p>
    <w:p>
      <w:pPr>
        <w:pStyle w:val="2"/>
        <w:shd w:val="clear" w:color="000000" w:fill="auto"/>
        <w:tabs>
          <w:tab w:val="left" w:pos="1320"/>
        </w:tabs>
        <w:adjustRightInd w:val="0"/>
        <w:snapToGrid w:val="0"/>
        <w:spacing w:line="360" w:lineRule="auto"/>
        <w:ind w:right="-238"/>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65760" behindDoc="0" locked="0" layoutInCell="1" allowOverlap="1">
                <wp:simplePos x="0" y="0"/>
                <wp:positionH relativeFrom="column">
                  <wp:posOffset>-114300</wp:posOffset>
                </wp:positionH>
                <wp:positionV relativeFrom="paragraph">
                  <wp:posOffset>247650</wp:posOffset>
                </wp:positionV>
                <wp:extent cx="914400" cy="396240"/>
                <wp:effectExtent l="0" t="0" r="0" b="0"/>
                <wp:wrapNone/>
                <wp:docPr id="105" name="文本框 10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向承包人支付索赔款项</w:t>
                            </w:r>
                          </w:p>
                        </w:txbxContent>
                      </wps:txbx>
                      <wps:bodyPr upright="1"/>
                    </wps:wsp>
                  </a:graphicData>
                </a:graphic>
              </wp:anchor>
            </w:drawing>
          </mc:Choice>
          <mc:Fallback>
            <w:pict>
              <v:shape id="文本框 106" o:spid="_x0000_s1026" o:spt="202" type="#_x0000_t202" style="position:absolute;left:0pt;margin-left:-9pt;margin-top:19.5pt;height:31.2pt;width:72pt;z-index:251765760;mso-width-relative:page;mso-height-relative:page;" filled="f" stroked="f" coordsize="21600,21600" o:gfxdata="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koaQYtYA&#10;AAAKAQAADwAAAAAAAAABACAAAAAiAAAAZHJzL2Rvd25yZXYueG1sUEsBAhQAFAAAAAgAh07iQEcD&#10;/E6vAQAAUQMAAA4AAAAAAAAAAQAgAAAAJQ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向承包人支付索赔款项</w:t>
                      </w:r>
                    </w:p>
                  </w:txbxContent>
                </v:textbox>
              </v:shape>
            </w:pict>
          </mc:Fallback>
        </mc:AlternateContent>
      </w:r>
      <w:r>
        <w:rPr>
          <w:rFonts w:ascii="仿宋" w:hAnsi="仿宋" w:eastAsia="仿宋" w:cs="仿宋"/>
          <w:b/>
          <w:bCs/>
          <w:color w:val="auto"/>
          <w:sz w:val="24"/>
          <w:szCs w:val="24"/>
          <w:highlight w:val="none"/>
        </w:rPr>
        <w:t xml:space="preserve">28.6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在对支付担保提出索赔要求之前，应书面通知发包人和造价工程师，说明导致此项索赔的原因，并及时向担保人提出索赔文件。担保人根据担保合同的约定在担保范围内承担担保责任，并无须征得发包人的同意，直接向承包人支付索赔款额。</w:t>
      </w:r>
    </w:p>
    <w:p>
      <w:pPr>
        <w:pStyle w:val="2"/>
        <w:shd w:val="clear" w:color="000000" w:fill="auto"/>
        <w:tabs>
          <w:tab w:val="left" w:pos="1320"/>
        </w:tabs>
        <w:adjustRightInd w:val="0"/>
        <w:snapToGrid w:val="0"/>
        <w:spacing w:line="360" w:lineRule="auto"/>
        <w:ind w:right="-238"/>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66784" behindDoc="0" locked="0" layoutInCell="1" allowOverlap="1">
                <wp:simplePos x="0" y="0"/>
                <wp:positionH relativeFrom="column">
                  <wp:posOffset>-114300</wp:posOffset>
                </wp:positionH>
                <wp:positionV relativeFrom="paragraph">
                  <wp:posOffset>243205</wp:posOffset>
                </wp:positionV>
                <wp:extent cx="914400" cy="422910"/>
                <wp:effectExtent l="0" t="0" r="0" b="0"/>
                <wp:wrapNone/>
                <wp:docPr id="106" name="文本框 107"/>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双方延长担保期限</w:t>
                            </w:r>
                          </w:p>
                        </w:txbxContent>
                      </wps:txbx>
                      <wps:bodyPr upright="1"/>
                    </wps:wsp>
                  </a:graphicData>
                </a:graphic>
              </wp:anchor>
            </w:drawing>
          </mc:Choice>
          <mc:Fallback>
            <w:pict>
              <v:shape id="文本框 107" o:spid="_x0000_s1026" o:spt="202" type="#_x0000_t202" style="position:absolute;left:0pt;margin-left:-9pt;margin-top:19.15pt;height:33.3pt;width:72pt;z-index:251766784;mso-width-relative:page;mso-height-relative:page;" filled="f" stroked="f" coordsize="21600,21600" o:gfxdata="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AE2KnX&#10;AAAACgEAAA8AAAAAAAAAAQAgAAAAIgAAAGRycy9kb3ducmV2LnhtbFBLAQIUABQAAAAIAIdO4kC/&#10;CaThrwEAAFEDAAAOAAAAAAAAAAEAIAAAACYBAABkcnMvZTJvRG9jLnhtbFBLBQYAAAAABgAGAFkB&#10;AABH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双方延长担保期限</w:t>
                      </w:r>
                    </w:p>
                  </w:txbxContent>
                </v:textbox>
              </v:shape>
            </w:pict>
          </mc:Fallback>
        </mc:AlternateContent>
      </w:r>
      <w:r>
        <w:rPr>
          <w:rFonts w:ascii="仿宋" w:hAnsi="仿宋" w:eastAsia="仿宋" w:cs="仿宋"/>
          <w:b/>
          <w:bCs/>
          <w:color w:val="auto"/>
          <w:sz w:val="24"/>
          <w:szCs w:val="24"/>
          <w:highlight w:val="none"/>
        </w:rPr>
        <w:t xml:space="preserve">28.7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合同双方当事人均应确保合同工程担保有效期符合工期合理顺延的要求。若合同一方当事人未能保证延长担保有效期，另一方当事人可向其索赔担保的全部金额。</w:t>
      </w:r>
    </w:p>
    <w:p>
      <w:pPr>
        <w:pStyle w:val="2"/>
        <w:shd w:val="clear" w:color="000000" w:fill="auto"/>
        <w:tabs>
          <w:tab w:val="left" w:pos="1320"/>
        </w:tabs>
        <w:adjustRightInd w:val="0"/>
        <w:snapToGrid w:val="0"/>
        <w:spacing w:line="360" w:lineRule="auto"/>
        <w:ind w:right="-238"/>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67808" behindDoc="0" locked="0" layoutInCell="1" allowOverlap="1">
                <wp:simplePos x="0" y="0"/>
                <wp:positionH relativeFrom="column">
                  <wp:posOffset>-114300</wp:posOffset>
                </wp:positionH>
                <wp:positionV relativeFrom="paragraph">
                  <wp:posOffset>255270</wp:posOffset>
                </wp:positionV>
                <wp:extent cx="914400" cy="339090"/>
                <wp:effectExtent l="0" t="0" r="0" b="0"/>
                <wp:wrapNone/>
                <wp:docPr id="107" name="文本框 108"/>
                <wp:cNvGraphicFramePr/>
                <a:graphic xmlns:a="http://schemas.openxmlformats.org/drawingml/2006/main">
                  <a:graphicData uri="http://schemas.microsoft.com/office/word/2010/wordprocessingShape">
                    <wps:wsp>
                      <wps:cNvSpPr txBox="1"/>
                      <wps:spPr>
                        <a:xfrm>
                          <a:off x="0" y="0"/>
                          <a:ext cx="914400" cy="33909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约定担保事项</w:t>
                            </w:r>
                          </w:p>
                        </w:txbxContent>
                      </wps:txbx>
                      <wps:bodyPr upright="1"/>
                    </wps:wsp>
                  </a:graphicData>
                </a:graphic>
              </wp:anchor>
            </w:drawing>
          </mc:Choice>
          <mc:Fallback>
            <w:pict>
              <v:shape id="文本框 108" o:spid="_x0000_s1026" o:spt="202" type="#_x0000_t202" style="position:absolute;left:0pt;margin-left:-9pt;margin-top:20.1pt;height:26.7pt;width:72pt;z-index:251767808;mso-width-relative:page;mso-height-relative:page;" filled="f" stroked="f" coordsize="21600,21600" o:gfxdata="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cSH3V&#10;1wAAAAkBAAAPAAAAAAAAAAEAIAAAACIAAABkcnMvZG93bnJldi54bWxQSwECFAAUAAAACACHTuJA&#10;FBZRDbABAABRAwAADgAAAAAAAAABACAAAAAmAQAAZHJzL2Uyb0RvYy54bWxQSwUGAAAAAAYABgBZ&#10;AQAAS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约定担保事项</w:t>
                      </w:r>
                    </w:p>
                  </w:txbxContent>
                </v:textbox>
              </v:shape>
            </w:pict>
          </mc:Fallback>
        </mc:AlternateContent>
      </w:r>
      <w:r>
        <w:rPr>
          <w:rFonts w:ascii="仿宋" w:hAnsi="仿宋" w:eastAsia="仿宋" w:cs="仿宋"/>
          <w:b/>
          <w:bCs/>
          <w:color w:val="auto"/>
          <w:sz w:val="24"/>
          <w:szCs w:val="24"/>
          <w:highlight w:val="none"/>
        </w:rPr>
        <w:t xml:space="preserve">28.8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合同双方当事人在专用条款中约定担保内容、方式和责任等事项，并签订担保合同，作为本合同附件。</w:t>
      </w:r>
    </w:p>
    <w:p>
      <w:pPr>
        <w:pStyle w:val="2"/>
        <w:shd w:val="clear" w:color="000000" w:fill="auto"/>
        <w:adjustRightInd w:val="0"/>
        <w:snapToGrid w:val="0"/>
        <w:ind w:right="-24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204" w:name="_Toc469384010"/>
      <w:bookmarkStart w:id="205" w:name="_Toc10624850"/>
      <w:bookmarkStart w:id="206" w:name="_Toc29682"/>
      <w:r>
        <w:rPr>
          <w:rFonts w:ascii="仿宋" w:hAnsi="仿宋" w:eastAsia="仿宋" w:cs="仿宋"/>
          <w:b/>
          <w:bCs/>
          <w:color w:val="auto"/>
          <w:sz w:val="24"/>
          <w:szCs w:val="24"/>
          <w:highlight w:val="none"/>
        </w:rPr>
        <w:t xml:space="preserve">29  </w:t>
      </w:r>
      <w:r>
        <w:rPr>
          <w:rFonts w:hint="eastAsia" w:ascii="仿宋" w:hAnsi="仿宋" w:eastAsia="仿宋" w:cs="仿宋"/>
          <w:b/>
          <w:bCs/>
          <w:color w:val="auto"/>
          <w:sz w:val="24"/>
          <w:szCs w:val="24"/>
          <w:highlight w:val="none"/>
        </w:rPr>
        <w:t>发包人风险</w:t>
      </w:r>
      <w:bookmarkEnd w:id="204"/>
      <w:bookmarkEnd w:id="205"/>
      <w:bookmarkEnd w:id="206"/>
    </w:p>
    <w:p>
      <w:pPr>
        <w:pStyle w:val="2"/>
        <w:shd w:val="clear" w:color="000000" w:fill="auto"/>
        <w:adjustRightInd w:val="0"/>
        <w:snapToGrid w:val="0"/>
        <w:spacing w:line="360" w:lineRule="auto"/>
        <w:ind w:right="-240"/>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68832" behindDoc="0" locked="0" layoutInCell="1" allowOverlap="1">
                <wp:simplePos x="0" y="0"/>
                <wp:positionH relativeFrom="column">
                  <wp:posOffset>-114300</wp:posOffset>
                </wp:positionH>
                <wp:positionV relativeFrom="paragraph">
                  <wp:posOffset>226695</wp:posOffset>
                </wp:positionV>
                <wp:extent cx="914400" cy="396240"/>
                <wp:effectExtent l="0" t="0" r="0" b="0"/>
                <wp:wrapNone/>
                <wp:docPr id="108" name="文本框 10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发包人承担风险</w:t>
                            </w:r>
                          </w:p>
                        </w:txbxContent>
                      </wps:txbx>
                      <wps:bodyPr upright="1"/>
                    </wps:wsp>
                  </a:graphicData>
                </a:graphic>
              </wp:anchor>
            </w:drawing>
          </mc:Choice>
          <mc:Fallback>
            <w:pict>
              <v:shape id="文本框 109" o:spid="_x0000_s1026" o:spt="202" type="#_x0000_t202" style="position:absolute;left:0pt;margin-left:-9pt;margin-top:17.85pt;height:31.2pt;width:72pt;z-index:251768832;mso-width-relative:page;mso-height-relative:page;" filled="f" stroked="f" coordsize="21600,21600" o:gfxdata="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OFo6vjX&#10;AAAACQEAAA8AAAAAAAAAAQAgAAAAIgAAAGRycy9kb3ducmV2LnhtbFBLAQIUABQAAAAIAIdO4kDo&#10;eRnXrwEAAFEDAAAOAAAAAAAAAAEAIAAAACYBAABkcnMvZTJvRG9jLnhtbFBLBQYAAAAABgAGAFkB&#10;AABH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发包人承担风险</w:t>
                      </w:r>
                    </w:p>
                  </w:txbxContent>
                </v:textbox>
              </v:shape>
            </w:pict>
          </mc:Fallback>
        </mc:AlternateContent>
      </w:r>
      <w:r>
        <w:rPr>
          <w:rFonts w:ascii="仿宋" w:hAnsi="仿宋" w:eastAsia="仿宋" w:cs="仿宋"/>
          <w:b/>
          <w:bCs/>
          <w:color w:val="auto"/>
          <w:sz w:val="24"/>
          <w:szCs w:val="24"/>
          <w:highlight w:val="none"/>
        </w:rPr>
        <w:t xml:space="preserve">29.1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发包人应承担本合同中规定应由发包人承担的风险。</w:t>
      </w:r>
    </w:p>
    <w:p>
      <w:pPr>
        <w:pStyle w:val="2"/>
        <w:shd w:val="clear" w:color="000000" w:fill="auto"/>
        <w:adjustRightInd w:val="0"/>
        <w:snapToGrid w:val="0"/>
        <w:spacing w:line="480" w:lineRule="auto"/>
        <w:ind w:right="-240"/>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29.2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right="-240" w:firstLine="1417" w:firstLineChars="675"/>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69856" behindDoc="0" locked="0" layoutInCell="1" allowOverlap="1">
                <wp:simplePos x="0" y="0"/>
                <wp:positionH relativeFrom="column">
                  <wp:posOffset>-114300</wp:posOffset>
                </wp:positionH>
                <wp:positionV relativeFrom="paragraph">
                  <wp:posOffset>10795</wp:posOffset>
                </wp:positionV>
                <wp:extent cx="914400" cy="356235"/>
                <wp:effectExtent l="0" t="0" r="0" b="0"/>
                <wp:wrapNone/>
                <wp:docPr id="109" name="文本框 110"/>
                <wp:cNvGraphicFramePr/>
                <a:graphic xmlns:a="http://schemas.openxmlformats.org/drawingml/2006/main">
                  <a:graphicData uri="http://schemas.microsoft.com/office/word/2010/wordprocessingShape">
                    <wps:wsp>
                      <wps:cNvSpPr txBox="1"/>
                      <wps:spPr>
                        <a:xfrm>
                          <a:off x="0" y="0"/>
                          <a:ext cx="914400" cy="35623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发包人风险</w:t>
                            </w:r>
                          </w:p>
                        </w:txbxContent>
                      </wps:txbx>
                      <wps:bodyPr upright="1"/>
                    </wps:wsp>
                  </a:graphicData>
                </a:graphic>
              </wp:anchor>
            </w:drawing>
          </mc:Choice>
          <mc:Fallback>
            <w:pict>
              <v:shape id="文本框 110" o:spid="_x0000_s1026" o:spt="202" type="#_x0000_t202" style="position:absolute;left:0pt;margin-left:-9pt;margin-top:0.85pt;height:28.05pt;width:72pt;z-index:251769856;mso-width-relative:page;mso-height-relative:page;" filled="f" stroked="f" coordsize="21600,21600" o:gfxdata="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UQVNjVAAAA&#10;CAEAAA8AAAAAAAAAAQAgAAAAIgAAAGRycy9kb3ducmV2LnhtbFBLAQIUABQAAAAIAIdO4kADcQRP&#10;rgEAAFEDAAAOAAAAAAAAAAEAIAAAACQBAABkcnMvZTJvRG9jLnhtbFBLBQYAAAAABgAGAFkBAABE&#10;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发包人风险</w:t>
                      </w:r>
                    </w:p>
                  </w:txbxContent>
                </v:textbox>
              </v:shape>
            </w:pict>
          </mc:Fallback>
        </mc:AlternateContent>
      </w:r>
      <w:r>
        <w:rPr>
          <w:rFonts w:hint="eastAsia" w:ascii="仿宋" w:hAnsi="仿宋" w:eastAsia="仿宋" w:cs="仿宋"/>
          <w:color w:val="auto"/>
          <w:sz w:val="24"/>
          <w:szCs w:val="24"/>
          <w:highlight w:val="none"/>
        </w:rPr>
        <w:t>自开工之日起至颁发工程接收证书之日止，发包人风险包括但不限于：</w:t>
      </w:r>
    </w:p>
    <w:p>
      <w:pPr>
        <w:pStyle w:val="2"/>
        <w:numPr>
          <w:ilvl w:val="0"/>
          <w:numId w:val="10"/>
        </w:numPr>
        <w:shd w:val="clear" w:color="000000" w:fill="auto"/>
        <w:tabs>
          <w:tab w:val="left" w:pos="1080"/>
        </w:tabs>
        <w:adjustRightInd w:val="0"/>
        <w:snapToGrid w:val="0"/>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由于永久工程本身或施工而不可避免造成的财产（除工程本身、材料和工程设备和施工设备外）损失或损坏；</w:t>
      </w:r>
    </w:p>
    <w:p>
      <w:pPr>
        <w:pStyle w:val="2"/>
        <w:numPr>
          <w:ilvl w:val="0"/>
          <w:numId w:val="10"/>
        </w:numPr>
        <w:shd w:val="clear" w:color="000000" w:fill="auto"/>
        <w:tabs>
          <w:tab w:val="left" w:pos="1080"/>
        </w:tabs>
        <w:adjustRightInd w:val="0"/>
        <w:snapToGrid w:val="0"/>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由于发包人工作人员及其相关人员（除承包人外）的疏忽或违规造成的人员伤亡、财产损失或损坏；</w:t>
      </w:r>
    </w:p>
    <w:p>
      <w:pPr>
        <w:pStyle w:val="2"/>
        <w:numPr>
          <w:ilvl w:val="0"/>
          <w:numId w:val="10"/>
        </w:numPr>
        <w:shd w:val="clear" w:color="000000" w:fill="auto"/>
        <w:tabs>
          <w:tab w:val="left" w:pos="1080"/>
        </w:tabs>
        <w:adjustRightInd w:val="0"/>
        <w:snapToGrid w:val="0"/>
        <w:spacing w:line="360" w:lineRule="auto"/>
        <w:ind w:left="2096" w:leftChars="772" w:hanging="475" w:hangingChars="198"/>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由于发包人提前使用或占用永久工程或其部分造成的损失或损坏；</w:t>
      </w:r>
    </w:p>
    <w:p>
      <w:pPr>
        <w:pStyle w:val="2"/>
        <w:numPr>
          <w:ilvl w:val="0"/>
          <w:numId w:val="10"/>
        </w:numPr>
        <w:shd w:val="clear" w:color="000000" w:fill="auto"/>
        <w:tabs>
          <w:tab w:val="left" w:pos="1080"/>
        </w:tabs>
        <w:adjustRightInd w:val="0"/>
        <w:snapToGrid w:val="0"/>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由于发包人提供或发包人负责的设计造成的对永久工程、材料和工程设备和施工设备的损失或损害；</w:t>
      </w:r>
    </w:p>
    <w:p>
      <w:pPr>
        <w:pStyle w:val="2"/>
        <w:shd w:val="clear" w:color="000000" w:fill="auto"/>
        <w:adjustRightInd w:val="0"/>
        <w:snapToGrid w:val="0"/>
        <w:spacing w:line="360" w:lineRule="auto"/>
        <w:ind w:right="-240"/>
        <w:rPr>
          <w:rFonts w:ascii="仿宋" w:hAnsi="仿宋" w:eastAsia="仿宋" w:cs="仿宋"/>
          <w:color w:val="auto"/>
          <w:sz w:val="24"/>
          <w:szCs w:val="24"/>
          <w:highlight w:val="none"/>
          <w:u w:val="single"/>
        </w:rPr>
      </w:pPr>
      <w:r>
        <w:rPr>
          <w:rFonts w:ascii="仿宋" w:hAnsi="仿宋" w:eastAsia="仿宋" w:cs="仿宋"/>
          <w:color w:val="auto"/>
          <w:sz w:val="24"/>
          <w:szCs w:val="24"/>
          <w:highlight w:val="none"/>
          <w:u w:val="single"/>
        </w:rPr>
        <w:t xml:space="preserve">                                                                                                             </w:t>
      </w:r>
    </w:p>
    <w:p>
      <w:pPr>
        <w:pStyle w:val="2"/>
        <w:shd w:val="clear" w:color="000000" w:fill="auto"/>
        <w:adjustRightInd w:val="0"/>
        <w:snapToGrid w:val="0"/>
        <w:spacing w:line="360" w:lineRule="auto"/>
        <w:ind w:right="-240"/>
        <w:outlineLvl w:val="2"/>
        <w:rPr>
          <w:rFonts w:ascii="仿宋" w:hAnsi="仿宋" w:eastAsia="仿宋" w:cs="Times New Roman"/>
          <w:b/>
          <w:bCs/>
          <w:color w:val="auto"/>
          <w:sz w:val="24"/>
          <w:szCs w:val="24"/>
          <w:highlight w:val="none"/>
        </w:rPr>
      </w:pPr>
      <w:bookmarkStart w:id="207" w:name="_Toc10624851"/>
      <w:bookmarkStart w:id="208" w:name="_Toc3875"/>
      <w:bookmarkStart w:id="209" w:name="_Toc469384011"/>
      <w:r>
        <w:rPr>
          <w:rFonts w:ascii="仿宋" w:hAnsi="仿宋" w:eastAsia="仿宋" w:cs="仿宋"/>
          <w:b/>
          <w:bCs/>
          <w:color w:val="auto"/>
          <w:sz w:val="24"/>
          <w:szCs w:val="24"/>
          <w:highlight w:val="none"/>
        </w:rPr>
        <w:t xml:space="preserve">30  </w:t>
      </w:r>
      <w:r>
        <w:rPr>
          <w:rFonts w:hint="eastAsia" w:ascii="仿宋" w:hAnsi="仿宋" w:eastAsia="仿宋" w:cs="仿宋"/>
          <w:b/>
          <w:bCs/>
          <w:color w:val="auto"/>
          <w:sz w:val="24"/>
          <w:szCs w:val="24"/>
          <w:highlight w:val="none"/>
        </w:rPr>
        <w:t>承包人风险</w:t>
      </w:r>
      <w:bookmarkEnd w:id="207"/>
      <w:bookmarkEnd w:id="208"/>
      <w:bookmarkEnd w:id="209"/>
    </w:p>
    <w:p>
      <w:pPr>
        <w:pStyle w:val="2"/>
        <w:shd w:val="clear" w:color="000000" w:fill="auto"/>
        <w:tabs>
          <w:tab w:val="left" w:pos="1320"/>
          <w:tab w:val="left" w:pos="1440"/>
        </w:tabs>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70880" behindDoc="0" locked="0" layoutInCell="1" allowOverlap="1">
                <wp:simplePos x="0" y="0"/>
                <wp:positionH relativeFrom="column">
                  <wp:posOffset>-133350</wp:posOffset>
                </wp:positionH>
                <wp:positionV relativeFrom="paragraph">
                  <wp:posOffset>254635</wp:posOffset>
                </wp:positionV>
                <wp:extent cx="1028700" cy="427355"/>
                <wp:effectExtent l="0" t="0" r="0" b="0"/>
                <wp:wrapNone/>
                <wp:docPr id="110" name="文本框 111"/>
                <wp:cNvGraphicFramePr/>
                <a:graphic xmlns:a="http://schemas.openxmlformats.org/drawingml/2006/main">
                  <a:graphicData uri="http://schemas.microsoft.com/office/word/2010/wordprocessingShape">
                    <wps:wsp>
                      <wps:cNvSpPr txBox="1"/>
                      <wps:spPr>
                        <a:xfrm>
                          <a:off x="0" y="0"/>
                          <a:ext cx="1028700" cy="42735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承包人承担风</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upright="1"/>
                    </wps:wsp>
                  </a:graphicData>
                </a:graphic>
              </wp:anchor>
            </w:drawing>
          </mc:Choice>
          <mc:Fallback>
            <w:pict>
              <v:shape id="文本框 111" o:spid="_x0000_s1026" o:spt="202" type="#_x0000_t202" style="position:absolute;left:0pt;margin-left:-10.5pt;margin-top:20.05pt;height:33.65pt;width:81pt;z-index:251770880;mso-width-relative:page;mso-height-relative:page;" filled="f" stroked="f" coordsize="21600,21600" o:gfxdata="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ZKqyZ1gAA&#10;AAoBAAAPAAAAAAAAAAEAIAAAACIAAABkcnMvZG93bnJldi54bWxQSwECFAAUAAAACACHTuJALPbC&#10;d64BAABSAwAADgAAAAAAAAABACAAAAAlAQAAZHJzL2Uyb0RvYy54bWxQSwUGAAAAAAYABgBZAQAA&#10;R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承包人承担风</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ascii="仿宋" w:hAnsi="仿宋" w:eastAsia="仿宋" w:cs="仿宋"/>
          <w:b/>
          <w:bCs/>
          <w:color w:val="auto"/>
          <w:sz w:val="24"/>
          <w:szCs w:val="24"/>
          <w:highlight w:val="none"/>
        </w:rPr>
        <w:t xml:space="preserve">30.1      </w:t>
      </w:r>
    </w:p>
    <w:p>
      <w:pPr>
        <w:pStyle w:val="2"/>
        <w:shd w:val="clear" w:color="000000" w:fill="auto"/>
        <w:tabs>
          <w:tab w:val="left" w:pos="1440"/>
        </w:tabs>
        <w:adjustRightInd w:val="0"/>
        <w:snapToGrid w:val="0"/>
        <w:spacing w:line="360" w:lineRule="auto"/>
        <w:ind w:firstLine="1620" w:firstLineChars="67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承包人应承担本合同中规定应由承包人承担的风险。</w:t>
      </w:r>
    </w:p>
    <w:p>
      <w:pPr>
        <w:pStyle w:val="2"/>
        <w:shd w:val="clear" w:color="000000" w:fill="auto"/>
        <w:tabs>
          <w:tab w:val="left" w:pos="1320"/>
          <w:tab w:val="left" w:pos="1440"/>
        </w:tabs>
        <w:adjustRightInd w:val="0"/>
        <w:snapToGrid w:val="0"/>
        <w:spacing w:line="360" w:lineRule="auto"/>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771904" behindDoc="0" locked="0" layoutInCell="1" allowOverlap="1">
                <wp:simplePos x="0" y="0"/>
                <wp:positionH relativeFrom="column">
                  <wp:posOffset>-114300</wp:posOffset>
                </wp:positionH>
                <wp:positionV relativeFrom="paragraph">
                  <wp:posOffset>262255</wp:posOffset>
                </wp:positionV>
                <wp:extent cx="914400" cy="307975"/>
                <wp:effectExtent l="0" t="0" r="0" b="0"/>
                <wp:wrapNone/>
                <wp:docPr id="111" name="文本框 112"/>
                <wp:cNvGraphicFramePr/>
                <a:graphic xmlns:a="http://schemas.openxmlformats.org/drawingml/2006/main">
                  <a:graphicData uri="http://schemas.microsoft.com/office/word/2010/wordprocessingShape">
                    <wps:wsp>
                      <wps:cNvSpPr txBox="1"/>
                      <wps:spPr>
                        <a:xfrm>
                          <a:off x="0" y="0"/>
                          <a:ext cx="914400" cy="30797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承包人风险</w:t>
                            </w:r>
                          </w:p>
                        </w:txbxContent>
                      </wps:txbx>
                      <wps:bodyPr upright="1"/>
                    </wps:wsp>
                  </a:graphicData>
                </a:graphic>
              </wp:anchor>
            </w:drawing>
          </mc:Choice>
          <mc:Fallback>
            <w:pict>
              <v:shape id="文本框 112" o:spid="_x0000_s1026" o:spt="202" type="#_x0000_t202" style="position:absolute;left:0pt;margin-left:-9pt;margin-top:20.65pt;height:24.25pt;width:72pt;z-index:251771904;mso-width-relative:page;mso-height-relative:page;" filled="f" stroked="f" coordsize="21600,21600" o:gfxdata="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OC+T5zX&#10;AAAACQEAAA8AAAAAAAAAAQAgAAAAIgAAAGRycy9kb3ducmV2LnhtbFBLAQIUABQAAAAIAIdO4kB7&#10;XOe7rwEAAFEDAAAOAAAAAAAAAAEAIAAAACYBAABkcnMvZTJvRG9jLnhtbFBLBQYAAAAABgAGAFkB&#10;AABH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承包人风险</w:t>
                      </w:r>
                    </w:p>
                  </w:txbxContent>
                </v:textbox>
              </v:shape>
            </w:pict>
          </mc:Fallback>
        </mc:AlternateContent>
      </w:r>
      <w:r>
        <w:rPr>
          <w:rFonts w:ascii="仿宋" w:hAnsi="仿宋" w:eastAsia="仿宋" w:cs="仿宋"/>
          <w:b/>
          <w:bCs/>
          <w:color w:val="auto"/>
          <w:sz w:val="24"/>
          <w:szCs w:val="24"/>
          <w:highlight w:val="none"/>
        </w:rPr>
        <w:t xml:space="preserve">30.2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pPr>
        <w:pStyle w:val="2"/>
        <w:shd w:val="clear" w:color="000000" w:fill="auto"/>
        <w:tabs>
          <w:tab w:val="left" w:pos="1440"/>
        </w:tabs>
        <w:adjustRightInd w:val="0"/>
        <w:snapToGrid w:val="0"/>
        <w:spacing w:line="360" w:lineRule="auto"/>
        <w:ind w:left="1619" w:leftChars="771" w:firstLine="2"/>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自开工之日起直到颁发工程接收证书之日止，承包人风险为：除第</w:t>
      </w:r>
      <w:r>
        <w:rPr>
          <w:rFonts w:ascii="仿宋" w:hAnsi="仿宋" w:eastAsia="仿宋" w:cs="仿宋"/>
          <w:color w:val="auto"/>
          <w:sz w:val="24"/>
          <w:szCs w:val="24"/>
          <w:highlight w:val="none"/>
        </w:rPr>
        <w:t>29</w:t>
      </w:r>
      <w:r>
        <w:rPr>
          <w:rFonts w:hint="eastAsia" w:ascii="仿宋" w:hAnsi="仿宋" w:eastAsia="仿宋" w:cs="仿宋"/>
          <w:color w:val="auto"/>
          <w:sz w:val="24"/>
          <w:szCs w:val="24"/>
          <w:highlight w:val="none"/>
        </w:rPr>
        <w:t>条和第</w:t>
      </w:r>
      <w:r>
        <w:rPr>
          <w:rFonts w:ascii="仿宋" w:hAnsi="仿宋" w:eastAsia="仿宋" w:cs="仿宋"/>
          <w:color w:val="auto"/>
          <w:sz w:val="24"/>
          <w:szCs w:val="24"/>
          <w:highlight w:val="none"/>
        </w:rPr>
        <w:t>31</w:t>
      </w:r>
      <w:r>
        <w:rPr>
          <w:rFonts w:hint="eastAsia" w:ascii="仿宋" w:hAnsi="仿宋" w:eastAsia="仿宋" w:cs="仿宋"/>
          <w:color w:val="auto"/>
          <w:sz w:val="24"/>
          <w:szCs w:val="24"/>
          <w:highlight w:val="none"/>
        </w:rPr>
        <w:t>条以外的人员伤亡以及财产（包括但不限于合同工程、材料、工程设备和施工设备）的损失或损坏。</w:t>
      </w:r>
    </w:p>
    <w:p>
      <w:pPr>
        <w:pStyle w:val="2"/>
        <w:shd w:val="clear" w:color="000000" w:fill="auto"/>
        <w:adjustRightInd w:val="0"/>
        <w:snapToGrid w:val="0"/>
        <w:spacing w:line="360" w:lineRule="auto"/>
        <w:ind w:right="-24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adjustRightInd w:val="0"/>
        <w:snapToGrid w:val="0"/>
        <w:spacing w:line="360" w:lineRule="auto"/>
        <w:ind w:right="-240"/>
        <w:outlineLvl w:val="2"/>
        <w:rPr>
          <w:rFonts w:ascii="仿宋" w:hAnsi="仿宋" w:eastAsia="仿宋" w:cs="Times New Roman"/>
          <w:b/>
          <w:bCs/>
          <w:color w:val="auto"/>
          <w:sz w:val="24"/>
          <w:szCs w:val="24"/>
          <w:highlight w:val="none"/>
        </w:rPr>
      </w:pPr>
      <w:bookmarkStart w:id="210" w:name="_Toc10624852"/>
      <w:bookmarkStart w:id="211" w:name="_Toc469384012"/>
      <w:bookmarkStart w:id="212" w:name="_Toc32305"/>
      <w:r>
        <w:rPr>
          <w:rFonts w:ascii="仿宋" w:hAnsi="仿宋" w:eastAsia="仿宋" w:cs="仿宋"/>
          <w:b/>
          <w:bCs/>
          <w:color w:val="auto"/>
          <w:sz w:val="24"/>
          <w:szCs w:val="24"/>
          <w:highlight w:val="none"/>
        </w:rPr>
        <w:t xml:space="preserve">31  </w:t>
      </w:r>
      <w:r>
        <w:rPr>
          <w:rFonts w:hint="eastAsia" w:ascii="仿宋" w:hAnsi="仿宋" w:eastAsia="仿宋" w:cs="仿宋"/>
          <w:b/>
          <w:bCs/>
          <w:color w:val="auto"/>
          <w:sz w:val="24"/>
          <w:szCs w:val="24"/>
          <w:highlight w:val="none"/>
        </w:rPr>
        <w:t>不可抗力</w:t>
      </w:r>
      <w:bookmarkEnd w:id="210"/>
      <w:bookmarkEnd w:id="211"/>
      <w:bookmarkEnd w:id="212"/>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31.1      </w:t>
      </w:r>
    </w:p>
    <w:p>
      <w:pPr>
        <w:pStyle w:val="2"/>
        <w:shd w:val="clear" w:color="000000" w:fill="auto"/>
        <w:adjustRightInd w:val="0"/>
        <w:snapToGrid w:val="0"/>
        <w:spacing w:line="360" w:lineRule="auto"/>
        <w:ind w:left="1619"/>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不可抗力是指合同当事人在签订合同时不可预见，在合同履行过程中不可避免且不能克服的自然灾害和社会性突发事件，如地震、海啸、瘟疫、骚乱、戒严、暴动、战争等。</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31.2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72928" behindDoc="0" locked="0" layoutInCell="1" allowOverlap="1">
                <wp:simplePos x="0" y="0"/>
                <wp:positionH relativeFrom="column">
                  <wp:posOffset>-114300</wp:posOffset>
                </wp:positionH>
                <wp:positionV relativeFrom="paragraph">
                  <wp:posOffset>7620</wp:posOffset>
                </wp:positionV>
                <wp:extent cx="914400" cy="492760"/>
                <wp:effectExtent l="0" t="0" r="0" b="0"/>
                <wp:wrapNone/>
                <wp:docPr id="112" name="文本框 113"/>
                <wp:cNvGraphicFramePr/>
                <a:graphic xmlns:a="http://schemas.openxmlformats.org/drawingml/2006/main">
                  <a:graphicData uri="http://schemas.microsoft.com/office/word/2010/wordprocessingShape">
                    <wps:wsp>
                      <wps:cNvSpPr txBox="1"/>
                      <wps:spPr>
                        <a:xfrm>
                          <a:off x="0" y="0"/>
                          <a:ext cx="914400" cy="49276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不可抗力处理程序</w:t>
                            </w:r>
                          </w:p>
                        </w:txbxContent>
                      </wps:txbx>
                      <wps:bodyPr upright="1"/>
                    </wps:wsp>
                  </a:graphicData>
                </a:graphic>
              </wp:anchor>
            </w:drawing>
          </mc:Choice>
          <mc:Fallback>
            <w:pict>
              <v:shape id="文本框 113" o:spid="_x0000_s1026" o:spt="202" type="#_x0000_t202" style="position:absolute;left:0pt;margin-left:-9pt;margin-top:0.6pt;height:38.8pt;width:72pt;z-index:251772928;mso-width-relative:page;mso-height-relative:page;" filled="f" stroked="f" coordsize="21600,21600" o:gfxdata="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r7S/t1QAA&#10;AAgBAAAPAAAAAAAAAAEAIAAAACIAAABkcnMvZG93bnJldi54bWxQSwECFAAUAAAACACHTuJAVWA1&#10;oq8BAABRAwAADgAAAAAAAAABACAAAAAkAQAAZHJzL2Uyb0RvYy54bWxQSwUGAAAAAAYABgBZAQAA&#10;R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不可抗力处理程序</w:t>
                      </w:r>
                    </w:p>
                  </w:txbxContent>
                </v:textbox>
              </v:shape>
            </w:pict>
          </mc:Fallback>
        </mc:AlternateContent>
      </w:r>
      <w:r>
        <w:rPr>
          <w:rFonts w:hint="eastAsia" w:ascii="仿宋" w:hAnsi="仿宋" w:eastAsia="仿宋" w:cs="仿宋"/>
          <w:color w:val="auto"/>
          <w:sz w:val="24"/>
          <w:szCs w:val="24"/>
          <w:highlight w:val="none"/>
        </w:rPr>
        <w:t>不可抗力事件发生后，承包人应立即书面通知发包人和监理工程师，并在力所能及的条件下迅速采取措施，尽力减少损失，发包人应协助承包人采取相应措施。监理工程师认为应当暂停施工的，承包人应暂停施工。不可抗力事件结束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天内，承包人向监理工程师通报受害情况和损失情况，并预计清理和修复的费用，抄送造价工程师。不可抗力事件持续发生，承包人应每隔</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天向监理工程师和造价工程师报告一次受害情况。不可抗力事件结束后的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天内，承包人应分别按照第</w:t>
      </w:r>
      <w:r>
        <w:rPr>
          <w:rFonts w:ascii="仿宋" w:hAnsi="仿宋" w:eastAsia="仿宋" w:cs="仿宋"/>
          <w:color w:val="auto"/>
          <w:sz w:val="24"/>
          <w:szCs w:val="24"/>
          <w:highlight w:val="none"/>
        </w:rPr>
        <w:t>36</w:t>
      </w:r>
      <w:r>
        <w:rPr>
          <w:rFonts w:hint="eastAsia" w:ascii="仿宋" w:hAnsi="仿宋" w:eastAsia="仿宋" w:cs="仿宋"/>
          <w:color w:val="auto"/>
          <w:sz w:val="24"/>
          <w:szCs w:val="24"/>
          <w:highlight w:val="none"/>
        </w:rPr>
        <w:t>条、第</w:t>
      </w:r>
      <w:r>
        <w:rPr>
          <w:rFonts w:ascii="仿宋" w:hAnsi="仿宋" w:eastAsia="仿宋" w:cs="仿宋"/>
          <w:color w:val="auto"/>
          <w:sz w:val="24"/>
          <w:szCs w:val="24"/>
          <w:highlight w:val="none"/>
        </w:rPr>
        <w:t>74</w:t>
      </w:r>
      <w:r>
        <w:rPr>
          <w:rFonts w:hint="eastAsia" w:ascii="仿宋" w:hAnsi="仿宋" w:eastAsia="仿宋" w:cs="仿宋"/>
          <w:color w:val="auto"/>
          <w:sz w:val="24"/>
          <w:szCs w:val="24"/>
          <w:highlight w:val="none"/>
        </w:rPr>
        <w:t>条规定索赔工期、费用。</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31.3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firstLine="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73952" behindDoc="0" locked="0" layoutInCell="1" allowOverlap="1">
                <wp:simplePos x="0" y="0"/>
                <wp:positionH relativeFrom="column">
                  <wp:posOffset>-114300</wp:posOffset>
                </wp:positionH>
                <wp:positionV relativeFrom="paragraph">
                  <wp:posOffset>22225</wp:posOffset>
                </wp:positionV>
                <wp:extent cx="914400" cy="693420"/>
                <wp:effectExtent l="0" t="0" r="0" b="0"/>
                <wp:wrapNone/>
                <wp:docPr id="113" name="文本框 114"/>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不可抗力引起费用的承担</w:t>
                            </w:r>
                          </w:p>
                        </w:txbxContent>
                      </wps:txbx>
                      <wps:bodyPr upright="1"/>
                    </wps:wsp>
                  </a:graphicData>
                </a:graphic>
              </wp:anchor>
            </w:drawing>
          </mc:Choice>
          <mc:Fallback>
            <w:pict>
              <v:shape id="文本框 114" o:spid="_x0000_s1026" o:spt="202" type="#_x0000_t202" style="position:absolute;left:0pt;margin-left:-9pt;margin-top:1.75pt;height:54.6pt;width:72pt;z-index:251773952;mso-width-relative:page;mso-height-relative:page;" filled="f" stroked="f" coordsize="21600,21600" o:gfxdata="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hLrpXX&#10;AAAACQEAAA8AAAAAAAAAAQAgAAAAIgAAAGRycy9kb3ducmV2LnhtbFBLAQIUABQAAAAIAIdO4kBs&#10;RN6xrwEAAFEDAAAOAAAAAAAAAAEAIAAAACYBAABkcnMvZTJvRG9jLnhtbFBLBQYAAAAABgAGAFkB&#10;AABH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不可抗力引起费用的承担</w:t>
                      </w:r>
                    </w:p>
                  </w:txbxContent>
                </v:textbox>
              </v:shape>
            </w:pict>
          </mc:Fallback>
        </mc:AlternateContent>
      </w:r>
      <w:r>
        <w:rPr>
          <w:rFonts w:hint="eastAsia" w:ascii="仿宋" w:hAnsi="仿宋" w:eastAsia="仿宋" w:cs="仿宋"/>
          <w:color w:val="auto"/>
          <w:sz w:val="24"/>
          <w:szCs w:val="24"/>
          <w:highlight w:val="none"/>
        </w:rPr>
        <w:t>因不可抗力事件导致的费用，由合同双方当事人按照下列规定承担，并相应调整合同价款：</w:t>
      </w:r>
    </w:p>
    <w:p>
      <w:pPr>
        <w:pStyle w:val="2"/>
        <w:numPr>
          <w:ilvl w:val="0"/>
          <w:numId w:val="11"/>
        </w:numPr>
        <w:shd w:val="clear" w:color="000000" w:fill="auto"/>
        <w:tabs>
          <w:tab w:val="left" w:pos="1080"/>
        </w:tabs>
        <w:adjustRightInd w:val="0"/>
        <w:snapToGrid w:val="0"/>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永久工程本身的损害、已运至施工场地的材料和工程设备的损害，由发包人与承包人共同承担，但是因工程损害导致第三者人员伤亡和财产损失，由承包人自行承担；</w:t>
      </w:r>
    </w:p>
    <w:p>
      <w:pPr>
        <w:pStyle w:val="2"/>
        <w:numPr>
          <w:ilvl w:val="0"/>
          <w:numId w:val="11"/>
        </w:numPr>
        <w:shd w:val="clear" w:color="000000" w:fill="auto"/>
        <w:tabs>
          <w:tab w:val="left" w:pos="1080"/>
        </w:tabs>
        <w:adjustRightInd w:val="0"/>
        <w:snapToGrid w:val="0"/>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承包人施工设备和用于合同工程的周转材料损坏以及停工损失，由承包人承担；发包人提供的施工设备损坏，由发包人承担；</w:t>
      </w:r>
    </w:p>
    <w:p>
      <w:pPr>
        <w:pStyle w:val="2"/>
        <w:numPr>
          <w:ilvl w:val="0"/>
          <w:numId w:val="11"/>
        </w:numPr>
        <w:shd w:val="clear" w:color="000000" w:fill="auto"/>
        <w:tabs>
          <w:tab w:val="left" w:pos="1080"/>
        </w:tabs>
        <w:adjustRightInd w:val="0"/>
        <w:snapToGrid w:val="0"/>
        <w:spacing w:line="360" w:lineRule="auto"/>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施工场地内的人员伤亡和本款第</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点、第</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点以外财产损失及其相关费用，由合同双方当事人各自承担；</w:t>
      </w:r>
    </w:p>
    <w:p>
      <w:pPr>
        <w:pStyle w:val="2"/>
        <w:numPr>
          <w:ilvl w:val="0"/>
          <w:numId w:val="11"/>
        </w:numPr>
        <w:shd w:val="clear" w:color="000000" w:fill="auto"/>
        <w:tabs>
          <w:tab w:val="left" w:pos="1080"/>
        </w:tabs>
        <w:adjustRightInd w:val="0"/>
        <w:snapToGrid w:val="0"/>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停工期间，承包人应监理工程师要求照管工程的费用，由发包人承担；</w:t>
      </w:r>
    </w:p>
    <w:p>
      <w:pPr>
        <w:pStyle w:val="2"/>
        <w:numPr>
          <w:ilvl w:val="0"/>
          <w:numId w:val="11"/>
        </w:numPr>
        <w:shd w:val="clear" w:color="000000" w:fill="auto"/>
        <w:tabs>
          <w:tab w:val="left" w:pos="1080"/>
        </w:tabs>
        <w:adjustRightInd w:val="0"/>
        <w:snapToGrid w:val="0"/>
        <w:spacing w:line="360" w:lineRule="auto"/>
        <w:ind w:left="2096" w:leftChars="772" w:hanging="475" w:hangingChars="198"/>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工程所需的清理、修复费用，由发包人承担。</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74976"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4" name="文本框 115"/>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不可抗力引起工期的处理</w:t>
                            </w:r>
                          </w:p>
                        </w:txbxContent>
                      </wps:txbx>
                      <wps:bodyPr upright="1"/>
                    </wps:wsp>
                  </a:graphicData>
                </a:graphic>
              </wp:anchor>
            </w:drawing>
          </mc:Choice>
          <mc:Fallback>
            <w:pict>
              <v:shape id="文本框 115" o:spid="_x0000_s1026" o:spt="202" type="#_x0000_t202" style="position:absolute;left:0pt;margin-left:-9pt;margin-top:19.5pt;height:44.35pt;width:72pt;z-index:251774976;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OcIaHX&#10;AAAACgEAAA8AAAAAAAAAAQAgAAAAIgAAAGRycy9kb3ducmV2LnhtbFBLAQIUABQAAAAIAIdO4kAE&#10;eARBrwEAAFEDAAAOAAAAAAAAAAEAIAAAACYBAABkcnMvZTJvRG9jLnhtbFBLBQYAAAAABgAGAFkB&#10;AABHBQ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不可抗力引起工期的处理</w:t>
                      </w:r>
                    </w:p>
                  </w:txbxContent>
                </v:textbox>
              </v:shape>
            </w:pict>
          </mc:Fallback>
        </mc:AlternateContent>
      </w:r>
      <w:r>
        <w:rPr>
          <w:rFonts w:ascii="仿宋" w:hAnsi="仿宋" w:eastAsia="仿宋" w:cs="仿宋"/>
          <w:b/>
          <w:bCs/>
          <w:color w:val="auto"/>
          <w:sz w:val="24"/>
          <w:szCs w:val="24"/>
          <w:highlight w:val="none"/>
        </w:rPr>
        <w:t xml:space="preserve">31.4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dstrike/>
          <w:color w:val="auto"/>
          <w:sz w:val="24"/>
          <w:szCs w:val="24"/>
          <w:highlight w:val="none"/>
        </w:rPr>
      </w:pPr>
      <w:r>
        <w:rPr>
          <w:rFonts w:hint="eastAsia" w:ascii="仿宋" w:hAnsi="仿宋" w:eastAsia="仿宋" w:cs="仿宋"/>
          <w:color w:val="auto"/>
          <w:sz w:val="24"/>
          <w:szCs w:val="24"/>
          <w:highlight w:val="none"/>
        </w:rPr>
        <w:t>因发生不可抗力事件导致工期延误的，工期相应顺延；不能按期竣工的，承包人无需为此支付任何误期赔偿费。发包人要求赶工的，承包人应采取赶工措施，赶工费用由发包人支付。</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76000"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5" name="文本框 116"/>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延迟履约发生不可抗力的责任</w:t>
                            </w:r>
                          </w:p>
                        </w:txbxContent>
                      </wps:txbx>
                      <wps:bodyPr upright="1"/>
                    </wps:wsp>
                  </a:graphicData>
                </a:graphic>
              </wp:anchor>
            </w:drawing>
          </mc:Choice>
          <mc:Fallback>
            <w:pict>
              <v:shape id="文本框 116" o:spid="_x0000_s1026" o:spt="202" type="#_x0000_t202" style="position:absolute;left:0pt;margin-left:-9pt;margin-top:19.5pt;height:44.35pt;width:72pt;z-index:251776000;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k5whodcA&#10;AAAKAQAADwAAAAAAAAABACAAAAAiAAAAZHJzL2Rvd25yZXYueG1sUEsBAhQAFAAAAAgAh07iQDs2&#10;KVeuAQAAUQMAAA4AAAAAAAAAAQAgAAAAJg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延迟履约发生不可抗力的责任</w:t>
                      </w:r>
                    </w:p>
                  </w:txbxContent>
                </v:textbox>
              </v:shape>
            </w:pict>
          </mc:Fallback>
        </mc:AlternateContent>
      </w:r>
      <w:r>
        <w:rPr>
          <w:rFonts w:ascii="仿宋" w:hAnsi="仿宋" w:eastAsia="仿宋" w:cs="仿宋"/>
          <w:b/>
          <w:bCs/>
          <w:color w:val="auto"/>
          <w:sz w:val="24"/>
          <w:szCs w:val="24"/>
          <w:highlight w:val="none"/>
        </w:rPr>
        <w:t xml:space="preserve">31.5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合同任何一方当事人延迟履行合同后发生不可抗力事件的，不能免除其因不可抗力造成损失的责任。</w:t>
      </w:r>
    </w:p>
    <w:p>
      <w:pPr>
        <w:pStyle w:val="2"/>
        <w:shd w:val="clear" w:color="000000" w:fill="auto"/>
        <w:adjustRightInd w:val="0"/>
        <w:snapToGrid w:val="0"/>
        <w:spacing w:line="48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77024"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6" name="文本框 117"/>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避免和减少不可抗力的损失</w:t>
                            </w:r>
                          </w:p>
                        </w:txbxContent>
                      </wps:txbx>
                      <wps:bodyPr upright="1"/>
                    </wps:wsp>
                  </a:graphicData>
                </a:graphic>
              </wp:anchor>
            </w:drawing>
          </mc:Choice>
          <mc:Fallback>
            <w:pict>
              <v:shape id="文本框 117" o:spid="_x0000_s1026" o:spt="202" type="#_x0000_t202" style="position:absolute;left:0pt;margin-left:-9pt;margin-top:19.5pt;height:44.35pt;width:72pt;z-index:251777024;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OcIaHX&#10;AAAACgEAAA8AAAAAAAAAAQAgAAAAIgAAAGRycy9kb3ducmV2LnhtbFBLAQIUABQAAAAIAIdO4kAD&#10;jIjKrwEAAFEDAAAOAAAAAAAAAAEAIAAAACYBAABkcnMvZTJvRG9jLnhtbFBLBQYAAAAABgAGAFkB&#10;AABH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避免和减少不可抗力的损失</w:t>
                      </w:r>
                    </w:p>
                  </w:txbxContent>
                </v:textbox>
              </v:shape>
            </w:pict>
          </mc:Fallback>
        </mc:AlternateContent>
      </w:r>
      <w:r>
        <w:rPr>
          <w:rFonts w:ascii="仿宋" w:hAnsi="仿宋" w:eastAsia="仿宋" w:cs="仿宋"/>
          <w:b/>
          <w:bCs/>
          <w:color w:val="auto"/>
          <w:sz w:val="24"/>
          <w:szCs w:val="24"/>
          <w:highlight w:val="none"/>
        </w:rPr>
        <w:t xml:space="preserve">31.6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不可抗力事件发生后，合同双方当事人应采取措施尽量避免和减少由此发生的损失。因合同任何一方当事人没有采取有效措施而导致损失扩大的，则损失扩大部分由其自身承担。</w:t>
      </w:r>
    </w:p>
    <w:p>
      <w:pPr>
        <w:pStyle w:val="2"/>
        <w:shd w:val="clear" w:color="000000" w:fill="auto"/>
        <w:adjustRightInd w:val="0"/>
        <w:snapToGrid w:val="0"/>
        <w:spacing w:line="480" w:lineRule="auto"/>
        <w:rPr>
          <w:rFonts w:ascii="仿宋" w:hAnsi="仿宋" w:eastAsia="仿宋" w:cs="仿宋"/>
          <w:color w:val="auto"/>
          <w:sz w:val="24"/>
          <w:szCs w:val="24"/>
          <w:highlight w:val="none"/>
          <w:u w:val="single"/>
        </w:rPr>
      </w:pPr>
      <w:r>
        <w:rPr>
          <w:rFonts w:ascii="仿宋" w:hAnsi="仿宋" w:eastAsia="仿宋" w:cs="仿宋"/>
          <w:b/>
          <w:bCs/>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213" w:name="_Toc10624853"/>
      <w:bookmarkStart w:id="214" w:name="_Toc9047"/>
      <w:bookmarkStart w:id="215" w:name="_Toc469384013"/>
      <w:r>
        <w:rPr>
          <w:rFonts w:ascii="仿宋" w:hAnsi="仿宋" w:eastAsia="仿宋" w:cs="仿宋"/>
          <w:b/>
          <w:bCs/>
          <w:color w:val="auto"/>
          <w:sz w:val="24"/>
          <w:szCs w:val="24"/>
          <w:highlight w:val="none"/>
        </w:rPr>
        <w:t xml:space="preserve">32  </w:t>
      </w:r>
      <w:r>
        <w:rPr>
          <w:rFonts w:hint="eastAsia" w:ascii="仿宋" w:hAnsi="仿宋" w:eastAsia="仿宋" w:cs="仿宋"/>
          <w:b/>
          <w:bCs/>
          <w:color w:val="auto"/>
          <w:sz w:val="24"/>
          <w:szCs w:val="24"/>
          <w:highlight w:val="none"/>
        </w:rPr>
        <w:t>保险</w:t>
      </w:r>
      <w:bookmarkEnd w:id="213"/>
      <w:bookmarkEnd w:id="214"/>
      <w:bookmarkEnd w:id="215"/>
    </w:p>
    <w:p>
      <w:pPr>
        <w:pStyle w:val="2"/>
        <w:shd w:val="clear" w:color="000000" w:fill="auto"/>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32.1      </w:t>
      </w:r>
    </w:p>
    <w:p>
      <w:pPr>
        <w:pStyle w:val="2"/>
        <w:shd w:val="clear" w:color="000000" w:fill="auto"/>
        <w:adjustRightInd w:val="0"/>
        <w:snapToGrid w:val="0"/>
        <w:spacing w:line="360" w:lineRule="auto"/>
        <w:ind w:firstLine="1417" w:firstLineChars="675"/>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78048"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117" name="文本框 118"/>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发包人办理保</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upright="1"/>
                    </wps:wsp>
                  </a:graphicData>
                </a:graphic>
              </wp:anchor>
            </w:drawing>
          </mc:Choice>
          <mc:Fallback>
            <w:pict>
              <v:shape id="文本框 118" o:spid="_x0000_s1026" o:spt="202" type="#_x0000_t202" style="position:absolute;left:0pt;margin-left:-9pt;margin-top:0.6pt;height:31.2pt;width:81pt;z-index:251778048;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4yfBG1QAA&#10;AAgBAAAPAAAAAAAAAAEAIAAAACIAAABkcnMvZG93bnJldi54bWxQSwECFAAUAAAACACHTuJAfF0k&#10;j68BAABSAwAADgAAAAAAAAABACAAAAAkAQAAZHJzL2Uyb0RvYy54bWxQSwUGAAAAAAYABgBZAQAA&#10;R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发包人办理保</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ascii="仿宋" w:hAnsi="仿宋" w:eastAsia="仿宋" w:cs="仿宋"/>
          <w:color w:val="auto"/>
          <w:sz w:val="24"/>
          <w:szCs w:val="24"/>
          <w:highlight w:val="none"/>
        </w:rPr>
        <w:t>发包人应按照下列规定办理保险，并支付保险费：</w:t>
      </w:r>
    </w:p>
    <w:p>
      <w:pPr>
        <w:pStyle w:val="2"/>
        <w:numPr>
          <w:ilvl w:val="0"/>
          <w:numId w:val="12"/>
        </w:numPr>
        <w:shd w:val="clear" w:color="000000" w:fill="auto"/>
        <w:tabs>
          <w:tab w:val="left" w:pos="1980"/>
        </w:tabs>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工程开工前，为合同工程办理建筑工程一切险、安装工程一切险；</w:t>
      </w:r>
    </w:p>
    <w:p>
      <w:pPr>
        <w:pStyle w:val="2"/>
        <w:numPr>
          <w:ilvl w:val="0"/>
          <w:numId w:val="12"/>
        </w:numPr>
        <w:shd w:val="clear" w:color="000000" w:fill="auto"/>
        <w:tabs>
          <w:tab w:val="left" w:pos="540"/>
          <w:tab w:val="left" w:pos="1980"/>
        </w:tabs>
        <w:adjustRightInd w:val="0"/>
        <w:snapToGrid w:val="0"/>
        <w:spacing w:line="360" w:lineRule="auto"/>
        <w:ind w:left="1617" w:leftChars="77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工程开工前，为施工场地内的自有人员（包括监理工程师、造价工程师在内）办理工伤保险、意外伤害保险；</w:t>
      </w:r>
    </w:p>
    <w:p>
      <w:pPr>
        <w:pStyle w:val="2"/>
        <w:numPr>
          <w:ilvl w:val="0"/>
          <w:numId w:val="12"/>
        </w:numPr>
        <w:shd w:val="clear" w:color="000000" w:fill="auto"/>
        <w:tabs>
          <w:tab w:val="left" w:pos="540"/>
          <w:tab w:val="left" w:pos="1980"/>
        </w:tabs>
        <w:adjustRightInd w:val="0"/>
        <w:snapToGrid w:val="0"/>
        <w:spacing w:line="360" w:lineRule="auto"/>
        <w:ind w:left="2099" w:leftChars="771" w:hanging="480" w:hangingChars="2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为第三者办理第三者责任险；</w:t>
      </w:r>
    </w:p>
    <w:p>
      <w:pPr>
        <w:pStyle w:val="2"/>
        <w:numPr>
          <w:ilvl w:val="0"/>
          <w:numId w:val="12"/>
        </w:numPr>
        <w:shd w:val="clear" w:color="000000" w:fill="auto"/>
        <w:tabs>
          <w:tab w:val="left" w:pos="1980"/>
        </w:tabs>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为运至施工场地内用于永久工程的材料和待安装工程设备办理保险。</w:t>
      </w:r>
    </w:p>
    <w:p>
      <w:pPr>
        <w:pStyle w:val="2"/>
        <w:shd w:val="clear" w:color="000000" w:fill="auto"/>
        <w:tabs>
          <w:tab w:val="left" w:pos="1080"/>
        </w:tabs>
        <w:adjustRightInd w:val="0"/>
        <w:snapToGrid w:val="0"/>
        <w:spacing w:line="360" w:lineRule="auto"/>
        <w:ind w:left="162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保险期从办理保险之日起至工程竣工验收合格之日止。</w:t>
      </w:r>
    </w:p>
    <w:p>
      <w:pPr>
        <w:pStyle w:val="2"/>
        <w:shd w:val="clear" w:color="000000" w:fill="auto"/>
        <w:tabs>
          <w:tab w:val="left" w:pos="1080"/>
        </w:tabs>
        <w:adjustRightInd w:val="0"/>
        <w:snapToGrid w:val="0"/>
        <w:spacing w:line="360" w:lineRule="auto"/>
        <w:ind w:left="162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发包人可将其中部分事项委托给承包人办理，具体由合同双方当事人在专用条款中约定。除合同价款已包括外，由发包人承担所需保险费用，并向承包人支付合理利润。</w:t>
      </w:r>
    </w:p>
    <w:p>
      <w:pPr>
        <w:shd w:val="clear" w:color="000000" w:fill="auto"/>
        <w:ind w:left="1575" w:hanging="1575" w:hangingChars="750"/>
        <w:rPr>
          <w:rFonts w:cs="Times New Roman"/>
          <w:color w:val="auto"/>
          <w:highlight w:val="none"/>
        </w:rPr>
      </w:pPr>
      <w:r>
        <w:rPr>
          <w:color w:val="auto"/>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）工程开工前，为合同工程办理工程质量保险；并由保险公司对工程质量、施工安全进行综合担保，以及聘请专业的团队进行工程建设全过程风险、质量控制。</w:t>
      </w:r>
    </w:p>
    <w:p>
      <w:pPr>
        <w:pStyle w:val="2"/>
        <w:shd w:val="clear" w:color="000000" w:fill="auto"/>
        <w:tabs>
          <w:tab w:val="left" w:pos="1320"/>
        </w:tabs>
        <w:adjustRightInd w:val="0"/>
        <w:snapToGrid w:val="0"/>
        <w:spacing w:line="48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32.2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79072" behindDoc="0" locked="0" layoutInCell="1" allowOverlap="1">
                <wp:simplePos x="0" y="0"/>
                <wp:positionH relativeFrom="column">
                  <wp:posOffset>-114300</wp:posOffset>
                </wp:positionH>
                <wp:positionV relativeFrom="paragraph">
                  <wp:posOffset>635</wp:posOffset>
                </wp:positionV>
                <wp:extent cx="1028700" cy="478155"/>
                <wp:effectExtent l="0" t="0" r="0" b="0"/>
                <wp:wrapNone/>
                <wp:docPr id="118" name="文本框 119"/>
                <wp:cNvGraphicFramePr/>
                <a:graphic xmlns:a="http://schemas.openxmlformats.org/drawingml/2006/main">
                  <a:graphicData uri="http://schemas.microsoft.com/office/word/2010/wordprocessingShape">
                    <wps:wsp>
                      <wps:cNvSpPr txBox="1"/>
                      <wps:spPr>
                        <a:xfrm>
                          <a:off x="0" y="0"/>
                          <a:ext cx="1028700" cy="47815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承包人办理保</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upright="1"/>
                    </wps:wsp>
                  </a:graphicData>
                </a:graphic>
              </wp:anchor>
            </w:drawing>
          </mc:Choice>
          <mc:Fallback>
            <w:pict>
              <v:shape id="文本框 119" o:spid="_x0000_s1026" o:spt="202" type="#_x0000_t202" style="position:absolute;left:0pt;margin-left:-9pt;margin-top:0.05pt;height:37.65pt;width:81pt;z-index:251779072;mso-width-relative:page;mso-height-relative:page;" filled="f" stroked="f" coordsize="21600,21600" o:gfxdata="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OlOyxbUAAAA&#10;BwEAAA8AAAAAAAAAAQAgAAAAIgAAAGRycy9kb3ducmV2LnhtbFBLAQIUABQAAAAIAIdO4kDv9atY&#10;rwEAAFIDAAAOAAAAAAAAAAEAIAAAACMBAABkcnMvZTJvRG9jLnhtbFBLBQYAAAAABgAGAFkBAABE&#10;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承包人办理保</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ascii="仿宋" w:hAnsi="仿宋" w:eastAsia="仿宋" w:cs="仿宋"/>
          <w:color w:val="auto"/>
          <w:sz w:val="24"/>
          <w:szCs w:val="24"/>
          <w:highlight w:val="none"/>
        </w:rPr>
        <w:t>承包人应按照下列规定办理保险，并支付保险费：</w:t>
      </w:r>
    </w:p>
    <w:p>
      <w:pPr>
        <w:pStyle w:val="2"/>
        <w:shd w:val="clear" w:color="000000" w:fill="auto"/>
        <w:adjustRightInd w:val="0"/>
        <w:snapToGrid w:val="0"/>
        <w:spacing w:line="360" w:lineRule="auto"/>
        <w:ind w:left="1617" w:leftChars="770" w:firstLine="1"/>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工程开工前，为施工场地内自有人员（包括分包人在内）办理工伤保险、意外伤害保险；</w:t>
      </w:r>
    </w:p>
    <w:p>
      <w:pPr>
        <w:pStyle w:val="2"/>
        <w:shd w:val="clear" w:color="000000" w:fill="auto"/>
        <w:adjustRightInd w:val="0"/>
        <w:snapToGrid w:val="0"/>
        <w:spacing w:line="360" w:lineRule="auto"/>
        <w:ind w:left="1676" w:leftChars="798"/>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为施工场地内的自有施工设备、第</w:t>
      </w:r>
      <w:r>
        <w:rPr>
          <w:rFonts w:ascii="仿宋" w:hAnsi="仿宋" w:eastAsia="仿宋" w:cs="仿宋"/>
          <w:color w:val="auto"/>
          <w:sz w:val="24"/>
          <w:szCs w:val="24"/>
          <w:highlight w:val="none"/>
        </w:rPr>
        <w:t>32.1</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点以外采购进场的材料和工程设备等办理保险。</w:t>
      </w:r>
    </w:p>
    <w:p>
      <w:pPr>
        <w:pStyle w:val="2"/>
        <w:shd w:val="clear" w:color="000000" w:fill="auto"/>
        <w:tabs>
          <w:tab w:val="left" w:pos="1080"/>
        </w:tabs>
        <w:adjustRightInd w:val="0"/>
        <w:snapToGrid w:val="0"/>
        <w:spacing w:line="360" w:lineRule="auto"/>
        <w:ind w:left="1680" w:leftChars="8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保险期从开工之日起至工程竣工验收合格之日止。</w:t>
      </w:r>
    </w:p>
    <w:p>
      <w:pPr>
        <w:pStyle w:val="2"/>
        <w:shd w:val="clear" w:color="000000" w:fill="auto"/>
        <w:tabs>
          <w:tab w:val="left" w:pos="1080"/>
        </w:tabs>
        <w:adjustRightInd w:val="0"/>
        <w:snapToGrid w:val="0"/>
        <w:spacing w:line="360" w:lineRule="auto"/>
        <w:rPr>
          <w:rFonts w:ascii="仿宋" w:hAnsi="仿宋" w:eastAsia="仿宋" w:cs="仿宋"/>
          <w:b/>
          <w:bCs/>
          <w:color w:val="auto"/>
          <w:sz w:val="24"/>
          <w:szCs w:val="24"/>
          <w:highlight w:val="none"/>
          <w:u w:val="dotted"/>
        </w:rPr>
      </w:pPr>
      <w:r>
        <w:rPr>
          <w:color w:val="auto"/>
          <w:highlight w:val="none"/>
        </w:rPr>
        <mc:AlternateContent>
          <mc:Choice Requires="wps">
            <w:drawing>
              <wp:anchor distT="0" distB="0" distL="114300" distR="114300" simplePos="0" relativeHeight="251780096" behindDoc="0" locked="0" layoutInCell="1" allowOverlap="1">
                <wp:simplePos x="0" y="0"/>
                <wp:positionH relativeFrom="column">
                  <wp:posOffset>-114300</wp:posOffset>
                </wp:positionH>
                <wp:positionV relativeFrom="paragraph">
                  <wp:posOffset>287020</wp:posOffset>
                </wp:positionV>
                <wp:extent cx="914400" cy="541020"/>
                <wp:effectExtent l="0" t="0" r="0" b="0"/>
                <wp:wrapNone/>
                <wp:docPr id="119" name="文本框 120"/>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双方提供保险单和凭证</w:t>
                            </w:r>
                          </w:p>
                        </w:txbxContent>
                      </wps:txbx>
                      <wps:bodyPr upright="1"/>
                    </wps:wsp>
                  </a:graphicData>
                </a:graphic>
              </wp:anchor>
            </w:drawing>
          </mc:Choice>
          <mc:Fallback>
            <w:pict>
              <v:shape id="文本框 120" o:spid="_x0000_s1026" o:spt="202" type="#_x0000_t202" style="position:absolute;left:0pt;margin-left:-9pt;margin-top:22.6pt;height:42.6pt;width:72pt;z-index:251780096;mso-width-relative:page;mso-height-relative:page;" filled="f" stroked="f" coordsize="21600,21600" o:gfxdata="UEsDBAoAAAAAAIdO4kAAAAAAAAAAAAAAAAAEAAAAZHJzL1BLAwQUAAAACACHTuJAiyRne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LJGd42AAA&#10;AAoBAAAPAAAAAAAAAAEAIAAAACIAAABkcnMvZG93bnJldi54bWxQSwECFAAUAAAACACHTuJARCZ2&#10;RawBAABRAwAADgAAAAAAAAABACAAAAAnAQAAZHJzL2Uyb0RvYy54bWxQSwUGAAAAAAYABgBZAQAA&#10;R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双方提供保险单和凭证</w:t>
                      </w:r>
                    </w:p>
                  </w:txbxContent>
                </v:textbox>
              </v:shape>
            </w:pict>
          </mc:Fallback>
        </mc:AlternateContent>
      </w:r>
      <w:r>
        <w:rPr>
          <w:rFonts w:ascii="仿宋" w:hAnsi="仿宋" w:eastAsia="仿宋" w:cs="仿宋"/>
          <w:b/>
          <w:bCs/>
          <w:color w:val="auto"/>
          <w:sz w:val="24"/>
          <w:szCs w:val="24"/>
          <w:highlight w:val="none"/>
        </w:rPr>
        <w:t xml:space="preserve">32.3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合同一方当事人应按照本合同要求向另一方当事人提供有效的投保保险单和保险凭证。</w:t>
      </w:r>
    </w:p>
    <w:p>
      <w:pPr>
        <w:pStyle w:val="2"/>
        <w:shd w:val="clear" w:color="000000" w:fill="auto"/>
        <w:tabs>
          <w:tab w:val="left" w:pos="1320"/>
        </w:tabs>
        <w:adjustRightInd w:val="0"/>
        <w:snapToGrid w:val="0"/>
        <w:spacing w:line="360" w:lineRule="auto"/>
        <w:rPr>
          <w:rFonts w:ascii="仿宋" w:hAnsi="仿宋" w:eastAsia="仿宋" w:cs="仿宋"/>
          <w:b/>
          <w:bCs/>
          <w:color w:val="auto"/>
          <w:sz w:val="24"/>
          <w:szCs w:val="24"/>
          <w:highlight w:val="none"/>
          <w:u w:val="dotted"/>
        </w:rPr>
      </w:pPr>
      <w:r>
        <w:rPr>
          <w:color w:val="auto"/>
          <w:highlight w:val="none"/>
        </w:rPr>
        <mc:AlternateContent>
          <mc:Choice Requires="wps">
            <w:drawing>
              <wp:anchor distT="0" distB="0" distL="114300" distR="114300" simplePos="0" relativeHeight="251781120" behindDoc="0" locked="0" layoutInCell="1" allowOverlap="1">
                <wp:simplePos x="0" y="0"/>
                <wp:positionH relativeFrom="column">
                  <wp:posOffset>-114300</wp:posOffset>
                </wp:positionH>
                <wp:positionV relativeFrom="paragraph">
                  <wp:posOffset>236855</wp:posOffset>
                </wp:positionV>
                <wp:extent cx="914400" cy="396240"/>
                <wp:effectExtent l="0" t="0" r="0" b="0"/>
                <wp:wrapNone/>
                <wp:docPr id="120" name="文本框 12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未按规定投保的补救</w:t>
                            </w:r>
                          </w:p>
                        </w:txbxContent>
                      </wps:txbx>
                      <wps:bodyPr upright="1"/>
                    </wps:wsp>
                  </a:graphicData>
                </a:graphic>
              </wp:anchor>
            </w:drawing>
          </mc:Choice>
          <mc:Fallback>
            <w:pict>
              <v:shape id="文本框 121" o:spid="_x0000_s1026" o:spt="202" type="#_x0000_t202" style="position:absolute;left:0pt;margin-left:-9pt;margin-top:18.65pt;height:31.2pt;width:72pt;z-index:251781120;mso-width-relative:page;mso-height-relative:page;" filled="f" stroked="f" coordsize="21600,21600" o:gfxdata="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XCiQ4tcA&#10;AAAJAQAADwAAAAAAAAABACAAAAAiAAAAZHJzL2Rvd25yZXYueG1sUEsBAhQAFAAAAAgAh07iQGC6&#10;VgquAQAAUQMAAA4AAAAAAAAAAQAgAAAAJgEAAGRycy9lMm9Eb2MueG1sUEsFBgAAAAAGAAYAWQEA&#10;AEYFA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未按规定投保的补救</w:t>
                      </w:r>
                    </w:p>
                  </w:txbxContent>
                </v:textbox>
              </v:shape>
            </w:pict>
          </mc:Fallback>
        </mc:AlternateContent>
      </w:r>
      <w:r>
        <w:rPr>
          <w:rFonts w:ascii="仿宋" w:hAnsi="仿宋" w:eastAsia="仿宋" w:cs="仿宋"/>
          <w:b/>
          <w:bCs/>
          <w:color w:val="auto"/>
          <w:sz w:val="24"/>
          <w:szCs w:val="24"/>
          <w:highlight w:val="none"/>
        </w:rPr>
        <w:t xml:space="preserve">32.4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合同双方当事人应遵守本条规定办理有关保险事项。如果未按规定投保的，应按下列规定补偿：</w:t>
      </w:r>
    </w:p>
    <w:p>
      <w:pPr>
        <w:pStyle w:val="2"/>
        <w:shd w:val="clear" w:color="000000" w:fill="auto"/>
        <w:adjustRightInd w:val="0"/>
        <w:snapToGrid w:val="0"/>
        <w:spacing w:line="360" w:lineRule="auto"/>
        <w:ind w:left="1617" w:leftChars="770" w:firstLine="1"/>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由于负有投保义务的合同一方当事人未按合同约定办理保险，或未能使保险持续有效的，则另一方当事人可代为办理，所需费用由对方当事人承担；</w:t>
      </w:r>
    </w:p>
    <w:p>
      <w:pPr>
        <w:pStyle w:val="2"/>
        <w:shd w:val="clear" w:color="000000" w:fill="auto"/>
        <w:adjustRightInd w:val="0"/>
        <w:snapToGrid w:val="0"/>
        <w:spacing w:line="360" w:lineRule="auto"/>
        <w:ind w:left="1617" w:leftChars="770" w:firstLine="1"/>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由于负有投保义务的合同一方当事人未按合同约定办理某项保险，导致受益人未能得到保险人的赔偿，则该项保险金应由负有投保义务的一方当事人支付。</w:t>
      </w:r>
    </w:p>
    <w:p>
      <w:pPr>
        <w:pStyle w:val="2"/>
        <w:shd w:val="clear" w:color="000000" w:fill="auto"/>
        <w:adjustRightInd w:val="0"/>
        <w:snapToGrid w:val="0"/>
        <w:spacing w:line="360" w:lineRule="auto"/>
        <w:rPr>
          <w:rFonts w:ascii="仿宋" w:hAnsi="仿宋" w:eastAsia="仿宋" w:cs="仿宋"/>
          <w:color w:val="auto"/>
          <w:sz w:val="24"/>
          <w:szCs w:val="24"/>
          <w:highlight w:val="none"/>
          <w:u w:val="dotted"/>
        </w:rPr>
      </w:pPr>
      <w:r>
        <w:rPr>
          <w:color w:val="auto"/>
          <w:highlight w:val="none"/>
        </w:rPr>
        <mc:AlternateContent>
          <mc:Choice Requires="wps">
            <w:drawing>
              <wp:anchor distT="0" distB="0" distL="114300" distR="114300" simplePos="0" relativeHeight="251782144" behindDoc="0" locked="0" layoutInCell="1" allowOverlap="1">
                <wp:simplePos x="0" y="0"/>
                <wp:positionH relativeFrom="column">
                  <wp:posOffset>-114300</wp:posOffset>
                </wp:positionH>
                <wp:positionV relativeFrom="paragraph">
                  <wp:posOffset>292100</wp:posOffset>
                </wp:positionV>
                <wp:extent cx="914400" cy="541020"/>
                <wp:effectExtent l="0" t="0" r="0" b="0"/>
                <wp:wrapNone/>
                <wp:docPr id="121" name="文本框 122"/>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wps:txbx>
                      <wps:bodyPr upright="1"/>
                    </wps:wsp>
                  </a:graphicData>
                </a:graphic>
              </wp:anchor>
            </w:drawing>
          </mc:Choice>
          <mc:Fallback>
            <w:pict>
              <v:shape id="文本框 122" o:spid="_x0000_s1026" o:spt="202" type="#_x0000_t202" style="position:absolute;left:0pt;margin-left:-9pt;margin-top:23pt;height:42.6pt;width:72pt;z-index:251782144;mso-width-relative:page;mso-height-relative:page;" filled="f" stroked="f" coordsize="21600,21600" o:gfxdata="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xjylF9cA&#10;AAAKAQAADwAAAAAAAAABACAAAAAiAAAAZHJzL2Rvd25yZXYueG1sUEsBAhQAFAAAAAgAh07iQOwD&#10;mA6uAQAAUQMAAA4AAAAAAAAAAQAgAAAAJg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v:textbox>
              </v:shape>
            </w:pict>
          </mc:Fallback>
        </mc:AlternateContent>
      </w:r>
      <w:r>
        <w:rPr>
          <w:rFonts w:ascii="仿宋" w:hAnsi="仿宋" w:eastAsia="仿宋" w:cs="仿宋"/>
          <w:b/>
          <w:bCs/>
          <w:color w:val="auto"/>
          <w:sz w:val="24"/>
          <w:szCs w:val="24"/>
          <w:highlight w:val="none"/>
        </w:rPr>
        <w:t xml:space="preserve">32.5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当合同工程发生保险事故时</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被保险人应及时通知保险人，并提供有关资料。合同双方当事人有责任采取合理有效措施防止或减少损失，并应相互协助做好向保险人的报告和理赔工作。</w:t>
      </w:r>
    </w:p>
    <w:p>
      <w:pPr>
        <w:pStyle w:val="2"/>
        <w:shd w:val="clear" w:color="000000" w:fill="auto"/>
        <w:tabs>
          <w:tab w:val="left" w:pos="1320"/>
          <w:tab w:val="left" w:pos="1620"/>
        </w:tabs>
        <w:adjustRightInd w:val="0"/>
        <w:snapToGrid w:val="0"/>
        <w:spacing w:line="36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32.6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83168" behindDoc="0" locked="0" layoutInCell="1" allowOverlap="1">
                <wp:simplePos x="0" y="0"/>
                <wp:positionH relativeFrom="column">
                  <wp:posOffset>-114300</wp:posOffset>
                </wp:positionH>
                <wp:positionV relativeFrom="paragraph">
                  <wp:posOffset>0</wp:posOffset>
                </wp:positionV>
                <wp:extent cx="914400" cy="552450"/>
                <wp:effectExtent l="0" t="0" r="0" b="0"/>
                <wp:wrapNone/>
                <wp:docPr id="122" name="文本框 123"/>
                <wp:cNvGraphicFramePr/>
                <a:graphic xmlns:a="http://schemas.openxmlformats.org/drawingml/2006/main">
                  <a:graphicData uri="http://schemas.microsoft.com/office/word/2010/wordprocessingShape">
                    <wps:wsp>
                      <wps:cNvSpPr txBox="1"/>
                      <wps:spPr>
                        <a:xfrm>
                          <a:off x="0" y="0"/>
                          <a:ext cx="914400" cy="5524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wps:txbx>
                      <wps:bodyPr upright="1"/>
                    </wps:wsp>
                  </a:graphicData>
                </a:graphic>
              </wp:anchor>
            </w:drawing>
          </mc:Choice>
          <mc:Fallback>
            <w:pict>
              <v:shape id="文本框 123" o:spid="_x0000_s1026" o:spt="202" type="#_x0000_t202" style="position:absolute;left:0pt;margin-left:-9pt;margin-top:0pt;height:43.5pt;width:72pt;z-index:251783168;mso-width-relative:page;mso-height-relative:page;" filled="f" stroked="f" coordsize="21600,21600" o:gfxdata="UEsDBAoAAAAAAIdO4kAAAAAAAAAAAAAAAAAEAAAAZHJzL1BLAwQUAAAACACHTuJAn0QCf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n0QCftQAAAAH&#10;AQAADwAAAAAAAAABACAAAAAiAAAAZHJzL2Rvd25yZXYueG1sUEsBAhQAFAAAAAgAh07iQGvf6Nmu&#10;AQAAUQMAAA4AAAAAAAAAAQAgAAAAIwEAAGRycy9lMm9Eb2MueG1sUEsFBgAAAAAGAAYAWQEAAEMF&#10;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v:textbox>
              </v:shape>
            </w:pict>
          </mc:Fallback>
        </mc:AlternateContent>
      </w:r>
      <w:r>
        <w:rPr>
          <w:rFonts w:hint="eastAsia" w:ascii="仿宋" w:hAnsi="仿宋" w:eastAsia="仿宋" w:cs="仿宋"/>
          <w:color w:val="auto"/>
          <w:sz w:val="24"/>
          <w:szCs w:val="24"/>
          <w:highlight w:val="none"/>
        </w:rPr>
        <w:t>当合同工程的性质、规模或计划发生变更时，被保险人应及时通知保险人，并在合同履行期间按照本条规定保证足够的保险额，由此造成的费用由责任方承担。</w:t>
      </w:r>
    </w:p>
    <w:p>
      <w:pPr>
        <w:pStyle w:val="2"/>
        <w:shd w:val="clear" w:color="000000" w:fill="auto"/>
        <w:tabs>
          <w:tab w:val="left" w:pos="1320"/>
        </w:tabs>
        <w:adjustRightInd w:val="0"/>
        <w:snapToGrid w:val="0"/>
        <w:spacing w:line="36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32.7  </w:t>
      </w:r>
      <w:r>
        <w:rPr>
          <w:rFonts w:ascii="仿宋" w:hAnsi="仿宋" w:eastAsia="仿宋" w:cs="仿宋"/>
          <w:b/>
          <w:bCs/>
          <w:color w:val="auto"/>
          <w:sz w:val="24"/>
          <w:szCs w:val="24"/>
          <w:highlight w:val="none"/>
          <w:u w:val="dotted"/>
        </w:rPr>
        <w:t xml:space="preserve">                                                                                                        </w:t>
      </w:r>
    </w:p>
    <w:p>
      <w:pPr>
        <w:pStyle w:val="2"/>
        <w:shd w:val="clear" w:color="000000" w:fill="auto"/>
        <w:tabs>
          <w:tab w:val="left" w:pos="1320"/>
        </w:tabs>
        <w:adjustRightInd w:val="0"/>
        <w:snapToGrid w:val="0"/>
        <w:spacing w:line="360" w:lineRule="auto"/>
        <w:ind w:left="1575" w:leftChars="750"/>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84192" behindDoc="0" locked="0" layoutInCell="1" allowOverlap="1">
                <wp:simplePos x="0" y="0"/>
                <wp:positionH relativeFrom="column">
                  <wp:posOffset>-66675</wp:posOffset>
                </wp:positionH>
                <wp:positionV relativeFrom="paragraph">
                  <wp:posOffset>13970</wp:posOffset>
                </wp:positionV>
                <wp:extent cx="914400" cy="425450"/>
                <wp:effectExtent l="0" t="0" r="0" b="0"/>
                <wp:wrapNone/>
                <wp:docPr id="123" name="文本框 124"/>
                <wp:cNvGraphicFramePr/>
                <a:graphic xmlns:a="http://schemas.openxmlformats.org/drawingml/2006/main">
                  <a:graphicData uri="http://schemas.microsoft.com/office/word/2010/wordprocessingShape">
                    <wps:wsp>
                      <wps:cNvSpPr txBox="1"/>
                      <wps:spPr>
                        <a:xfrm>
                          <a:off x="0" y="0"/>
                          <a:ext cx="914400" cy="4254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保险赔偿金的用途</w:t>
                            </w:r>
                          </w:p>
                        </w:txbxContent>
                      </wps:txbx>
                      <wps:bodyPr upright="1"/>
                    </wps:wsp>
                  </a:graphicData>
                </a:graphic>
              </wp:anchor>
            </w:drawing>
          </mc:Choice>
          <mc:Fallback>
            <w:pict>
              <v:shape id="文本框 124" o:spid="_x0000_s1026" o:spt="202" type="#_x0000_t202" style="position:absolute;left:0pt;margin-left:-5.25pt;margin-top:1.1pt;height:33.5pt;width:72pt;z-index:251784192;mso-width-relative:page;mso-height-relative:page;" filled="f" stroked="f" coordsize="21600,21600" o:gfxdata="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pP1NR1QAA&#10;AAgBAAAPAAAAAAAAAAEAIAAAACIAAABkcnMvZG93bnJldi54bWxQSwECFAAUAAAACACHTuJA+aNK&#10;oq8BAABRAwAADgAAAAAAAAABACAAAAAkAQAAZHJzL2Uyb0RvYy54bWxQSwUGAAAAAAYABgBZAQAA&#10;R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保险赔偿金的用途</w:t>
                      </w:r>
                    </w:p>
                  </w:txbxContent>
                </v:textbox>
              </v:shape>
            </w:pict>
          </mc:Fallback>
        </mc:AlternateContent>
      </w:r>
      <w:r>
        <w:rPr>
          <w:rFonts w:hint="eastAsia" w:ascii="仿宋" w:hAnsi="仿宋" w:eastAsia="仿宋" w:cs="仿宋"/>
          <w:color w:val="auto"/>
          <w:sz w:val="24"/>
          <w:szCs w:val="24"/>
          <w:highlight w:val="none"/>
        </w:rPr>
        <w:t>从保险人收到的因合同工程本身损失或损坏的保险金</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应专项用于修复合同工程的损失或损坏，或作为对未能修复合同工程这些损失或损坏的补偿。</w:t>
      </w:r>
    </w:p>
    <w:p>
      <w:pPr>
        <w:pStyle w:val="2"/>
        <w:shd w:val="clear" w:color="000000" w:fill="auto"/>
        <w:tabs>
          <w:tab w:val="left" w:pos="1320"/>
        </w:tabs>
        <w:adjustRightInd w:val="0"/>
        <w:snapToGrid w:val="0"/>
        <w:spacing w:line="360" w:lineRule="auto"/>
        <w:rPr>
          <w:rFonts w:ascii="仿宋" w:hAnsi="仿宋" w:eastAsia="仿宋" w:cs="仿宋"/>
          <w:b/>
          <w:bCs/>
          <w:color w:val="auto"/>
          <w:sz w:val="24"/>
          <w:szCs w:val="24"/>
          <w:highlight w:val="none"/>
          <w:u w:val="dotted"/>
        </w:rPr>
      </w:pPr>
      <w:r>
        <w:rPr>
          <w:color w:val="auto"/>
          <w:highlight w:val="none"/>
        </w:rPr>
        <mc:AlternateContent>
          <mc:Choice Requires="wps">
            <w:drawing>
              <wp:anchor distT="0" distB="0" distL="114300" distR="114300" simplePos="0" relativeHeight="251785216" behindDoc="0" locked="0" layoutInCell="1" allowOverlap="1">
                <wp:simplePos x="0" y="0"/>
                <wp:positionH relativeFrom="column">
                  <wp:posOffset>-114300</wp:posOffset>
                </wp:positionH>
                <wp:positionV relativeFrom="paragraph">
                  <wp:posOffset>227330</wp:posOffset>
                </wp:positionV>
                <wp:extent cx="914400" cy="407035"/>
                <wp:effectExtent l="0" t="0" r="0" b="0"/>
                <wp:wrapNone/>
                <wp:docPr id="124" name="文本框 125"/>
                <wp:cNvGraphicFramePr/>
                <a:graphic xmlns:a="http://schemas.openxmlformats.org/drawingml/2006/main">
                  <a:graphicData uri="http://schemas.microsoft.com/office/word/2010/wordprocessingShape">
                    <wps:wsp>
                      <wps:cNvSpPr txBox="1"/>
                      <wps:spPr>
                        <a:xfrm>
                          <a:off x="0" y="0"/>
                          <a:ext cx="914400" cy="407035"/>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约定投保事项</w:t>
                            </w:r>
                          </w:p>
                        </w:txbxContent>
                      </wps:txbx>
                      <wps:bodyPr upright="1"/>
                    </wps:wsp>
                  </a:graphicData>
                </a:graphic>
              </wp:anchor>
            </w:drawing>
          </mc:Choice>
          <mc:Fallback>
            <w:pict>
              <v:shape id="文本框 125" o:spid="_x0000_s1026" o:spt="202" type="#_x0000_t202" style="position:absolute;left:0pt;margin-left:-9pt;margin-top:17.9pt;height:32.05pt;width:72pt;z-index:251785216;mso-width-relative:page;mso-height-relative:page;" filled="f" stroked="f" coordsize="21600,21600" o:gfxdata="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dw8uNYA&#10;AAAJAQAADwAAAAAAAAABACAAAAAiAAAAZHJzL2Rvd25yZXYueG1sUEsBAhQAFAAAAAgAh07iQH+X&#10;SN2vAQAAUQMAAA4AAAAAAAAAAQAgAAAAJQEAAGRycy9lMm9Eb2MueG1sUEsFBgAAAAAGAAYAWQEA&#10;AEYFA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约定投保事项</w:t>
                      </w:r>
                    </w:p>
                  </w:txbxContent>
                </v:textbox>
              </v:shape>
            </w:pict>
          </mc:Fallback>
        </mc:AlternateContent>
      </w:r>
      <w:r>
        <w:rPr>
          <w:rFonts w:ascii="仿宋" w:hAnsi="仿宋" w:eastAsia="仿宋" w:cs="仿宋"/>
          <w:b/>
          <w:bCs/>
          <w:color w:val="auto"/>
          <w:sz w:val="24"/>
          <w:szCs w:val="24"/>
          <w:highlight w:val="none"/>
        </w:rPr>
        <w:t xml:space="preserve">32.8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具体投保内容、保险金、保险期限及相关责任等事项，合同双方当事人应在专用条款中约定。</w:t>
      </w:r>
    </w:p>
    <w:p>
      <w:pPr>
        <w:pStyle w:val="2"/>
        <w:shd w:val="clear" w:color="000000" w:fill="auto"/>
        <w:adjustRightInd w:val="0"/>
        <w:snapToGrid w:val="0"/>
        <w:spacing w:line="360" w:lineRule="auto"/>
        <w:ind w:right="-238"/>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u w:val="single"/>
        </w:rPr>
        <w:t xml:space="preserve">                                                                                                              </w:t>
      </w:r>
    </w:p>
    <w:p>
      <w:pPr>
        <w:pStyle w:val="2"/>
        <w:shd w:val="clear" w:color="000000" w:fill="auto"/>
        <w:adjustRightInd w:val="0"/>
        <w:snapToGrid w:val="0"/>
        <w:spacing w:line="360" w:lineRule="auto"/>
        <w:ind w:right="-238"/>
        <w:jc w:val="center"/>
        <w:outlineLvl w:val="1"/>
        <w:rPr>
          <w:rFonts w:ascii="仿宋" w:hAnsi="仿宋" w:eastAsia="仿宋" w:cs="Times New Roman"/>
          <w:b/>
          <w:bCs/>
          <w:color w:val="auto"/>
          <w:sz w:val="24"/>
          <w:szCs w:val="24"/>
          <w:highlight w:val="none"/>
        </w:rPr>
      </w:pPr>
      <w:bookmarkStart w:id="216" w:name="_Toc22459"/>
      <w:bookmarkStart w:id="217" w:name="_Toc469384014"/>
      <w:bookmarkStart w:id="218" w:name="_Toc10624854"/>
      <w:bookmarkStart w:id="219" w:name="_Toc96"/>
      <w:r>
        <w:rPr>
          <w:rFonts w:hint="eastAsia" w:ascii="仿宋" w:hAnsi="仿宋" w:eastAsia="仿宋" w:cs="仿宋"/>
          <w:b/>
          <w:bCs/>
          <w:color w:val="auto"/>
          <w:sz w:val="24"/>
          <w:szCs w:val="24"/>
          <w:highlight w:val="none"/>
        </w:rPr>
        <w:t>四、工</w:t>
      </w:r>
      <w:r>
        <w:rPr>
          <w:rFonts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rPr>
        <w:t>期</w:t>
      </w:r>
      <w:bookmarkEnd w:id="216"/>
      <w:bookmarkEnd w:id="217"/>
      <w:bookmarkEnd w:id="218"/>
      <w:bookmarkEnd w:id="219"/>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220" w:name="_Toc10624855"/>
      <w:bookmarkStart w:id="221" w:name="_Toc469384015"/>
      <w:bookmarkStart w:id="222" w:name="_Toc22920"/>
      <w:r>
        <w:rPr>
          <w:rFonts w:ascii="仿宋" w:hAnsi="仿宋" w:eastAsia="仿宋" w:cs="仿宋"/>
          <w:b/>
          <w:bCs/>
          <w:color w:val="auto"/>
          <w:sz w:val="24"/>
          <w:szCs w:val="24"/>
          <w:highlight w:val="none"/>
        </w:rPr>
        <w:t xml:space="preserve">33  </w:t>
      </w:r>
      <w:r>
        <w:rPr>
          <w:rFonts w:hint="eastAsia" w:ascii="仿宋" w:hAnsi="仿宋" w:eastAsia="仿宋" w:cs="仿宋"/>
          <w:b/>
          <w:bCs/>
          <w:color w:val="auto"/>
          <w:sz w:val="24"/>
          <w:szCs w:val="24"/>
          <w:highlight w:val="none"/>
        </w:rPr>
        <w:t>进度计划和报告</w:t>
      </w:r>
      <w:bookmarkEnd w:id="220"/>
      <w:bookmarkEnd w:id="221"/>
      <w:bookmarkEnd w:id="222"/>
    </w:p>
    <w:p>
      <w:pPr>
        <w:pStyle w:val="2"/>
        <w:shd w:val="clear" w:color="000000" w:fill="auto"/>
        <w:tabs>
          <w:tab w:val="left" w:pos="1620"/>
        </w:tabs>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86240" behindDoc="0" locked="0" layoutInCell="1" allowOverlap="1">
                <wp:simplePos x="0" y="0"/>
                <wp:positionH relativeFrom="column">
                  <wp:posOffset>-114300</wp:posOffset>
                </wp:positionH>
                <wp:positionV relativeFrom="paragraph">
                  <wp:posOffset>283845</wp:posOffset>
                </wp:positionV>
                <wp:extent cx="914400" cy="412750"/>
                <wp:effectExtent l="0" t="0" r="0" b="0"/>
                <wp:wrapNone/>
                <wp:docPr id="125" name="文本框 126"/>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提交工程进度计划</w:t>
                            </w:r>
                          </w:p>
                        </w:txbxContent>
                      </wps:txbx>
                      <wps:bodyPr upright="1"/>
                    </wps:wsp>
                  </a:graphicData>
                </a:graphic>
              </wp:anchor>
            </w:drawing>
          </mc:Choice>
          <mc:Fallback>
            <w:pict>
              <v:shape id="文本框 126" o:spid="_x0000_s1026" o:spt="202" type="#_x0000_t202" style="position:absolute;left:0pt;margin-left:-9pt;margin-top:22.35pt;height:32.5pt;width:72pt;z-index:251786240;mso-width-relative:page;mso-height-relative:page;" filled="f" stroked="f" coordsize="21600,21600" o:gfxdata="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3cbg7&#10;2AAAAAoBAAAPAAAAAAAAAAEAIAAAACIAAABkcnMvZG93bnJldi54bWxQSwECFAAUAAAACACHTuJA&#10;xnNn5a8BAABRAwAADgAAAAAAAAABACAAAAAnAQAAZHJzL2Uyb0RvYy54bWxQSwUGAAAAAAYABgBZ&#10;AQAASAU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提交工程进度计划</w:t>
                      </w:r>
                    </w:p>
                  </w:txbxContent>
                </v:textbox>
              </v:shape>
            </w:pict>
          </mc:Fallback>
        </mc:AlternateContent>
      </w:r>
      <w:r>
        <w:rPr>
          <w:rFonts w:ascii="仿宋" w:hAnsi="仿宋" w:eastAsia="仿宋" w:cs="仿宋"/>
          <w:b/>
          <w:bCs/>
          <w:color w:val="auto"/>
          <w:sz w:val="24"/>
          <w:szCs w:val="24"/>
          <w:highlight w:val="none"/>
        </w:rPr>
        <w:t xml:space="preserve">33.1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承包人应在签订本合同后的</w:t>
      </w:r>
      <w:r>
        <w:rPr>
          <w:rFonts w:ascii="仿宋" w:hAnsi="仿宋" w:eastAsia="仿宋" w:cs="仿宋"/>
          <w:color w:val="auto"/>
          <w:sz w:val="24"/>
          <w:szCs w:val="24"/>
          <w:highlight w:val="none"/>
        </w:rPr>
        <w:t>31</w:t>
      </w:r>
      <w:r>
        <w:rPr>
          <w:rFonts w:hint="eastAsia" w:ascii="仿宋" w:hAnsi="仿宋" w:eastAsia="仿宋" w:cs="仿宋"/>
          <w:color w:val="auto"/>
          <w:sz w:val="24"/>
          <w:szCs w:val="24"/>
          <w:highlight w:val="none"/>
        </w:rPr>
        <w:t>天内，向监理工程师提交一式两份施工组织设计和合同工程进度计划，向发包方提交一份施工组织设计和合同工程进度计划。经发包人批准后，监理工程师应在收到该设计和计划后的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予以确认或提出修改意见，逾期不确认也不提出书面意见的，视为同意。工程进度计划，应对合同工程的全部施工作业提出总体上的施工方法、施工安排、作业顺序和时间表。合同约定有单位工程的，承包人还应编制单位工程进度计划。</w:t>
      </w:r>
    </w:p>
    <w:p>
      <w:pPr>
        <w:pStyle w:val="2"/>
        <w:shd w:val="clear" w:color="000000" w:fill="auto"/>
        <w:tabs>
          <w:tab w:val="left" w:pos="1620"/>
        </w:tabs>
        <w:adjustRightInd w:val="0"/>
        <w:snapToGrid w:val="0"/>
        <w:spacing w:line="360" w:lineRule="auto"/>
        <w:rPr>
          <w:rFonts w:ascii="仿宋" w:hAnsi="仿宋" w:eastAsia="仿宋" w:cs="仿宋"/>
          <w:b/>
          <w:bCs/>
          <w:color w:val="auto"/>
          <w:sz w:val="24"/>
          <w:szCs w:val="24"/>
          <w:highlight w:val="none"/>
          <w:u w:val="dotted"/>
        </w:rPr>
      </w:pPr>
      <w:r>
        <w:rPr>
          <w:color w:val="auto"/>
          <w:highlight w:val="none"/>
        </w:rPr>
        <mc:AlternateContent>
          <mc:Choice Requires="wps">
            <w:drawing>
              <wp:anchor distT="0" distB="0" distL="114300" distR="114300" simplePos="0" relativeHeight="251787264" behindDoc="0" locked="0" layoutInCell="1" allowOverlap="1">
                <wp:simplePos x="0" y="0"/>
                <wp:positionH relativeFrom="column">
                  <wp:posOffset>-114300</wp:posOffset>
                </wp:positionH>
                <wp:positionV relativeFrom="paragraph">
                  <wp:posOffset>281305</wp:posOffset>
                </wp:positionV>
                <wp:extent cx="914400" cy="471805"/>
                <wp:effectExtent l="0" t="0" r="0" b="0"/>
                <wp:wrapNone/>
                <wp:docPr id="126" name="文本框 127"/>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工程进度的监督和检查</w:t>
                            </w:r>
                          </w:p>
                        </w:txbxContent>
                      </wps:txbx>
                      <wps:bodyPr upright="1"/>
                    </wps:wsp>
                  </a:graphicData>
                </a:graphic>
              </wp:anchor>
            </w:drawing>
          </mc:Choice>
          <mc:Fallback>
            <w:pict>
              <v:shape id="文本框 127" o:spid="_x0000_s1026" o:spt="202" type="#_x0000_t202" style="position:absolute;left:0pt;margin-left:-9pt;margin-top:22.15pt;height:37.15pt;width:72pt;z-index:251787264;mso-width-relative:page;mso-height-relative:page;" filled="f" stroked="f" coordsize="21600,21600" o:gfxdata="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gftHjX&#10;AAAACgEAAA8AAAAAAAAAAQAgAAAAIgAAAGRycy9kb3ducmV2LnhtbFBLAQIUABQAAAAIAIdO4kAu&#10;CLlOrwEAAFEDAAAOAAAAAAAAAAEAIAAAACYBAABkcnMvZTJvRG9jLnhtbFBLBQYAAAAABgAGAFkB&#10;AABH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工程进度的监督和检查</w:t>
                      </w:r>
                    </w:p>
                  </w:txbxContent>
                </v:textbox>
              </v:shape>
            </w:pict>
          </mc:Fallback>
        </mc:AlternateContent>
      </w:r>
      <w:r>
        <w:rPr>
          <w:rFonts w:ascii="仿宋" w:hAnsi="仿宋" w:eastAsia="仿宋" w:cs="仿宋"/>
          <w:b/>
          <w:bCs/>
          <w:color w:val="auto"/>
          <w:sz w:val="24"/>
          <w:szCs w:val="24"/>
          <w:highlight w:val="none"/>
        </w:rPr>
        <w:t xml:space="preserve">33.2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承包人应按照经监理工程师确认并由其报发包人批准的进度计划组织施工，接受监理工程师对工程进度的监督和检查。</w:t>
      </w:r>
    </w:p>
    <w:p>
      <w:pPr>
        <w:pStyle w:val="2"/>
        <w:shd w:val="clear" w:color="000000" w:fill="auto"/>
        <w:tabs>
          <w:tab w:val="left" w:pos="1620"/>
        </w:tabs>
        <w:adjustRightInd w:val="0"/>
        <w:snapToGrid w:val="0"/>
        <w:spacing w:line="360" w:lineRule="auto"/>
        <w:rPr>
          <w:rFonts w:ascii="仿宋" w:hAnsi="仿宋" w:eastAsia="仿宋" w:cs="仿宋"/>
          <w:b/>
          <w:bCs/>
          <w:color w:val="auto"/>
          <w:sz w:val="24"/>
          <w:szCs w:val="24"/>
          <w:highlight w:val="none"/>
          <w:u w:val="dotted"/>
        </w:rPr>
      </w:pPr>
      <w:r>
        <w:rPr>
          <w:color w:val="auto"/>
          <w:highlight w:val="none"/>
        </w:rPr>
        <mc:AlternateContent>
          <mc:Choice Requires="wps">
            <w:drawing>
              <wp:anchor distT="0" distB="0" distL="114300" distR="114300" simplePos="0" relativeHeight="251788288" behindDoc="0" locked="0" layoutInCell="1" allowOverlap="1">
                <wp:simplePos x="0" y="0"/>
                <wp:positionH relativeFrom="column">
                  <wp:posOffset>-114300</wp:posOffset>
                </wp:positionH>
                <wp:positionV relativeFrom="paragraph">
                  <wp:posOffset>265430</wp:posOffset>
                </wp:positionV>
                <wp:extent cx="914400" cy="555625"/>
                <wp:effectExtent l="0" t="0" r="0" b="0"/>
                <wp:wrapNone/>
                <wp:docPr id="127" name="文本框 128"/>
                <wp:cNvGraphicFramePr/>
                <a:graphic xmlns:a="http://schemas.openxmlformats.org/drawingml/2006/main">
                  <a:graphicData uri="http://schemas.microsoft.com/office/word/2010/wordprocessingShape">
                    <wps:wsp>
                      <wps:cNvSpPr txBox="1"/>
                      <wps:spPr>
                        <a:xfrm>
                          <a:off x="0" y="0"/>
                          <a:ext cx="914400" cy="55562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wps:txbx>
                      <wps:bodyPr upright="1"/>
                    </wps:wsp>
                  </a:graphicData>
                </a:graphic>
              </wp:anchor>
            </w:drawing>
          </mc:Choice>
          <mc:Fallback>
            <w:pict>
              <v:shape id="文本框 128" o:spid="_x0000_s1026" o:spt="202" type="#_x0000_t202" style="position:absolute;left:0pt;margin-left:-9pt;margin-top:20.9pt;height:43.75pt;width:72pt;z-index:251788288;mso-width-relative:page;mso-height-relative:page;" filled="f" stroked="f" coordsize="21600,21600" o:gfxdata="UEsDBAoAAAAAAIdO4kAAAAAAAAAAAAAAAAAEAAAAZHJzL1BLAwQUAAAACACHTuJA4Lm4CNc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OC5uAjX&#10;AAAACgEAAA8AAAAAAAAAAQAgAAAAIgAAAGRycy9kb3ducmV2LnhtbFBLAQIUABQAAAAIAIdO4kDa&#10;vzPorwEAAFEDAAAOAAAAAAAAAAEAIAAAACYBAABkcnMvZTJvRG9jLnhtbFBLBQYAAAAABgAGAFkB&#10;AABH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v:textbox>
              </v:shape>
            </w:pict>
          </mc:Fallback>
        </mc:AlternateContent>
      </w:r>
      <w:r>
        <w:rPr>
          <w:rFonts w:ascii="仿宋" w:hAnsi="仿宋" w:eastAsia="仿宋" w:cs="仿宋"/>
          <w:b/>
          <w:bCs/>
          <w:color w:val="auto"/>
          <w:sz w:val="24"/>
          <w:szCs w:val="24"/>
          <w:highlight w:val="none"/>
        </w:rPr>
        <w:t xml:space="preserve">33.3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除专用条款另有约定外，承包人应编制每月施工进度报告，同时每季度对进度计划修订一次，并在每月或季结束后的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天内向监理工程师提交上述报告和修订计划一式两份。月施工进度报告的内容至少应包括：</w:t>
      </w:r>
    </w:p>
    <w:p>
      <w:pPr>
        <w:pStyle w:val="2"/>
        <w:shd w:val="clear" w:color="000000" w:fill="auto"/>
        <w:adjustRightInd w:val="0"/>
        <w:snapToGrid w:val="0"/>
        <w:spacing w:line="360" w:lineRule="auto"/>
        <w:ind w:firstLine="1560" w:firstLineChars="65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）施工、安装、试验以及其他发包人工作等进展情况的图表和说明；</w:t>
      </w:r>
    </w:p>
    <w:p>
      <w:pPr>
        <w:pStyle w:val="2"/>
        <w:shd w:val="clear" w:color="000000" w:fill="auto"/>
        <w:adjustRightInd w:val="0"/>
        <w:snapToGrid w:val="0"/>
        <w:spacing w:line="360" w:lineRule="auto"/>
        <w:ind w:firstLine="1560" w:firstLineChars="65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）材料、设备、货物的采购和制造商名称、地点以及进入现场情况；</w:t>
      </w:r>
    </w:p>
    <w:p>
      <w:pPr>
        <w:pStyle w:val="2"/>
        <w:shd w:val="clear" w:color="000000" w:fill="auto"/>
        <w:adjustRightInd w:val="0"/>
        <w:snapToGrid w:val="0"/>
        <w:spacing w:line="360" w:lineRule="auto"/>
        <w:ind w:firstLine="1560" w:firstLineChars="65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）索赔情况和安全统计；</w:t>
      </w:r>
    </w:p>
    <w:p>
      <w:pPr>
        <w:pStyle w:val="2"/>
        <w:shd w:val="clear" w:color="000000" w:fill="auto"/>
        <w:adjustRightInd w:val="0"/>
        <w:snapToGrid w:val="0"/>
        <w:spacing w:line="360" w:lineRule="auto"/>
        <w:ind w:left="1558" w:leftChars="742"/>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）实际进度与计划进度的对比，以及为消除延误正在或准备采取的措施。</w:t>
      </w:r>
    </w:p>
    <w:p>
      <w:pPr>
        <w:pStyle w:val="2"/>
        <w:shd w:val="clear" w:color="000000" w:fill="auto"/>
        <w:tabs>
          <w:tab w:val="left" w:pos="1620"/>
        </w:tabs>
        <w:adjustRightInd w:val="0"/>
        <w:snapToGrid w:val="0"/>
        <w:spacing w:line="480" w:lineRule="auto"/>
        <w:rPr>
          <w:rFonts w:ascii="仿宋" w:hAnsi="仿宋" w:eastAsia="仿宋" w:cs="仿宋"/>
          <w:color w:val="auto"/>
          <w:sz w:val="24"/>
          <w:szCs w:val="24"/>
          <w:highlight w:val="none"/>
          <w:u w:val="dotted"/>
        </w:rPr>
      </w:pPr>
      <w:r>
        <w:rPr>
          <w:color w:val="auto"/>
          <w:highlight w:val="none"/>
        </w:rPr>
        <mc:AlternateContent>
          <mc:Choice Requires="wps">
            <w:drawing>
              <wp:anchor distT="0" distB="0" distL="114300" distR="114300" simplePos="0" relativeHeight="251789312" behindDoc="0" locked="0" layoutInCell="1" allowOverlap="1">
                <wp:simplePos x="0" y="0"/>
                <wp:positionH relativeFrom="column">
                  <wp:posOffset>-114300</wp:posOffset>
                </wp:positionH>
                <wp:positionV relativeFrom="paragraph">
                  <wp:posOffset>243840</wp:posOffset>
                </wp:positionV>
                <wp:extent cx="914400" cy="644525"/>
                <wp:effectExtent l="0" t="0" r="0" b="0"/>
                <wp:wrapNone/>
                <wp:docPr id="128" name="文本框 129"/>
                <wp:cNvGraphicFramePr/>
                <a:graphic xmlns:a="http://schemas.openxmlformats.org/drawingml/2006/main">
                  <a:graphicData uri="http://schemas.microsoft.com/office/word/2010/wordprocessingShape">
                    <wps:wsp>
                      <wps:cNvSpPr txBox="1"/>
                      <wps:spPr>
                        <a:xfrm>
                          <a:off x="0" y="0"/>
                          <a:ext cx="914400" cy="64452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wps:txbx>
                      <wps:bodyPr upright="1"/>
                    </wps:wsp>
                  </a:graphicData>
                </a:graphic>
              </wp:anchor>
            </w:drawing>
          </mc:Choice>
          <mc:Fallback>
            <w:pict>
              <v:shape id="文本框 129" o:spid="_x0000_s1026" o:spt="202" type="#_x0000_t202" style="position:absolute;left:0pt;margin-left:-9pt;margin-top:19.2pt;height:50.75pt;width:72pt;z-index:251789312;mso-width-relative:page;mso-height-relative:page;" filled="f" stroked="f" coordsize="21600,21600" o:gfxdata="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HppVDY&#10;AAAACgEAAA8AAAAAAAAAAQAgAAAAIgAAAGRycy9kb3ducmV2LnhtbFBLAQIUABQAAAAIAIdO4kCX&#10;igN1rgEAAFEDAAAOAAAAAAAAAAEAIAAAACcBAABkcnMvZTJvRG9jLnhtbFBLBQYAAAAABgAGAFkB&#10;AABH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v:textbox>
              </v:shape>
            </w:pict>
          </mc:Fallback>
        </mc:AlternateContent>
      </w:r>
      <w:r>
        <w:rPr>
          <w:rFonts w:ascii="仿宋" w:hAnsi="仿宋" w:eastAsia="仿宋" w:cs="仿宋"/>
          <w:b/>
          <w:bCs/>
          <w:color w:val="auto"/>
          <w:sz w:val="24"/>
          <w:szCs w:val="24"/>
          <w:highlight w:val="none"/>
        </w:rPr>
        <w:t xml:space="preserve">33.4  </w:t>
      </w:r>
      <w:r>
        <w:rPr>
          <w:rFonts w:ascii="仿宋" w:hAnsi="仿宋" w:eastAsia="仿宋" w:cs="仿宋"/>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监理工程师指出承包人的实际进度和经确认的计划进度不符时，承包人应按照监理工程师的要求提出改进措施，经监理工程师确认后执行。因承包人的原因导致实际进度迟于计划进度的，承包人不但无权就改进措施要求发包人支付任何附加费用，而且应按照第</w:t>
      </w:r>
      <w:r>
        <w:rPr>
          <w:rFonts w:ascii="仿宋" w:hAnsi="仿宋" w:eastAsia="仿宋" w:cs="仿宋"/>
          <w:color w:val="auto"/>
          <w:sz w:val="24"/>
          <w:szCs w:val="24"/>
          <w:highlight w:val="none"/>
        </w:rPr>
        <w:t>66.2</w:t>
      </w:r>
      <w:r>
        <w:rPr>
          <w:rFonts w:hint="eastAsia" w:ascii="仿宋" w:hAnsi="仿宋" w:eastAsia="仿宋" w:cs="仿宋"/>
          <w:color w:val="auto"/>
          <w:sz w:val="24"/>
          <w:szCs w:val="24"/>
          <w:highlight w:val="none"/>
        </w:rPr>
        <w:t>款规定向发包人支付由此产生的误期赔偿费。工程进度计划即使经监理工程师确认，也不能免除承包人按照合同约定应承担的任何责任和应履行的任何义务。</w:t>
      </w:r>
    </w:p>
    <w:p>
      <w:pPr>
        <w:pStyle w:val="2"/>
        <w:shd w:val="clear" w:color="000000" w:fill="auto"/>
        <w:adjustRightInd w:val="0"/>
        <w:snapToGrid w:val="0"/>
        <w:spacing w:line="360" w:lineRule="auto"/>
        <w:ind w:right="-238"/>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u w:val="single"/>
        </w:rPr>
        <w:t xml:space="preserve">                                                                                                                                                       </w:t>
      </w:r>
    </w:p>
    <w:p>
      <w:pPr>
        <w:pStyle w:val="2"/>
        <w:shd w:val="clear" w:color="000000" w:fill="auto"/>
        <w:adjustRightInd w:val="0"/>
        <w:snapToGrid w:val="0"/>
        <w:spacing w:line="360" w:lineRule="auto"/>
        <w:ind w:right="-238"/>
        <w:outlineLvl w:val="2"/>
        <w:rPr>
          <w:rFonts w:ascii="仿宋" w:hAnsi="仿宋" w:eastAsia="仿宋" w:cs="Times New Roman"/>
          <w:b/>
          <w:bCs/>
          <w:color w:val="auto"/>
          <w:sz w:val="24"/>
          <w:szCs w:val="24"/>
          <w:highlight w:val="none"/>
        </w:rPr>
      </w:pPr>
      <w:bookmarkStart w:id="223" w:name="_Toc469384016"/>
      <w:bookmarkStart w:id="224" w:name="_Toc15414"/>
      <w:bookmarkStart w:id="225" w:name="_Toc10624856"/>
      <w:r>
        <w:rPr>
          <w:rFonts w:ascii="仿宋" w:hAnsi="仿宋" w:eastAsia="仿宋" w:cs="仿宋"/>
          <w:b/>
          <w:bCs/>
          <w:color w:val="auto"/>
          <w:sz w:val="24"/>
          <w:szCs w:val="24"/>
          <w:highlight w:val="none"/>
        </w:rPr>
        <w:t xml:space="preserve">34  </w:t>
      </w:r>
      <w:r>
        <w:rPr>
          <w:rFonts w:hint="eastAsia" w:ascii="仿宋" w:hAnsi="仿宋" w:eastAsia="仿宋" w:cs="仿宋"/>
          <w:b/>
          <w:bCs/>
          <w:color w:val="auto"/>
          <w:sz w:val="24"/>
          <w:szCs w:val="24"/>
          <w:highlight w:val="none"/>
        </w:rPr>
        <w:t>开工</w:t>
      </w:r>
      <w:bookmarkEnd w:id="223"/>
      <w:bookmarkEnd w:id="224"/>
      <w:bookmarkEnd w:id="225"/>
    </w:p>
    <w:p>
      <w:pPr>
        <w:pStyle w:val="2"/>
        <w:shd w:val="clear" w:color="000000" w:fill="auto"/>
        <w:tabs>
          <w:tab w:val="left" w:pos="1320"/>
        </w:tabs>
        <w:adjustRightInd w:val="0"/>
        <w:snapToGrid w:val="0"/>
        <w:spacing w:line="360" w:lineRule="auto"/>
        <w:ind w:right="3"/>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90336" behindDoc="0" locked="0" layoutInCell="1" allowOverlap="1">
                <wp:simplePos x="0" y="0"/>
                <wp:positionH relativeFrom="column">
                  <wp:posOffset>-114300</wp:posOffset>
                </wp:positionH>
                <wp:positionV relativeFrom="paragraph">
                  <wp:posOffset>247015</wp:posOffset>
                </wp:positionV>
                <wp:extent cx="800100" cy="310515"/>
                <wp:effectExtent l="0" t="0" r="0" b="0"/>
                <wp:wrapNone/>
                <wp:docPr id="129" name="文本框 130"/>
                <wp:cNvGraphicFramePr/>
                <a:graphic xmlns:a="http://schemas.openxmlformats.org/drawingml/2006/main">
                  <a:graphicData uri="http://schemas.microsoft.com/office/word/2010/wordprocessingShape">
                    <wps:wsp>
                      <wps:cNvSpPr txBox="1"/>
                      <wps:spPr>
                        <a:xfrm>
                          <a:off x="0" y="0"/>
                          <a:ext cx="800100" cy="31051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开工条件</w:t>
                            </w:r>
                          </w:p>
                        </w:txbxContent>
                      </wps:txbx>
                      <wps:bodyPr upright="1"/>
                    </wps:wsp>
                  </a:graphicData>
                </a:graphic>
              </wp:anchor>
            </w:drawing>
          </mc:Choice>
          <mc:Fallback>
            <w:pict>
              <v:shape id="文本框 130" o:spid="_x0000_s1026" o:spt="202" type="#_x0000_t202" style="position:absolute;left:0pt;margin-left:-9pt;margin-top:19.45pt;height:24.45pt;width:63pt;z-index:251790336;mso-width-relative:page;mso-height-relative:page;" filled="f" stroked="f" coordsize="21600,21600" o:gfxdata="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h+JWA1QAAAAkB&#10;AAAPAAAAAAAAAAEAIAAAACIAAABkcnMvZG93bnJldi54bWxQSwECFAAUAAAACACHTuJAJ7DIX6wB&#10;AABRAwAADgAAAAAAAAABACAAAAAkAQAAZHJzL2Uyb0RvYy54bWxQSwUGAAAAAAYABgBZAQAAQgUA&#10;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开工条件</w:t>
                      </w:r>
                    </w:p>
                  </w:txbxContent>
                </v:textbox>
              </v:shape>
            </w:pict>
          </mc:Fallback>
        </mc:AlternateContent>
      </w:r>
      <w:r>
        <w:rPr>
          <w:rFonts w:ascii="仿宋" w:hAnsi="仿宋" w:eastAsia="仿宋" w:cs="仿宋"/>
          <w:b/>
          <w:bCs/>
          <w:color w:val="auto"/>
          <w:sz w:val="24"/>
          <w:szCs w:val="24"/>
          <w:highlight w:val="none"/>
        </w:rPr>
        <w:t xml:space="preserve">34.1    </w:t>
      </w:r>
    </w:p>
    <w:p>
      <w:pPr>
        <w:pStyle w:val="2"/>
        <w:shd w:val="clear" w:color="000000" w:fill="auto"/>
        <w:adjustRightInd w:val="0"/>
        <w:snapToGrid w:val="0"/>
        <w:spacing w:line="360" w:lineRule="auto"/>
        <w:ind w:left="1619" w:leftChars="771" w:right="6"/>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工程开工必须具备法律规定的开工条件，并已经领取了施工许可证。</w:t>
      </w:r>
    </w:p>
    <w:p>
      <w:pPr>
        <w:pStyle w:val="2"/>
        <w:shd w:val="clear" w:color="000000" w:fill="auto"/>
        <w:tabs>
          <w:tab w:val="left" w:pos="1320"/>
        </w:tabs>
        <w:adjustRightInd w:val="0"/>
        <w:snapToGrid w:val="0"/>
        <w:spacing w:line="360" w:lineRule="auto"/>
        <w:ind w:right="3"/>
        <w:rPr>
          <w:rFonts w:ascii="仿宋" w:hAnsi="仿宋" w:eastAsia="仿宋" w:cs="仿宋"/>
          <w:b/>
          <w:bCs/>
          <w:color w:val="auto"/>
          <w:sz w:val="24"/>
          <w:szCs w:val="24"/>
          <w:highlight w:val="none"/>
          <w:u w:val="dotted"/>
        </w:rPr>
      </w:pPr>
      <w:r>
        <w:rPr>
          <w:color w:val="auto"/>
          <w:highlight w:val="none"/>
        </w:rPr>
        <mc:AlternateContent>
          <mc:Choice Requires="wps">
            <w:drawing>
              <wp:anchor distT="0" distB="0" distL="114300" distR="114300" simplePos="0" relativeHeight="251791360" behindDoc="0" locked="0" layoutInCell="1" allowOverlap="1">
                <wp:simplePos x="0" y="0"/>
                <wp:positionH relativeFrom="column">
                  <wp:posOffset>-114300</wp:posOffset>
                </wp:positionH>
                <wp:positionV relativeFrom="paragraph">
                  <wp:posOffset>242570</wp:posOffset>
                </wp:positionV>
                <wp:extent cx="800100" cy="297180"/>
                <wp:effectExtent l="0" t="0" r="0" b="0"/>
                <wp:wrapNone/>
                <wp:docPr id="130" name="文本框 131"/>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工程开工</w:t>
                            </w:r>
                          </w:p>
                        </w:txbxContent>
                      </wps:txbx>
                      <wps:bodyPr upright="1"/>
                    </wps:wsp>
                  </a:graphicData>
                </a:graphic>
              </wp:anchor>
            </w:drawing>
          </mc:Choice>
          <mc:Fallback>
            <w:pict>
              <v:shape id="文本框 131" o:spid="_x0000_s1026" o:spt="202" type="#_x0000_t202" style="position:absolute;left:0pt;margin-left:-9pt;margin-top:19.1pt;height:23.4pt;width:63pt;z-index:251791360;mso-width-relative:page;mso-height-relative:page;" filled="f" stroked="f" coordsize="21600,21600" o:gfxdata="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hZulfWAAAA&#10;CQEAAA8AAAAAAAAAAQAgAAAAIgAAAGRycy9kb3ducmV2LnhtbFBLAQIUABQAAAAIAIdO4kDQJ/LM&#10;rQEAAFEDAAAOAAAAAAAAAAEAIAAAACUBAABkcnMvZTJvRG9jLnhtbFBLBQYAAAAABgAGAFkBAABE&#10;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工程开工</w:t>
                      </w:r>
                    </w:p>
                  </w:txbxContent>
                </v:textbox>
              </v:shape>
            </w:pict>
          </mc:Fallback>
        </mc:AlternateContent>
      </w:r>
      <w:r>
        <w:rPr>
          <w:rFonts w:ascii="仿宋" w:hAnsi="仿宋" w:eastAsia="仿宋" w:cs="仿宋"/>
          <w:b/>
          <w:bCs/>
          <w:color w:val="auto"/>
          <w:sz w:val="24"/>
          <w:szCs w:val="24"/>
          <w:highlight w:val="none"/>
        </w:rPr>
        <w:t xml:space="preserve">34.2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ight="3"/>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承包人应在签订本合同后的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天内，向监理工程师提交开工申请书，并附上表明已做好开工准备的有关资料。除专用条款另有约定外，监理工程师应在本合同签订后的</w:t>
      </w:r>
      <w:r>
        <w:rPr>
          <w:rFonts w:ascii="仿宋" w:hAnsi="仿宋" w:eastAsia="仿宋" w:cs="仿宋"/>
          <w:color w:val="auto"/>
          <w:sz w:val="24"/>
          <w:szCs w:val="24"/>
          <w:highlight w:val="none"/>
        </w:rPr>
        <w:t>42</w:t>
      </w:r>
      <w:r>
        <w:rPr>
          <w:rFonts w:hint="eastAsia" w:ascii="仿宋" w:hAnsi="仿宋" w:eastAsia="仿宋" w:cs="仿宋"/>
          <w:color w:val="auto"/>
          <w:sz w:val="24"/>
          <w:szCs w:val="24"/>
          <w:highlight w:val="none"/>
        </w:rPr>
        <w:t>天内报发包人批准后向承包人发出开工令；承包人应在接到开工令后的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天内开工，并一直保持合同工程连续均衡施工，直至其被改变为止。</w:t>
      </w:r>
    </w:p>
    <w:p>
      <w:pPr>
        <w:pStyle w:val="2"/>
        <w:shd w:val="clear" w:color="000000" w:fill="auto"/>
        <w:tabs>
          <w:tab w:val="left" w:pos="1320"/>
        </w:tabs>
        <w:adjustRightInd w:val="0"/>
        <w:snapToGrid w:val="0"/>
        <w:spacing w:line="360" w:lineRule="auto"/>
        <w:ind w:right="3"/>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92384" behindDoc="0" locked="0" layoutInCell="1" allowOverlap="1">
                <wp:simplePos x="0" y="0"/>
                <wp:positionH relativeFrom="column">
                  <wp:posOffset>-114300</wp:posOffset>
                </wp:positionH>
                <wp:positionV relativeFrom="paragraph">
                  <wp:posOffset>269875</wp:posOffset>
                </wp:positionV>
                <wp:extent cx="914400" cy="594360"/>
                <wp:effectExtent l="0" t="0" r="0" b="0"/>
                <wp:wrapNone/>
                <wp:docPr id="131" name="文本框 132"/>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wps:txbx>
                      <wps:bodyPr upright="1"/>
                    </wps:wsp>
                  </a:graphicData>
                </a:graphic>
              </wp:anchor>
            </w:drawing>
          </mc:Choice>
          <mc:Fallback>
            <w:pict>
              <v:shape id="文本框 132" o:spid="_x0000_s1026" o:spt="202" type="#_x0000_t202" style="position:absolute;left:0pt;margin-left:-9pt;margin-top:21.25pt;height:46.8pt;width:72pt;z-index:251792384;mso-width-relative:page;mso-height-relative:page;" filled="f" stroked="f" coordsize="21600,21600" o:gfxdata="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F6Ck&#10;4NgAAAAKAQAADwAAAAAAAAABACAAAAAiAAAAZHJzL2Rvd25yZXYueG1sUEsBAhQAFAAAAAgAh07i&#10;QD5Be4awAQAAUQMAAA4AAAAAAAAAAQAgAAAAJwEAAGRycy9lMm9Eb2MueG1sUEsFBgAAAAAGAAYA&#10;WQEAAEk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v:textbox>
              </v:shape>
            </w:pict>
          </mc:Fallback>
        </mc:AlternateContent>
      </w:r>
      <w:r>
        <w:rPr>
          <w:rFonts w:ascii="仿宋" w:hAnsi="仿宋" w:eastAsia="仿宋" w:cs="仿宋"/>
          <w:b/>
          <w:bCs/>
          <w:color w:val="auto"/>
          <w:sz w:val="24"/>
          <w:szCs w:val="24"/>
          <w:highlight w:val="none"/>
        </w:rPr>
        <w:t xml:space="preserve">34.3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ight="3"/>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承包人未能按照时开工，应在接到开工令后立即以书面形式向监理工程师提出延期开工的要求并说明理由。监理工程师应当在接到延期开工申请后的</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小时内书面予以答复，否则视为同意。由此造成的损失和延误的工期由承包人承担</w:t>
      </w:r>
      <w:r>
        <w:rPr>
          <w:rFonts w:ascii="仿宋" w:hAnsi="仿宋" w:eastAsia="仿宋" w:cs="仿宋"/>
          <w:color w:val="auto"/>
          <w:sz w:val="24"/>
          <w:szCs w:val="24"/>
          <w:highlight w:val="none"/>
        </w:rPr>
        <w:t>.</w:t>
      </w:r>
    </w:p>
    <w:p>
      <w:pPr>
        <w:pStyle w:val="2"/>
        <w:shd w:val="clear" w:color="000000" w:fill="auto"/>
        <w:tabs>
          <w:tab w:val="left" w:pos="1320"/>
        </w:tabs>
        <w:adjustRightInd w:val="0"/>
        <w:snapToGrid w:val="0"/>
        <w:spacing w:line="360" w:lineRule="auto"/>
        <w:ind w:right="3"/>
        <w:rPr>
          <w:rFonts w:ascii="仿宋" w:hAnsi="仿宋" w:eastAsia="仿宋" w:cs="仿宋"/>
          <w:color w:val="auto"/>
          <w:sz w:val="24"/>
          <w:szCs w:val="24"/>
          <w:highlight w:val="none"/>
          <w:u w:val="dotted"/>
        </w:rPr>
      </w:pPr>
      <w:r>
        <w:rPr>
          <w:color w:val="auto"/>
          <w:highlight w:val="none"/>
        </w:rPr>
        <mc:AlternateContent>
          <mc:Choice Requires="wps">
            <w:drawing>
              <wp:anchor distT="0" distB="0" distL="114300" distR="114300" simplePos="0" relativeHeight="251793408" behindDoc="0" locked="0" layoutInCell="1" allowOverlap="1">
                <wp:simplePos x="0" y="0"/>
                <wp:positionH relativeFrom="column">
                  <wp:posOffset>-114300</wp:posOffset>
                </wp:positionH>
                <wp:positionV relativeFrom="paragraph">
                  <wp:posOffset>237490</wp:posOffset>
                </wp:positionV>
                <wp:extent cx="914400" cy="568325"/>
                <wp:effectExtent l="0" t="0" r="0" b="0"/>
                <wp:wrapNone/>
                <wp:docPr id="132" name="文本框 133"/>
                <wp:cNvGraphicFramePr/>
                <a:graphic xmlns:a="http://schemas.openxmlformats.org/drawingml/2006/main">
                  <a:graphicData uri="http://schemas.microsoft.com/office/word/2010/wordprocessingShape">
                    <wps:wsp>
                      <wps:cNvSpPr txBox="1"/>
                      <wps:spPr>
                        <a:xfrm>
                          <a:off x="0" y="0"/>
                          <a:ext cx="914400" cy="56832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发包人推迟开工的处理程序和责任</w:t>
                            </w:r>
                          </w:p>
                        </w:txbxContent>
                      </wps:txbx>
                      <wps:bodyPr upright="1"/>
                    </wps:wsp>
                  </a:graphicData>
                </a:graphic>
              </wp:anchor>
            </w:drawing>
          </mc:Choice>
          <mc:Fallback>
            <w:pict>
              <v:shape id="文本框 133" o:spid="_x0000_s1026" o:spt="202" type="#_x0000_t202" style="position:absolute;left:0pt;margin-left:-9pt;margin-top:18.7pt;height:44.75pt;width:72pt;z-index:251793408;mso-width-relative:page;mso-height-relative:page;" filled="f" stroked="f" coordsize="21600,21600" o:gfxdata="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Qd2RLX&#10;AAAACgEAAA8AAAAAAAAAAQAgAAAAIgAAAGRycy9kb3ducmV2LnhtbFBLAQIUABQAAAAIAIdO4kCK&#10;cS5IrwEAAFEDAAAOAAAAAAAAAAEAIAAAACYBAABkcnMvZTJvRG9jLnhtbFBLBQYAAAAABgAGAFkB&#10;AABH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发包人推迟开工的处理程序和责任</w:t>
                      </w:r>
                    </w:p>
                  </w:txbxContent>
                </v:textbox>
              </v:shape>
            </w:pict>
          </mc:Fallback>
        </mc:AlternateContent>
      </w:r>
      <w:r>
        <w:rPr>
          <w:rFonts w:ascii="仿宋" w:hAnsi="仿宋" w:eastAsia="仿宋" w:cs="仿宋"/>
          <w:color w:val="auto"/>
          <w:sz w:val="24"/>
          <w:szCs w:val="24"/>
          <w:highlight w:val="none"/>
        </w:rPr>
        <w:t xml:space="preserve">34.4  </w:t>
      </w:r>
      <w:r>
        <w:rPr>
          <w:rFonts w:ascii="仿宋" w:hAnsi="仿宋" w:eastAsia="仿宋" w:cs="仿宋"/>
          <w:color w:val="auto"/>
          <w:sz w:val="24"/>
          <w:szCs w:val="24"/>
          <w:highlight w:val="none"/>
          <w:u w:val="dotted"/>
        </w:rPr>
        <w:t xml:space="preserve">                                                                                                        </w:t>
      </w:r>
    </w:p>
    <w:p>
      <w:pPr>
        <w:pStyle w:val="2"/>
        <w:shd w:val="clear" w:color="000000" w:fill="auto"/>
        <w:adjustRightInd w:val="0"/>
        <w:snapToGrid w:val="0"/>
        <w:spacing w:line="360" w:lineRule="auto"/>
        <w:ind w:left="1619" w:leftChars="771" w:right="3"/>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因发包人的原因不能在第</w:t>
      </w:r>
      <w:r>
        <w:rPr>
          <w:rFonts w:ascii="仿宋" w:hAnsi="仿宋" w:eastAsia="仿宋" w:cs="仿宋"/>
          <w:color w:val="auto"/>
          <w:sz w:val="24"/>
          <w:szCs w:val="24"/>
          <w:highlight w:val="none"/>
        </w:rPr>
        <w:t>34.2</w:t>
      </w:r>
      <w:r>
        <w:rPr>
          <w:rFonts w:hint="eastAsia" w:ascii="仿宋" w:hAnsi="仿宋" w:eastAsia="仿宋" w:cs="仿宋"/>
          <w:color w:val="auto"/>
          <w:sz w:val="24"/>
          <w:szCs w:val="24"/>
          <w:highlight w:val="none"/>
        </w:rPr>
        <w:t>款规定的时间内发出开工令的，监理工程师应至少提前</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天以书面形式通知承包人推迟开工。由此造成的损失由发包人承担，开工日期相应顺延。监理工程师未能提前</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天通知承包人推迟开工的，由此造成损失的扩大由发包人承担。</w:t>
      </w:r>
    </w:p>
    <w:p>
      <w:pPr>
        <w:pStyle w:val="2"/>
        <w:shd w:val="clear" w:color="000000" w:fill="auto"/>
        <w:adjustRightInd w:val="0"/>
        <w:snapToGrid w:val="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adjustRightInd w:val="0"/>
        <w:snapToGrid w:val="0"/>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      </w:t>
      </w:r>
    </w:p>
    <w:p>
      <w:pPr>
        <w:pStyle w:val="2"/>
        <w:shd w:val="clear" w:color="000000" w:fill="auto"/>
        <w:adjustRightInd w:val="0"/>
        <w:snapToGrid w:val="0"/>
        <w:outlineLvl w:val="2"/>
        <w:rPr>
          <w:rFonts w:ascii="仿宋" w:hAnsi="仿宋" w:eastAsia="仿宋" w:cs="Times New Roman"/>
          <w:b/>
          <w:bCs/>
          <w:color w:val="auto"/>
          <w:sz w:val="24"/>
          <w:szCs w:val="24"/>
          <w:highlight w:val="none"/>
        </w:rPr>
      </w:pPr>
      <w:bookmarkStart w:id="226" w:name="_Toc10624857"/>
      <w:bookmarkStart w:id="227" w:name="_Toc19687"/>
      <w:bookmarkStart w:id="228" w:name="_Toc469384017"/>
      <w:r>
        <w:rPr>
          <w:rFonts w:ascii="仿宋" w:hAnsi="仿宋" w:eastAsia="仿宋" w:cs="仿宋"/>
          <w:b/>
          <w:bCs/>
          <w:color w:val="auto"/>
          <w:sz w:val="24"/>
          <w:szCs w:val="24"/>
          <w:highlight w:val="none"/>
        </w:rPr>
        <w:t xml:space="preserve">35  </w:t>
      </w:r>
      <w:r>
        <w:rPr>
          <w:rFonts w:hint="eastAsia" w:ascii="仿宋" w:hAnsi="仿宋" w:eastAsia="仿宋" w:cs="仿宋"/>
          <w:b/>
          <w:bCs/>
          <w:color w:val="auto"/>
          <w:sz w:val="24"/>
          <w:szCs w:val="24"/>
          <w:highlight w:val="none"/>
        </w:rPr>
        <w:t>暂停施工和复工</w:t>
      </w:r>
      <w:bookmarkEnd w:id="226"/>
      <w:bookmarkEnd w:id="227"/>
      <w:bookmarkEnd w:id="228"/>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94432" behindDoc="0" locked="0" layoutInCell="1" allowOverlap="1">
                <wp:simplePos x="0" y="0"/>
                <wp:positionH relativeFrom="column">
                  <wp:posOffset>-114300</wp:posOffset>
                </wp:positionH>
                <wp:positionV relativeFrom="paragraph">
                  <wp:posOffset>261620</wp:posOffset>
                </wp:positionV>
                <wp:extent cx="914400" cy="497205"/>
                <wp:effectExtent l="0" t="0" r="0" b="0"/>
                <wp:wrapNone/>
                <wp:docPr id="133" name="文本框 134"/>
                <wp:cNvGraphicFramePr/>
                <a:graphic xmlns:a="http://schemas.openxmlformats.org/drawingml/2006/main">
                  <a:graphicData uri="http://schemas.microsoft.com/office/word/2010/wordprocessingShape">
                    <wps:wsp>
                      <wps:cNvSpPr txBox="1"/>
                      <wps:spPr>
                        <a:xfrm>
                          <a:off x="0" y="0"/>
                          <a:ext cx="914400" cy="49720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暂停施工的指令</w:t>
                            </w:r>
                          </w:p>
                        </w:txbxContent>
                      </wps:txbx>
                      <wps:bodyPr upright="1"/>
                    </wps:wsp>
                  </a:graphicData>
                </a:graphic>
              </wp:anchor>
            </w:drawing>
          </mc:Choice>
          <mc:Fallback>
            <w:pict>
              <v:shape id="文本框 134" o:spid="_x0000_s1026" o:spt="202" type="#_x0000_t202" style="position:absolute;left:0pt;margin-left:-9pt;margin-top:20.6pt;height:39.15pt;width:72pt;z-index:251794432;mso-width-relative:page;mso-height-relative:page;" filled="f" stroked="f" coordsize="21600,21600" o:gfxdata="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G1TejX&#10;AAAACgEAAA8AAAAAAAAAAQAgAAAAIgAAAGRycy9kb3ducmV2LnhtbFBLAQIUABQAAAAIAIdO4kCd&#10;iNhsrwEAAFEDAAAOAAAAAAAAAAEAIAAAACYBAABkcnMvZTJvRG9jLnhtbFBLBQYAAAAABgAGAFkB&#10;AABH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暂停施工的指令</w:t>
                      </w:r>
                    </w:p>
                  </w:txbxContent>
                </v:textbox>
              </v:shape>
            </w:pict>
          </mc:Fallback>
        </mc:AlternateContent>
      </w:r>
      <w:r>
        <w:rPr>
          <w:rFonts w:ascii="仿宋" w:hAnsi="仿宋" w:eastAsia="仿宋" w:cs="仿宋"/>
          <w:b/>
          <w:bCs/>
          <w:color w:val="auto"/>
          <w:sz w:val="24"/>
          <w:szCs w:val="24"/>
          <w:highlight w:val="none"/>
        </w:rPr>
        <w:t xml:space="preserve">35.1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监理工程师认为有必要时，可向承包人发出暂停施工令，并在</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小时内提出处理意见，承包人应按照监理工程师的指令停止施工。不论任何原因造成的暂停施工，暂停施工期间承包人应妥善保护已完工程并提供安全保障。</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因发包人的原因引起暂停施工的合同工程发生紧急情况，且监理工程师又未及时发出暂停施工令时，承包人可先暂停施工，并及时向监理工程师提出暂停施工报告。监理工程师应在收到暂停施工报告后的</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小时内予以答复；逾期未答复的，视为承包人的暂停施工报告被认可。</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35.2</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95456" behindDoc="0" locked="0" layoutInCell="1" allowOverlap="1">
                <wp:simplePos x="0" y="0"/>
                <wp:positionH relativeFrom="column">
                  <wp:posOffset>-114300</wp:posOffset>
                </wp:positionH>
                <wp:positionV relativeFrom="paragraph">
                  <wp:posOffset>20320</wp:posOffset>
                </wp:positionV>
                <wp:extent cx="914400" cy="497205"/>
                <wp:effectExtent l="0" t="0" r="0" b="0"/>
                <wp:wrapNone/>
                <wp:docPr id="134" name="文本框 135"/>
                <wp:cNvGraphicFramePr/>
                <a:graphic xmlns:a="http://schemas.openxmlformats.org/drawingml/2006/main">
                  <a:graphicData uri="http://schemas.microsoft.com/office/word/2010/wordprocessingShape">
                    <wps:wsp>
                      <wps:cNvSpPr txBox="1"/>
                      <wps:spPr>
                        <a:xfrm>
                          <a:off x="0" y="0"/>
                          <a:ext cx="914400" cy="49720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复工的要求</w:t>
                            </w:r>
                          </w:p>
                        </w:txbxContent>
                      </wps:txbx>
                      <wps:bodyPr upright="1"/>
                    </wps:wsp>
                  </a:graphicData>
                </a:graphic>
              </wp:anchor>
            </w:drawing>
          </mc:Choice>
          <mc:Fallback>
            <w:pict>
              <v:shape id="文本框 135" o:spid="_x0000_s1026" o:spt="202" type="#_x0000_t202" style="position:absolute;left:0pt;margin-left:-9pt;margin-top:1.6pt;height:39.15pt;width:72pt;z-index:251795456;mso-width-relative:page;mso-height-relative:page;" filled="f" stroked="f" coordsize="21600,21600" o:gfxdata="UEsDBAoAAAAAAIdO4kAAAAAAAAAAAAAAAAAEAAAAZHJzL1BLAwQUAAAACACHTuJAsTc8t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xNzy01QAA&#10;AAgBAAAPAAAAAAAAAAEAIAAAACIAAABkcnMvZG93bnJldi54bWxQSwECFAAUAAAACACHTuJAk7TH&#10;mq8BAABRAwAADgAAAAAAAAABACAAAAAkAQAAZHJzL2Uyb0RvYy54bWxQSwUGAAAAAAYABgBZAQAA&#10;R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复工的要求</w:t>
                      </w:r>
                    </w:p>
                  </w:txbxContent>
                </v:textbox>
              </v:shape>
            </w:pict>
          </mc:Fallback>
        </mc:AlternateContent>
      </w:r>
      <w:r>
        <w:rPr>
          <w:rFonts w:hint="eastAsia" w:ascii="仿宋" w:hAnsi="仿宋" w:eastAsia="仿宋" w:cs="仿宋"/>
          <w:color w:val="auto"/>
          <w:sz w:val="24"/>
          <w:szCs w:val="24"/>
          <w:highlight w:val="none"/>
        </w:rPr>
        <w:t>承包人实施监理工程师的处理意见后，可向监理工程师提交复工报审表要求复工；监理工程师应在收到复工报审表后的</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小时内予以答复。具备复工条件时，监理工程师应立即向承包人发出复工令，承包人应立即组织复工。监理工程师在收到复工报审表后的</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小时内未答复也未提出处理意见的，承包人可自行复工，监理工程师应予认可。</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承包人无故拖延或拒绝复工的，由此增加的费用和（或）延误的工期由承包人承担；因发包人的原因无法按时复工的，承包人有权要求发包人增加发生的费用和（或）顺延工期，并支付合理利润。</w:t>
      </w:r>
    </w:p>
    <w:p>
      <w:pPr>
        <w:pStyle w:val="2"/>
        <w:shd w:val="clear" w:color="000000" w:fill="auto"/>
        <w:adjustRightInd w:val="0"/>
        <w:snapToGrid w:val="0"/>
        <w:spacing w:line="360" w:lineRule="auto"/>
        <w:rPr>
          <w:rFonts w:ascii="仿宋" w:hAnsi="仿宋" w:eastAsia="仿宋" w:cs="仿宋"/>
          <w:b/>
          <w:bCs/>
          <w:color w:val="auto"/>
          <w:sz w:val="24"/>
          <w:szCs w:val="24"/>
          <w:highlight w:val="none"/>
          <w:u w:val="dotted"/>
        </w:rPr>
      </w:pPr>
      <w:r>
        <w:rPr>
          <w:color w:val="auto"/>
          <w:highlight w:val="none"/>
        </w:rPr>
        <mc:AlternateContent>
          <mc:Choice Requires="wps">
            <w:drawing>
              <wp:anchor distT="0" distB="0" distL="114300" distR="114300" simplePos="0" relativeHeight="251796480" behindDoc="0" locked="0" layoutInCell="1" allowOverlap="1">
                <wp:simplePos x="0" y="0"/>
                <wp:positionH relativeFrom="column">
                  <wp:posOffset>-114300</wp:posOffset>
                </wp:positionH>
                <wp:positionV relativeFrom="paragraph">
                  <wp:posOffset>244475</wp:posOffset>
                </wp:positionV>
                <wp:extent cx="914400" cy="792480"/>
                <wp:effectExtent l="0" t="0" r="0" b="0"/>
                <wp:wrapNone/>
                <wp:docPr id="135" name="文本框 136"/>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wps:txbx>
                      <wps:bodyPr upright="1"/>
                    </wps:wsp>
                  </a:graphicData>
                </a:graphic>
              </wp:anchor>
            </w:drawing>
          </mc:Choice>
          <mc:Fallback>
            <w:pict>
              <v:shape id="文本框 136" o:spid="_x0000_s1026" o:spt="202" type="#_x0000_t202" style="position:absolute;left:0pt;margin-left:-9pt;margin-top:19.25pt;height:62.4pt;width:72pt;z-index:251796480;mso-width-relative:page;mso-height-relative:page;" filled="f" stroked="f" coordsize="21600,21600" o:gfxdata="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RwnZ3&#10;1wAAAAoBAAAPAAAAAAAAAAEAIAAAACIAAABkcnMvZG93bnJldi54bWxQSwECFAAUAAAACACHTuJA&#10;4yrQO7ABAABRAwAADgAAAAAAAAABACAAAAAmAQAAZHJzL2Uyb0RvYy54bWxQSwUGAAAAAAYABgBZ&#10;AQAASAUAAAAA&#10;">
                <v:fill on="f" focussize="0,0"/>
                <v:stroke on="f"/>
                <v:imagedata o:title=""/>
                <o:lock v:ext="edit" aspectratio="f"/>
                <v:textbo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v:textbox>
              </v:shape>
            </w:pict>
          </mc:Fallback>
        </mc:AlternateContent>
      </w:r>
      <w:r>
        <w:rPr>
          <w:rFonts w:ascii="仿宋" w:hAnsi="仿宋" w:eastAsia="仿宋" w:cs="仿宋"/>
          <w:b/>
          <w:bCs/>
          <w:color w:val="auto"/>
          <w:sz w:val="24"/>
          <w:szCs w:val="24"/>
          <w:highlight w:val="none"/>
        </w:rPr>
        <w:t xml:space="preserve">35.3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非承包人的原因造成暂停施工持续</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天以上时，承包人可向监理工程师提交复工报审表要求复工；监理工程师应在收到复工报审表后的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天内准许复工。如果在上述期限内监理工程师未予准许，则承包人可以作如下选择：</w:t>
      </w:r>
    </w:p>
    <w:p>
      <w:pPr>
        <w:pStyle w:val="2"/>
        <w:numPr>
          <w:ilvl w:val="0"/>
          <w:numId w:val="13"/>
        </w:numPr>
        <w:shd w:val="clear" w:color="000000" w:fill="auto"/>
        <w:tabs>
          <w:tab w:val="left" w:pos="1080"/>
        </w:tabs>
        <w:adjustRightInd w:val="0"/>
        <w:snapToGrid w:val="0"/>
        <w:spacing w:line="360" w:lineRule="auto"/>
        <w:ind w:left="1618" w:leftChars="770" w:hanging="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如果此项停工仅影响合同工程的一部分时，则根据第</w:t>
      </w:r>
      <w:r>
        <w:rPr>
          <w:rFonts w:ascii="仿宋" w:hAnsi="仿宋" w:eastAsia="仿宋" w:cs="仿宋"/>
          <w:color w:val="auto"/>
          <w:sz w:val="24"/>
          <w:szCs w:val="24"/>
          <w:highlight w:val="none"/>
        </w:rPr>
        <w:t>56.2</w:t>
      </w:r>
      <w:r>
        <w:rPr>
          <w:rFonts w:hint="eastAsia" w:ascii="仿宋" w:hAnsi="仿宋" w:eastAsia="仿宋" w:cs="仿宋"/>
          <w:color w:val="auto"/>
          <w:sz w:val="24"/>
          <w:szCs w:val="24"/>
          <w:highlight w:val="none"/>
        </w:rPr>
        <w:t>款规定及时提出工程变更，取消该部分工程，并书面通知发包人，抄送监理工程师和造价工程师；</w:t>
      </w:r>
    </w:p>
    <w:p>
      <w:pPr>
        <w:pStyle w:val="2"/>
        <w:numPr>
          <w:ilvl w:val="0"/>
          <w:numId w:val="13"/>
        </w:numPr>
        <w:shd w:val="clear" w:color="000000" w:fill="auto"/>
        <w:tabs>
          <w:tab w:val="left" w:pos="1080"/>
        </w:tabs>
        <w:adjustRightInd w:val="0"/>
        <w:snapToGrid w:val="0"/>
        <w:spacing w:line="360" w:lineRule="auto"/>
        <w:ind w:left="2159" w:leftChars="771" w:hanging="540" w:hangingChars="22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如果此项停工影响整个合同工程时，则根据第</w:t>
      </w:r>
      <w:r>
        <w:rPr>
          <w:rFonts w:ascii="仿宋" w:hAnsi="仿宋" w:eastAsia="仿宋" w:cs="仿宋"/>
          <w:color w:val="auto"/>
          <w:sz w:val="24"/>
          <w:szCs w:val="24"/>
          <w:highlight w:val="none"/>
        </w:rPr>
        <w:t>87.4</w:t>
      </w:r>
      <w:r>
        <w:rPr>
          <w:rFonts w:hint="eastAsia" w:ascii="仿宋" w:hAnsi="仿宋" w:eastAsia="仿宋" w:cs="仿宋"/>
          <w:color w:val="auto"/>
          <w:sz w:val="24"/>
          <w:szCs w:val="24"/>
          <w:highlight w:val="none"/>
        </w:rPr>
        <w:t>款规定解除合同。</w:t>
      </w:r>
    </w:p>
    <w:p>
      <w:pPr>
        <w:pStyle w:val="2"/>
        <w:shd w:val="clear" w:color="000000" w:fill="auto"/>
        <w:adjustRightInd w:val="0"/>
        <w:snapToGrid w:val="0"/>
        <w:spacing w:line="360" w:lineRule="auto"/>
        <w:ind w:left="161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因承包人的原因引起暂停施工持续</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天以上，承包人不采取有效的复工措施，造成工期延误的，发包人可根据第</w:t>
      </w:r>
      <w:r>
        <w:rPr>
          <w:rFonts w:ascii="仿宋" w:hAnsi="仿宋" w:eastAsia="仿宋" w:cs="仿宋"/>
          <w:color w:val="auto"/>
          <w:sz w:val="24"/>
          <w:szCs w:val="24"/>
          <w:highlight w:val="none"/>
        </w:rPr>
        <w:t>87.3</w:t>
      </w:r>
      <w:r>
        <w:rPr>
          <w:rFonts w:hint="eastAsia" w:ascii="仿宋" w:hAnsi="仿宋" w:eastAsia="仿宋" w:cs="仿宋"/>
          <w:color w:val="auto"/>
          <w:sz w:val="24"/>
          <w:szCs w:val="24"/>
          <w:highlight w:val="none"/>
        </w:rPr>
        <w:t>款规定解除合同。</w:t>
      </w:r>
    </w:p>
    <w:p>
      <w:pPr>
        <w:pStyle w:val="2"/>
        <w:shd w:val="clear" w:color="000000" w:fill="auto"/>
        <w:tabs>
          <w:tab w:val="left" w:pos="216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35.4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firstLine="2"/>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97504" behindDoc="0" locked="0" layoutInCell="1" allowOverlap="1">
                <wp:simplePos x="0" y="0"/>
                <wp:positionH relativeFrom="column">
                  <wp:posOffset>-114300</wp:posOffset>
                </wp:positionH>
                <wp:positionV relativeFrom="paragraph">
                  <wp:posOffset>635</wp:posOffset>
                </wp:positionV>
                <wp:extent cx="914400" cy="792480"/>
                <wp:effectExtent l="0" t="0" r="0" b="0"/>
                <wp:wrapNone/>
                <wp:docPr id="136" name="文本框 137"/>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发包人、承包人原因和不可抗力因素造成暂停施工的责任</w:t>
                            </w:r>
                          </w:p>
                        </w:txbxContent>
                      </wps:txbx>
                      <wps:bodyPr upright="1"/>
                    </wps:wsp>
                  </a:graphicData>
                </a:graphic>
              </wp:anchor>
            </w:drawing>
          </mc:Choice>
          <mc:Fallback>
            <w:pict>
              <v:shape id="文本框 137" o:spid="_x0000_s1026" o:spt="202" type="#_x0000_t202" style="position:absolute;left:0pt;margin-left:-9pt;margin-top:0.05pt;height:62.4pt;width:72pt;z-index:251797504;mso-width-relative:page;mso-height-relative:page;" filled="f" stroked="f" coordsize="21600,21600" o:gfxdata="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t2odL1AAA&#10;AAgBAAAPAAAAAAAAAAEAIAAAACIAAABkcnMvZG93bnJldi54bWxQSwECFAAUAAAACACHTuJA25Bx&#10;prABAABRAwAADgAAAAAAAAABACAAAAAjAQAAZHJzL2Uyb0RvYy54bWxQSwUGAAAAAAYABgBZAQAA&#10;RQUAAAAA&#10;">
                <v:fill on="f" focussize="0,0"/>
                <v:stroke on="f"/>
                <v:imagedata o:title=""/>
                <o:lock v:ext="edit" aspectratio="f"/>
                <v:textbo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发包人、承包人原因和不可抗力因素造成暂停施工的责任</w:t>
                      </w:r>
                    </w:p>
                  </w:txbxContent>
                </v:textbox>
              </v:shape>
            </w:pict>
          </mc:Fallback>
        </mc:AlternateContent>
      </w:r>
      <w:r>
        <w:rPr>
          <w:rFonts w:hint="eastAsia" w:ascii="仿宋" w:hAnsi="仿宋" w:eastAsia="仿宋" w:cs="仿宋"/>
          <w:color w:val="auto"/>
          <w:sz w:val="24"/>
          <w:szCs w:val="24"/>
          <w:highlight w:val="none"/>
        </w:rPr>
        <w:t>因发包人的原因造成暂停施工且引起工期延误的，承包人有权要求发包人增加由此发生的费用和（或）顺延工期，并支付合理利润。</w:t>
      </w:r>
    </w:p>
    <w:p>
      <w:pPr>
        <w:pStyle w:val="2"/>
        <w:shd w:val="clear" w:color="000000" w:fill="auto"/>
        <w:adjustRightInd w:val="0"/>
        <w:snapToGrid w:val="0"/>
        <w:spacing w:line="360" w:lineRule="auto"/>
        <w:ind w:left="1619" w:leftChars="771" w:firstLine="2"/>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因承包人下列原因造成的暂停施工，增加的费用和（或）延误的工期由承包人承担：</w:t>
      </w:r>
    </w:p>
    <w:p>
      <w:pPr>
        <w:pStyle w:val="2"/>
        <w:numPr>
          <w:ilvl w:val="0"/>
          <w:numId w:val="14"/>
        </w:numPr>
        <w:shd w:val="clear" w:color="000000" w:fill="auto"/>
        <w:adjustRightInd w:val="0"/>
        <w:snapToGrid w:val="0"/>
        <w:spacing w:line="360" w:lineRule="auto"/>
        <w:ind w:left="1617" w:leftChars="77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工作失误或违约造成的；</w:t>
      </w:r>
    </w:p>
    <w:p>
      <w:pPr>
        <w:pStyle w:val="2"/>
        <w:numPr>
          <w:ilvl w:val="0"/>
          <w:numId w:val="14"/>
        </w:numPr>
        <w:shd w:val="clear" w:color="000000" w:fill="auto"/>
        <w:adjustRightInd w:val="0"/>
        <w:snapToGrid w:val="0"/>
        <w:spacing w:line="360" w:lineRule="auto"/>
        <w:ind w:left="2157" w:leftChars="770" w:hanging="540" w:hangingChars="22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为合同工程合理施工和安全保障所必需的；</w:t>
      </w:r>
    </w:p>
    <w:p>
      <w:pPr>
        <w:pStyle w:val="2"/>
        <w:numPr>
          <w:ilvl w:val="0"/>
          <w:numId w:val="14"/>
        </w:numPr>
        <w:shd w:val="clear" w:color="000000" w:fill="auto"/>
        <w:adjustRightInd w:val="0"/>
        <w:snapToGrid w:val="0"/>
        <w:spacing w:line="360" w:lineRule="auto"/>
        <w:ind w:left="1617" w:leftChars="77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施工现场气候条件（除不可抗力停工外）导致的；</w:t>
      </w:r>
    </w:p>
    <w:p>
      <w:pPr>
        <w:pStyle w:val="2"/>
        <w:numPr>
          <w:ilvl w:val="0"/>
          <w:numId w:val="14"/>
        </w:numPr>
        <w:shd w:val="clear" w:color="000000" w:fill="auto"/>
        <w:adjustRightInd w:val="0"/>
        <w:snapToGrid w:val="0"/>
        <w:spacing w:line="360" w:lineRule="auto"/>
        <w:ind w:left="1617" w:leftChars="77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擅自停工的；</w:t>
      </w:r>
    </w:p>
    <w:p>
      <w:pPr>
        <w:pStyle w:val="2"/>
        <w:numPr>
          <w:ilvl w:val="0"/>
          <w:numId w:val="14"/>
        </w:numPr>
        <w:shd w:val="clear" w:color="000000" w:fill="auto"/>
        <w:adjustRightInd w:val="0"/>
        <w:snapToGrid w:val="0"/>
        <w:spacing w:line="360" w:lineRule="auto"/>
        <w:ind w:left="1617" w:leftChars="77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专用条款约定的其他原因。</w:t>
      </w:r>
    </w:p>
    <w:p>
      <w:pPr>
        <w:pStyle w:val="2"/>
        <w:shd w:val="clear" w:color="000000" w:fill="auto"/>
        <w:tabs>
          <w:tab w:val="left" w:pos="1980"/>
        </w:tabs>
        <w:adjustRightInd w:val="0"/>
        <w:snapToGrid w:val="0"/>
        <w:spacing w:line="360" w:lineRule="auto"/>
        <w:ind w:left="1617" w:leftChars="77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因不可抗力因素造成暂停施工的，按照第</w:t>
      </w:r>
      <w:r>
        <w:rPr>
          <w:rFonts w:ascii="仿宋" w:hAnsi="仿宋" w:eastAsia="仿宋" w:cs="仿宋"/>
          <w:color w:val="auto"/>
          <w:sz w:val="24"/>
          <w:szCs w:val="24"/>
          <w:highlight w:val="none"/>
        </w:rPr>
        <w:t>31</w:t>
      </w:r>
      <w:r>
        <w:rPr>
          <w:rFonts w:hint="eastAsia" w:ascii="仿宋" w:hAnsi="仿宋" w:eastAsia="仿宋" w:cs="仿宋"/>
          <w:color w:val="auto"/>
          <w:sz w:val="24"/>
          <w:szCs w:val="24"/>
          <w:highlight w:val="none"/>
        </w:rPr>
        <w:t>条规定处理。</w:t>
      </w:r>
    </w:p>
    <w:p>
      <w:pPr>
        <w:pStyle w:val="2"/>
        <w:shd w:val="clear" w:color="000000" w:fill="auto"/>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35.5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98528" behindDoc="0" locked="0" layoutInCell="1" allowOverlap="1">
                <wp:simplePos x="0" y="0"/>
                <wp:positionH relativeFrom="column">
                  <wp:posOffset>-66675</wp:posOffset>
                </wp:positionH>
                <wp:positionV relativeFrom="paragraph">
                  <wp:posOffset>6350</wp:posOffset>
                </wp:positionV>
                <wp:extent cx="914400" cy="693420"/>
                <wp:effectExtent l="0" t="0" r="0" b="0"/>
                <wp:wrapNone/>
                <wp:docPr id="137" name="文本框 138"/>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发包人不按规定支付工程款造成暂停施工的责任</w:t>
                            </w:r>
                          </w:p>
                        </w:txbxContent>
                      </wps:txbx>
                      <wps:bodyPr upright="1"/>
                    </wps:wsp>
                  </a:graphicData>
                </a:graphic>
              </wp:anchor>
            </w:drawing>
          </mc:Choice>
          <mc:Fallback>
            <w:pict>
              <v:shape id="文本框 138" o:spid="_x0000_s1026" o:spt="202" type="#_x0000_t202" style="position:absolute;left:0pt;margin-left:-5.25pt;margin-top:0.5pt;height:54.6pt;width:72pt;z-index:251798528;mso-width-relative:page;mso-height-relative:page;" filled="f" stroked="f" coordsize="21600,21600" o:gfxdata="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i1Sze1AAA&#10;AAkBAAAPAAAAAAAAAAEAIAAAACIAAABkcnMvZG93bnJldi54bWxQSwECFAAUAAAACACHTuJAx2WE&#10;d7ABAABRAwAADgAAAAAAAAABACAAAAAjAQAAZHJzL2Uyb0RvYy54bWxQSwUGAAAAAAYABgBZAQAA&#10;RQUAAAAA&#10;">
                <v:fill on="f" focussize="0,0"/>
                <v:stroke on="f"/>
                <v:imagedata o:title=""/>
                <o:lock v:ext="edit" aspectratio="f"/>
                <v:textbo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发包人不按规定支付工程款造成暂停施工的责任</w:t>
                      </w:r>
                    </w:p>
                  </w:txbxContent>
                </v:textbox>
              </v:shape>
            </w:pict>
          </mc:Fallback>
        </mc:AlternateContent>
      </w:r>
      <w:r>
        <w:rPr>
          <w:rFonts w:hint="eastAsia" w:ascii="仿宋" w:hAnsi="仿宋" w:eastAsia="仿宋" w:cs="仿宋"/>
          <w:color w:val="auto"/>
          <w:sz w:val="24"/>
          <w:szCs w:val="24"/>
          <w:highlight w:val="none"/>
        </w:rPr>
        <w:t>如果发包人未按照合同约定支付工程进度款，经催告后在</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天内仍未支付的，承包人可以暂停施工，直至收到包括第</w:t>
      </w:r>
      <w:r>
        <w:rPr>
          <w:rFonts w:ascii="仿宋" w:hAnsi="仿宋" w:eastAsia="仿宋" w:cs="仿宋"/>
          <w:color w:val="auto"/>
          <w:sz w:val="24"/>
          <w:szCs w:val="24"/>
          <w:highlight w:val="none"/>
        </w:rPr>
        <w:t>78.2</w:t>
      </w:r>
      <w:r>
        <w:rPr>
          <w:rFonts w:hint="eastAsia" w:ascii="仿宋" w:hAnsi="仿宋" w:eastAsia="仿宋" w:cs="仿宋"/>
          <w:color w:val="auto"/>
          <w:sz w:val="24"/>
          <w:szCs w:val="24"/>
          <w:highlight w:val="none"/>
        </w:rPr>
        <w:t>款规定的应付利息在内的所欠全部款项。由此造成的暂停施工，视为是因发包人的原因引起的，并按照第</w:t>
      </w:r>
      <w:r>
        <w:rPr>
          <w:rFonts w:ascii="仿宋" w:hAnsi="仿宋" w:eastAsia="仿宋" w:cs="仿宋"/>
          <w:color w:val="auto"/>
          <w:sz w:val="24"/>
          <w:szCs w:val="24"/>
          <w:highlight w:val="none"/>
        </w:rPr>
        <w:t>35.4</w:t>
      </w:r>
      <w:r>
        <w:rPr>
          <w:rFonts w:hint="eastAsia" w:ascii="仿宋" w:hAnsi="仿宋" w:eastAsia="仿宋" w:cs="仿宋"/>
          <w:color w:val="auto"/>
          <w:sz w:val="24"/>
          <w:szCs w:val="24"/>
          <w:highlight w:val="none"/>
        </w:rPr>
        <w:t>款规定处理。</w:t>
      </w:r>
    </w:p>
    <w:p>
      <w:pPr>
        <w:pStyle w:val="2"/>
        <w:shd w:val="clear" w:color="000000" w:fill="auto"/>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35.6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99552" behindDoc="0" locked="0" layoutInCell="1" allowOverlap="1">
                <wp:simplePos x="0" y="0"/>
                <wp:positionH relativeFrom="column">
                  <wp:posOffset>-114300</wp:posOffset>
                </wp:positionH>
                <wp:positionV relativeFrom="paragraph">
                  <wp:posOffset>635</wp:posOffset>
                </wp:positionV>
                <wp:extent cx="914400" cy="396240"/>
                <wp:effectExtent l="0" t="0" r="0" b="0"/>
                <wp:wrapNone/>
                <wp:docPr id="138" name="文本框 13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暂停施工结束后的处理</w:t>
                            </w:r>
                          </w:p>
                        </w:txbxContent>
                      </wps:txbx>
                      <wps:bodyPr upright="1"/>
                    </wps:wsp>
                  </a:graphicData>
                </a:graphic>
              </wp:anchor>
            </w:drawing>
          </mc:Choice>
          <mc:Fallback>
            <w:pict>
              <v:shape id="文本框 139" o:spid="_x0000_s1026" o:spt="202" type="#_x0000_t202" style="position:absolute;left:0pt;margin-left:-9pt;margin-top:0.05pt;height:31.2pt;width:72pt;z-index:251799552;mso-width-relative:page;mso-height-relative:page;" filled="f" stroked="f" coordsize="21600,21600" o:gfxdata="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H8G9LdMAAAAH&#10;AQAADwAAAAAAAAABACAAAAAiAAAAZHJzL2Rvd25yZXYueG1sUEsBAhQAFAAAAAgAh07iQDRvOeuv&#10;AQAAUQMAAA4AAAAAAAAAAQAgAAAAIgEAAGRycy9lMm9Eb2MueG1sUEsFBgAAAAAGAAYAWQEAAEMF&#10;AAAAAA==&#10;">
                <v:fill on="f" focussize="0,0"/>
                <v:stroke on="f"/>
                <v:imagedata o:title=""/>
                <o:lock v:ext="edit" aspectratio="f"/>
                <v:textbo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暂停施工结束后的处理</w:t>
                      </w:r>
                    </w:p>
                  </w:txbxContent>
                </v:textbox>
              </v:shape>
            </w:pict>
          </mc:Fallback>
        </mc:AlternateContent>
      </w:r>
      <w:r>
        <w:rPr>
          <w:rFonts w:hint="eastAsia" w:ascii="仿宋" w:hAnsi="仿宋" w:eastAsia="仿宋" w:cs="仿宋"/>
          <w:color w:val="auto"/>
          <w:sz w:val="24"/>
          <w:szCs w:val="24"/>
          <w:highlight w:val="none"/>
        </w:rPr>
        <w:t>暂停施工结束后，承包人和监理工程师应对受暂停施工影响的工程、材料和工程设备进行检查。承包人负责修复在暂停期间发生的任何变质、缺陷或损坏，因而发生的费用和造成的损失按照第</w:t>
      </w:r>
      <w:r>
        <w:rPr>
          <w:rFonts w:ascii="仿宋" w:hAnsi="仿宋" w:eastAsia="仿宋" w:cs="仿宋"/>
          <w:color w:val="auto"/>
          <w:sz w:val="24"/>
          <w:szCs w:val="24"/>
          <w:highlight w:val="none"/>
        </w:rPr>
        <w:t>35.4</w:t>
      </w:r>
      <w:r>
        <w:rPr>
          <w:rFonts w:hint="eastAsia" w:ascii="仿宋" w:hAnsi="仿宋" w:eastAsia="仿宋" w:cs="仿宋"/>
          <w:color w:val="auto"/>
          <w:sz w:val="24"/>
          <w:szCs w:val="24"/>
          <w:highlight w:val="none"/>
        </w:rPr>
        <w:t>款规定处理。</w:t>
      </w:r>
    </w:p>
    <w:p>
      <w:pPr>
        <w:pStyle w:val="2"/>
        <w:shd w:val="clear" w:color="000000" w:fill="auto"/>
        <w:adjustRightInd w:val="0"/>
        <w:snapToGrid w:val="0"/>
        <w:spacing w:line="360" w:lineRule="auto"/>
        <w:outlineLvl w:val="2"/>
        <w:rPr>
          <w:rFonts w:ascii="仿宋" w:hAnsi="仿宋" w:eastAsia="仿宋" w:cs="Times New Roman"/>
          <w:b/>
          <w:bCs/>
          <w:color w:val="auto"/>
          <w:sz w:val="24"/>
          <w:szCs w:val="24"/>
          <w:highlight w:val="none"/>
        </w:rPr>
      </w:pPr>
      <w:bookmarkStart w:id="229" w:name="_Toc10624858"/>
      <w:bookmarkStart w:id="230" w:name="_Toc10003"/>
      <w:bookmarkStart w:id="231" w:name="_Toc469384018"/>
      <w:r>
        <w:rPr>
          <w:rFonts w:ascii="仿宋" w:hAnsi="仿宋" w:eastAsia="仿宋" w:cs="仿宋"/>
          <w:b/>
          <w:bCs/>
          <w:color w:val="auto"/>
          <w:sz w:val="24"/>
          <w:szCs w:val="24"/>
          <w:highlight w:val="none"/>
        </w:rPr>
        <w:t xml:space="preserve">36  </w:t>
      </w:r>
      <w:r>
        <w:rPr>
          <w:rFonts w:hint="eastAsia" w:ascii="仿宋" w:hAnsi="仿宋" w:eastAsia="仿宋" w:cs="仿宋"/>
          <w:b/>
          <w:bCs/>
          <w:color w:val="auto"/>
          <w:sz w:val="24"/>
          <w:szCs w:val="24"/>
          <w:highlight w:val="none"/>
        </w:rPr>
        <w:t>工期和工期延误</w:t>
      </w:r>
      <w:bookmarkEnd w:id="229"/>
      <w:bookmarkEnd w:id="230"/>
      <w:bookmarkEnd w:id="231"/>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36.1     </w:t>
      </w:r>
    </w:p>
    <w:p>
      <w:pPr>
        <w:shd w:val="clear" w:color="000000" w:fill="auto"/>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合同工程的工期，由合同双方当事人根据广东省建设工程工期定额等有关规定，结合合同工程拟实施的施工组织设计或施工方案等情况，科学合理地编制工期，并在合同中约定。</w:t>
      </w:r>
      <w:r>
        <w:rPr>
          <w:color w:val="auto"/>
          <w:highlight w:val="none"/>
        </w:rPr>
        <mc:AlternateContent>
          <mc:Choice Requires="wps">
            <w:drawing>
              <wp:anchor distT="0" distB="0" distL="114300" distR="114300" simplePos="0" relativeHeight="251800576" behindDoc="0" locked="0" layoutInCell="1" allowOverlap="1">
                <wp:simplePos x="0" y="0"/>
                <wp:positionH relativeFrom="column">
                  <wp:posOffset>-114300</wp:posOffset>
                </wp:positionH>
                <wp:positionV relativeFrom="paragraph">
                  <wp:posOffset>393700</wp:posOffset>
                </wp:positionV>
                <wp:extent cx="977900" cy="335915"/>
                <wp:effectExtent l="0" t="0" r="0" b="0"/>
                <wp:wrapNone/>
                <wp:docPr id="139" name="文本框 140"/>
                <wp:cNvGraphicFramePr/>
                <a:graphic xmlns:a="http://schemas.openxmlformats.org/drawingml/2006/main">
                  <a:graphicData uri="http://schemas.microsoft.com/office/word/2010/wordprocessingShape">
                    <wps:wsp>
                      <wps:cNvSpPr txBox="1"/>
                      <wps:spPr>
                        <a:xfrm>
                          <a:off x="0" y="0"/>
                          <a:ext cx="977900" cy="335915"/>
                        </a:xfrm>
                        <a:prstGeom prst="rect">
                          <a:avLst/>
                        </a:prstGeom>
                        <a:noFill/>
                        <a:ln>
                          <a:noFill/>
                        </a:ln>
                      </wps:spPr>
                      <wps:txbx>
                        <w:txbxContent>
                          <w:p>
                            <w:pPr>
                              <w:rPr>
                                <w:rFonts w:cs="Times New Roman"/>
                              </w:rPr>
                            </w:pPr>
                          </w:p>
                        </w:txbxContent>
                      </wps:txbx>
                      <wps:bodyPr upright="1"/>
                    </wps:wsp>
                  </a:graphicData>
                </a:graphic>
              </wp:anchor>
            </w:drawing>
          </mc:Choice>
          <mc:Fallback>
            <w:pict>
              <v:shape id="文本框 140" o:spid="_x0000_s1026" o:spt="202" type="#_x0000_t202" style="position:absolute;left:0pt;margin-left:-9pt;margin-top:31pt;height:26.45pt;width:77pt;z-index:251800576;mso-width-relative:page;mso-height-relative:page;" filled="f" stroked="f" coordsize="21600,21600" o:gfxdata="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mX/eiNcA&#10;AAAKAQAADwAAAAAAAAABACAAAAAiAAAAZHJzL2Rvd25yZXYueG1sUEsBAhQAFAAAAAgAh07iQIYL&#10;SGeuAQAAUQMAAA4AAAAAAAAAAQAgAAAAJgEAAGRycy9lMm9Eb2MueG1sUEsFBgAAAAAGAAYAWQEA&#10;AEYFAAAAAA==&#10;">
                <v:fill on="f" focussize="0,0"/>
                <v:stroke on="f"/>
                <v:imagedata o:title=""/>
                <o:lock v:ext="edit" aspectratio="f"/>
                <v:textbox>
                  <w:txbxContent>
                    <w:p>
                      <w:pPr>
                        <w:rPr>
                          <w:rFonts w:cs="Times New Roman"/>
                        </w:rPr>
                      </w:pPr>
                    </w:p>
                  </w:txbxContent>
                </v:textbox>
              </v:shape>
            </w:pict>
          </mc:Fallback>
        </mc:AlternateContent>
      </w:r>
      <w:r>
        <w:rPr>
          <w:color w:val="auto"/>
          <w:highlight w:val="none"/>
        </w:rPr>
        <mc:AlternateContent>
          <mc:Choice Requires="wps">
            <w:drawing>
              <wp:anchor distT="0" distB="0" distL="114300" distR="114300" simplePos="0" relativeHeight="251801600"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140" name="文本框 141"/>
                <wp:cNvGraphicFramePr/>
                <a:graphic xmlns:a="http://schemas.openxmlformats.org/drawingml/2006/main">
                  <a:graphicData uri="http://schemas.microsoft.com/office/word/2010/wordprocessingShape">
                    <wps:wsp>
                      <wps:cNvSpPr txBox="1"/>
                      <wps:spPr>
                        <a:xfrm>
                          <a:off x="0" y="0"/>
                          <a:ext cx="800100" cy="45974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工期计算</w:t>
                            </w:r>
                          </w:p>
                        </w:txbxContent>
                      </wps:txbx>
                      <wps:bodyPr upright="1"/>
                    </wps:wsp>
                  </a:graphicData>
                </a:graphic>
              </wp:anchor>
            </w:drawing>
          </mc:Choice>
          <mc:Fallback>
            <w:pict>
              <v:shape id="文本框 141" o:spid="_x0000_s1026" o:spt="202" type="#_x0000_t202" style="position:absolute;left:0pt;margin-left:-9pt;margin-top:2.5pt;height:36.2pt;width:63pt;z-index:251801600;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VyCmINUAAAAI&#10;AQAADwAAAAAAAAABACAAAAAiAAAAZHJzL2Rvd25yZXYueG1sUEsBAhQAFAAAAAgAh07iQJFALoit&#10;AQAAUQMAAA4AAAAAAAAAAQAgAAAAJAEAAGRycy9lMm9Eb2MueG1sUEsFBgAAAAAGAAYAWQEAAEMF&#10;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工期计算</w:t>
                      </w:r>
                    </w:p>
                  </w:txbxContent>
                </v:textbox>
              </v:shape>
            </w:pict>
          </mc:Fallback>
        </mc:AlternateContent>
      </w:r>
      <w:r>
        <w:rPr>
          <w:rFonts w:hint="eastAsia" w:ascii="仿宋" w:hAnsi="仿宋" w:eastAsia="仿宋" w:cs="仿宋"/>
          <w:color w:val="auto"/>
          <w:sz w:val="24"/>
          <w:szCs w:val="24"/>
          <w:highlight w:val="none"/>
        </w:rPr>
        <w:t>如合同工期与广东省建设工程工期定额规定不一致的，需说明与省工期定额规定不一致的原因，并制定保障措施，确保质量、施工安全。</w:t>
      </w:r>
    </w:p>
    <w:p>
      <w:pPr>
        <w:pStyle w:val="2"/>
        <w:shd w:val="clear" w:color="000000" w:fill="auto"/>
        <w:adjustRightInd w:val="0"/>
        <w:snapToGrid w:val="0"/>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36.2 </w:t>
      </w:r>
      <w:r>
        <w:rPr>
          <w:rFonts w:ascii="仿宋" w:hAnsi="仿宋" w:eastAsia="仿宋" w:cs="仿宋"/>
          <w:color w:val="auto"/>
          <w:sz w:val="24"/>
          <w:szCs w:val="24"/>
          <w:highlight w:val="none"/>
          <w:u w:val="dotted"/>
        </w:rPr>
        <w:t xml:space="preserve">                                                                          </w:t>
      </w:r>
    </w:p>
    <w:p>
      <w:pPr>
        <w:pStyle w:val="2"/>
        <w:shd w:val="clear" w:color="000000" w:fill="auto"/>
        <w:adjustRightInd w:val="0"/>
        <w:snapToGrid w:val="0"/>
        <w:spacing w:line="360" w:lineRule="auto"/>
        <w:ind w:left="1671" w:leftChars="771" w:hanging="52" w:hangingChars="25"/>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02624"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141" name="文本框 142"/>
                <wp:cNvGraphicFramePr/>
                <a:graphic xmlns:a="http://schemas.openxmlformats.org/drawingml/2006/main">
                  <a:graphicData uri="http://schemas.microsoft.com/office/word/2010/wordprocessingShape">
                    <wps:wsp>
                      <wps:cNvSpPr txBox="1"/>
                      <wps:spPr>
                        <a:xfrm>
                          <a:off x="0" y="0"/>
                          <a:ext cx="800100" cy="45974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工期约定的要求</w:t>
                            </w:r>
                          </w:p>
                        </w:txbxContent>
                      </wps:txbx>
                      <wps:bodyPr upright="1"/>
                    </wps:wsp>
                  </a:graphicData>
                </a:graphic>
              </wp:anchor>
            </w:drawing>
          </mc:Choice>
          <mc:Fallback>
            <w:pict>
              <v:shape id="文本框 142" o:spid="_x0000_s1026" o:spt="202" type="#_x0000_t202" style="position:absolute;left:0pt;margin-left:-9pt;margin-top:2.5pt;height:36.2pt;width:63pt;z-index:251802624;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XIKYg1QAA&#10;AAgBAAAPAAAAAAAAAAEAIAAAACIAAABkcnMvZG93bnJldi54bWxQSwECFAAUAAAACACHTuJArg4D&#10;nq8BAABRAwAADgAAAAAAAAABACAAAAAkAQAAZHJzL2Uyb0RvYy54bWxQSwUGAAAAAAYABgBZAQAA&#10;RQ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工期约定的要求</w:t>
                      </w:r>
                    </w:p>
                  </w:txbxContent>
                </v:textbox>
              </v:shape>
            </w:pict>
          </mc:Fallback>
        </mc:AlternateContent>
      </w:r>
      <w:r>
        <w:rPr>
          <w:rFonts w:hint="eastAsia" w:ascii="仿宋" w:hAnsi="仿宋" w:eastAsia="仿宋" w:cs="仿宋"/>
          <w:color w:val="auto"/>
          <w:sz w:val="24"/>
          <w:szCs w:val="24"/>
          <w:highlight w:val="none"/>
        </w:rPr>
        <w:t>合同双方当事人应在专用条款中约定合同工程的工期，工期从开工日期开始计算。合同中包括有多个单位工程的，应在专用条款中约定各单位工程的工期。</w:t>
      </w:r>
    </w:p>
    <w:p>
      <w:pPr>
        <w:pStyle w:val="2"/>
        <w:shd w:val="clear" w:color="000000" w:fill="auto"/>
        <w:adjustRightInd w:val="0"/>
        <w:snapToGrid w:val="0"/>
        <w:spacing w:line="360" w:lineRule="auto"/>
        <w:ind w:right="-2"/>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36.3  </w:t>
      </w:r>
      <w:r>
        <w:rPr>
          <w:rFonts w:ascii="仿宋" w:hAnsi="仿宋" w:eastAsia="仿宋" w:cs="仿宋"/>
          <w:b/>
          <w:bCs/>
          <w:color w:val="auto"/>
          <w:sz w:val="24"/>
          <w:szCs w:val="24"/>
          <w:highlight w:val="none"/>
          <w:u w:val="dotted"/>
        </w:rPr>
        <w:t xml:space="preserve">                                                                                                       </w:t>
      </w:r>
    </w:p>
    <w:p>
      <w:pPr>
        <w:shd w:val="clear" w:color="000000" w:fill="auto"/>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03648" behindDoc="0" locked="0" layoutInCell="1" allowOverlap="1">
                <wp:simplePos x="0" y="0"/>
                <wp:positionH relativeFrom="column">
                  <wp:posOffset>-114300</wp:posOffset>
                </wp:positionH>
                <wp:positionV relativeFrom="paragraph">
                  <wp:posOffset>16510</wp:posOffset>
                </wp:positionV>
                <wp:extent cx="800100" cy="261620"/>
                <wp:effectExtent l="0" t="0" r="0" b="0"/>
                <wp:wrapNone/>
                <wp:docPr id="142" name="文本框 143"/>
                <wp:cNvGraphicFramePr/>
                <a:graphic xmlns:a="http://schemas.openxmlformats.org/drawingml/2006/main">
                  <a:graphicData uri="http://schemas.microsoft.com/office/word/2010/wordprocessingShape">
                    <wps:wsp>
                      <wps:cNvSpPr txBox="1"/>
                      <wps:spPr>
                        <a:xfrm>
                          <a:off x="0" y="0"/>
                          <a:ext cx="800100" cy="26162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w:t>
                            </w:r>
                          </w:p>
                        </w:txbxContent>
                      </wps:txbx>
                      <wps:bodyPr upright="1"/>
                    </wps:wsp>
                  </a:graphicData>
                </a:graphic>
              </wp:anchor>
            </w:drawing>
          </mc:Choice>
          <mc:Fallback>
            <w:pict>
              <v:shape id="文本框 143" o:spid="_x0000_s1026" o:spt="202" type="#_x0000_t202" style="position:absolute;left:0pt;margin-left:-9pt;margin-top:1.3pt;height:20.6pt;width:63pt;z-index:251803648;mso-width-relative:page;mso-height-relative:page;" filled="f" stroked="f" coordsize="21600,21600" o:gfxdata="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nHbgjVAAAA&#10;CAEAAA8AAAAAAAAAAQAgAAAAIgAAAGRycy9kb3ducmV2LnhtbFBLAQIUABQAAAAIAIdO4kAqpT24&#10;rgEAAFEDAAAOAAAAAAAAAAEAIAAAACQBAABkcnMvZTJvRG9jLnhtbFBLBQYAAAAABgAGAFkBAABE&#10;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w:t>
                      </w:r>
                    </w:p>
                  </w:txbxContent>
                </v:textbox>
              </v:shape>
            </w:pict>
          </mc:Fallback>
        </mc:AlternateContent>
      </w:r>
      <w:r>
        <w:rPr>
          <w:rFonts w:hint="eastAsia" w:ascii="仿宋" w:hAnsi="仿宋" w:eastAsia="仿宋" w:cs="仿宋"/>
          <w:color w:val="auto"/>
          <w:sz w:val="24"/>
          <w:szCs w:val="24"/>
          <w:highlight w:val="none"/>
        </w:rPr>
        <w:t>合同履行期间，由于下列原因造成工期延误的，承包人有权要求发包人增加由此发生的费用和（或）顺延工期，并支付合理利润。本款发生顺延的工期，由承包人提出，经监理工程师核实后由合同双方当事人协商确定；协商不能达成一致的，由监理工程师暂定，通知承包人并抄报发包人。构成争议的，由合同双方当事人按照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条规定处理。</w:t>
      </w:r>
    </w:p>
    <w:p>
      <w:pPr>
        <w:pStyle w:val="2"/>
        <w:shd w:val="clear" w:color="000000" w:fill="auto"/>
        <w:adjustRightInd w:val="0"/>
        <w:snapToGrid w:val="0"/>
        <w:spacing w:line="420" w:lineRule="exact"/>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发包人未能按照专用条款的约定提供施工设计图纸及其它开工条件；</w:t>
      </w:r>
    </w:p>
    <w:p>
      <w:pPr>
        <w:pStyle w:val="2"/>
        <w:shd w:val="clear" w:color="000000" w:fill="auto"/>
        <w:adjustRightInd w:val="0"/>
        <w:snapToGrid w:val="0"/>
        <w:spacing w:line="420" w:lineRule="exact"/>
        <w:ind w:left="1680" w:leftChars="8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）发包人未能按照专用条款约定的时间支付工程预付款、绿色施工安全防护费和进度款；</w:t>
      </w:r>
    </w:p>
    <w:p>
      <w:pPr>
        <w:pStyle w:val="2"/>
        <w:shd w:val="clear" w:color="000000" w:fill="auto"/>
        <w:adjustRightInd w:val="0"/>
        <w:snapToGrid w:val="0"/>
        <w:spacing w:line="420" w:lineRule="exact"/>
        <w:ind w:left="2339" w:leftChars="771" w:hanging="720" w:hangingChars="3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发包人代表或施工现场发包人雇用的其他人员造成的人为因素；</w:t>
      </w:r>
    </w:p>
    <w:p>
      <w:pPr>
        <w:pStyle w:val="2"/>
        <w:shd w:val="clear" w:color="000000" w:fill="auto"/>
        <w:adjustRightInd w:val="0"/>
        <w:snapToGrid w:val="0"/>
        <w:spacing w:line="420" w:lineRule="exact"/>
        <w:ind w:left="2339" w:leftChars="771" w:hanging="720" w:hangingChars="3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监理工程师未按照合同约定及时提供所需指令、回复等；</w:t>
      </w:r>
    </w:p>
    <w:p>
      <w:pPr>
        <w:pStyle w:val="2"/>
        <w:shd w:val="clear" w:color="000000" w:fill="auto"/>
        <w:adjustRightInd w:val="0"/>
        <w:snapToGrid w:val="0"/>
        <w:spacing w:line="420" w:lineRule="exact"/>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工程变更（含增加合同工作内容、改变合同的任何一项工作等）；</w:t>
      </w:r>
    </w:p>
    <w:p>
      <w:pPr>
        <w:pStyle w:val="2"/>
        <w:shd w:val="clear" w:color="000000" w:fill="auto"/>
        <w:adjustRightInd w:val="0"/>
        <w:snapToGrid w:val="0"/>
        <w:spacing w:line="420" w:lineRule="exact"/>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6</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工程量增加；</w:t>
      </w:r>
    </w:p>
    <w:p>
      <w:pPr>
        <w:pStyle w:val="2"/>
        <w:shd w:val="clear" w:color="000000" w:fill="auto"/>
        <w:adjustRightInd w:val="0"/>
        <w:snapToGrid w:val="0"/>
        <w:spacing w:line="420" w:lineRule="exact"/>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一周内非承包人原因停水、停电、停气造成停工累计超过</w:t>
      </w:r>
      <w:r>
        <w:rPr>
          <w:rFonts w:ascii="仿宋" w:hAnsi="仿宋" w:eastAsia="仿宋" w:cs="仿宋"/>
          <w:color w:val="auto"/>
          <w:sz w:val="24"/>
          <w:szCs w:val="24"/>
          <w:highlight w:val="none"/>
        </w:rPr>
        <w:t>8</w:t>
      </w:r>
      <w:r>
        <w:rPr>
          <w:rFonts w:hint="eastAsia" w:ascii="仿宋" w:hAnsi="仿宋" w:eastAsia="仿宋" w:cs="仿宋"/>
          <w:color w:val="auto"/>
          <w:sz w:val="24"/>
          <w:szCs w:val="24"/>
          <w:highlight w:val="none"/>
        </w:rPr>
        <w:t>小时；</w:t>
      </w:r>
    </w:p>
    <w:p>
      <w:pPr>
        <w:pStyle w:val="2"/>
        <w:shd w:val="clear" w:color="000000" w:fill="auto"/>
        <w:adjustRightInd w:val="0"/>
        <w:snapToGrid w:val="0"/>
        <w:spacing w:line="420" w:lineRule="exact"/>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8</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不可抗力；</w:t>
      </w:r>
    </w:p>
    <w:p>
      <w:pPr>
        <w:pStyle w:val="2"/>
        <w:shd w:val="clear" w:color="000000" w:fill="auto"/>
        <w:adjustRightInd w:val="0"/>
        <w:snapToGrid w:val="0"/>
        <w:spacing w:line="420" w:lineRule="exact"/>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9</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发包人风险事件；</w:t>
      </w:r>
    </w:p>
    <w:p>
      <w:pPr>
        <w:pStyle w:val="2"/>
        <w:shd w:val="clear" w:color="000000" w:fill="auto"/>
        <w:adjustRightInd w:val="0"/>
        <w:snapToGrid w:val="0"/>
        <w:spacing w:line="420" w:lineRule="exact"/>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10</w:t>
      </w:r>
      <w:r>
        <w:rPr>
          <w:rFonts w:hint="eastAsia" w:ascii="仿宋" w:hAnsi="仿宋" w:eastAsia="仿宋" w:cs="仿宋"/>
          <w:color w:val="auto"/>
          <w:sz w:val="24"/>
          <w:szCs w:val="24"/>
          <w:highlight w:val="none"/>
        </w:rPr>
        <w:t>）因发包人的原因导致的暂停施工；</w:t>
      </w:r>
    </w:p>
    <w:p>
      <w:pPr>
        <w:pStyle w:val="2"/>
        <w:shd w:val="clear" w:color="000000" w:fill="auto"/>
        <w:adjustRightInd w:val="0"/>
        <w:snapToGrid w:val="0"/>
        <w:spacing w:line="420" w:lineRule="exact"/>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11</w:t>
      </w:r>
      <w:r>
        <w:rPr>
          <w:rFonts w:hint="eastAsia" w:ascii="仿宋" w:hAnsi="仿宋" w:eastAsia="仿宋" w:cs="仿宋"/>
          <w:color w:val="auto"/>
          <w:sz w:val="24"/>
          <w:szCs w:val="24"/>
          <w:highlight w:val="none"/>
        </w:rPr>
        <w:t>）非承包人失误、违约，以及监理工程师同意的工期顺延。</w:t>
      </w:r>
    </w:p>
    <w:p>
      <w:pPr>
        <w:pStyle w:val="2"/>
        <w:shd w:val="clear" w:color="000000" w:fill="auto"/>
        <w:adjustRightInd w:val="0"/>
        <w:snapToGrid w:val="0"/>
        <w:spacing w:line="420" w:lineRule="exact"/>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12</w:t>
      </w:r>
      <w:r>
        <w:rPr>
          <w:rFonts w:hint="eastAsia" w:ascii="仿宋" w:hAnsi="仿宋" w:eastAsia="仿宋" w:cs="仿宋"/>
          <w:color w:val="auto"/>
          <w:sz w:val="24"/>
          <w:szCs w:val="24"/>
          <w:highlight w:val="none"/>
        </w:rPr>
        <w:t>）发包人造成工期延误的其他原因。</w:t>
      </w:r>
    </w:p>
    <w:p>
      <w:pPr>
        <w:pStyle w:val="2"/>
        <w:shd w:val="clear" w:color="000000" w:fill="auto"/>
        <w:adjustRightInd w:val="0"/>
        <w:snapToGrid w:val="0"/>
        <w:spacing w:line="360" w:lineRule="auto"/>
        <w:ind w:right="-2"/>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36.4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04672" behindDoc="0" locked="0" layoutInCell="1" allowOverlap="1">
                <wp:simplePos x="0" y="0"/>
                <wp:positionH relativeFrom="column">
                  <wp:posOffset>-114300</wp:posOffset>
                </wp:positionH>
                <wp:positionV relativeFrom="paragraph">
                  <wp:posOffset>62230</wp:posOffset>
                </wp:positionV>
                <wp:extent cx="914400" cy="396240"/>
                <wp:effectExtent l="0" t="0" r="0" b="0"/>
                <wp:wrapNone/>
                <wp:docPr id="143" name="文本框 14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20" w:lineRule="exact"/>
                              <w:rPr>
                                <w:rFonts w:ascii="宋体" w:cs="Times New Roman"/>
                                <w:sz w:val="18"/>
                                <w:szCs w:val="18"/>
                              </w:rPr>
                            </w:pPr>
                            <w:r>
                              <w:rPr>
                                <w:rFonts w:hint="eastAsia" w:ascii="楷体_GB2312" w:hAnsi="宋体" w:eastAsia="楷体_GB2312" w:cs="楷体_GB2312"/>
                                <w:b/>
                                <w:bCs/>
                                <w:color w:val="000000"/>
                                <w:sz w:val="18"/>
                                <w:szCs w:val="18"/>
                              </w:rPr>
                              <w:t>提交工期顺延报告</w:t>
                            </w:r>
                          </w:p>
                        </w:txbxContent>
                      </wps:txbx>
                      <wps:bodyPr upright="1"/>
                    </wps:wsp>
                  </a:graphicData>
                </a:graphic>
              </wp:anchor>
            </w:drawing>
          </mc:Choice>
          <mc:Fallback>
            <w:pict>
              <v:shape id="文本框 144" o:spid="_x0000_s1026" o:spt="202" type="#_x0000_t202" style="position:absolute;left:0pt;margin-left:-9pt;margin-top:4.9pt;height:31.2pt;width:72pt;z-index:251804672;mso-width-relative:page;mso-height-relative:page;" filled="f" stroked="f" coordsize="21600,21600" o:gfxdata="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rluZrVAAAA&#10;CAEAAA8AAAAAAAAAAQAgAAAAIgAAAGRycy9kb3ducmV2LnhtbFBLAQIUABQAAAAIAIdO4kCZRWFI&#10;rgEAAFEDAAAOAAAAAAAAAAEAIAAAACQBAABkcnMvZTJvRG9jLnhtbFBLBQYAAAAABgAGAFkBAABE&#10;BQAAAAA=&#10;">
                <v:fill on="f" focussize="0,0"/>
                <v:stroke on="f"/>
                <v:imagedata o:title=""/>
                <o:lock v:ext="edit" aspectratio="f"/>
                <v:textbox>
                  <w:txbxContent>
                    <w:p>
                      <w:pPr>
                        <w:spacing w:line="220" w:lineRule="exact"/>
                        <w:rPr>
                          <w:rFonts w:ascii="宋体" w:cs="Times New Roman"/>
                          <w:sz w:val="18"/>
                          <w:szCs w:val="18"/>
                        </w:rPr>
                      </w:pPr>
                      <w:r>
                        <w:rPr>
                          <w:rFonts w:hint="eastAsia" w:ascii="楷体_GB2312" w:hAnsi="宋体" w:eastAsia="楷体_GB2312" w:cs="楷体_GB2312"/>
                          <w:b/>
                          <w:bCs/>
                          <w:color w:val="000000"/>
                          <w:sz w:val="18"/>
                          <w:szCs w:val="18"/>
                        </w:rPr>
                        <w:t>提交工期顺延报告</w:t>
                      </w:r>
                    </w:p>
                  </w:txbxContent>
                </v:textbox>
              </v:shape>
            </w:pict>
          </mc:Fallback>
        </mc:AlternateContent>
      </w:r>
      <w:r>
        <w:rPr>
          <w:rFonts w:hint="eastAsia" w:ascii="仿宋" w:hAnsi="仿宋" w:eastAsia="仿宋" w:cs="仿宋"/>
          <w:color w:val="auto"/>
          <w:sz w:val="24"/>
          <w:szCs w:val="24"/>
          <w:highlight w:val="none"/>
        </w:rPr>
        <w:t>当第</w:t>
      </w:r>
      <w:r>
        <w:rPr>
          <w:rFonts w:ascii="仿宋" w:hAnsi="仿宋" w:eastAsia="仿宋" w:cs="仿宋"/>
          <w:color w:val="auto"/>
          <w:sz w:val="24"/>
          <w:szCs w:val="24"/>
          <w:highlight w:val="none"/>
        </w:rPr>
        <w:t>36.3</w:t>
      </w:r>
      <w:r>
        <w:rPr>
          <w:rFonts w:hint="eastAsia" w:ascii="仿宋" w:hAnsi="仿宋" w:eastAsia="仿宋" w:cs="仿宋"/>
          <w:color w:val="auto"/>
          <w:sz w:val="24"/>
          <w:szCs w:val="24"/>
          <w:highlight w:val="none"/>
        </w:rPr>
        <w:t>款所述事件首次发生后，承包人应在</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天内向监理工程师发出工期顺延意向书，并抄送发包人。承包人应在发出工期顺延意向书后的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天内，向监理工程师提交工期顺延报告和有关详细资料。</w:t>
      </w:r>
    </w:p>
    <w:p>
      <w:pPr>
        <w:pStyle w:val="2"/>
        <w:shd w:val="clear" w:color="000000" w:fill="auto"/>
        <w:adjustRightInd w:val="0"/>
        <w:snapToGrid w:val="0"/>
        <w:spacing w:line="36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36.5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805696" behindDoc="0" locked="0" layoutInCell="1" allowOverlap="1">
                <wp:simplePos x="0" y="0"/>
                <wp:positionH relativeFrom="column">
                  <wp:posOffset>-114300</wp:posOffset>
                </wp:positionH>
                <wp:positionV relativeFrom="paragraph">
                  <wp:posOffset>46990</wp:posOffset>
                </wp:positionV>
                <wp:extent cx="914400" cy="396240"/>
                <wp:effectExtent l="0" t="0" r="0" b="0"/>
                <wp:wrapNone/>
                <wp:docPr id="144" name="文本框 14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工期顺延持续发生的要求</w:t>
                            </w:r>
                          </w:p>
                        </w:txbxContent>
                      </wps:txbx>
                      <wps:bodyPr upright="1"/>
                    </wps:wsp>
                  </a:graphicData>
                </a:graphic>
              </wp:anchor>
            </w:drawing>
          </mc:Choice>
          <mc:Fallback>
            <w:pict>
              <v:shape id="文本框 145" o:spid="_x0000_s1026" o:spt="202" type="#_x0000_t202" style="position:absolute;left:0pt;margin-left:-9pt;margin-top:3.7pt;height:31.2pt;width:72pt;z-index:251805696;mso-width-relative:page;mso-height-relative:page;" filled="f" stroked="f" coordsize="21600,21600" o:gfxdata="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P3JBq1QAA&#10;AAgBAAAPAAAAAAAAAAEAIAAAACIAAABkcnMvZG93bnJldi54bWxQSwECFAAUAAAACACHTuJAl3l+&#10;vq8BAABRAwAADgAAAAAAAAABACAAAAAkAQAAZHJzL2Uyb0RvYy54bWxQSwUGAAAAAAYABgBZAQAA&#10;R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工期顺延持续发生的要求</w:t>
                      </w:r>
                    </w:p>
                  </w:txbxContent>
                </v:textbox>
              </v:shape>
            </w:pict>
          </mc:Fallback>
        </mc:AlternateContent>
      </w:r>
      <w:r>
        <w:rPr>
          <w:rFonts w:hint="eastAsia" w:ascii="仿宋" w:hAnsi="仿宋" w:eastAsia="仿宋" w:cs="仿宋"/>
          <w:color w:val="auto"/>
          <w:sz w:val="24"/>
          <w:szCs w:val="24"/>
          <w:highlight w:val="none"/>
        </w:rPr>
        <w:t>如果工期顺延事件持续发生时，承包人应每隔</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天向监理工程师发出工期顺延意向书，并在工期顺延事件终结后的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天内，向监理工程师提交最终工期顺延报告和详细资料。</w:t>
      </w:r>
    </w:p>
    <w:p>
      <w:pPr>
        <w:pStyle w:val="2"/>
        <w:shd w:val="clear" w:color="000000" w:fill="auto"/>
        <w:adjustRightInd w:val="0"/>
        <w:snapToGrid w:val="0"/>
        <w:spacing w:line="360" w:lineRule="auto"/>
        <w:ind w:right="-2"/>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36.6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仿宋"/>
          <w:color w:val="auto"/>
          <w:sz w:val="24"/>
          <w:szCs w:val="24"/>
          <w:highlight w:val="none"/>
        </w:rPr>
      </w:pPr>
      <w:r>
        <w:rPr>
          <w:color w:val="auto"/>
          <w:highlight w:val="none"/>
        </w:rPr>
        <mc:AlternateContent>
          <mc:Choice Requires="wps">
            <w:drawing>
              <wp:anchor distT="0" distB="0" distL="114300" distR="114300" simplePos="0" relativeHeight="251806720"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145" name="文本框 146"/>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拒绝延期</w:t>
                            </w:r>
                          </w:p>
                        </w:txbxContent>
                      </wps:txbx>
                      <wps:bodyPr upright="1"/>
                    </wps:wsp>
                  </a:graphicData>
                </a:graphic>
              </wp:anchor>
            </w:drawing>
          </mc:Choice>
          <mc:Fallback>
            <w:pict>
              <v:shape id="文本框 146" o:spid="_x0000_s1026" o:spt="202" type="#_x0000_t202" style="position:absolute;left:0pt;margin-left:-9pt;margin-top:3.6pt;height:38.1pt;width:72pt;z-index:251806720;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2pdDx9YA&#10;AAAIAQAADwAAAAAAAAABACAAAAAiAAAAZHJzL2Rvd25yZXYueG1sUEsBAhQAFAAAAAgAh07iQLCg&#10;X2mvAQAAUQMAAA4AAAAAAAAAAQAgAAAAJQ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拒绝延期</w:t>
                      </w:r>
                    </w:p>
                  </w:txbxContent>
                </v:textbox>
              </v:shape>
            </w:pict>
          </mc:Fallback>
        </mc:AlternateContent>
      </w:r>
      <w:r>
        <w:rPr>
          <w:rFonts w:hint="eastAsia" w:ascii="仿宋" w:hAnsi="仿宋" w:eastAsia="仿宋" w:cs="仿宋"/>
          <w:color w:val="auto"/>
          <w:sz w:val="24"/>
          <w:szCs w:val="24"/>
          <w:highlight w:val="none"/>
        </w:rPr>
        <w:t>如果承包人未能在第</w:t>
      </w:r>
      <w:r>
        <w:rPr>
          <w:rFonts w:ascii="仿宋" w:hAnsi="仿宋" w:eastAsia="仿宋" w:cs="仿宋"/>
          <w:color w:val="auto"/>
          <w:sz w:val="24"/>
          <w:szCs w:val="24"/>
          <w:highlight w:val="none"/>
        </w:rPr>
        <w:t>36.4</w:t>
      </w:r>
      <w:r>
        <w:rPr>
          <w:rFonts w:hint="eastAsia" w:ascii="仿宋" w:hAnsi="仿宋" w:eastAsia="仿宋" w:cs="仿宋"/>
          <w:color w:val="auto"/>
          <w:sz w:val="24"/>
          <w:szCs w:val="24"/>
          <w:highlight w:val="none"/>
        </w:rPr>
        <w:t>款和第</w:t>
      </w:r>
      <w:r>
        <w:rPr>
          <w:rFonts w:ascii="仿宋" w:hAnsi="仿宋" w:eastAsia="仿宋" w:cs="仿宋"/>
          <w:color w:val="auto"/>
          <w:sz w:val="24"/>
          <w:szCs w:val="24"/>
          <w:highlight w:val="none"/>
        </w:rPr>
        <w:t>36.5</w:t>
      </w:r>
      <w:r>
        <w:rPr>
          <w:rFonts w:hint="eastAsia" w:ascii="仿宋" w:hAnsi="仿宋" w:eastAsia="仿宋" w:cs="仿宋"/>
          <w:color w:val="auto"/>
          <w:sz w:val="24"/>
          <w:szCs w:val="24"/>
          <w:highlight w:val="none"/>
        </w:rPr>
        <w:t>款（发生时）规定的时间内提交（最终）工期顺延报告和详细资料，则视为该事件不影响施工进度或承包人放弃顺延工期的权利。</w:t>
      </w:r>
      <w:r>
        <w:rPr>
          <w:rFonts w:ascii="仿宋" w:hAnsi="仿宋" w:eastAsia="仿宋" w:cs="仿宋"/>
          <w:color w:val="auto"/>
          <w:sz w:val="24"/>
          <w:szCs w:val="24"/>
          <w:highlight w:val="none"/>
        </w:rPr>
        <w:t xml:space="preserve"> </w:t>
      </w:r>
    </w:p>
    <w:p>
      <w:pPr>
        <w:pStyle w:val="2"/>
        <w:shd w:val="clear" w:color="000000" w:fill="auto"/>
        <w:adjustRightInd w:val="0"/>
        <w:snapToGrid w:val="0"/>
        <w:spacing w:line="360" w:lineRule="auto"/>
        <w:ind w:right="-2"/>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36.7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07744"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146" name="文本框 147"/>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工期顺延的核实与确定</w:t>
                            </w:r>
                          </w:p>
                        </w:txbxContent>
                      </wps:txbx>
                      <wps:bodyPr upright="1"/>
                    </wps:wsp>
                  </a:graphicData>
                </a:graphic>
              </wp:anchor>
            </w:drawing>
          </mc:Choice>
          <mc:Fallback>
            <w:pict>
              <v:shape id="文本框 147" o:spid="_x0000_s1026" o:spt="202" type="#_x0000_t202" style="position:absolute;left:0pt;margin-left:-9pt;margin-top:3.6pt;height:38.1pt;width:72pt;z-index:251807744;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2pdDx9YA&#10;AAAIAQAADwAAAAAAAAABACAAAAAiAAAAZHJzL2Rvd25yZXYueG1sUEsBAhQAFAAAAAgAh07iQIga&#10;/vSvAQAAUQMAAA4AAAAAAAAAAQAgAAAAJQEAAGRycy9lMm9Eb2MueG1sUEsFBgAAAAAGAAYAWQEA&#10;AEYFA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工期顺延的核实与确定</w:t>
                      </w:r>
                    </w:p>
                  </w:txbxContent>
                </v:textbox>
              </v:shape>
            </w:pict>
          </mc:Fallback>
        </mc:AlternateContent>
      </w:r>
      <w:r>
        <w:rPr>
          <w:rFonts w:hint="eastAsia" w:ascii="仿宋" w:hAnsi="仿宋" w:eastAsia="仿宋" w:cs="仿宋"/>
          <w:color w:val="auto"/>
          <w:sz w:val="24"/>
          <w:szCs w:val="24"/>
          <w:highlight w:val="none"/>
        </w:rPr>
        <w:t>监理工程师应在收到承包人按照第</w:t>
      </w:r>
      <w:r>
        <w:rPr>
          <w:rFonts w:ascii="仿宋" w:hAnsi="仿宋" w:eastAsia="仿宋" w:cs="仿宋"/>
          <w:color w:val="auto"/>
          <w:sz w:val="24"/>
          <w:szCs w:val="24"/>
          <w:highlight w:val="none"/>
        </w:rPr>
        <w:t>36.4</w:t>
      </w:r>
      <w:r>
        <w:rPr>
          <w:rFonts w:hint="eastAsia" w:ascii="仿宋" w:hAnsi="仿宋" w:eastAsia="仿宋" w:cs="仿宋"/>
          <w:color w:val="auto"/>
          <w:sz w:val="24"/>
          <w:szCs w:val="24"/>
          <w:highlight w:val="none"/>
        </w:rPr>
        <w:t>款和第</w:t>
      </w:r>
      <w:r>
        <w:rPr>
          <w:rFonts w:ascii="仿宋" w:hAnsi="仿宋" w:eastAsia="仿宋" w:cs="仿宋"/>
          <w:color w:val="auto"/>
          <w:sz w:val="24"/>
          <w:szCs w:val="24"/>
          <w:highlight w:val="none"/>
        </w:rPr>
        <w:t>36.5</w:t>
      </w:r>
      <w:r>
        <w:rPr>
          <w:rFonts w:hint="eastAsia" w:ascii="仿宋" w:hAnsi="仿宋" w:eastAsia="仿宋" w:cs="仿宋"/>
          <w:color w:val="auto"/>
          <w:sz w:val="24"/>
          <w:szCs w:val="24"/>
          <w:highlight w:val="none"/>
        </w:rPr>
        <w:t>款（发生时）规定提交（最终）工期顺延报告和详细资料后的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天内，按照第</w:t>
      </w:r>
      <w:r>
        <w:rPr>
          <w:rFonts w:ascii="仿宋" w:hAnsi="仿宋" w:eastAsia="仿宋" w:cs="仿宋"/>
          <w:color w:val="auto"/>
          <w:sz w:val="24"/>
          <w:szCs w:val="24"/>
          <w:highlight w:val="none"/>
        </w:rPr>
        <w:t>36.3</w:t>
      </w:r>
      <w:r>
        <w:rPr>
          <w:rFonts w:hint="eastAsia" w:ascii="仿宋" w:hAnsi="仿宋" w:eastAsia="仿宋" w:cs="仿宋"/>
          <w:color w:val="auto"/>
          <w:sz w:val="24"/>
          <w:szCs w:val="24"/>
          <w:highlight w:val="none"/>
        </w:rPr>
        <w:t>款规定予以核实，或要求承包人进一步补充顺延工期的理由。合同双方当事人一旦协商确定顺延的工期，发包人应承担由此增加的费用，并向承包人支付合理利润。</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如果监理工程师在收到上述报告和资料后的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天内未予核实也未对承包人作出进一步要求，则视为监理工程师已认可承包人上述报告中提出的顺延工期天数。</w:t>
      </w:r>
    </w:p>
    <w:p>
      <w:pPr>
        <w:pStyle w:val="2"/>
        <w:shd w:val="clear" w:color="000000" w:fill="auto"/>
        <w:adjustRightInd w:val="0"/>
        <w:snapToGrid w:val="0"/>
        <w:spacing w:line="360" w:lineRule="auto"/>
        <w:ind w:left="1626" w:leftChars="1" w:hanging="1624" w:hangingChars="674"/>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36.8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08768" behindDoc="0" locked="0" layoutInCell="1" allowOverlap="1">
                <wp:simplePos x="0" y="0"/>
                <wp:positionH relativeFrom="column">
                  <wp:posOffset>-114300</wp:posOffset>
                </wp:positionH>
                <wp:positionV relativeFrom="paragraph">
                  <wp:posOffset>45720</wp:posOffset>
                </wp:positionV>
                <wp:extent cx="914400" cy="593725"/>
                <wp:effectExtent l="0" t="0" r="0" b="0"/>
                <wp:wrapNone/>
                <wp:docPr id="147" name="文本框 148"/>
                <wp:cNvGraphicFramePr/>
                <a:graphic xmlns:a="http://schemas.openxmlformats.org/drawingml/2006/main">
                  <a:graphicData uri="http://schemas.microsoft.com/office/word/2010/wordprocessingShape">
                    <wps:wsp>
                      <wps:cNvSpPr txBox="1"/>
                      <wps:spPr>
                        <a:xfrm>
                          <a:off x="0" y="0"/>
                          <a:ext cx="914400" cy="59372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承包人误期的赔偿、责任承担</w:t>
                            </w:r>
                          </w:p>
                        </w:txbxContent>
                      </wps:txbx>
                      <wps:bodyPr upright="1"/>
                    </wps:wsp>
                  </a:graphicData>
                </a:graphic>
              </wp:anchor>
            </w:drawing>
          </mc:Choice>
          <mc:Fallback>
            <w:pict>
              <v:shape id="文本框 148" o:spid="_x0000_s1026" o:spt="202" type="#_x0000_t202" style="position:absolute;left:0pt;margin-left:-9pt;margin-top:3.6pt;height:46.75pt;width:72pt;z-index:251808768;mso-width-relative:page;mso-height-relative:page;" filled="f" stroked="f" coordsize="21600,21600" o:gfxdata="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O4qOK/W&#10;AAAACQEAAA8AAAAAAAAAAQAgAAAAIgAAAGRycy9kb3ducmV2LnhtbFBLAQIUABQAAAAIAIdO4kDS&#10;wHJ4sAEAAFEDAAAOAAAAAAAAAAEAIAAAACUBAABkcnMvZTJvRG9jLnhtbFBLBQYAAAAABgAGAFkB&#10;AABH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承包人误期的赔偿、责任承担</w:t>
                      </w:r>
                    </w:p>
                  </w:txbxContent>
                </v:textbox>
              </v:shape>
            </w:pict>
          </mc:Fallback>
        </mc:AlternateContent>
      </w:r>
      <w:r>
        <w:rPr>
          <w:rFonts w:hint="eastAsia" w:ascii="仿宋" w:hAnsi="仿宋" w:eastAsia="仿宋" w:cs="仿宋"/>
          <w:color w:val="auto"/>
          <w:sz w:val="24"/>
          <w:szCs w:val="24"/>
          <w:highlight w:val="none"/>
        </w:rPr>
        <w:t>承包人未能按照合同进度计划完成工作，或因承包人的原因造成工期延误，发包人可按照本条规定的时限和第</w:t>
      </w:r>
      <w:r>
        <w:rPr>
          <w:rFonts w:ascii="仿宋" w:hAnsi="仿宋" w:eastAsia="仿宋" w:cs="仿宋"/>
          <w:color w:val="auto"/>
          <w:sz w:val="24"/>
          <w:szCs w:val="24"/>
          <w:highlight w:val="none"/>
        </w:rPr>
        <w:t>66.2</w:t>
      </w:r>
      <w:r>
        <w:rPr>
          <w:rFonts w:hint="eastAsia" w:ascii="仿宋" w:hAnsi="仿宋" w:eastAsia="仿宋" w:cs="仿宋"/>
          <w:color w:val="auto"/>
          <w:sz w:val="24"/>
          <w:szCs w:val="24"/>
          <w:highlight w:val="none"/>
        </w:rPr>
        <w:t>款规定要求承包人支付该支付期的误期赔偿费。</w:t>
      </w:r>
    </w:p>
    <w:p>
      <w:pPr>
        <w:shd w:val="clear" w:color="000000" w:fill="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36.9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75008" behindDoc="0" locked="0" layoutInCell="1" allowOverlap="1">
                <wp:simplePos x="0" y="0"/>
                <wp:positionH relativeFrom="column">
                  <wp:posOffset>-64770</wp:posOffset>
                </wp:positionH>
                <wp:positionV relativeFrom="paragraph">
                  <wp:posOffset>65405</wp:posOffset>
                </wp:positionV>
                <wp:extent cx="923290" cy="454025"/>
                <wp:effectExtent l="0" t="0" r="0" b="0"/>
                <wp:wrapNone/>
                <wp:docPr id="407" name="文本框 149"/>
                <wp:cNvGraphicFramePr/>
                <a:graphic xmlns:a="http://schemas.openxmlformats.org/drawingml/2006/main">
                  <a:graphicData uri="http://schemas.microsoft.com/office/word/2010/wordprocessingShape">
                    <wps:wsp>
                      <wps:cNvSpPr txBox="1"/>
                      <wps:spPr>
                        <a:xfrm>
                          <a:off x="0" y="0"/>
                          <a:ext cx="923290" cy="454025"/>
                        </a:xfrm>
                        <a:prstGeom prst="rect">
                          <a:avLst/>
                        </a:prstGeom>
                        <a:noFill/>
                        <a:ln>
                          <a:noFill/>
                        </a:ln>
                      </wps:spPr>
                      <wps:txbx>
                        <w:txbxContent>
                          <w:p>
                            <w:pPr>
                              <w:spacing w:line="240" w:lineRule="exact"/>
                              <w:rPr>
                                <w:rFonts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r>
                              <w:rPr>
                                <w:rFonts w:ascii="楷体_GB2312" w:hAnsi="宋体" w:eastAsia="楷体_GB2312" w:cs="楷体_GB2312"/>
                                <w:b/>
                                <w:bCs/>
                                <w:sz w:val="18"/>
                                <w:szCs w:val="18"/>
                              </w:rPr>
                              <w:t xml:space="preserve">           </w:t>
                            </w:r>
                          </w:p>
                        </w:txbxContent>
                      </wps:txbx>
                      <wps:bodyPr upright="1"/>
                    </wps:wsp>
                  </a:graphicData>
                </a:graphic>
              </wp:anchor>
            </w:drawing>
          </mc:Choice>
          <mc:Fallback>
            <w:pict>
              <v:shape id="文本框 149" o:spid="_x0000_s1026" o:spt="202" type="#_x0000_t202" style="position:absolute;left:0pt;margin-left:-5.1pt;margin-top:5.15pt;height:35.75pt;width:72.7pt;z-index:252075008;mso-width-relative:page;mso-height-relative:page;" filled="f" stroked="f" coordsize="21600,21600" o:gfxdata="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Gtiuj1QAA&#10;AAkBAAAPAAAAAAAAAAEAIAAAACIAAABkcnMvZG93bnJldi54bWxQSwECFAAUAAAACACHTuJAjfcQ&#10;kK8BAABRAwAADgAAAAAAAAABACAAAAAkAQAAZHJzL2Uyb0RvYy54bWxQSwUGAAAAAAYABgBZAQAA&#10;RQUAAAAA&#10;">
                <v:fill on="f" focussize="0,0"/>
                <v:stroke on="f"/>
                <v:imagedata o:title=""/>
                <o:lock v:ext="edit" aspectratio="f"/>
                <v:textbox>
                  <w:txbxContent>
                    <w:p>
                      <w:pPr>
                        <w:spacing w:line="240" w:lineRule="exact"/>
                        <w:rPr>
                          <w:rFonts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r>
                        <w:rPr>
                          <w:rFonts w:ascii="楷体_GB2312" w:hAnsi="宋体" w:eastAsia="楷体_GB2312" w:cs="楷体_GB2312"/>
                          <w:b/>
                          <w:bCs/>
                          <w:sz w:val="18"/>
                          <w:szCs w:val="18"/>
                        </w:rPr>
                        <w:t xml:space="preserve">           </w:t>
                      </w:r>
                    </w:p>
                  </w:txbxContent>
                </v:textbox>
              </v:shape>
            </w:pict>
          </mc:Fallback>
        </mc:AlternateContent>
      </w:r>
      <w:r>
        <w:rPr>
          <w:rFonts w:hint="eastAsia" w:ascii="仿宋" w:hAnsi="仿宋" w:eastAsia="仿宋" w:cs="仿宋"/>
          <w:color w:val="auto"/>
          <w:sz w:val="24"/>
          <w:szCs w:val="24"/>
          <w:highlight w:val="none"/>
        </w:rPr>
        <w:t>发包人要求的合同工程工期小于定额工期时，按合同工程基准日期实施的赶工措施费规定执行：广东省建设工程计价依据的赶工措施费、广州市住房和城乡建设局或广州市造价管理部门发布的赶工措施费。同时在专用条款中约定具体计算方法。</w:t>
      </w:r>
    </w:p>
    <w:p>
      <w:pPr>
        <w:pStyle w:val="2"/>
        <w:shd w:val="clear" w:color="000000" w:fill="auto"/>
        <w:tabs>
          <w:tab w:val="left" w:pos="540"/>
        </w:tabs>
        <w:adjustRightInd w:val="0"/>
        <w:snapToGrid w:val="0"/>
        <w:spacing w:before="240" w:beforeLines="100" w:line="240" w:lineRule="exact"/>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232" w:name="_Toc10624859"/>
      <w:bookmarkStart w:id="233" w:name="_Toc469384019"/>
      <w:bookmarkStart w:id="234" w:name="_Toc4226"/>
      <w:r>
        <w:rPr>
          <w:rFonts w:ascii="仿宋" w:hAnsi="仿宋" w:eastAsia="仿宋" w:cs="仿宋"/>
          <w:b/>
          <w:bCs/>
          <w:color w:val="auto"/>
          <w:sz w:val="24"/>
          <w:szCs w:val="24"/>
          <w:highlight w:val="none"/>
        </w:rPr>
        <w:t xml:space="preserve">37  </w:t>
      </w:r>
      <w:r>
        <w:rPr>
          <w:rFonts w:hint="eastAsia" w:ascii="仿宋" w:hAnsi="仿宋" w:eastAsia="仿宋" w:cs="仿宋"/>
          <w:b/>
          <w:bCs/>
          <w:color w:val="auto"/>
          <w:sz w:val="24"/>
          <w:szCs w:val="24"/>
          <w:highlight w:val="none"/>
        </w:rPr>
        <w:t>加快进度</w:t>
      </w:r>
      <w:bookmarkEnd w:id="232"/>
      <w:bookmarkEnd w:id="233"/>
      <w:bookmarkEnd w:id="234"/>
    </w:p>
    <w:p>
      <w:pPr>
        <w:pStyle w:val="2"/>
        <w:shd w:val="clear" w:color="000000" w:fill="auto"/>
        <w:tabs>
          <w:tab w:val="left" w:pos="1320"/>
        </w:tabs>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809792" behindDoc="0" locked="0" layoutInCell="1" allowOverlap="1">
                <wp:simplePos x="0" y="0"/>
                <wp:positionH relativeFrom="column">
                  <wp:posOffset>-114300</wp:posOffset>
                </wp:positionH>
                <wp:positionV relativeFrom="paragraph">
                  <wp:posOffset>160655</wp:posOffset>
                </wp:positionV>
                <wp:extent cx="914400" cy="540385"/>
                <wp:effectExtent l="0" t="0" r="0" b="0"/>
                <wp:wrapNone/>
                <wp:docPr id="148" name="文本框 150"/>
                <wp:cNvGraphicFramePr/>
                <a:graphic xmlns:a="http://schemas.openxmlformats.org/drawingml/2006/main">
                  <a:graphicData uri="http://schemas.microsoft.com/office/word/2010/wordprocessingShape">
                    <wps:wsp>
                      <wps:cNvSpPr txBox="1"/>
                      <wps:spPr>
                        <a:xfrm>
                          <a:off x="0" y="0"/>
                          <a:ext cx="914400" cy="540385"/>
                        </a:xfrm>
                        <a:prstGeom prst="rect">
                          <a:avLst/>
                        </a:prstGeom>
                        <a:noFill/>
                        <a:ln>
                          <a:noFill/>
                        </a:ln>
                      </wps:spPr>
                      <wps:txbx>
                        <w:txbxContent>
                          <w:p>
                            <w:pPr>
                              <w:rPr>
                                <w:rFonts w:ascii="宋体" w:cs="Times New Roman"/>
                                <w:sz w:val="18"/>
                                <w:szCs w:val="18"/>
                              </w:rPr>
                            </w:pPr>
                            <w:r>
                              <w:rPr>
                                <w:rFonts w:hint="eastAsia" w:ascii="楷体_GB2312" w:hAnsi="宋体" w:eastAsia="楷体_GB2312" w:cs="楷体_GB2312"/>
                                <w:b/>
                                <w:bCs/>
                                <w:color w:val="000000"/>
                                <w:sz w:val="18"/>
                                <w:szCs w:val="18"/>
                              </w:rPr>
                              <w:t>承包人原因加快进度的要求</w:t>
                            </w:r>
                          </w:p>
                        </w:txbxContent>
                      </wps:txbx>
                      <wps:bodyPr upright="1"/>
                    </wps:wsp>
                  </a:graphicData>
                </a:graphic>
              </wp:anchor>
            </w:drawing>
          </mc:Choice>
          <mc:Fallback>
            <w:pict>
              <v:shape id="文本框 150" o:spid="_x0000_s1026" o:spt="202" type="#_x0000_t202" style="position:absolute;left:0pt;margin-left:-9pt;margin-top:12.65pt;height:42.55pt;width:72pt;z-index:251809792;mso-width-relative:page;mso-height-relative:page;" filled="f" stroked="f" coordsize="21600,21600" o:gfxdata="UEsDBAoAAAAAAIdO4kAAAAAAAAAAAAAAAAAEAAAAZHJzL1BLAwQUAAAACACHTuJAXg0UY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eDRRg1wAA&#10;AAoBAAAPAAAAAAAAAAEAIAAAACIAAABkcnMvZG93bnJldi54bWxQSwECFAAUAAAACACHTuJAYGue&#10;u60BAABRAwAADgAAAAAAAAABACAAAAAmAQAAZHJzL2Uyb0RvYy54bWxQSwUGAAAAAAYABgBZAQAA&#10;RQUAAAAA&#10;">
                <v:fill on="f" focussize="0,0"/>
                <v:stroke on="f"/>
                <v:imagedata o:title=""/>
                <o:lock v:ext="edit" aspectratio="f"/>
                <v:textbox>
                  <w:txbxContent>
                    <w:p>
                      <w:pPr>
                        <w:rPr>
                          <w:rFonts w:ascii="宋体" w:cs="Times New Roman"/>
                          <w:sz w:val="18"/>
                          <w:szCs w:val="18"/>
                        </w:rPr>
                      </w:pPr>
                      <w:r>
                        <w:rPr>
                          <w:rFonts w:hint="eastAsia" w:ascii="楷体_GB2312" w:hAnsi="宋体" w:eastAsia="楷体_GB2312" w:cs="楷体_GB2312"/>
                          <w:b/>
                          <w:bCs/>
                          <w:color w:val="000000"/>
                          <w:sz w:val="18"/>
                          <w:szCs w:val="18"/>
                        </w:rPr>
                        <w:t>承包人原因加快进度的要求</w:t>
                      </w:r>
                    </w:p>
                  </w:txbxContent>
                </v:textbox>
              </v:shape>
            </w:pict>
          </mc:Fallback>
        </mc:AlternateContent>
      </w:r>
      <w:r>
        <w:rPr>
          <w:rFonts w:ascii="仿宋" w:hAnsi="仿宋" w:eastAsia="仿宋" w:cs="仿宋"/>
          <w:b/>
          <w:bCs/>
          <w:color w:val="auto"/>
          <w:sz w:val="24"/>
          <w:szCs w:val="24"/>
          <w:highlight w:val="none"/>
        </w:rPr>
        <w:t xml:space="preserve">37.1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在非发包人延误工期的情况下，如果监理工程师书面指出承包人实施合同工程或其任何部分的进度过慢，迟于进度计划或不能按期竣工，则承包人应按照第</w:t>
      </w:r>
      <w:r>
        <w:rPr>
          <w:rFonts w:ascii="仿宋" w:hAnsi="仿宋" w:eastAsia="仿宋" w:cs="仿宋"/>
          <w:color w:val="auto"/>
          <w:sz w:val="24"/>
          <w:szCs w:val="24"/>
          <w:highlight w:val="none"/>
        </w:rPr>
        <w:t>33.4</w:t>
      </w:r>
      <w:r>
        <w:rPr>
          <w:rFonts w:hint="eastAsia" w:ascii="仿宋" w:hAnsi="仿宋" w:eastAsia="仿宋" w:cs="仿宋"/>
          <w:color w:val="auto"/>
          <w:sz w:val="24"/>
          <w:szCs w:val="24"/>
          <w:highlight w:val="none"/>
        </w:rPr>
        <w:t>款规定采取改进措施，加快工程进度。</w:t>
      </w:r>
      <w:r>
        <w:rPr>
          <w:rFonts w:ascii="仿宋" w:hAnsi="仿宋" w:eastAsia="仿宋" w:cs="Times New Roman"/>
          <w:color w:val="auto"/>
          <w:sz w:val="24"/>
          <w:szCs w:val="24"/>
          <w:highlight w:val="none"/>
        </w:rPr>
        <w:br w:type="textWrapping"/>
      </w:r>
      <w:r>
        <w:rPr>
          <w:rFonts w:hint="eastAsia" w:ascii="仿宋" w:hAnsi="仿宋" w:eastAsia="仿宋" w:cs="仿宋"/>
          <w:color w:val="auto"/>
          <w:sz w:val="24"/>
          <w:szCs w:val="24"/>
          <w:highlight w:val="none"/>
        </w:rPr>
        <w:t>如果承包人在接到监理工程师通知后的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天内，未能采取加快工程进度的措施，致使实际进度进一步延迟；或承包人虽然采取了改进措施，仍无法按期竣工，监理工程师应立即报告发包人，并抄送承包人。发包人可按照第</w:t>
      </w:r>
      <w:r>
        <w:rPr>
          <w:rFonts w:ascii="仿宋" w:hAnsi="仿宋" w:eastAsia="仿宋" w:cs="仿宋"/>
          <w:color w:val="auto"/>
          <w:sz w:val="24"/>
          <w:szCs w:val="24"/>
          <w:highlight w:val="none"/>
        </w:rPr>
        <w:t>87.3</w:t>
      </w:r>
      <w:r>
        <w:rPr>
          <w:rFonts w:hint="eastAsia" w:ascii="仿宋" w:hAnsi="仿宋" w:eastAsia="仿宋" w:cs="仿宋"/>
          <w:color w:val="auto"/>
          <w:sz w:val="24"/>
          <w:szCs w:val="24"/>
          <w:highlight w:val="none"/>
        </w:rPr>
        <w:t>款规定解除合同，也可将合同工程中的一部分工作交由第三方完成，由此增加的一切费用由承包人承担。即使承包人承担增加的费用，也不能免除其按照合同约定应承担的任何责任和应履行的任何义务。</w:t>
      </w:r>
      <w:r>
        <w:rPr>
          <w:rFonts w:ascii="仿宋" w:hAnsi="仿宋" w:eastAsia="仿宋" w:cs="仿宋"/>
          <w:color w:val="auto"/>
          <w:sz w:val="24"/>
          <w:szCs w:val="24"/>
          <w:highlight w:val="none"/>
        </w:rPr>
        <w:t xml:space="preserve"> </w:t>
      </w:r>
    </w:p>
    <w:p>
      <w:pPr>
        <w:pStyle w:val="2"/>
        <w:shd w:val="clear" w:color="000000" w:fill="auto"/>
        <w:tabs>
          <w:tab w:val="left" w:pos="1320"/>
        </w:tabs>
        <w:adjustRightInd w:val="0"/>
        <w:snapToGrid w:val="0"/>
        <w:spacing w:line="360" w:lineRule="auto"/>
        <w:rPr>
          <w:rFonts w:ascii="仿宋" w:hAnsi="仿宋" w:eastAsia="仿宋" w:cs="仿宋"/>
          <w:b/>
          <w:bCs/>
          <w:color w:val="auto"/>
          <w:sz w:val="24"/>
          <w:szCs w:val="24"/>
          <w:highlight w:val="none"/>
          <w:u w:val="dotted"/>
        </w:rPr>
      </w:pPr>
      <w:r>
        <w:rPr>
          <w:color w:val="auto"/>
          <w:highlight w:val="none"/>
        </w:rPr>
        <mc:AlternateContent>
          <mc:Choice Requires="wps">
            <w:drawing>
              <wp:anchor distT="0" distB="0" distL="114300" distR="114300" simplePos="0" relativeHeight="251810816" behindDoc="0" locked="0" layoutInCell="1" allowOverlap="1">
                <wp:simplePos x="0" y="0"/>
                <wp:positionH relativeFrom="column">
                  <wp:posOffset>-114300</wp:posOffset>
                </wp:positionH>
                <wp:positionV relativeFrom="paragraph">
                  <wp:posOffset>278130</wp:posOffset>
                </wp:positionV>
                <wp:extent cx="914400" cy="494665"/>
                <wp:effectExtent l="0" t="0" r="0" b="0"/>
                <wp:wrapNone/>
                <wp:docPr id="149" name="文本框 151"/>
                <wp:cNvGraphicFramePr/>
                <a:graphic xmlns:a="http://schemas.openxmlformats.org/drawingml/2006/main">
                  <a:graphicData uri="http://schemas.microsoft.com/office/word/2010/wordprocessingShape">
                    <wps:wsp>
                      <wps:cNvSpPr txBox="1"/>
                      <wps:spPr>
                        <a:xfrm>
                          <a:off x="0" y="0"/>
                          <a:ext cx="914400" cy="49466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发包人原因加快进度的要求</w:t>
                            </w:r>
                          </w:p>
                        </w:txbxContent>
                      </wps:txbx>
                      <wps:bodyPr upright="1"/>
                    </wps:wsp>
                  </a:graphicData>
                </a:graphic>
              </wp:anchor>
            </w:drawing>
          </mc:Choice>
          <mc:Fallback>
            <w:pict>
              <v:shape id="文本框 151" o:spid="_x0000_s1026" o:spt="202" type="#_x0000_t202" style="position:absolute;left:0pt;margin-left:-9pt;margin-top:21.9pt;height:38.95pt;width:72pt;z-index:251810816;mso-width-relative:page;mso-height-relative:page;" filled="f" stroked="f" coordsize="21600,21600" o:gfxdata="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Wfa7zX&#10;AAAACgEAAA8AAAAAAAAAAQAgAAAAIgAAAGRycy9kb3ducmV2LnhtbFBLAQIUABQAAAAIAIdO4kA/&#10;H/vtrwEAAFEDAAAOAAAAAAAAAAEAIAAAACYBAABkcnMvZTJvRG9jLnhtbFBLBQYAAAAABgAGAFkB&#10;AABH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发包人原因加快进度的要求</w:t>
                      </w:r>
                    </w:p>
                  </w:txbxContent>
                </v:textbox>
              </v:shape>
            </w:pict>
          </mc:Fallback>
        </mc:AlternateContent>
      </w:r>
      <w:r>
        <w:rPr>
          <w:rFonts w:ascii="仿宋" w:hAnsi="仿宋" w:eastAsia="仿宋" w:cs="仿宋"/>
          <w:b/>
          <w:bCs/>
          <w:color w:val="auto"/>
          <w:sz w:val="24"/>
          <w:szCs w:val="24"/>
          <w:highlight w:val="none"/>
        </w:rPr>
        <w:t xml:space="preserve">37.2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如果发包人希望承包人提前竣工，那么发包人可要求承包人提交为加快进度而编制的提前竣工建议书。承包人应在接到发包人要求后的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天内完成编制并向发包人提交提前竣工建议书，该建议书的内容至少应包括：</w:t>
      </w:r>
    </w:p>
    <w:p>
      <w:pPr>
        <w:pStyle w:val="2"/>
        <w:numPr>
          <w:ilvl w:val="0"/>
          <w:numId w:val="15"/>
        </w:numPr>
        <w:shd w:val="clear" w:color="000000" w:fill="auto"/>
        <w:tabs>
          <w:tab w:val="left" w:pos="1980"/>
        </w:tabs>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加快进度拟采取的措施；</w:t>
      </w:r>
    </w:p>
    <w:p>
      <w:pPr>
        <w:pStyle w:val="2"/>
        <w:numPr>
          <w:ilvl w:val="0"/>
          <w:numId w:val="15"/>
        </w:numPr>
        <w:shd w:val="clear" w:color="000000" w:fill="auto"/>
        <w:tabs>
          <w:tab w:val="left" w:pos="1980"/>
        </w:tabs>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加快进度后的进度计划</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以及与原计划的对比；</w:t>
      </w:r>
    </w:p>
    <w:p>
      <w:pPr>
        <w:pStyle w:val="2"/>
        <w:numPr>
          <w:ilvl w:val="0"/>
          <w:numId w:val="15"/>
        </w:numPr>
        <w:shd w:val="clear" w:color="000000" w:fill="auto"/>
        <w:tabs>
          <w:tab w:val="left" w:pos="1980"/>
        </w:tabs>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加快进度所需的合同价款增加额（含第</w:t>
      </w:r>
      <w:r>
        <w:rPr>
          <w:rFonts w:ascii="仿宋" w:hAnsi="仿宋" w:eastAsia="仿宋" w:cs="仿宋"/>
          <w:color w:val="auto"/>
          <w:sz w:val="24"/>
          <w:szCs w:val="24"/>
          <w:highlight w:val="none"/>
        </w:rPr>
        <w:t>66.1</w:t>
      </w:r>
      <w:r>
        <w:rPr>
          <w:rFonts w:hint="eastAsia" w:ascii="仿宋" w:hAnsi="仿宋" w:eastAsia="仿宋" w:cs="仿宋"/>
          <w:color w:val="auto"/>
          <w:sz w:val="24"/>
          <w:szCs w:val="24"/>
          <w:highlight w:val="none"/>
        </w:rPr>
        <w:t>款规定的提前竣工奖）。该增加额按照第</w:t>
      </w:r>
      <w:r>
        <w:rPr>
          <w:rFonts w:ascii="仿宋" w:hAnsi="仿宋" w:eastAsia="仿宋" w:cs="仿宋"/>
          <w:color w:val="auto"/>
          <w:sz w:val="24"/>
          <w:szCs w:val="24"/>
          <w:highlight w:val="none"/>
        </w:rPr>
        <w:t>72.2</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72.3</w:t>
      </w:r>
      <w:r>
        <w:rPr>
          <w:rFonts w:hint="eastAsia" w:ascii="仿宋" w:hAnsi="仿宋" w:eastAsia="仿宋" w:cs="仿宋"/>
          <w:color w:val="auto"/>
          <w:sz w:val="24"/>
          <w:szCs w:val="24"/>
          <w:highlight w:val="none"/>
        </w:rPr>
        <w:t>款和第</w:t>
      </w:r>
      <w:r>
        <w:rPr>
          <w:rFonts w:ascii="仿宋" w:hAnsi="仿宋" w:eastAsia="仿宋" w:cs="仿宋"/>
          <w:color w:val="auto"/>
          <w:sz w:val="24"/>
          <w:szCs w:val="24"/>
          <w:highlight w:val="none"/>
        </w:rPr>
        <w:t>72.5</w:t>
      </w:r>
      <w:r>
        <w:rPr>
          <w:rFonts w:hint="eastAsia" w:ascii="仿宋" w:hAnsi="仿宋" w:eastAsia="仿宋" w:cs="仿宋"/>
          <w:color w:val="auto"/>
          <w:sz w:val="24"/>
          <w:szCs w:val="24"/>
          <w:highlight w:val="none"/>
        </w:rPr>
        <w:t>款规定计算。</w:t>
      </w:r>
    </w:p>
    <w:p>
      <w:pPr>
        <w:pStyle w:val="2"/>
        <w:shd w:val="clear" w:color="000000" w:fill="auto"/>
        <w:adjustRightInd w:val="0"/>
        <w:snapToGrid w:val="0"/>
        <w:spacing w:line="360" w:lineRule="auto"/>
        <w:ind w:left="1617" w:leftChars="770"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发包人应在接到建议书后的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天内予以答复。如果发包人接受了该建议书，则监理工程师应以书面形式发出变更指令，相应调整工期；造价工程师应核实并相应调整合同价款。</w:t>
      </w:r>
    </w:p>
    <w:p>
      <w:pPr>
        <w:pStyle w:val="2"/>
        <w:shd w:val="clear" w:color="000000" w:fill="auto"/>
        <w:adjustRightInd w:val="0"/>
        <w:snapToGrid w:val="0"/>
        <w:spacing w:line="240" w:lineRule="exact"/>
        <w:ind w:right="-24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235" w:name="_Toc469384020"/>
      <w:bookmarkStart w:id="236" w:name="_Toc22095"/>
      <w:bookmarkStart w:id="237" w:name="_Toc10624860"/>
      <w:r>
        <w:rPr>
          <w:rFonts w:ascii="仿宋" w:hAnsi="仿宋" w:eastAsia="仿宋" w:cs="仿宋"/>
          <w:b/>
          <w:bCs/>
          <w:color w:val="auto"/>
          <w:sz w:val="24"/>
          <w:szCs w:val="24"/>
          <w:highlight w:val="none"/>
        </w:rPr>
        <w:t xml:space="preserve">38  </w:t>
      </w:r>
      <w:r>
        <w:rPr>
          <w:rFonts w:hint="eastAsia" w:ascii="仿宋" w:hAnsi="仿宋" w:eastAsia="仿宋" w:cs="仿宋"/>
          <w:b/>
          <w:bCs/>
          <w:color w:val="auto"/>
          <w:sz w:val="24"/>
          <w:szCs w:val="24"/>
          <w:highlight w:val="none"/>
        </w:rPr>
        <w:t>竣工日期</w:t>
      </w:r>
      <w:bookmarkEnd w:id="235"/>
      <w:bookmarkEnd w:id="236"/>
      <w:bookmarkEnd w:id="237"/>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811840" behindDoc="0" locked="0" layoutInCell="1" allowOverlap="1">
                <wp:simplePos x="0" y="0"/>
                <wp:positionH relativeFrom="column">
                  <wp:posOffset>-133350</wp:posOffset>
                </wp:positionH>
                <wp:positionV relativeFrom="paragraph">
                  <wp:posOffset>135890</wp:posOffset>
                </wp:positionV>
                <wp:extent cx="977900" cy="396240"/>
                <wp:effectExtent l="0" t="0" r="0" b="0"/>
                <wp:wrapNone/>
                <wp:docPr id="150" name="文本框 152"/>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约定计划竣工日期</w:t>
                            </w:r>
                          </w:p>
                        </w:txbxContent>
                      </wps:txbx>
                      <wps:bodyPr upright="1"/>
                    </wps:wsp>
                  </a:graphicData>
                </a:graphic>
              </wp:anchor>
            </w:drawing>
          </mc:Choice>
          <mc:Fallback>
            <w:pict>
              <v:shape id="文本框 152" o:spid="_x0000_s1026" o:spt="202" type="#_x0000_t202" style="position:absolute;left:0pt;margin-left:-10.5pt;margin-top:10.7pt;height:31.2pt;width:77pt;z-index:251811840;mso-width-relative:page;mso-height-relative:page;" filled="f" stroked="f" coordsize="21600,21600" o:gfxdata="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o4dVfX&#10;AAAACQEAAA8AAAAAAAAAAQAgAAAAIgAAAGRycy9kb3ducmV2LnhtbFBLAQIUABQAAAAIAIdO4kAD&#10;dvXKrwEAAFEDAAAOAAAAAAAAAAEAIAAAACYBAABkcnMvZTJvRG9jLnhtbFBLBQYAAAAABgAGAFkB&#10;AABH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约定计划竣工日期</w:t>
                      </w:r>
                    </w:p>
                  </w:txbxContent>
                </v:textbox>
              </v:shape>
            </w:pict>
          </mc:Fallback>
        </mc:AlternateContent>
      </w:r>
      <w:r>
        <w:rPr>
          <w:rFonts w:ascii="仿宋" w:hAnsi="仿宋" w:eastAsia="仿宋" w:cs="仿宋"/>
          <w:b/>
          <w:bCs/>
          <w:color w:val="auto"/>
          <w:sz w:val="24"/>
          <w:szCs w:val="24"/>
          <w:highlight w:val="none"/>
        </w:rPr>
        <w:t xml:space="preserve">38.1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合同双方当事人应在协议书和专用条款中约定合同工程的计划竣工日期。</w:t>
      </w:r>
    </w:p>
    <w:p>
      <w:pPr>
        <w:pStyle w:val="2"/>
        <w:shd w:val="clear" w:color="000000" w:fill="auto"/>
        <w:adjustRightInd w:val="0"/>
        <w:snapToGrid w:val="0"/>
        <w:spacing w:line="36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38.2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12864"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151" name="文本框 153"/>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实际竣工日期的确定</w:t>
                            </w:r>
                          </w:p>
                        </w:txbxContent>
                      </wps:txbx>
                      <wps:bodyPr upright="1"/>
                    </wps:wsp>
                  </a:graphicData>
                </a:graphic>
              </wp:anchor>
            </w:drawing>
          </mc:Choice>
          <mc:Fallback>
            <w:pict>
              <v:shape id="文本框 153" o:spid="_x0000_s1026" o:spt="202" type="#_x0000_t202" style="position:absolute;left:0pt;margin-left:-9pt;margin-top:0.45pt;height:31.2pt;width:77pt;z-index:251812864;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JmhxtUA&#10;AAAHAQAADwAAAAAAAAABACAAAAAiAAAAZHJzL2Rvd25yZXYueG1sUEsBAhQAFAAAAAgAh07iQCCP&#10;i2KwAQAAUQMAAA4AAAAAAAAAAQAgAAAAJA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实际竣工日期的确定</w:t>
                      </w:r>
                    </w:p>
                  </w:txbxContent>
                </v:textbox>
              </v:shape>
            </w:pict>
          </mc:Fallback>
        </mc:AlternateContent>
      </w:r>
      <w:r>
        <w:rPr>
          <w:rFonts w:hint="eastAsia" w:ascii="仿宋" w:hAnsi="仿宋" w:eastAsia="仿宋" w:cs="仿宋"/>
          <w:color w:val="auto"/>
          <w:sz w:val="24"/>
          <w:szCs w:val="24"/>
          <w:highlight w:val="none"/>
        </w:rPr>
        <w:t>除发生不可抗力事件致使发包人不能按时竣工验收外，实际竣工日期按照下列情况分别确定：</w:t>
      </w:r>
    </w:p>
    <w:p>
      <w:pPr>
        <w:pStyle w:val="2"/>
        <w:numPr>
          <w:ilvl w:val="0"/>
          <w:numId w:val="16"/>
        </w:numPr>
        <w:shd w:val="clear" w:color="000000" w:fill="auto"/>
        <w:tabs>
          <w:tab w:val="left" w:pos="1980"/>
          <w:tab w:val="left" w:pos="2160"/>
        </w:tabs>
        <w:adjustRightInd w:val="0"/>
        <w:snapToGrid w:val="0"/>
        <w:spacing w:line="360" w:lineRule="auto"/>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工程经竣工验收合格的，以承包人提交竣工验收申请报告之日为实际竣工日期；</w:t>
      </w:r>
    </w:p>
    <w:p>
      <w:pPr>
        <w:pStyle w:val="2"/>
        <w:shd w:val="clear" w:color="000000" w:fill="auto"/>
        <w:tabs>
          <w:tab w:val="left" w:pos="1980"/>
          <w:tab w:val="left" w:pos="2160"/>
        </w:tabs>
        <w:adjustRightInd w:val="0"/>
        <w:snapToGrid w:val="0"/>
        <w:spacing w:line="360" w:lineRule="auto"/>
        <w:ind w:left="1613"/>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承包人已按照第</w:t>
      </w:r>
      <w:r>
        <w:rPr>
          <w:rFonts w:ascii="仿宋" w:hAnsi="仿宋" w:eastAsia="仿宋" w:cs="仿宋"/>
          <w:color w:val="auto"/>
          <w:sz w:val="24"/>
          <w:szCs w:val="24"/>
          <w:highlight w:val="none"/>
        </w:rPr>
        <w:t>57.2</w:t>
      </w:r>
      <w:r>
        <w:rPr>
          <w:rFonts w:hint="eastAsia" w:ascii="仿宋" w:hAnsi="仿宋" w:eastAsia="仿宋" w:cs="仿宋"/>
          <w:color w:val="auto"/>
          <w:sz w:val="24"/>
          <w:szCs w:val="24"/>
          <w:highlight w:val="none"/>
        </w:rPr>
        <w:t>款规定提交竣工验收申请报告，但发包人未按照第</w:t>
      </w:r>
      <w:r>
        <w:rPr>
          <w:rFonts w:ascii="仿宋" w:hAnsi="仿宋" w:eastAsia="仿宋" w:cs="仿宋"/>
          <w:color w:val="auto"/>
          <w:sz w:val="24"/>
          <w:szCs w:val="24"/>
          <w:highlight w:val="none"/>
        </w:rPr>
        <w:t>58.3</w:t>
      </w:r>
      <w:r>
        <w:rPr>
          <w:rFonts w:hint="eastAsia" w:ascii="仿宋" w:hAnsi="仿宋" w:eastAsia="仿宋" w:cs="仿宋"/>
          <w:color w:val="auto"/>
          <w:sz w:val="24"/>
          <w:szCs w:val="24"/>
          <w:highlight w:val="none"/>
        </w:rPr>
        <w:t>款规定完成合同工程验收的，以承包人提交竣工验收申请报告之日为实际竣工日期；</w:t>
      </w:r>
    </w:p>
    <w:p>
      <w:pPr>
        <w:pStyle w:val="2"/>
        <w:shd w:val="clear" w:color="000000" w:fill="auto"/>
        <w:tabs>
          <w:tab w:val="left" w:pos="1980"/>
          <w:tab w:val="left" w:pos="2160"/>
        </w:tabs>
        <w:adjustRightInd w:val="0"/>
        <w:snapToGrid w:val="0"/>
        <w:spacing w:line="360" w:lineRule="auto"/>
        <w:ind w:left="1617"/>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工程未经竣工验收，发包人擅自使用的，以转移占有工程之日为实际竣工日期。</w:t>
      </w:r>
    </w:p>
    <w:p>
      <w:pPr>
        <w:pStyle w:val="2"/>
        <w:shd w:val="clear" w:color="000000" w:fill="auto"/>
        <w:adjustRightInd w:val="0"/>
        <w:snapToGrid w:val="0"/>
        <w:spacing w:line="360" w:lineRule="auto"/>
        <w:ind w:left="1626" w:leftChars="1" w:hanging="1624" w:hangingChars="674"/>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38.3  </w:t>
      </w:r>
      <w:r>
        <w:rPr>
          <w:rFonts w:ascii="仿宋" w:hAnsi="仿宋" w:eastAsia="仿宋" w:cs="仿宋"/>
          <w:b/>
          <w:bCs/>
          <w:color w:val="auto"/>
          <w:sz w:val="24"/>
          <w:szCs w:val="24"/>
          <w:highlight w:val="none"/>
          <w:u w:val="dotted"/>
        </w:rPr>
        <w:t xml:space="preserve">                                                                                                        </w:t>
      </w:r>
    </w:p>
    <w:p>
      <w:pPr>
        <w:pStyle w:val="13"/>
        <w:shd w:val="clear" w:color="000000" w:fill="auto"/>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13888" behindDoc="0" locked="0" layoutInCell="1" allowOverlap="1">
                <wp:simplePos x="0" y="0"/>
                <wp:positionH relativeFrom="column">
                  <wp:posOffset>-114300</wp:posOffset>
                </wp:positionH>
                <wp:positionV relativeFrom="paragraph">
                  <wp:posOffset>47625</wp:posOffset>
                </wp:positionV>
                <wp:extent cx="914400" cy="455930"/>
                <wp:effectExtent l="0" t="0" r="0" b="0"/>
                <wp:wrapNone/>
                <wp:docPr id="152" name="文本框 154"/>
                <wp:cNvGraphicFramePr/>
                <a:graphic xmlns:a="http://schemas.openxmlformats.org/drawingml/2006/main">
                  <a:graphicData uri="http://schemas.microsoft.com/office/word/2010/wordprocessingShape">
                    <wps:wsp>
                      <wps:cNvSpPr txBox="1"/>
                      <wps:spPr>
                        <a:xfrm>
                          <a:off x="0" y="0"/>
                          <a:ext cx="914400" cy="45593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延迟竣工的责任</w:t>
                            </w:r>
                          </w:p>
                        </w:txbxContent>
                      </wps:txbx>
                      <wps:bodyPr upright="1"/>
                    </wps:wsp>
                  </a:graphicData>
                </a:graphic>
              </wp:anchor>
            </w:drawing>
          </mc:Choice>
          <mc:Fallback>
            <w:pict>
              <v:shape id="文本框 154" o:spid="_x0000_s1026" o:spt="202" type="#_x0000_t202" style="position:absolute;left:0pt;margin-left:-9pt;margin-top:3.75pt;height:35.9pt;width:72pt;z-index:251813888;mso-width-relative:page;mso-height-relative:page;" filled="f" stroked="f" coordsize="21600,21600" o:gfxdata="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6BDNytUA&#10;AAAIAQAADwAAAAAAAAABACAAAAAiAAAAZHJzL2Rvd25yZXYueG1sUEsBAhQAFAAAAAgAh07iQKrG&#10;0xawAQAAUQMAAA4AAAAAAAAAAQAgAAAAJA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延迟竣工的责任</w:t>
                      </w:r>
                    </w:p>
                  </w:txbxContent>
                </v:textbox>
              </v:shape>
            </w:pict>
          </mc:Fallback>
        </mc:AlternateContent>
      </w:r>
      <w:r>
        <w:rPr>
          <w:rFonts w:hint="eastAsia" w:ascii="仿宋" w:hAnsi="仿宋" w:eastAsia="仿宋" w:cs="仿宋"/>
          <w:color w:val="auto"/>
          <w:sz w:val="24"/>
          <w:szCs w:val="24"/>
          <w:highlight w:val="none"/>
        </w:rPr>
        <w:t>因发包人的原因导致实际竣工日期迟于计划竣工日期的，发包人应承担由此增加的费用和（或）延误的工期，并向承包人支付合理利润。</w:t>
      </w:r>
    </w:p>
    <w:p>
      <w:pPr>
        <w:shd w:val="clear" w:color="000000" w:fill="auto"/>
        <w:spacing w:line="360" w:lineRule="auto"/>
        <w:ind w:left="1619" w:leftChars="771" w:firstLine="60" w:firstLineChars="25"/>
        <w:rPr>
          <w:rFonts w:ascii="仿宋" w:hAnsi="仿宋" w:eastAsia="仿宋" w:cs="Times New Roman"/>
          <w:caps/>
          <w:color w:val="auto"/>
          <w:sz w:val="24"/>
          <w:szCs w:val="24"/>
          <w:highlight w:val="none"/>
        </w:rPr>
      </w:pPr>
      <w:r>
        <w:rPr>
          <w:rFonts w:hint="eastAsia" w:ascii="仿宋" w:hAnsi="仿宋" w:eastAsia="仿宋" w:cs="仿宋"/>
          <w:color w:val="auto"/>
          <w:sz w:val="24"/>
          <w:szCs w:val="24"/>
          <w:highlight w:val="none"/>
        </w:rPr>
        <w:t>因承包人的原因导致实际竣工日期迟于计划竣工日期的，承包人应按照第</w:t>
      </w:r>
      <w:r>
        <w:rPr>
          <w:rFonts w:ascii="仿宋" w:hAnsi="仿宋" w:eastAsia="仿宋" w:cs="仿宋"/>
          <w:color w:val="auto"/>
          <w:sz w:val="24"/>
          <w:szCs w:val="24"/>
          <w:highlight w:val="none"/>
        </w:rPr>
        <w:t>40</w:t>
      </w:r>
      <w:r>
        <w:rPr>
          <w:rFonts w:hint="eastAsia" w:ascii="仿宋" w:hAnsi="仿宋" w:eastAsia="仿宋" w:cs="仿宋"/>
          <w:color w:val="auto"/>
          <w:sz w:val="24"/>
          <w:szCs w:val="24"/>
          <w:highlight w:val="none"/>
        </w:rPr>
        <w:t>条规定</w:t>
      </w:r>
      <w:r>
        <w:rPr>
          <w:rFonts w:hint="eastAsia" w:ascii="仿宋" w:hAnsi="仿宋" w:eastAsia="仿宋" w:cs="仿宋"/>
          <w:caps/>
          <w:color w:val="auto"/>
          <w:sz w:val="24"/>
          <w:szCs w:val="24"/>
          <w:highlight w:val="none"/>
        </w:rPr>
        <w:t>赔偿发包人由此造成的损失，并向发包人支付误期赔偿费。</w:t>
      </w:r>
    </w:p>
    <w:p>
      <w:pPr>
        <w:shd w:val="clear" w:color="000000" w:fill="auto"/>
        <w:rPr>
          <w:rFonts w:ascii="仿宋" w:hAnsi="仿宋" w:eastAsia="仿宋" w:cs="仿宋"/>
          <w:caps/>
          <w:color w:val="auto"/>
          <w:sz w:val="24"/>
          <w:szCs w:val="24"/>
          <w:highlight w:val="none"/>
          <w:u w:val="single"/>
        </w:rPr>
      </w:pPr>
      <w:r>
        <w:rPr>
          <w:rFonts w:ascii="仿宋" w:hAnsi="仿宋" w:eastAsia="仿宋" w:cs="仿宋"/>
          <w:b/>
          <w:bCs/>
          <w:caps/>
          <w:color w:val="auto"/>
          <w:sz w:val="24"/>
          <w:szCs w:val="24"/>
          <w:highlight w:val="none"/>
          <w:u w:val="single"/>
        </w:rPr>
        <w:t xml:space="preserve">                                                                                    </w:t>
      </w:r>
      <w:r>
        <w:rPr>
          <w:rFonts w:ascii="仿宋" w:hAnsi="仿宋" w:eastAsia="仿宋" w:cs="仿宋"/>
          <w:cap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outlineLvl w:val="2"/>
        <w:rPr>
          <w:rFonts w:ascii="仿宋" w:hAnsi="仿宋" w:eastAsia="仿宋" w:cs="Times New Roman"/>
          <w:b/>
          <w:bCs/>
          <w:color w:val="auto"/>
          <w:sz w:val="24"/>
          <w:szCs w:val="24"/>
          <w:highlight w:val="none"/>
        </w:rPr>
      </w:pPr>
      <w:bookmarkStart w:id="238" w:name="_Toc10624861"/>
      <w:bookmarkStart w:id="239" w:name="_Toc469384021"/>
      <w:bookmarkStart w:id="240" w:name="_Toc200"/>
      <w:r>
        <w:rPr>
          <w:rFonts w:ascii="仿宋" w:hAnsi="仿宋" w:eastAsia="仿宋" w:cs="仿宋"/>
          <w:b/>
          <w:bCs/>
          <w:color w:val="auto"/>
          <w:sz w:val="24"/>
          <w:szCs w:val="24"/>
          <w:highlight w:val="none"/>
        </w:rPr>
        <w:t xml:space="preserve">39  </w:t>
      </w:r>
      <w:r>
        <w:rPr>
          <w:rFonts w:hint="eastAsia" w:ascii="仿宋" w:hAnsi="仿宋" w:eastAsia="仿宋" w:cs="仿宋"/>
          <w:b/>
          <w:bCs/>
          <w:color w:val="auto"/>
          <w:sz w:val="24"/>
          <w:szCs w:val="24"/>
          <w:highlight w:val="none"/>
        </w:rPr>
        <w:t>提前竣工</w:t>
      </w:r>
      <w:bookmarkEnd w:id="238"/>
      <w:bookmarkEnd w:id="239"/>
      <w:bookmarkEnd w:id="240"/>
    </w:p>
    <w:p>
      <w:pPr>
        <w:pStyle w:val="2"/>
        <w:shd w:val="clear" w:color="000000" w:fill="auto"/>
        <w:adjustRightInd w:val="0"/>
        <w:snapToGrid w:val="0"/>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39.1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14912" behindDoc="0" locked="0" layoutInCell="1" allowOverlap="1">
                <wp:simplePos x="0" y="0"/>
                <wp:positionH relativeFrom="column">
                  <wp:posOffset>-66675</wp:posOffset>
                </wp:positionH>
                <wp:positionV relativeFrom="paragraph">
                  <wp:posOffset>30480</wp:posOffset>
                </wp:positionV>
                <wp:extent cx="977900" cy="396240"/>
                <wp:effectExtent l="0" t="0" r="0" b="0"/>
                <wp:wrapNone/>
                <wp:docPr id="153" name="文本框 155"/>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提前竣工的要求</w:t>
                            </w:r>
                          </w:p>
                        </w:txbxContent>
                      </wps:txbx>
                      <wps:bodyPr upright="1"/>
                    </wps:wsp>
                  </a:graphicData>
                </a:graphic>
              </wp:anchor>
            </w:drawing>
          </mc:Choice>
          <mc:Fallback>
            <w:pict>
              <v:shape id="文本框 155" o:spid="_x0000_s1026" o:spt="202" type="#_x0000_t202" style="position:absolute;left:0pt;margin-left:-5.25pt;margin-top:2.4pt;height:31.2pt;width:77pt;z-index:251814912;mso-width-relative:page;mso-height-relative:page;" filled="f" stroked="f" coordsize="21600,21600" o:gfxdata="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9h0/j9UA&#10;AAAIAQAADwAAAAAAAAABACAAAAAiAAAAZHJzL2Rvd25yZXYueG1sUEsBAhQAFAAAAAgAh07iQF4T&#10;0U6wAQAAUQMAAA4AAAAAAAAAAQAgAAAAJA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提前竣工的要求</w:t>
                      </w:r>
                    </w:p>
                  </w:txbxContent>
                </v:textbox>
              </v:shape>
            </w:pict>
          </mc:Fallback>
        </mc:AlternateContent>
      </w:r>
      <w:r>
        <w:rPr>
          <w:rFonts w:hint="eastAsia" w:ascii="仿宋" w:hAnsi="仿宋" w:eastAsia="仿宋" w:cs="仿宋"/>
          <w:color w:val="auto"/>
          <w:sz w:val="24"/>
          <w:szCs w:val="24"/>
          <w:highlight w:val="none"/>
        </w:rPr>
        <w:t>发包人要求承包人提前竣工，或承包人按照第</w:t>
      </w:r>
      <w:r>
        <w:rPr>
          <w:rFonts w:ascii="仿宋" w:hAnsi="仿宋" w:eastAsia="仿宋" w:cs="仿宋"/>
          <w:color w:val="auto"/>
          <w:sz w:val="24"/>
          <w:szCs w:val="24"/>
          <w:highlight w:val="none"/>
        </w:rPr>
        <w:t>37.2</w:t>
      </w:r>
      <w:r>
        <w:rPr>
          <w:rFonts w:hint="eastAsia" w:ascii="仿宋" w:hAnsi="仿宋" w:eastAsia="仿宋" w:cs="仿宋"/>
          <w:color w:val="auto"/>
          <w:sz w:val="24"/>
          <w:szCs w:val="24"/>
          <w:highlight w:val="none"/>
        </w:rPr>
        <w:t>款规定提交提前竣工建议书为发包人接受的，监理工程师应与承包人商定采取加快工程进度的措施，并修订合同工程进度计划。</w:t>
      </w:r>
    </w:p>
    <w:p>
      <w:pPr>
        <w:pStyle w:val="2"/>
        <w:shd w:val="clear" w:color="000000" w:fill="auto"/>
        <w:adjustRightInd w:val="0"/>
        <w:snapToGrid w:val="0"/>
        <w:spacing w:line="36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39.2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15936"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154" name="文本框 156"/>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提前竣工天数的计算</w:t>
                            </w:r>
                          </w:p>
                        </w:txbxContent>
                      </wps:txbx>
                      <wps:bodyPr upright="1"/>
                    </wps:wsp>
                  </a:graphicData>
                </a:graphic>
              </wp:anchor>
            </w:drawing>
          </mc:Choice>
          <mc:Fallback>
            <w:pict>
              <v:shape id="文本框 156" o:spid="_x0000_s1026" o:spt="202" type="#_x0000_t202" style="position:absolute;left:0pt;margin-left:-9pt;margin-top:0.45pt;height:31.2pt;width:77pt;z-index:251815936;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JmhxtUA&#10;AAAHAQAADwAAAAAAAAABACAAAAAiAAAAZHJzL2Rvd25yZXYueG1sUEsBAhQAFAAAAAgAh07iQEyY&#10;nQawAQAAUQMAAA4AAAAAAAAAAQAgAAAAJA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提前竣工天数的计算</w:t>
                      </w:r>
                    </w:p>
                  </w:txbxContent>
                </v:textbox>
              </v:shape>
            </w:pict>
          </mc:Fallback>
        </mc:AlternateContent>
      </w:r>
      <w:r>
        <w:rPr>
          <w:rFonts w:hint="eastAsia" w:ascii="仿宋" w:hAnsi="仿宋" w:eastAsia="仿宋" w:cs="仿宋"/>
          <w:color w:val="auto"/>
          <w:sz w:val="24"/>
          <w:szCs w:val="24"/>
          <w:highlight w:val="none"/>
        </w:rPr>
        <w:t>提前竣工天数按照第</w:t>
      </w:r>
      <w:r>
        <w:rPr>
          <w:rFonts w:ascii="仿宋" w:hAnsi="仿宋" w:eastAsia="仿宋" w:cs="仿宋"/>
          <w:color w:val="auto"/>
          <w:sz w:val="24"/>
          <w:szCs w:val="24"/>
          <w:highlight w:val="none"/>
        </w:rPr>
        <w:t>38.2</w:t>
      </w:r>
      <w:r>
        <w:rPr>
          <w:rFonts w:hint="eastAsia" w:ascii="仿宋" w:hAnsi="仿宋" w:eastAsia="仿宋" w:cs="仿宋"/>
          <w:color w:val="auto"/>
          <w:sz w:val="24"/>
          <w:szCs w:val="24"/>
          <w:highlight w:val="none"/>
        </w:rPr>
        <w:t>款规定确定的计划竣工天数减去实际竣工天数计算，其公式为：</w:t>
      </w:r>
    </w:p>
    <w:p>
      <w:pPr>
        <w:pStyle w:val="2"/>
        <w:shd w:val="clear" w:color="000000" w:fill="auto"/>
        <w:adjustRightInd w:val="0"/>
        <w:snapToGrid w:val="0"/>
        <w:spacing w:line="360" w:lineRule="auto"/>
        <w:ind w:firstLine="2160" w:firstLineChars="9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提前竣工天数</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计划竣工天数</w:t>
      </w:r>
      <w:r>
        <w:rPr>
          <w:rFonts w:ascii="仿宋" w:hAnsi="仿宋" w:eastAsia="仿宋" w:cs="仿宋"/>
          <w:color w:val="auto"/>
          <w:sz w:val="24"/>
          <w:szCs w:val="24"/>
          <w:highlight w:val="none"/>
        </w:rPr>
        <w:t xml:space="preserve"> — </w:t>
      </w:r>
      <w:r>
        <w:rPr>
          <w:rFonts w:hint="eastAsia" w:ascii="仿宋" w:hAnsi="仿宋" w:eastAsia="仿宋" w:cs="仿宋"/>
          <w:color w:val="auto"/>
          <w:sz w:val="24"/>
          <w:szCs w:val="24"/>
          <w:highlight w:val="none"/>
        </w:rPr>
        <w:t>实际竣工天数</w:t>
      </w:r>
    </w:p>
    <w:p>
      <w:pPr>
        <w:pStyle w:val="2"/>
        <w:shd w:val="clear" w:color="000000" w:fill="auto"/>
        <w:tabs>
          <w:tab w:val="left" w:pos="1980"/>
          <w:tab w:val="left" w:pos="2160"/>
        </w:tabs>
        <w:adjustRightInd w:val="0"/>
        <w:snapToGrid w:val="0"/>
        <w:spacing w:line="360" w:lineRule="auto"/>
        <w:ind w:left="1616"/>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合同工程提前竣工，发包人应承担承包人由此增加的费用，并按照第</w:t>
      </w:r>
      <w:r>
        <w:rPr>
          <w:rFonts w:ascii="仿宋" w:hAnsi="仿宋" w:eastAsia="仿宋" w:cs="仿宋"/>
          <w:color w:val="auto"/>
          <w:sz w:val="24"/>
          <w:szCs w:val="24"/>
          <w:highlight w:val="none"/>
        </w:rPr>
        <w:t>66.1</w:t>
      </w:r>
      <w:r>
        <w:rPr>
          <w:rFonts w:hint="eastAsia" w:ascii="仿宋" w:hAnsi="仿宋" w:eastAsia="仿宋" w:cs="仿宋"/>
          <w:color w:val="auto"/>
          <w:sz w:val="24"/>
          <w:szCs w:val="24"/>
          <w:highlight w:val="none"/>
        </w:rPr>
        <w:t>款规定向承包人支付提前竣工奖。</w:t>
      </w:r>
    </w:p>
    <w:p>
      <w:pPr>
        <w:pStyle w:val="2"/>
        <w:shd w:val="clear" w:color="000000" w:fill="auto"/>
        <w:tabs>
          <w:tab w:val="left" w:pos="540"/>
        </w:tabs>
        <w:adjustRightInd w:val="0"/>
        <w:snapToGrid w:val="0"/>
        <w:spacing w:before="240" w:beforeLines="100" w:line="240" w:lineRule="exact"/>
        <w:rPr>
          <w:rFonts w:ascii="仿宋" w:hAnsi="仿宋" w:eastAsia="仿宋" w:cs="仿宋"/>
          <w:b/>
          <w:bCs/>
          <w:caps/>
          <w:color w:val="auto"/>
          <w:sz w:val="24"/>
          <w:szCs w:val="24"/>
          <w:highlight w:val="none"/>
          <w:u w:val="single"/>
        </w:rPr>
      </w:pPr>
      <w:r>
        <w:rPr>
          <w:rFonts w:ascii="仿宋" w:hAnsi="仿宋" w:eastAsia="仿宋" w:cs="仿宋"/>
          <w:b/>
          <w:bCs/>
          <w:cap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outlineLvl w:val="2"/>
        <w:rPr>
          <w:rFonts w:ascii="仿宋" w:hAnsi="仿宋" w:eastAsia="仿宋" w:cs="Times New Roman"/>
          <w:b/>
          <w:bCs/>
          <w:color w:val="auto"/>
          <w:sz w:val="24"/>
          <w:szCs w:val="24"/>
          <w:highlight w:val="none"/>
        </w:rPr>
      </w:pPr>
      <w:bookmarkStart w:id="241" w:name="_Toc469384022"/>
      <w:bookmarkStart w:id="242" w:name="_Toc18222"/>
      <w:bookmarkStart w:id="243" w:name="_Toc10624862"/>
      <w:r>
        <w:rPr>
          <w:rFonts w:ascii="仿宋" w:hAnsi="仿宋" w:eastAsia="仿宋" w:cs="仿宋"/>
          <w:b/>
          <w:bCs/>
          <w:color w:val="auto"/>
          <w:sz w:val="24"/>
          <w:szCs w:val="24"/>
          <w:highlight w:val="none"/>
        </w:rPr>
        <w:t xml:space="preserve">40  </w:t>
      </w:r>
      <w:r>
        <w:rPr>
          <w:rFonts w:hint="eastAsia" w:ascii="仿宋" w:hAnsi="仿宋" w:eastAsia="仿宋" w:cs="仿宋"/>
          <w:b/>
          <w:bCs/>
          <w:color w:val="auto"/>
          <w:sz w:val="24"/>
          <w:szCs w:val="24"/>
          <w:highlight w:val="none"/>
        </w:rPr>
        <w:t>误期赔偿</w:t>
      </w:r>
      <w:bookmarkEnd w:id="241"/>
      <w:bookmarkEnd w:id="242"/>
      <w:bookmarkEnd w:id="243"/>
    </w:p>
    <w:p>
      <w:pPr>
        <w:shd w:val="clear" w:color="000000" w:fill="auto"/>
        <w:rPr>
          <w:rFonts w:ascii="仿宋" w:hAnsi="仿宋" w:eastAsia="仿宋" w:cs="Times New Roman"/>
          <w:b/>
          <w:bCs/>
          <w:caps/>
          <w:color w:val="auto"/>
          <w:sz w:val="24"/>
          <w:szCs w:val="24"/>
          <w:highlight w:val="none"/>
        </w:rPr>
      </w:pPr>
      <w:r>
        <w:rPr>
          <w:rFonts w:ascii="仿宋" w:hAnsi="仿宋" w:eastAsia="仿宋" w:cs="仿宋"/>
          <w:b/>
          <w:bCs/>
          <w:color w:val="auto"/>
          <w:sz w:val="24"/>
          <w:szCs w:val="24"/>
          <w:highlight w:val="none"/>
        </w:rPr>
        <w:t>40.1</w:t>
      </w:r>
    </w:p>
    <w:p>
      <w:pPr>
        <w:shd w:val="clear" w:color="000000" w:fill="auto"/>
        <w:spacing w:line="360" w:lineRule="auto"/>
        <w:ind w:left="1619" w:leftChars="771"/>
        <w:rPr>
          <w:rFonts w:ascii="仿宋" w:hAnsi="仿宋" w:eastAsia="仿宋" w:cs="Times New Roman"/>
          <w:caps/>
          <w:color w:val="auto"/>
          <w:sz w:val="24"/>
          <w:szCs w:val="24"/>
          <w:highlight w:val="none"/>
        </w:rPr>
      </w:pPr>
      <w:r>
        <w:rPr>
          <w:color w:val="auto"/>
          <w:highlight w:val="none"/>
        </w:rPr>
        <mc:AlternateContent>
          <mc:Choice Requires="wps">
            <w:drawing>
              <wp:anchor distT="0" distB="0" distL="114300" distR="114300" simplePos="0" relativeHeight="251816960" behindDoc="0" locked="0" layoutInCell="1" allowOverlap="1">
                <wp:simplePos x="0" y="0"/>
                <wp:positionH relativeFrom="column">
                  <wp:posOffset>-133350</wp:posOffset>
                </wp:positionH>
                <wp:positionV relativeFrom="paragraph">
                  <wp:posOffset>104140</wp:posOffset>
                </wp:positionV>
                <wp:extent cx="977900" cy="328295"/>
                <wp:effectExtent l="0" t="0" r="0" b="0"/>
                <wp:wrapNone/>
                <wp:docPr id="155" name="文本框 157"/>
                <wp:cNvGraphicFramePr/>
                <a:graphic xmlns:a="http://schemas.openxmlformats.org/drawingml/2006/main">
                  <a:graphicData uri="http://schemas.microsoft.com/office/word/2010/wordprocessingShape">
                    <wps:wsp>
                      <wps:cNvSpPr txBox="1"/>
                      <wps:spPr>
                        <a:xfrm>
                          <a:off x="0" y="0"/>
                          <a:ext cx="977900" cy="3282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误期的赔偿</w:t>
                            </w:r>
                          </w:p>
                        </w:txbxContent>
                      </wps:txbx>
                      <wps:bodyPr upright="1"/>
                    </wps:wsp>
                  </a:graphicData>
                </a:graphic>
              </wp:anchor>
            </w:drawing>
          </mc:Choice>
          <mc:Fallback>
            <w:pict>
              <v:shape id="文本框 157" o:spid="_x0000_s1026" o:spt="202" type="#_x0000_t202" style="position:absolute;left:0pt;margin-left:-10.5pt;margin-top:8.2pt;height:25.85pt;width:77pt;z-index:251816960;mso-width-relative:page;mso-height-relative:page;" filled="f" stroked="f" coordsize="21600,21600" o:gfxdata="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x1tREdYA&#10;AAAJAQAADwAAAAAAAAABACAAAAAiAAAAZHJzL2Rvd25yZXYueG1sUEsBAhQAFAAAAAgAh07iQIP9&#10;kZWvAQAAUQMAAA4AAAAAAAAAAQAgAAAAJQ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误期的赔偿</w:t>
                      </w:r>
                    </w:p>
                  </w:txbxContent>
                </v:textbox>
              </v:shape>
            </w:pict>
          </mc:Fallback>
        </mc:AlternateContent>
      </w:r>
      <w:r>
        <w:rPr>
          <w:rFonts w:hint="eastAsia" w:ascii="仿宋" w:hAnsi="仿宋" w:eastAsia="仿宋" w:cs="仿宋"/>
          <w:caps/>
          <w:color w:val="auto"/>
          <w:sz w:val="24"/>
          <w:szCs w:val="24"/>
          <w:highlight w:val="none"/>
        </w:rPr>
        <w:t>如果承包人未按照第</w:t>
      </w:r>
      <w:r>
        <w:rPr>
          <w:rFonts w:ascii="仿宋" w:hAnsi="仿宋" w:eastAsia="仿宋" w:cs="仿宋"/>
          <w:caps/>
          <w:color w:val="auto"/>
          <w:sz w:val="24"/>
          <w:szCs w:val="24"/>
          <w:highlight w:val="none"/>
        </w:rPr>
        <w:t>33.4</w:t>
      </w:r>
      <w:r>
        <w:rPr>
          <w:rFonts w:hint="eastAsia" w:ascii="仿宋" w:hAnsi="仿宋" w:eastAsia="仿宋" w:cs="仿宋"/>
          <w:caps/>
          <w:color w:val="auto"/>
          <w:sz w:val="24"/>
          <w:szCs w:val="24"/>
          <w:highlight w:val="none"/>
        </w:rPr>
        <w:t>款规定按计划进度施工，导致实际进度迟于计划进度的，承包人应向发包人支付误期赔偿费，具体金额可另行约定。即使承包人支付误期赔偿费，也不能免除承包人按照合同约定应承担的任何责任和应履行的任何义务。</w:t>
      </w:r>
    </w:p>
    <w:p>
      <w:pPr>
        <w:shd w:val="clear" w:color="000000" w:fill="auto"/>
        <w:spacing w:line="36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40.2  </w:t>
      </w:r>
      <w:r>
        <w:rPr>
          <w:rFonts w:ascii="仿宋" w:hAnsi="仿宋" w:eastAsia="仿宋" w:cs="仿宋"/>
          <w:b/>
          <w:bCs/>
          <w:color w:val="auto"/>
          <w:sz w:val="24"/>
          <w:szCs w:val="24"/>
          <w:highlight w:val="none"/>
          <w:u w:val="dotted"/>
        </w:rPr>
        <w:t xml:space="preserve">                                                                                                        </w:t>
      </w:r>
    </w:p>
    <w:p>
      <w:pPr>
        <w:shd w:val="clear" w:color="000000" w:fill="auto"/>
        <w:spacing w:line="360" w:lineRule="auto"/>
        <w:ind w:left="1619" w:leftChars="771" w:firstLine="71" w:firstLineChars="34"/>
        <w:rPr>
          <w:rFonts w:ascii="仿宋" w:hAnsi="仿宋" w:eastAsia="仿宋" w:cs="Times New Roman"/>
          <w:caps/>
          <w:color w:val="auto"/>
          <w:sz w:val="24"/>
          <w:szCs w:val="24"/>
          <w:highlight w:val="none"/>
        </w:rPr>
      </w:pPr>
      <w:r>
        <w:rPr>
          <w:color w:val="auto"/>
          <w:highlight w:val="none"/>
        </w:rPr>
        <mc:AlternateContent>
          <mc:Choice Requires="wps">
            <w:drawing>
              <wp:anchor distT="0" distB="0" distL="114300" distR="114300" simplePos="0" relativeHeight="251817984" behindDoc="0" locked="0" layoutInCell="1" allowOverlap="1">
                <wp:simplePos x="0" y="0"/>
                <wp:positionH relativeFrom="column">
                  <wp:posOffset>-114300</wp:posOffset>
                </wp:positionH>
                <wp:positionV relativeFrom="paragraph">
                  <wp:posOffset>31750</wp:posOffset>
                </wp:positionV>
                <wp:extent cx="1071245" cy="791845"/>
                <wp:effectExtent l="0" t="0" r="0" b="0"/>
                <wp:wrapNone/>
                <wp:docPr id="156" name="文本框 158"/>
                <wp:cNvGraphicFramePr/>
                <a:graphic xmlns:a="http://schemas.openxmlformats.org/drawingml/2006/main">
                  <a:graphicData uri="http://schemas.microsoft.com/office/word/2010/wordprocessingShape">
                    <wps:wsp>
                      <wps:cNvSpPr txBox="1"/>
                      <wps:spPr>
                        <a:xfrm>
                          <a:off x="0" y="0"/>
                          <a:ext cx="1071245" cy="79184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实际延误天数</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的计算</w:t>
                            </w:r>
                          </w:p>
                        </w:txbxContent>
                      </wps:txbx>
                      <wps:bodyPr upright="1"/>
                    </wps:wsp>
                  </a:graphicData>
                </a:graphic>
              </wp:anchor>
            </w:drawing>
          </mc:Choice>
          <mc:Fallback>
            <w:pict>
              <v:shape id="文本框 158" o:spid="_x0000_s1026" o:spt="202" type="#_x0000_t202" style="position:absolute;left:0pt;margin-left:-9pt;margin-top:2.5pt;height:62.35pt;width:84.35pt;z-index:251817984;mso-width-relative:page;mso-height-relative:page;" filled="f" stroked="f" coordsize="21600,21600" o:gfxdata="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b5n7idYA&#10;AAAJAQAADwAAAAAAAAABACAAAAAiAAAAZHJzL2Rvd25yZXYueG1sUEsBAhQAFAAAAAgAh07iQFmV&#10;J8KvAQAAUgMAAA4AAAAAAAAAAQAgAAAAJQ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实际延误天数</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的计算</w:t>
                      </w:r>
                    </w:p>
                  </w:txbxContent>
                </v:textbox>
              </v:shape>
            </w:pict>
          </mc:Fallback>
        </mc:AlternateContent>
      </w:r>
      <w:r>
        <w:rPr>
          <w:rFonts w:hint="eastAsia" w:ascii="仿宋" w:hAnsi="仿宋" w:eastAsia="仿宋" w:cs="仿宋"/>
          <w:caps/>
          <w:color w:val="auto"/>
          <w:sz w:val="24"/>
          <w:szCs w:val="24"/>
          <w:highlight w:val="none"/>
        </w:rPr>
        <w:t>误期（实际延误天数）按照实际施工天数减去计划施工天数计算，其公式为：</w:t>
      </w:r>
    </w:p>
    <w:p>
      <w:pPr>
        <w:shd w:val="clear" w:color="000000" w:fill="auto"/>
        <w:spacing w:line="360" w:lineRule="auto"/>
        <w:ind w:firstLine="1680" w:firstLineChars="700"/>
        <w:rPr>
          <w:rFonts w:ascii="仿宋" w:hAnsi="仿宋" w:eastAsia="仿宋" w:cs="Times New Roman"/>
          <w:caps/>
          <w:color w:val="auto"/>
          <w:sz w:val="24"/>
          <w:szCs w:val="24"/>
          <w:highlight w:val="none"/>
        </w:rPr>
      </w:pPr>
      <w:r>
        <w:rPr>
          <w:rFonts w:hint="eastAsia" w:ascii="仿宋" w:hAnsi="仿宋" w:eastAsia="仿宋" w:cs="仿宋"/>
          <w:caps/>
          <w:color w:val="auto"/>
          <w:sz w:val="24"/>
          <w:szCs w:val="24"/>
          <w:highlight w:val="none"/>
        </w:rPr>
        <w:t>实际延误天数＝实际施工天数</w:t>
      </w:r>
      <w:r>
        <w:rPr>
          <w:rFonts w:ascii="仿宋" w:hAnsi="仿宋" w:eastAsia="仿宋" w:cs="仿宋"/>
          <w:caps/>
          <w:color w:val="auto"/>
          <w:sz w:val="24"/>
          <w:szCs w:val="24"/>
          <w:highlight w:val="none"/>
        </w:rPr>
        <w:t xml:space="preserve"> </w:t>
      </w:r>
      <w:r>
        <w:rPr>
          <w:rFonts w:hint="eastAsia" w:ascii="仿宋" w:hAnsi="仿宋" w:eastAsia="仿宋" w:cs="仿宋"/>
          <w:caps/>
          <w:color w:val="auto"/>
          <w:sz w:val="24"/>
          <w:szCs w:val="24"/>
          <w:highlight w:val="none"/>
        </w:rPr>
        <w:t>－</w:t>
      </w:r>
      <w:r>
        <w:rPr>
          <w:rFonts w:ascii="仿宋" w:hAnsi="仿宋" w:eastAsia="仿宋" w:cs="仿宋"/>
          <w:caps/>
          <w:color w:val="auto"/>
          <w:sz w:val="24"/>
          <w:szCs w:val="24"/>
          <w:highlight w:val="none"/>
        </w:rPr>
        <w:t xml:space="preserve"> </w:t>
      </w:r>
      <w:r>
        <w:rPr>
          <w:rFonts w:hint="eastAsia" w:ascii="仿宋" w:hAnsi="仿宋" w:eastAsia="仿宋" w:cs="仿宋"/>
          <w:caps/>
          <w:color w:val="auto"/>
          <w:sz w:val="24"/>
          <w:szCs w:val="24"/>
          <w:highlight w:val="none"/>
        </w:rPr>
        <w:t>计划施工天数</w:t>
      </w:r>
    </w:p>
    <w:p>
      <w:pPr>
        <w:shd w:val="clear" w:color="000000" w:fill="auto"/>
        <w:spacing w:line="360" w:lineRule="auto"/>
        <w:ind w:left="1680" w:leftChars="800"/>
        <w:rPr>
          <w:rFonts w:ascii="仿宋" w:hAnsi="仿宋" w:eastAsia="仿宋" w:cs="Times New Roman"/>
          <w:caps/>
          <w:color w:val="auto"/>
          <w:sz w:val="24"/>
          <w:szCs w:val="24"/>
          <w:highlight w:val="none"/>
        </w:rPr>
      </w:pPr>
      <w:r>
        <w:rPr>
          <w:rFonts w:hint="eastAsia" w:ascii="仿宋" w:hAnsi="仿宋" w:eastAsia="仿宋" w:cs="仿宋"/>
          <w:caps/>
          <w:color w:val="auto"/>
          <w:sz w:val="24"/>
          <w:szCs w:val="24"/>
          <w:highlight w:val="none"/>
        </w:rPr>
        <w:t>合同工程发生误期，承包人应赔偿发包人由此造成的损失，并按照第</w:t>
      </w:r>
      <w:r>
        <w:rPr>
          <w:rFonts w:ascii="仿宋" w:hAnsi="仿宋" w:eastAsia="仿宋" w:cs="仿宋"/>
          <w:caps/>
          <w:color w:val="auto"/>
          <w:sz w:val="24"/>
          <w:szCs w:val="24"/>
          <w:highlight w:val="none"/>
        </w:rPr>
        <w:t>66.2</w:t>
      </w:r>
      <w:r>
        <w:rPr>
          <w:rFonts w:hint="eastAsia" w:ascii="仿宋" w:hAnsi="仿宋" w:eastAsia="仿宋" w:cs="仿宋"/>
          <w:caps/>
          <w:color w:val="auto"/>
          <w:sz w:val="24"/>
          <w:szCs w:val="24"/>
          <w:highlight w:val="none"/>
        </w:rPr>
        <w:t>款规定向发包人支付误期赔偿费。</w:t>
      </w:r>
    </w:p>
    <w:p>
      <w:pPr>
        <w:pStyle w:val="2"/>
        <w:shd w:val="clear" w:color="000000" w:fill="auto"/>
        <w:adjustRightInd w:val="0"/>
        <w:snapToGrid w:val="0"/>
        <w:spacing w:line="360" w:lineRule="auto"/>
        <w:ind w:right="-238"/>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adjustRightInd w:val="0"/>
        <w:snapToGrid w:val="0"/>
        <w:spacing w:line="360" w:lineRule="auto"/>
        <w:ind w:firstLine="2768" w:firstLineChars="1149"/>
        <w:outlineLvl w:val="1"/>
        <w:rPr>
          <w:rFonts w:ascii="仿宋" w:hAnsi="仿宋" w:eastAsia="仿宋" w:cs="Times New Roman"/>
          <w:b/>
          <w:bCs/>
          <w:color w:val="auto"/>
          <w:sz w:val="24"/>
          <w:szCs w:val="24"/>
          <w:highlight w:val="none"/>
        </w:rPr>
      </w:pPr>
      <w:bookmarkStart w:id="244" w:name="_Toc469384023"/>
      <w:bookmarkStart w:id="245" w:name="_Toc10558"/>
      <w:bookmarkStart w:id="246" w:name="_Toc13881"/>
      <w:bookmarkStart w:id="247" w:name="_Toc10624863"/>
      <w:r>
        <w:rPr>
          <w:rFonts w:hint="eastAsia" w:ascii="仿宋" w:hAnsi="仿宋" w:eastAsia="仿宋" w:cs="仿宋"/>
          <w:b/>
          <w:bCs/>
          <w:color w:val="auto"/>
          <w:sz w:val="24"/>
          <w:szCs w:val="24"/>
          <w:highlight w:val="none"/>
        </w:rPr>
        <w:t>五、质量与安全</w:t>
      </w:r>
      <w:bookmarkEnd w:id="244"/>
      <w:bookmarkEnd w:id="245"/>
      <w:bookmarkEnd w:id="246"/>
      <w:bookmarkEnd w:id="247"/>
    </w:p>
    <w:p>
      <w:pPr>
        <w:pStyle w:val="2"/>
        <w:shd w:val="clear" w:color="000000" w:fill="auto"/>
        <w:adjustRightInd w:val="0"/>
        <w:snapToGrid w:val="0"/>
        <w:spacing w:line="360" w:lineRule="auto"/>
        <w:outlineLvl w:val="2"/>
        <w:rPr>
          <w:rFonts w:ascii="仿宋" w:hAnsi="仿宋" w:eastAsia="仿宋" w:cs="Times New Roman"/>
          <w:b/>
          <w:bCs/>
          <w:color w:val="auto"/>
          <w:sz w:val="24"/>
          <w:szCs w:val="24"/>
          <w:highlight w:val="none"/>
        </w:rPr>
      </w:pPr>
      <w:bookmarkStart w:id="248" w:name="_Toc10068"/>
      <w:bookmarkStart w:id="249" w:name="_Toc10624864"/>
      <w:bookmarkStart w:id="250" w:name="_Toc469384024"/>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41  </w:t>
      </w:r>
      <w:r>
        <w:rPr>
          <w:rFonts w:hint="eastAsia" w:ascii="仿宋" w:hAnsi="仿宋" w:eastAsia="仿宋" w:cs="仿宋"/>
          <w:b/>
          <w:bCs/>
          <w:color w:val="auto"/>
          <w:sz w:val="24"/>
          <w:szCs w:val="24"/>
          <w:highlight w:val="none"/>
        </w:rPr>
        <w:t>质量与安全管理</w:t>
      </w:r>
      <w:bookmarkEnd w:id="248"/>
      <w:bookmarkEnd w:id="249"/>
      <w:bookmarkEnd w:id="250"/>
    </w:p>
    <w:p>
      <w:pPr>
        <w:shd w:val="clear" w:color="000000" w:fill="auto"/>
        <w:tabs>
          <w:tab w:val="left" w:pos="78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41.1 </w:t>
      </w:r>
      <w:r>
        <w:rPr>
          <w:rFonts w:ascii="仿宋" w:hAnsi="仿宋" w:eastAsia="仿宋" w:cs="仿宋"/>
          <w:b/>
          <w:bCs/>
          <w:color w:val="auto"/>
          <w:sz w:val="24"/>
          <w:szCs w:val="24"/>
          <w:highlight w:val="none"/>
        </w:rPr>
        <w:tab/>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19008" behindDoc="0" locked="0" layoutInCell="1" allowOverlap="1">
                <wp:simplePos x="0" y="0"/>
                <wp:positionH relativeFrom="column">
                  <wp:posOffset>-114300</wp:posOffset>
                </wp:positionH>
                <wp:positionV relativeFrom="paragraph">
                  <wp:posOffset>-6350</wp:posOffset>
                </wp:positionV>
                <wp:extent cx="914400" cy="526415"/>
                <wp:effectExtent l="0" t="0" r="0" b="0"/>
                <wp:wrapNone/>
                <wp:docPr id="157" name="文本框 159"/>
                <wp:cNvGraphicFramePr/>
                <a:graphic xmlns:a="http://schemas.openxmlformats.org/drawingml/2006/main">
                  <a:graphicData uri="http://schemas.microsoft.com/office/word/2010/wordprocessingShape">
                    <wps:wsp>
                      <wps:cNvSpPr txBox="1"/>
                      <wps:spPr>
                        <a:xfrm>
                          <a:off x="0" y="0"/>
                          <a:ext cx="914400" cy="52641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履行职责和义务</w:t>
                            </w:r>
                          </w:p>
                        </w:txbxContent>
                      </wps:txbx>
                      <wps:bodyPr upright="1"/>
                    </wps:wsp>
                  </a:graphicData>
                </a:graphic>
              </wp:anchor>
            </w:drawing>
          </mc:Choice>
          <mc:Fallback>
            <w:pict>
              <v:shape id="文本框 159" o:spid="_x0000_s1026" o:spt="202" type="#_x0000_t202" style="position:absolute;left:0pt;margin-left:-9pt;margin-top:-0.5pt;height:41.45pt;width:72pt;z-index:251819008;mso-width-relative:page;mso-height-relative:page;" filled="f" stroked="f" coordsize="21600,21600" o:gfxdata="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tZ8091QAA&#10;AAkBAAAPAAAAAAAAAAEAIAAAACIAAABkcnMvZG93bnJldi54bWxQSwECFAAUAAAACACHTuJAFDxO&#10;z68BAABRAwAADgAAAAAAAAABACAAAAAkAQAAZHJzL2Uyb0RvYy54bWxQSwUGAAAAAAYABgBZAQAA&#10;R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履行职责和义务</w:t>
                      </w:r>
                    </w:p>
                  </w:txbxContent>
                </v:textbox>
              </v:shape>
            </w:pict>
          </mc:Fallback>
        </mc:AlternateContent>
      </w:r>
      <w:r>
        <w:rPr>
          <w:rFonts w:hint="eastAsia" w:ascii="仿宋" w:hAnsi="仿宋" w:eastAsia="仿宋" w:cs="仿宋"/>
          <w:color w:val="auto"/>
          <w:sz w:val="24"/>
          <w:szCs w:val="24"/>
          <w:highlight w:val="none"/>
        </w:rPr>
        <w:t>合同双方当事人应严格遵守国家、省有关工程质量和施工安全的法律法规、标准与规范等规定，认真履行合同约定的工程质量和施工安全的职责和义务。如发生质量、安全方面的问题、隐患，合同双方当事人应按照国家规定时限如实上报政府有关部门，配合政府有关部门的调查、处理，由此发生的费用和（或）延误的工期由责任方承担。</w:t>
      </w:r>
    </w:p>
    <w:p>
      <w:pPr>
        <w:pStyle w:val="13"/>
        <w:shd w:val="clear" w:color="000000" w:fill="auto"/>
        <w:adjustRightInd w:val="0"/>
        <w:snapToGrid w:val="0"/>
        <w:spacing w:line="480" w:lineRule="auto"/>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41.2  </w:t>
      </w:r>
      <w:r>
        <w:rPr>
          <w:rFonts w:ascii="仿宋" w:hAnsi="仿宋" w:eastAsia="仿宋" w:cs="仿宋"/>
          <w:b/>
          <w:bCs/>
          <w:color w:val="auto"/>
          <w:sz w:val="24"/>
          <w:szCs w:val="24"/>
          <w:highlight w:val="none"/>
          <w:u w:val="dotted"/>
        </w:rPr>
        <w:t xml:space="preserve">                                                                               </w:t>
      </w:r>
    </w:p>
    <w:p>
      <w:pPr>
        <w:pStyle w:val="13"/>
        <w:shd w:val="clear" w:color="000000" w:fill="auto"/>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20032" behindDoc="0" locked="0" layoutInCell="1" allowOverlap="1">
                <wp:simplePos x="0" y="0"/>
                <wp:positionH relativeFrom="column">
                  <wp:posOffset>-114300</wp:posOffset>
                </wp:positionH>
                <wp:positionV relativeFrom="paragraph">
                  <wp:posOffset>35560</wp:posOffset>
                </wp:positionV>
                <wp:extent cx="914400" cy="410210"/>
                <wp:effectExtent l="0" t="0" r="0" b="0"/>
                <wp:wrapNone/>
                <wp:docPr id="158" name="文本框 160"/>
                <wp:cNvGraphicFramePr/>
                <a:graphic xmlns:a="http://schemas.openxmlformats.org/drawingml/2006/main">
                  <a:graphicData uri="http://schemas.microsoft.com/office/word/2010/wordprocessingShape">
                    <wps:wsp>
                      <wps:cNvSpPr txBox="1"/>
                      <wps:spPr>
                        <a:xfrm>
                          <a:off x="0" y="0"/>
                          <a:ext cx="914400" cy="41021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质量与安全的监管</w:t>
                            </w:r>
                          </w:p>
                        </w:txbxContent>
                      </wps:txbx>
                      <wps:bodyPr upright="1"/>
                    </wps:wsp>
                  </a:graphicData>
                </a:graphic>
              </wp:anchor>
            </w:drawing>
          </mc:Choice>
          <mc:Fallback>
            <w:pict>
              <v:shape id="文本框 160" o:spid="_x0000_s1026" o:spt="202" type="#_x0000_t202" style="position:absolute;left:0pt;margin-left:-9pt;margin-top:2.8pt;height:32.3pt;width:72pt;z-index:251820032;mso-width-relative:page;mso-height-relative:page;" filled="f" stroked="f" coordsize="21600,21600" o:gfxdata="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FLuJb1QAAAAgB&#10;AAAPAAAAAAAAAAEAIAAAACIAAABkcnMvZG93bnJldi54bWxQSwECFAAUAAAACACHTuJAJYVewKwB&#10;AABRAwAADgAAAAAAAAABACAAAAAkAQAAZHJzL2Uyb0RvYy54bWxQSwUGAAAAAAYABgBZAQAAQgUA&#10;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质量与安全的监管</w:t>
                      </w:r>
                    </w:p>
                  </w:txbxContent>
                </v:textbox>
              </v:shape>
            </w:pict>
          </mc:Fallback>
        </mc:AlternateContent>
      </w:r>
      <w:r>
        <w:rPr>
          <w:rFonts w:hint="eastAsia" w:ascii="仿宋" w:hAnsi="仿宋" w:eastAsia="仿宋" w:cs="仿宋"/>
          <w:color w:val="auto"/>
          <w:sz w:val="24"/>
          <w:szCs w:val="24"/>
          <w:highlight w:val="none"/>
        </w:rPr>
        <w:t>发包人在领取施工许可证或者开工报告之前，应按照国家有关规定办理合同工程质量和施工安全监督手续。承包人应在施工场地设置专门的工程质量和施工安全管理机构，配备专职管理人员，建立完善的管理制度。</w:t>
      </w:r>
    </w:p>
    <w:p>
      <w:pPr>
        <w:pStyle w:val="13"/>
        <w:shd w:val="clear" w:color="000000" w:fill="auto"/>
        <w:adjustRightInd w:val="0"/>
        <w:snapToGrid w:val="0"/>
        <w:spacing w:line="480" w:lineRule="auto"/>
        <w:ind w:firstLine="0"/>
        <w:rPr>
          <w:rFonts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821056" behindDoc="0" locked="0" layoutInCell="1" allowOverlap="1">
                <wp:simplePos x="0" y="0"/>
                <wp:positionH relativeFrom="column">
                  <wp:posOffset>-114300</wp:posOffset>
                </wp:positionH>
                <wp:positionV relativeFrom="paragraph">
                  <wp:posOffset>277495</wp:posOffset>
                </wp:positionV>
                <wp:extent cx="914400" cy="342900"/>
                <wp:effectExtent l="0" t="0" r="0" b="0"/>
                <wp:wrapNone/>
                <wp:docPr id="159" name="文本框 161"/>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管理的要求</w:t>
                            </w:r>
                          </w:p>
                        </w:txbxContent>
                      </wps:txbx>
                      <wps:bodyPr upright="1"/>
                    </wps:wsp>
                  </a:graphicData>
                </a:graphic>
              </wp:anchor>
            </w:drawing>
          </mc:Choice>
          <mc:Fallback>
            <w:pict>
              <v:shape id="文本框 161" o:spid="_x0000_s1026" o:spt="202" type="#_x0000_t202" style="position:absolute;left:0pt;margin-left:-9pt;margin-top:21.85pt;height:27pt;width:72pt;z-index:251821056;mso-width-relative:page;mso-height-relative:page;" filled="f" stroked="f" coordsize="21600,21600" o:gfxdata="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P5Azu9cA&#10;AAAJAQAADwAAAAAAAAABACAAAAAiAAAAZHJzL2Rvd25yZXYueG1sUEsBAhQAFAAAAAgAh07iQDqS&#10;ZoKuAQAAUQMAAA4AAAAAAAAAAQAgAAAAJg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管理的要求</w:t>
                      </w:r>
                    </w:p>
                  </w:txbxContent>
                </v:textbox>
              </v:shape>
            </w:pict>
          </mc:Fallback>
        </mc:AlternateContent>
      </w:r>
      <w:r>
        <w:rPr>
          <w:rFonts w:ascii="仿宋" w:hAnsi="仿宋" w:eastAsia="仿宋" w:cs="仿宋"/>
          <w:b/>
          <w:bCs/>
          <w:color w:val="auto"/>
          <w:sz w:val="24"/>
          <w:szCs w:val="24"/>
          <w:highlight w:val="none"/>
        </w:rPr>
        <w:t xml:space="preserve">41.3  </w:t>
      </w:r>
      <w:r>
        <w:rPr>
          <w:rFonts w:ascii="仿宋" w:hAnsi="仿宋" w:eastAsia="仿宋" w:cs="仿宋"/>
          <w:b/>
          <w:bCs/>
          <w:color w:val="auto"/>
          <w:sz w:val="24"/>
          <w:szCs w:val="24"/>
          <w:highlight w:val="none"/>
          <w:u w:val="dotted"/>
        </w:rPr>
        <w:t xml:space="preserve">                                                                                                       </w:t>
      </w:r>
    </w:p>
    <w:p>
      <w:pPr>
        <w:pStyle w:val="13"/>
        <w:shd w:val="clear" w:color="000000" w:fill="auto"/>
        <w:adjustRightInd w:val="0"/>
        <w:snapToGrid w:val="0"/>
        <w:spacing w:line="360" w:lineRule="auto"/>
        <w:ind w:left="1619" w:leftChars="771"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发包人不得以任何理由，要求承包人在施工作业中违反法律法规、工程建设强制性标准，以及工程质量和施工安全标准，降低合同工程质量。承包人应加强对施工作业人员的工程质量和施工安全教育培训，定期考核施工作业人员的劳动技能，加强工程质量和施工安全管理。</w:t>
      </w:r>
    </w:p>
    <w:p>
      <w:pPr>
        <w:pStyle w:val="13"/>
        <w:shd w:val="clear" w:color="000000" w:fill="auto"/>
        <w:adjustRightInd w:val="0"/>
        <w:snapToGrid w:val="0"/>
        <w:spacing w:line="360" w:lineRule="auto"/>
        <w:ind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22080" behindDoc="0" locked="0" layoutInCell="1" allowOverlap="1">
                <wp:simplePos x="0" y="0"/>
                <wp:positionH relativeFrom="column">
                  <wp:posOffset>-115570</wp:posOffset>
                </wp:positionH>
                <wp:positionV relativeFrom="paragraph">
                  <wp:posOffset>279400</wp:posOffset>
                </wp:positionV>
                <wp:extent cx="914400" cy="389890"/>
                <wp:effectExtent l="0" t="0" r="0" b="0"/>
                <wp:wrapNone/>
                <wp:docPr id="160" name="文本框 162"/>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承包人对质量与安全负责</w:t>
                            </w:r>
                          </w:p>
                        </w:txbxContent>
                      </wps:txbx>
                      <wps:bodyPr upright="1"/>
                    </wps:wsp>
                  </a:graphicData>
                </a:graphic>
              </wp:anchor>
            </w:drawing>
          </mc:Choice>
          <mc:Fallback>
            <w:pict>
              <v:shape id="文本框 162" o:spid="_x0000_s1026" o:spt="202" type="#_x0000_t202" style="position:absolute;left:0pt;margin-left:-9.1pt;margin-top:22pt;height:30.7pt;width:72pt;z-index:251822080;mso-width-relative:page;mso-height-relative:page;" filled="f" stroked="f" coordsize="21600,21600" o:gfxdata="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t3YQS9YA&#10;AAAKAQAADwAAAAAAAAABACAAAAAiAAAAZHJzL2Rvd25yZXYueG1sUEsBAhQAFAAAAAgAh07iQGIb&#10;zBevAQAAUQMAAA4AAAAAAAAAAQAgAAAAJQEAAGRycy9lMm9Eb2MueG1sUEsFBgAAAAAGAAYAWQEA&#10;AEYFA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承包人对质量与安全负责</w:t>
                      </w:r>
                    </w:p>
                  </w:txbxContent>
                </v:textbox>
              </v:shape>
            </w:pict>
          </mc:Fallback>
        </mc:AlternateContent>
      </w:r>
      <w:r>
        <w:rPr>
          <w:rFonts w:ascii="仿宋" w:hAnsi="仿宋" w:eastAsia="仿宋" w:cs="仿宋"/>
          <w:b/>
          <w:bCs/>
          <w:color w:val="auto"/>
          <w:sz w:val="24"/>
          <w:szCs w:val="24"/>
          <w:highlight w:val="none"/>
        </w:rPr>
        <w:t xml:space="preserve">41.4  </w:t>
      </w:r>
      <w:r>
        <w:rPr>
          <w:rFonts w:ascii="仿宋" w:hAnsi="仿宋" w:eastAsia="仿宋" w:cs="仿宋"/>
          <w:b/>
          <w:bCs/>
          <w:color w:val="auto"/>
          <w:sz w:val="24"/>
          <w:szCs w:val="24"/>
          <w:highlight w:val="none"/>
          <w:u w:val="dotted"/>
        </w:rPr>
        <w:t xml:space="preserve"> </w:t>
      </w:r>
      <w:r>
        <w:rPr>
          <w:rFonts w:ascii="仿宋" w:hAnsi="仿宋" w:eastAsia="仿宋" w:cs="仿宋"/>
          <w:color w:val="auto"/>
          <w:sz w:val="24"/>
          <w:szCs w:val="24"/>
          <w:highlight w:val="none"/>
          <w:u w:val="dotted"/>
        </w:rPr>
        <w:t xml:space="preserve">                                                                                                       </w:t>
      </w:r>
    </w:p>
    <w:p>
      <w:pPr>
        <w:pStyle w:val="13"/>
        <w:shd w:val="clear" w:color="000000" w:fill="auto"/>
        <w:adjustRightInd w:val="0"/>
        <w:snapToGrid w:val="0"/>
        <w:spacing w:line="360" w:lineRule="auto"/>
        <w:ind w:left="1619" w:leftChars="771"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承包人应对合同工程质量和施工安全负责，严格执行国家、省有关工程质量和施工安全的操作规程及管理要求，按照施工设计图纸和施工技术标准施工，不得偷工减料，不得擅自修改施工设计图纸，确保合同工程质量和施工安全。</w:t>
      </w:r>
    </w:p>
    <w:p>
      <w:pPr>
        <w:pStyle w:val="13"/>
        <w:shd w:val="clear" w:color="000000" w:fill="auto"/>
        <w:adjustRightInd w:val="0"/>
        <w:snapToGrid w:val="0"/>
        <w:spacing w:line="360" w:lineRule="auto"/>
        <w:ind w:left="1619" w:leftChars="771" w:firstLine="0"/>
        <w:rPr>
          <w:rFonts w:ascii="仿宋" w:hAnsi="仿宋" w:eastAsia="仿宋"/>
          <w:color w:val="auto"/>
          <w:kern w:val="0"/>
          <w:sz w:val="24"/>
          <w:szCs w:val="24"/>
          <w:highlight w:val="none"/>
        </w:rPr>
      </w:pPr>
      <w:r>
        <w:rPr>
          <w:rFonts w:hint="eastAsia" w:ascii="仿宋" w:hAnsi="仿宋" w:eastAsia="仿宋" w:cs="仿宋"/>
          <w:color w:val="auto"/>
          <w:kern w:val="0"/>
          <w:sz w:val="24"/>
          <w:szCs w:val="24"/>
          <w:highlight w:val="none"/>
        </w:rPr>
        <w:t>因承包人原因造成工程质量未达到合同约定标准的，发包人有权要求承包人返工直至工程质量达到合同约定的标准为止，并由承包人承担由此增加的费用和延误工期的责任。</w:t>
      </w:r>
    </w:p>
    <w:p>
      <w:pPr>
        <w:pStyle w:val="13"/>
        <w:shd w:val="clear" w:color="000000" w:fill="auto"/>
        <w:adjustRightInd w:val="0"/>
        <w:snapToGrid w:val="0"/>
        <w:spacing w:line="360" w:lineRule="auto"/>
        <w:ind w:firstLine="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41.5  </w:t>
      </w:r>
      <w:r>
        <w:rPr>
          <w:rFonts w:ascii="仿宋" w:hAnsi="仿宋" w:eastAsia="仿宋" w:cs="仿宋"/>
          <w:b/>
          <w:bCs/>
          <w:color w:val="auto"/>
          <w:sz w:val="24"/>
          <w:szCs w:val="24"/>
          <w:highlight w:val="none"/>
          <w:u w:val="dotted"/>
        </w:rPr>
        <w:t xml:space="preserve"> </w:t>
      </w:r>
      <w:r>
        <w:rPr>
          <w:rFonts w:ascii="仿宋" w:hAnsi="仿宋" w:eastAsia="仿宋" w:cs="仿宋"/>
          <w:color w:val="auto"/>
          <w:sz w:val="24"/>
          <w:szCs w:val="24"/>
          <w:highlight w:val="none"/>
          <w:u w:val="dotted"/>
        </w:rPr>
        <w:t xml:space="preserve">                                                                                </w:t>
      </w:r>
    </w:p>
    <w:p>
      <w:pPr>
        <w:shd w:val="clear" w:color="000000" w:fill="auto"/>
        <w:autoSpaceDE w:val="0"/>
        <w:autoSpaceDN w:val="0"/>
        <w:adjustRightInd w:val="0"/>
        <w:spacing w:line="360" w:lineRule="auto"/>
        <w:ind w:left="1495" w:leftChars="712"/>
        <w:jc w:val="left"/>
        <w:rPr>
          <w:rFonts w:ascii="仿宋" w:hAnsi="仿宋" w:eastAsia="仿宋" w:cs="Times New Roman"/>
          <w:color w:val="auto"/>
          <w:kern w:val="0"/>
          <w:sz w:val="24"/>
          <w:szCs w:val="24"/>
          <w:highlight w:val="none"/>
        </w:rPr>
      </w:pPr>
      <w:r>
        <w:rPr>
          <w:color w:val="auto"/>
          <w:highlight w:val="none"/>
        </w:rPr>
        <mc:AlternateContent>
          <mc:Choice Requires="wps">
            <w:drawing>
              <wp:anchor distT="0" distB="0" distL="114300" distR="114300" simplePos="0" relativeHeight="251823104" behindDoc="0" locked="0" layoutInCell="1" allowOverlap="1">
                <wp:simplePos x="0" y="0"/>
                <wp:positionH relativeFrom="column">
                  <wp:posOffset>-114300</wp:posOffset>
                </wp:positionH>
                <wp:positionV relativeFrom="paragraph">
                  <wp:posOffset>13970</wp:posOffset>
                </wp:positionV>
                <wp:extent cx="914400" cy="594360"/>
                <wp:effectExtent l="0" t="0" r="0" b="0"/>
                <wp:wrapNone/>
                <wp:docPr id="161" name="文本框 163"/>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发包人对质量与安全应负的责任</w:t>
                            </w:r>
                          </w:p>
                        </w:txbxContent>
                      </wps:txbx>
                      <wps:bodyPr upright="1"/>
                    </wps:wsp>
                  </a:graphicData>
                </a:graphic>
              </wp:anchor>
            </w:drawing>
          </mc:Choice>
          <mc:Fallback>
            <w:pict>
              <v:shape id="文本框 163" o:spid="_x0000_s1026" o:spt="202" type="#_x0000_t202" style="position:absolute;left:0pt;margin-left:-9pt;margin-top:1.1pt;height:46.8pt;width:72pt;z-index:251823104;mso-width-relative:page;mso-height-relative:page;" filled="f" stroked="f" coordsize="21600,21600" o:gfxdata="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W2NDS1QAA&#10;AAgBAAAPAAAAAAAAAAEAIAAAACIAAABkcnMvZG93bnJldi54bWxQSwECFAAUAAAACACHTuJA1KEy&#10;na8BAABRAwAADgAAAAAAAAABACAAAAAkAQAAZHJzL2Uyb0RvYy54bWxQSwUGAAAAAAYABgBZAQAA&#10;RQUAAAAA&#10;">
                <v:fill on="f" focussize="0,0"/>
                <v:stroke on="f"/>
                <v:imagedata o:title=""/>
                <o:lock v:ext="edit" aspectratio="f"/>
                <v:textbox>
                  <w:txbxContent>
                    <w:p>
                      <w:pPr>
                        <w:spacing w:line="240" w:lineRule="exact"/>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发包人对质量与安全应负的责任</w:t>
                      </w:r>
                    </w:p>
                  </w:txbxContent>
                </v:textbox>
              </v:shape>
            </w:pict>
          </mc:Fallback>
        </mc:AlternateContent>
      </w:r>
      <w:r>
        <w:rPr>
          <w:rFonts w:hint="eastAsia" w:ascii="仿宋" w:hAnsi="仿宋" w:eastAsia="仿宋" w:cs="仿宋"/>
          <w:color w:val="auto"/>
          <w:kern w:val="0"/>
          <w:sz w:val="24"/>
          <w:szCs w:val="24"/>
          <w:highlight w:val="none"/>
        </w:rPr>
        <w:t>因发包人原因造成工程质量未达到合同约定标准的，由发包人承担由此增加的费用和延误工期的责任，增加的费用按本合同相关条款以及投标报价或预算的计价原则计算。</w:t>
      </w:r>
    </w:p>
    <w:p>
      <w:pPr>
        <w:shd w:val="clear" w:color="000000" w:fill="auto"/>
        <w:autoSpaceDE w:val="0"/>
        <w:autoSpaceDN w:val="0"/>
        <w:adjustRightInd w:val="0"/>
        <w:spacing w:line="360" w:lineRule="auto"/>
        <w:jc w:val="left"/>
        <w:rPr>
          <w:rFonts w:ascii="仿宋" w:hAnsi="仿宋" w:eastAsia="仿宋" w:cs="仿宋"/>
          <w:color w:val="auto"/>
          <w:sz w:val="24"/>
          <w:szCs w:val="24"/>
          <w:highlight w:val="none"/>
          <w:u w:val="dotted"/>
        </w:rPr>
      </w:pPr>
      <w:r>
        <w:rPr>
          <w:rFonts w:ascii="仿宋" w:hAnsi="仿宋" w:eastAsia="仿宋" w:cs="仿宋"/>
          <w:b/>
          <w:bCs/>
          <w:color w:val="auto"/>
          <w:sz w:val="24"/>
          <w:szCs w:val="24"/>
          <w:highlight w:val="none"/>
        </w:rPr>
        <w:t xml:space="preserve">41.6 </w:t>
      </w:r>
      <w:r>
        <w:rPr>
          <w:rFonts w:ascii="仿宋" w:hAnsi="仿宋" w:eastAsia="仿宋" w:cs="仿宋"/>
          <w:b/>
          <w:bCs/>
          <w:color w:val="auto"/>
          <w:sz w:val="24"/>
          <w:szCs w:val="24"/>
          <w:highlight w:val="none"/>
          <w:u w:val="dotted"/>
        </w:rPr>
        <w:t xml:space="preserve"> </w:t>
      </w:r>
      <w:r>
        <w:rPr>
          <w:rFonts w:ascii="仿宋" w:hAnsi="仿宋" w:eastAsia="仿宋" w:cs="仿宋"/>
          <w:color w:val="auto"/>
          <w:sz w:val="24"/>
          <w:szCs w:val="24"/>
          <w:highlight w:val="none"/>
          <w:u w:val="dotted"/>
        </w:rPr>
        <w:t xml:space="preserve">                                                                               </w:t>
      </w:r>
    </w:p>
    <w:p>
      <w:pPr>
        <w:shd w:val="clear" w:color="000000" w:fill="auto"/>
        <w:autoSpaceDE w:val="0"/>
        <w:autoSpaceDN w:val="0"/>
        <w:adjustRightInd w:val="0"/>
        <w:spacing w:line="360" w:lineRule="auto"/>
        <w:ind w:left="1346" w:leftChars="641"/>
        <w:jc w:val="left"/>
        <w:rPr>
          <w:rFonts w:ascii="仿宋" w:hAnsi="仿宋" w:eastAsia="仿宋" w:cs="Times New Roman"/>
          <w:color w:val="auto"/>
          <w:kern w:val="0"/>
          <w:sz w:val="24"/>
          <w:szCs w:val="24"/>
          <w:highlight w:val="none"/>
        </w:rPr>
      </w:pPr>
      <w:r>
        <w:rPr>
          <w:color w:val="auto"/>
          <w:highlight w:val="none"/>
        </w:rPr>
        <mc:AlternateContent>
          <mc:Choice Requires="wps">
            <w:drawing>
              <wp:anchor distT="0" distB="0" distL="114300" distR="114300" simplePos="0" relativeHeight="251824128" behindDoc="0" locked="0" layoutInCell="1" allowOverlap="1">
                <wp:simplePos x="0" y="0"/>
                <wp:positionH relativeFrom="column">
                  <wp:posOffset>-114300</wp:posOffset>
                </wp:positionH>
                <wp:positionV relativeFrom="paragraph">
                  <wp:posOffset>16510</wp:posOffset>
                </wp:positionV>
                <wp:extent cx="800100" cy="495300"/>
                <wp:effectExtent l="0" t="0" r="0" b="0"/>
                <wp:wrapNone/>
                <wp:docPr id="162" name="文本框 164"/>
                <wp:cNvGraphicFramePr/>
                <a:graphic xmlns:a="http://schemas.openxmlformats.org/drawingml/2006/main">
                  <a:graphicData uri="http://schemas.microsoft.com/office/word/2010/wordprocessingShape">
                    <wps:wsp>
                      <wps:cNvSpPr txBox="1"/>
                      <wps:spPr>
                        <a:xfrm>
                          <a:off x="0" y="0"/>
                          <a:ext cx="800100" cy="495300"/>
                        </a:xfrm>
                        <a:prstGeom prst="rect">
                          <a:avLst/>
                        </a:prstGeom>
                        <a:noFill/>
                        <a:ln>
                          <a:noFill/>
                        </a:ln>
                      </wps:spPr>
                      <wps:txbx>
                        <w:txbxContent>
                          <w:p>
                            <w:pPr>
                              <w:rPr>
                                <w:rFonts w:cs="Times New Roman"/>
                                <w:color w:val="FF0000"/>
                              </w:rPr>
                            </w:pPr>
                            <w:r>
                              <w:rPr>
                                <w:rFonts w:hint="eastAsia" w:ascii="楷体_GB2312" w:hAnsi="宋体" w:eastAsia="楷体_GB2312" w:cs="楷体_GB2312"/>
                                <w:b/>
                                <w:bCs/>
                                <w:sz w:val="18"/>
                                <w:szCs w:val="18"/>
                              </w:rPr>
                              <w:t>监理人的质量检查和检验</w:t>
                            </w:r>
                          </w:p>
                        </w:txbxContent>
                      </wps:txbx>
                      <wps:bodyPr upright="1"/>
                    </wps:wsp>
                  </a:graphicData>
                </a:graphic>
              </wp:anchor>
            </w:drawing>
          </mc:Choice>
          <mc:Fallback>
            <w:pict>
              <v:shape id="文本框 164" o:spid="_x0000_s1026" o:spt="202" type="#_x0000_t202" style="position:absolute;left:0pt;margin-left:-9pt;margin-top:1.3pt;height:39pt;width:63pt;z-index:251824128;mso-width-relative:page;mso-height-relative:page;" filled="f" stroked="f" coordsize="21600,21600" o:gfxdata="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4kbEE1AAAAAgB&#10;AAAPAAAAAAAAAAEAIAAAACIAAABkcnMvZG93bnJldi54bWxQSwECFAAUAAAACACHTuJAirO+K60B&#10;AABRAwAADgAAAAAAAAABACAAAAAjAQAAZHJzL2Uyb0RvYy54bWxQSwUGAAAAAAYABgBZAQAAQgUA&#10;AAAA&#10;">
                <v:fill on="f" focussize="0,0"/>
                <v:stroke on="f"/>
                <v:imagedata o:title=""/>
                <o:lock v:ext="edit" aspectratio="f"/>
                <v:textbox>
                  <w:txbxContent>
                    <w:p>
                      <w:pPr>
                        <w:rPr>
                          <w:rFonts w:cs="Times New Roman"/>
                          <w:color w:val="FF0000"/>
                        </w:rPr>
                      </w:pPr>
                      <w:r>
                        <w:rPr>
                          <w:rFonts w:hint="eastAsia" w:ascii="楷体_GB2312" w:hAnsi="宋体" w:eastAsia="楷体_GB2312" w:cs="楷体_GB2312"/>
                          <w:b/>
                          <w:bCs/>
                          <w:sz w:val="18"/>
                          <w:szCs w:val="18"/>
                        </w:rPr>
                        <w:t>监理人的质量检查和检验</w:t>
                      </w:r>
                    </w:p>
                  </w:txbxContent>
                </v:textbox>
              </v:shape>
            </w:pict>
          </mc:Fallback>
        </mc:AlternateContent>
      </w:r>
      <w:r>
        <w:rPr>
          <w:rFonts w:hint="eastAsia" w:ascii="仿宋" w:hAnsi="仿宋" w:eastAsia="仿宋" w:cs="仿宋"/>
          <w:color w:val="auto"/>
          <w:kern w:val="0"/>
          <w:sz w:val="24"/>
          <w:szCs w:val="24"/>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pStyle w:val="13"/>
        <w:shd w:val="clear" w:color="000000" w:fill="auto"/>
        <w:adjustRightInd w:val="0"/>
        <w:snapToGrid w:val="0"/>
        <w:spacing w:line="360" w:lineRule="auto"/>
        <w:ind w:firstLine="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13"/>
        <w:shd w:val="clear" w:color="000000" w:fill="auto"/>
        <w:adjustRightInd w:val="0"/>
        <w:snapToGrid w:val="0"/>
        <w:spacing w:line="360" w:lineRule="auto"/>
        <w:ind w:firstLine="0"/>
        <w:outlineLvl w:val="2"/>
        <w:rPr>
          <w:rFonts w:ascii="仿宋" w:hAnsi="仿宋" w:eastAsia="仿宋"/>
          <w:b/>
          <w:bCs/>
          <w:color w:val="auto"/>
          <w:sz w:val="24"/>
          <w:szCs w:val="24"/>
          <w:highlight w:val="none"/>
        </w:rPr>
      </w:pPr>
      <w:bookmarkStart w:id="251" w:name="_Toc469384025"/>
      <w:bookmarkStart w:id="252" w:name="_Toc19074"/>
      <w:bookmarkStart w:id="253" w:name="_Toc10624865"/>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42  </w:t>
      </w:r>
      <w:r>
        <w:rPr>
          <w:rFonts w:hint="eastAsia" w:ascii="仿宋" w:hAnsi="仿宋" w:eastAsia="仿宋" w:cs="仿宋"/>
          <w:b/>
          <w:bCs/>
          <w:color w:val="auto"/>
          <w:sz w:val="24"/>
          <w:szCs w:val="24"/>
          <w:highlight w:val="none"/>
        </w:rPr>
        <w:t>质量标准</w:t>
      </w:r>
      <w:bookmarkEnd w:id="251"/>
      <w:bookmarkEnd w:id="252"/>
      <w:bookmarkEnd w:id="253"/>
    </w:p>
    <w:p>
      <w:pPr>
        <w:shd w:val="clear" w:color="000000" w:fill="auto"/>
        <w:adjustRightInd w:val="0"/>
        <w:snapToGrid w:val="0"/>
        <w:spacing w:line="360" w:lineRule="auto"/>
        <w:jc w:val="left"/>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42.1 </w:t>
      </w:r>
    </w:p>
    <w:p>
      <w:pPr>
        <w:shd w:val="clear" w:color="000000" w:fill="auto"/>
        <w:adjustRightInd w:val="0"/>
        <w:snapToGrid w:val="0"/>
        <w:spacing w:line="360" w:lineRule="auto"/>
        <w:ind w:left="1619" w:leftChars="771"/>
        <w:jc w:val="left"/>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25152" behindDoc="0" locked="0" layoutInCell="1" allowOverlap="1">
                <wp:simplePos x="0" y="0"/>
                <wp:positionH relativeFrom="column">
                  <wp:posOffset>-114300</wp:posOffset>
                </wp:positionH>
                <wp:positionV relativeFrom="paragraph">
                  <wp:posOffset>8255</wp:posOffset>
                </wp:positionV>
                <wp:extent cx="914400" cy="389890"/>
                <wp:effectExtent l="0" t="0" r="0" b="0"/>
                <wp:wrapNone/>
                <wp:docPr id="163" name="文本框 165"/>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约定工程质量标准</w:t>
                            </w:r>
                          </w:p>
                        </w:txbxContent>
                      </wps:txbx>
                      <wps:bodyPr upright="1"/>
                    </wps:wsp>
                  </a:graphicData>
                </a:graphic>
              </wp:anchor>
            </w:drawing>
          </mc:Choice>
          <mc:Fallback>
            <w:pict>
              <v:shape id="文本框 165" o:spid="_x0000_s1026" o:spt="202" type="#_x0000_t202" style="position:absolute;left:0pt;margin-left:-9pt;margin-top:0.65pt;height:30.7pt;width:72pt;z-index:251825152;mso-width-relative:page;mso-height-relative:page;" filled="f" stroked="f" coordsize="21600,21600" o:gfxdata="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0IwP89UA&#10;AAAIAQAADwAAAAAAAAABACAAAAAiAAAAZHJzL2Rvd25yZXYueG1sUEsBAhQAFAAAAAgAh07iQD9+&#10;6JOwAQAAUQMAAA4AAAAAAAAAAQAgAAAAJAEAAGRycy9lMm9Eb2MueG1sUEsFBgAAAAAGAAYAWQEA&#10;AEYFA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约定工程质量标准</w:t>
                      </w:r>
                    </w:p>
                  </w:txbxContent>
                </v:textbox>
              </v:shape>
            </w:pict>
          </mc:Fallback>
        </mc:AlternateContent>
      </w:r>
      <w:r>
        <w:rPr>
          <w:rFonts w:hint="eastAsia" w:ascii="仿宋" w:hAnsi="仿宋" w:eastAsia="仿宋" w:cs="仿宋"/>
          <w:color w:val="auto"/>
          <w:sz w:val="24"/>
          <w:szCs w:val="24"/>
          <w:highlight w:val="none"/>
        </w:rPr>
        <w:t>合同双方当事人应在专用条款中约定工程质量标准，但不得低于国家或行业的强制性标准。工程质量应当达到专用条款约定的质量标准。</w:t>
      </w:r>
    </w:p>
    <w:p>
      <w:pPr>
        <w:shd w:val="clear" w:color="000000" w:fill="auto"/>
        <w:adjustRightInd w:val="0"/>
        <w:snapToGrid w:val="0"/>
        <w:spacing w:line="360" w:lineRule="auto"/>
        <w:ind w:left="1619" w:leftChars="771"/>
        <w:jc w:val="left"/>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工程质量验收，按照合同约定的标准执行；合同没有约定的，按照国家或行业的质量验收标准执行。</w:t>
      </w:r>
    </w:p>
    <w:p>
      <w:pPr>
        <w:shd w:val="clear" w:color="000000" w:fill="auto"/>
        <w:adjustRightInd w:val="0"/>
        <w:snapToGrid w:val="0"/>
        <w:spacing w:line="360" w:lineRule="auto"/>
        <w:jc w:val="left"/>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26176" behindDoc="0" locked="0" layoutInCell="1" allowOverlap="1">
                <wp:simplePos x="0" y="0"/>
                <wp:positionH relativeFrom="column">
                  <wp:posOffset>-114300</wp:posOffset>
                </wp:positionH>
                <wp:positionV relativeFrom="paragraph">
                  <wp:posOffset>256540</wp:posOffset>
                </wp:positionV>
                <wp:extent cx="977900" cy="471805"/>
                <wp:effectExtent l="0" t="0" r="0" b="0"/>
                <wp:wrapNone/>
                <wp:docPr id="164" name="文本框 166"/>
                <wp:cNvGraphicFramePr/>
                <a:graphic xmlns:a="http://schemas.openxmlformats.org/drawingml/2006/main">
                  <a:graphicData uri="http://schemas.microsoft.com/office/word/2010/wordprocessingShape">
                    <wps:wsp>
                      <wps:cNvSpPr txBox="1"/>
                      <wps:spPr>
                        <a:xfrm>
                          <a:off x="0" y="0"/>
                          <a:ext cx="977900" cy="471805"/>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承包人保证工程质量的职责</w:t>
                            </w:r>
                          </w:p>
                        </w:txbxContent>
                      </wps:txbx>
                      <wps:bodyPr upright="1"/>
                    </wps:wsp>
                  </a:graphicData>
                </a:graphic>
              </wp:anchor>
            </w:drawing>
          </mc:Choice>
          <mc:Fallback>
            <w:pict>
              <v:shape id="文本框 166" o:spid="_x0000_s1026" o:spt="202" type="#_x0000_t202" style="position:absolute;left:0pt;margin-left:-9pt;margin-top:20.2pt;height:37.15pt;width:77pt;z-index:251826176;mso-width-relative:page;mso-height-relative:page;" filled="f" stroked="f" coordsize="21600,21600" o:gfxdata="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fVgi/X&#10;AAAACgEAAA8AAAAAAAAAAQAgAAAAIgAAAGRycy9kb3ducmV2LnhtbFBLAQIUABQAAAAIAIdO4kCW&#10;JrY5rwEAAFEDAAAOAAAAAAAAAAEAIAAAACYBAABkcnMvZTJvRG9jLnhtbFBLBQYAAAAABgAGAFkB&#10;AABHBQ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承包人保证工程质量的职责</w:t>
                      </w:r>
                    </w:p>
                  </w:txbxContent>
                </v:textbox>
              </v:shape>
            </w:pict>
          </mc:Fallback>
        </mc:AlternateContent>
      </w:r>
      <w:r>
        <w:rPr>
          <w:rFonts w:ascii="仿宋" w:hAnsi="仿宋" w:eastAsia="仿宋" w:cs="仿宋"/>
          <w:b/>
          <w:bCs/>
          <w:color w:val="auto"/>
          <w:sz w:val="24"/>
          <w:szCs w:val="24"/>
          <w:highlight w:val="none"/>
        </w:rPr>
        <w:t>42.2</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shd w:val="clear" w:color="000000" w:fill="auto"/>
        <w:adjustRightInd w:val="0"/>
        <w:snapToGrid w:val="0"/>
        <w:spacing w:line="360" w:lineRule="auto"/>
        <w:ind w:left="1620"/>
        <w:jc w:val="left"/>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承包人对合同工程的质量向发包人负责，其职责包括但不限于下列内容：</w:t>
      </w:r>
    </w:p>
    <w:p>
      <w:pPr>
        <w:shd w:val="clear" w:color="000000" w:fill="auto"/>
        <w:adjustRightInd w:val="0"/>
        <w:snapToGrid w:val="0"/>
        <w:spacing w:line="360" w:lineRule="auto"/>
        <w:ind w:left="1620"/>
        <w:jc w:val="left"/>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rPr>
        <w:t>编制施工技术方案，确定施工技术措施；</w:t>
      </w:r>
    </w:p>
    <w:p>
      <w:pPr>
        <w:shd w:val="clear" w:color="000000" w:fill="auto"/>
        <w:adjustRightInd w:val="0"/>
        <w:snapToGrid w:val="0"/>
        <w:spacing w:line="360" w:lineRule="auto"/>
        <w:ind w:left="1620"/>
        <w:jc w:val="left"/>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(2) </w:t>
      </w:r>
      <w:r>
        <w:rPr>
          <w:rFonts w:hint="eastAsia" w:ascii="仿宋" w:hAnsi="仿宋" w:eastAsia="仿宋" w:cs="仿宋"/>
          <w:color w:val="auto"/>
          <w:sz w:val="24"/>
          <w:szCs w:val="24"/>
          <w:highlight w:val="none"/>
        </w:rPr>
        <w:t>提供和组织足够的工程技术人员，检查和控制工程施工质量；</w:t>
      </w:r>
    </w:p>
    <w:p>
      <w:pPr>
        <w:shd w:val="clear" w:color="000000" w:fill="auto"/>
        <w:adjustRightInd w:val="0"/>
        <w:snapToGrid w:val="0"/>
        <w:spacing w:line="360" w:lineRule="auto"/>
        <w:ind w:left="1621"/>
        <w:jc w:val="left"/>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(3) </w:t>
      </w:r>
      <w:r>
        <w:rPr>
          <w:rFonts w:hint="eastAsia" w:ascii="仿宋" w:hAnsi="仿宋" w:eastAsia="仿宋" w:cs="仿宋"/>
          <w:color w:val="auto"/>
          <w:sz w:val="24"/>
          <w:szCs w:val="24"/>
          <w:highlight w:val="none"/>
        </w:rPr>
        <w:t>控制施工所用的材料和工程设备，使其符合标准与规范、设计要求及合同约定的标准；</w:t>
      </w:r>
    </w:p>
    <w:p>
      <w:pPr>
        <w:shd w:val="clear" w:color="000000" w:fill="auto"/>
        <w:tabs>
          <w:tab w:val="right" w:pos="9864"/>
        </w:tabs>
        <w:adjustRightInd w:val="0"/>
        <w:snapToGrid w:val="0"/>
        <w:spacing w:line="360" w:lineRule="auto"/>
        <w:ind w:firstLine="1620" w:firstLineChars="675"/>
        <w:jc w:val="left"/>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(4) </w:t>
      </w:r>
      <w:r>
        <w:rPr>
          <w:rFonts w:hint="eastAsia" w:ascii="仿宋" w:hAnsi="仿宋" w:eastAsia="仿宋" w:cs="仿宋"/>
          <w:color w:val="auto"/>
          <w:sz w:val="24"/>
          <w:szCs w:val="24"/>
          <w:highlight w:val="none"/>
        </w:rPr>
        <w:t>负责合同工程施工中出现质量问题或竣工验收不合格的返修工作；</w:t>
      </w:r>
    </w:p>
    <w:p>
      <w:pPr>
        <w:shd w:val="clear" w:color="000000" w:fill="auto"/>
        <w:adjustRightInd w:val="0"/>
        <w:snapToGrid w:val="0"/>
        <w:spacing w:line="360" w:lineRule="auto"/>
        <w:ind w:left="1617"/>
        <w:jc w:val="left"/>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(5) </w:t>
      </w:r>
      <w:r>
        <w:rPr>
          <w:rFonts w:hint="eastAsia" w:ascii="仿宋" w:hAnsi="仿宋" w:eastAsia="仿宋" w:cs="仿宋"/>
          <w:color w:val="auto"/>
          <w:sz w:val="24"/>
          <w:szCs w:val="24"/>
          <w:highlight w:val="none"/>
        </w:rPr>
        <w:t>参加合同工程的所有验收工作，包括隐蔽验收、中间验收；参加竣工验收，组织分包人参加工程验收工作；</w:t>
      </w:r>
    </w:p>
    <w:p>
      <w:pPr>
        <w:shd w:val="clear" w:color="000000" w:fill="auto"/>
        <w:adjustRightInd w:val="0"/>
        <w:snapToGrid w:val="0"/>
        <w:spacing w:line="360" w:lineRule="auto"/>
        <w:ind w:left="1620"/>
        <w:jc w:val="left"/>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(6) </w:t>
      </w:r>
      <w:r>
        <w:rPr>
          <w:rFonts w:hint="eastAsia" w:ascii="仿宋" w:hAnsi="仿宋" w:eastAsia="仿宋" w:cs="仿宋"/>
          <w:color w:val="auto"/>
          <w:sz w:val="24"/>
          <w:szCs w:val="24"/>
          <w:highlight w:val="none"/>
        </w:rPr>
        <w:t>承担质量保修期的工程保修责任；</w:t>
      </w:r>
    </w:p>
    <w:p>
      <w:pPr>
        <w:shd w:val="clear" w:color="000000" w:fill="auto"/>
        <w:adjustRightInd w:val="0"/>
        <w:snapToGrid w:val="0"/>
        <w:spacing w:line="360" w:lineRule="auto"/>
        <w:ind w:left="1620"/>
        <w:jc w:val="left"/>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(7) </w:t>
      </w:r>
      <w:r>
        <w:rPr>
          <w:rFonts w:hint="eastAsia" w:ascii="仿宋" w:hAnsi="仿宋" w:eastAsia="仿宋" w:cs="仿宋"/>
          <w:color w:val="auto"/>
          <w:sz w:val="24"/>
          <w:szCs w:val="24"/>
          <w:highlight w:val="none"/>
        </w:rPr>
        <w:t>承担其他工程质量责任。</w:t>
      </w:r>
    </w:p>
    <w:p>
      <w:pPr>
        <w:shd w:val="clear" w:color="000000" w:fill="auto"/>
        <w:adjustRightInd w:val="0"/>
        <w:snapToGrid w:val="0"/>
        <w:spacing w:line="360" w:lineRule="auto"/>
        <w:jc w:val="left"/>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827200" behindDoc="0" locked="0" layoutInCell="1" allowOverlap="1">
                <wp:simplePos x="0" y="0"/>
                <wp:positionH relativeFrom="column">
                  <wp:posOffset>-114300</wp:posOffset>
                </wp:positionH>
                <wp:positionV relativeFrom="paragraph">
                  <wp:posOffset>291465</wp:posOffset>
                </wp:positionV>
                <wp:extent cx="1028700" cy="245745"/>
                <wp:effectExtent l="0" t="0" r="0" b="0"/>
                <wp:wrapNone/>
                <wp:docPr id="165" name="文本框 167"/>
                <wp:cNvGraphicFramePr/>
                <a:graphic xmlns:a="http://schemas.openxmlformats.org/drawingml/2006/main">
                  <a:graphicData uri="http://schemas.microsoft.com/office/word/2010/wordprocessingShape">
                    <wps:wsp>
                      <wps:cNvSpPr txBox="1"/>
                      <wps:spPr>
                        <a:xfrm>
                          <a:off x="0" y="0"/>
                          <a:ext cx="1028700" cy="245745"/>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质量保证体系</w:t>
                            </w:r>
                          </w:p>
                        </w:txbxContent>
                      </wps:txbx>
                      <wps:bodyPr upright="1"/>
                    </wps:wsp>
                  </a:graphicData>
                </a:graphic>
              </wp:anchor>
            </w:drawing>
          </mc:Choice>
          <mc:Fallback>
            <w:pict>
              <v:shape id="文本框 167" o:spid="_x0000_s1026" o:spt="202" type="#_x0000_t202" style="position:absolute;left:0pt;margin-left:-9pt;margin-top:22.95pt;height:19.35pt;width:81pt;z-index:251827200;mso-width-relative:page;mso-height-relative:page;" filled="f" stroked="f" coordsize="21600,21600" o:gfxdata="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gswKw9YA&#10;AAAJAQAADwAAAAAAAAABACAAAAAiAAAAZHJzL2Rvd25yZXYueG1sUEsBAhQAFAAAAAgAh07iQLuE&#10;SL6vAQAAUgMAAA4AAAAAAAAAAQAgAAAAJQEAAGRycy9lMm9Eb2MueG1sUEsFBgAAAAAGAAYAWQEA&#10;AEYFA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质量保证体系</w:t>
                      </w:r>
                    </w:p>
                  </w:txbxContent>
                </v:textbox>
              </v:shape>
            </w:pict>
          </mc:Fallback>
        </mc:AlternateContent>
      </w:r>
      <w:r>
        <w:rPr>
          <w:rFonts w:ascii="仿宋" w:hAnsi="仿宋" w:eastAsia="仿宋" w:cs="仿宋"/>
          <w:b/>
          <w:bCs/>
          <w:color w:val="auto"/>
          <w:sz w:val="24"/>
          <w:szCs w:val="24"/>
          <w:highlight w:val="none"/>
        </w:rPr>
        <w:t xml:space="preserve">42.3 </w:t>
      </w:r>
      <w:r>
        <w:rPr>
          <w:rFonts w:ascii="仿宋" w:hAnsi="仿宋" w:eastAsia="仿宋" w:cs="仿宋"/>
          <w:b/>
          <w:bCs/>
          <w:color w:val="auto"/>
          <w:sz w:val="24"/>
          <w:szCs w:val="24"/>
          <w:highlight w:val="none"/>
          <w:u w:val="dotted"/>
        </w:rPr>
        <w:t xml:space="preserve">                                                                                                        </w:t>
      </w:r>
    </w:p>
    <w:p>
      <w:pPr>
        <w:pStyle w:val="33"/>
        <w:shd w:val="clear" w:color="000000" w:fill="auto"/>
        <w:adjustRightInd w:val="0"/>
        <w:snapToGrid w:val="0"/>
        <w:ind w:left="1619" w:leftChars="771"/>
        <w:rPr>
          <w:rFonts w:ascii="仿宋" w:hAnsi="仿宋" w:eastAsia="仿宋"/>
          <w:color w:val="auto"/>
          <w:highlight w:val="none"/>
        </w:rPr>
      </w:pPr>
      <w:r>
        <w:rPr>
          <w:rFonts w:hint="eastAsia" w:ascii="仿宋" w:hAnsi="仿宋" w:eastAsia="仿宋" w:cs="仿宋"/>
          <w:color w:val="auto"/>
          <w:highlight w:val="none"/>
        </w:rPr>
        <w:t>承包人应建立健全完善的质量保证体系。</w:t>
      </w:r>
    </w:p>
    <w:p>
      <w:pPr>
        <w:shd w:val="clear" w:color="000000" w:fill="auto"/>
        <w:autoSpaceDE w:val="0"/>
        <w:autoSpaceDN w:val="0"/>
        <w:adjustRightInd w:val="0"/>
        <w:spacing w:line="360" w:lineRule="auto"/>
        <w:ind w:left="1556" w:leftChars="741"/>
        <w:jc w:val="left"/>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）承包人应向发包人和监理人提交工程质量保证体系及措施文件，建立完善的质量检查制度，并提交相应的工程质量文件。对于发包人和监理人违反法律规定和合同约定的错误指示，承包人有权拒绝实施。</w:t>
      </w:r>
    </w:p>
    <w:p>
      <w:pPr>
        <w:pStyle w:val="33"/>
        <w:shd w:val="clear" w:color="000000" w:fill="auto"/>
        <w:adjustRightInd w:val="0"/>
        <w:snapToGrid w:val="0"/>
        <w:ind w:left="1418" w:leftChars="675"/>
        <w:rPr>
          <w:rFonts w:ascii="仿宋" w:hAnsi="仿宋" w:eastAsia="仿宋"/>
          <w:color w:val="auto"/>
          <w:kern w:val="0"/>
          <w:highlight w:val="none"/>
        </w:rPr>
      </w:pPr>
      <w:r>
        <w:rPr>
          <w:rFonts w:hint="eastAsia" w:ascii="仿宋" w:hAnsi="仿宋" w:eastAsia="仿宋" w:cs="仿宋"/>
          <w:color w:val="auto"/>
          <w:kern w:val="0"/>
          <w:highlight w:val="none"/>
        </w:rPr>
        <w:t>（</w:t>
      </w:r>
      <w:r>
        <w:rPr>
          <w:rFonts w:ascii="仿宋" w:hAnsi="仿宋" w:eastAsia="仿宋" w:cs="仿宋"/>
          <w:color w:val="auto"/>
          <w:kern w:val="0"/>
          <w:highlight w:val="none"/>
        </w:rPr>
        <w:t>2</w:t>
      </w:r>
      <w:r>
        <w:rPr>
          <w:rFonts w:hint="eastAsia" w:ascii="仿宋" w:hAnsi="仿宋" w:eastAsia="仿宋" w:cs="仿宋"/>
          <w:color w:val="auto"/>
          <w:kern w:val="0"/>
          <w:highlight w:val="none"/>
        </w:rPr>
        <w:t>）承包人应建立健全完善的质量保证体系，对施工人员进行质量教育和技术培训，定期考核施工人员的劳动技能，严格执行施工规范和操作规程。在合同工程开工前，承包人应向发包人和监理人提交质量保证体系实施程序、施工质量检验制度和施工质量水平评定考核制度等文件、资料。建立完善的质量检查制度，并提交相应的工程质量文件。监理工程师有权要求承包人提交即使承包人遵守质量保证体系，也不能免除其按照合同约定应承担的任何责任和应履行的任何义务。</w:t>
      </w:r>
    </w:p>
    <w:p>
      <w:pPr>
        <w:shd w:val="clear" w:color="000000" w:fill="auto"/>
        <w:adjustRightInd w:val="0"/>
        <w:snapToGrid w:val="0"/>
        <w:spacing w:line="360" w:lineRule="auto"/>
        <w:jc w:val="left"/>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828224" behindDoc="0" locked="0" layoutInCell="1" allowOverlap="1">
                <wp:simplePos x="0" y="0"/>
                <wp:positionH relativeFrom="column">
                  <wp:posOffset>-114300</wp:posOffset>
                </wp:positionH>
                <wp:positionV relativeFrom="paragraph">
                  <wp:posOffset>276225</wp:posOffset>
                </wp:positionV>
                <wp:extent cx="967740" cy="449580"/>
                <wp:effectExtent l="0" t="0" r="0" b="0"/>
                <wp:wrapNone/>
                <wp:docPr id="166" name="文本框 168"/>
                <wp:cNvGraphicFramePr/>
                <a:graphic xmlns:a="http://schemas.openxmlformats.org/drawingml/2006/main">
                  <a:graphicData uri="http://schemas.microsoft.com/office/word/2010/wordprocessingShape">
                    <wps:wsp>
                      <wps:cNvSpPr txBox="1"/>
                      <wps:spPr>
                        <a:xfrm>
                          <a:off x="0" y="0"/>
                          <a:ext cx="967740" cy="449580"/>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工程质量有争议的处理</w:t>
                            </w:r>
                          </w:p>
                        </w:txbxContent>
                      </wps:txbx>
                      <wps:bodyPr upright="1"/>
                    </wps:wsp>
                  </a:graphicData>
                </a:graphic>
              </wp:anchor>
            </w:drawing>
          </mc:Choice>
          <mc:Fallback>
            <w:pict>
              <v:shape id="文本框 168" o:spid="_x0000_s1026" o:spt="202" type="#_x0000_t202" style="position:absolute;left:0pt;margin-left:-9pt;margin-top:21.75pt;height:35.4pt;width:76.2pt;z-index:251828224;mso-width-relative:page;mso-height-relative:page;" filled="f" stroked="f" coordsize="21600,21600" o:gfxdata="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Ykq&#10;y9gAAAAKAQAADwAAAAAAAAABACAAAAAiAAAAZHJzL2Rvd25yZXYueG1sUEsBAhQAFAAAAAgAh07i&#10;QLR6h42wAQAAUQMAAA4AAAAAAAAAAQAgAAAAJwEAAGRycy9lMm9Eb2MueG1sUEsFBgAAAAAGAAYA&#10;WQEAAEkFA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工程质量有争议的处理</w:t>
                      </w:r>
                    </w:p>
                  </w:txbxContent>
                </v:textbox>
              </v:shape>
            </w:pict>
          </mc:Fallback>
        </mc:AlternateContent>
      </w:r>
      <w:r>
        <w:rPr>
          <w:rFonts w:ascii="仿宋" w:hAnsi="仿宋" w:eastAsia="仿宋" w:cs="仿宋"/>
          <w:b/>
          <w:bCs/>
          <w:color w:val="auto"/>
          <w:sz w:val="24"/>
          <w:szCs w:val="24"/>
          <w:highlight w:val="none"/>
        </w:rPr>
        <w:t xml:space="preserve">42.4 </w:t>
      </w:r>
      <w:r>
        <w:rPr>
          <w:rFonts w:ascii="仿宋" w:hAnsi="仿宋" w:eastAsia="仿宋" w:cs="仿宋"/>
          <w:b/>
          <w:bCs/>
          <w:color w:val="auto"/>
          <w:sz w:val="24"/>
          <w:szCs w:val="24"/>
          <w:highlight w:val="none"/>
          <w:u w:val="dotted"/>
        </w:rPr>
        <w:t xml:space="preserve">                                                                                                        </w:t>
      </w:r>
    </w:p>
    <w:p>
      <w:pPr>
        <w:shd w:val="clear" w:color="000000" w:fill="auto"/>
        <w:adjustRightInd w:val="0"/>
        <w:snapToGrid w:val="0"/>
        <w:spacing w:line="360" w:lineRule="auto"/>
        <w:ind w:left="1619" w:leftChars="771"/>
        <w:jc w:val="left"/>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合同双方当事人对工程质量有争议的，按照第</w:t>
      </w:r>
      <w:r>
        <w:rPr>
          <w:rFonts w:ascii="仿宋" w:hAnsi="仿宋" w:eastAsia="仿宋" w:cs="仿宋"/>
          <w:color w:val="auto"/>
          <w:sz w:val="24"/>
          <w:szCs w:val="24"/>
          <w:highlight w:val="none"/>
        </w:rPr>
        <w:t>86.4</w:t>
      </w:r>
      <w:r>
        <w:rPr>
          <w:rFonts w:hint="eastAsia" w:ascii="仿宋" w:hAnsi="仿宋" w:eastAsia="仿宋" w:cs="仿宋"/>
          <w:color w:val="auto"/>
          <w:sz w:val="24"/>
          <w:szCs w:val="24"/>
          <w:highlight w:val="none"/>
        </w:rPr>
        <w:t>款规定调解或认定，所需的费用及由此造成的损失，由责任方承担。双方均有责任的，由双方根据其责任划分分别承担。</w:t>
      </w:r>
    </w:p>
    <w:p>
      <w:pPr>
        <w:shd w:val="clear" w:color="000000" w:fill="auto"/>
        <w:adjustRightInd w:val="0"/>
        <w:snapToGrid w:val="0"/>
        <w:spacing w:line="360" w:lineRule="auto"/>
        <w:ind w:left="1619" w:leftChars="771"/>
        <w:jc w:val="left"/>
        <w:rPr>
          <w:rFonts w:ascii="仿宋" w:hAnsi="仿宋" w:eastAsia="仿宋" w:cs="Times New Roman"/>
          <w:color w:val="auto"/>
          <w:sz w:val="24"/>
          <w:szCs w:val="24"/>
          <w:highlight w:val="none"/>
        </w:rPr>
      </w:pPr>
    </w:p>
    <w:p>
      <w:pPr>
        <w:shd w:val="clear" w:color="000000" w:fill="auto"/>
        <w:tabs>
          <w:tab w:val="left" w:pos="1620"/>
        </w:tabs>
        <w:adjustRightInd w:val="0"/>
        <w:snapToGrid w:val="0"/>
        <w:spacing w:line="360" w:lineRule="auto"/>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numPr>
          <w:ilvl w:val="0"/>
          <w:numId w:val="0"/>
        </w:numPr>
        <w:shd w:val="clear" w:color="000000" w:fill="auto"/>
        <w:tabs>
          <w:tab w:val="left" w:pos="420"/>
        </w:tabs>
        <w:rPr>
          <w:rFonts w:ascii="仿宋" w:hAnsi="仿宋" w:eastAsia="仿宋"/>
          <w:color w:val="auto"/>
          <w:sz w:val="24"/>
          <w:szCs w:val="24"/>
          <w:highlight w:val="none"/>
        </w:rPr>
      </w:pPr>
      <w:bookmarkStart w:id="254" w:name="_Toc10624866"/>
      <w:bookmarkStart w:id="255" w:name="_Toc469384026"/>
      <w:bookmarkStart w:id="256" w:name="_Toc10728"/>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43  </w:t>
      </w:r>
      <w:r>
        <w:rPr>
          <w:rFonts w:hint="eastAsia" w:ascii="仿宋" w:hAnsi="仿宋" w:eastAsia="仿宋" w:cs="仿宋"/>
          <w:color w:val="auto"/>
          <w:sz w:val="24"/>
          <w:szCs w:val="24"/>
          <w:highlight w:val="none"/>
        </w:rPr>
        <w:t>工程质量创优</w:t>
      </w:r>
      <w:bookmarkEnd w:id="254"/>
      <w:bookmarkEnd w:id="255"/>
      <w:bookmarkEnd w:id="256"/>
    </w:p>
    <w:p>
      <w:pPr>
        <w:shd w:val="clear" w:color="000000" w:fill="auto"/>
        <w:spacing w:line="360" w:lineRule="auto"/>
        <w:rPr>
          <w:rFonts w:ascii="仿宋" w:hAnsi="仿宋" w:eastAsia="仿宋" w:cs="Times New Roman"/>
          <w:b/>
          <w:bCs/>
          <w:caps/>
          <w:color w:val="auto"/>
          <w:sz w:val="24"/>
          <w:szCs w:val="24"/>
          <w:highlight w:val="none"/>
        </w:rPr>
      </w:pPr>
      <w:r>
        <w:rPr>
          <w:rFonts w:ascii="仿宋" w:hAnsi="仿宋" w:eastAsia="仿宋" w:cs="仿宋"/>
          <w:b/>
          <w:bCs/>
          <w:caps/>
          <w:color w:val="auto"/>
          <w:sz w:val="24"/>
          <w:szCs w:val="24"/>
          <w:highlight w:val="none"/>
        </w:rPr>
        <w:t>43.1</w:t>
      </w:r>
    </w:p>
    <w:p>
      <w:pPr>
        <w:shd w:val="clear" w:color="000000" w:fill="auto"/>
        <w:spacing w:line="360" w:lineRule="auto"/>
        <w:ind w:left="1619" w:leftChars="771"/>
        <w:rPr>
          <w:rFonts w:ascii="仿宋" w:hAnsi="仿宋" w:eastAsia="仿宋" w:cs="Times New Roman"/>
          <w:caps/>
          <w:color w:val="auto"/>
          <w:sz w:val="24"/>
          <w:szCs w:val="24"/>
          <w:highlight w:val="none"/>
        </w:rPr>
      </w:pPr>
      <w:r>
        <w:rPr>
          <w:color w:val="auto"/>
          <w:highlight w:val="none"/>
        </w:rPr>
        <mc:AlternateContent>
          <mc:Choice Requires="wps">
            <w:drawing>
              <wp:anchor distT="0" distB="0" distL="114300" distR="114300" simplePos="0" relativeHeight="251829248" behindDoc="0" locked="0" layoutInCell="1" allowOverlap="1">
                <wp:simplePos x="0" y="0"/>
                <wp:positionH relativeFrom="column">
                  <wp:posOffset>-114300</wp:posOffset>
                </wp:positionH>
                <wp:positionV relativeFrom="paragraph">
                  <wp:posOffset>38100</wp:posOffset>
                </wp:positionV>
                <wp:extent cx="914400" cy="495300"/>
                <wp:effectExtent l="0" t="0" r="0" b="0"/>
                <wp:wrapNone/>
                <wp:docPr id="167" name="文本框 169"/>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发包人鼓励质量创优</w:t>
                            </w:r>
                          </w:p>
                        </w:txbxContent>
                      </wps:txbx>
                      <wps:bodyPr upright="1"/>
                    </wps:wsp>
                  </a:graphicData>
                </a:graphic>
              </wp:anchor>
            </w:drawing>
          </mc:Choice>
          <mc:Fallback>
            <w:pict>
              <v:shape id="文本框 169" o:spid="_x0000_s1026" o:spt="202" type="#_x0000_t202" style="position:absolute;left:0pt;margin-left:-9pt;margin-top:3pt;height:39pt;width:72pt;z-index:251829248;mso-width-relative:page;mso-height-relative:page;" filled="f" stroked="f" coordsize="21600,21600" o:gfxdata="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fhA++1QAA&#10;AAgBAAAPAAAAAAAAAAEAIAAAACIAAABkcnMvZG93bnJldi54bWxQSwECFAAUAAAACACHTuJAFPj/&#10;0K8BAABRAwAADgAAAAAAAAABACAAAAAkAQAAZHJzL2Uyb0RvYy54bWxQSwUGAAAAAAYABgBZAQAA&#10;RQU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发包人鼓励质量创优</w:t>
                      </w:r>
                    </w:p>
                  </w:txbxContent>
                </v:textbox>
              </v:shape>
            </w:pict>
          </mc:Fallback>
        </mc:AlternateContent>
      </w:r>
      <w:r>
        <w:rPr>
          <w:rFonts w:hint="eastAsia" w:ascii="仿宋" w:hAnsi="仿宋" w:eastAsia="仿宋" w:cs="仿宋"/>
          <w:caps/>
          <w:color w:val="auto"/>
          <w:sz w:val="24"/>
          <w:szCs w:val="24"/>
          <w:highlight w:val="none"/>
        </w:rPr>
        <w:t>发包人应配合承包人加强合同工程质量与施工安全管理，鼓励承包人实施合同工程质量创优。对于合同工程质量标准高于国家规定或合同约定的质量验收合格标准的，应按照第</w:t>
      </w:r>
      <w:r>
        <w:rPr>
          <w:rFonts w:ascii="仿宋" w:hAnsi="仿宋" w:eastAsia="仿宋" w:cs="仿宋"/>
          <w:caps/>
          <w:color w:val="auto"/>
          <w:sz w:val="24"/>
          <w:szCs w:val="24"/>
          <w:highlight w:val="none"/>
        </w:rPr>
        <w:t>67</w:t>
      </w:r>
      <w:r>
        <w:rPr>
          <w:rFonts w:hint="eastAsia" w:ascii="仿宋" w:hAnsi="仿宋" w:eastAsia="仿宋" w:cs="仿宋"/>
          <w:caps/>
          <w:color w:val="auto"/>
          <w:sz w:val="24"/>
          <w:szCs w:val="24"/>
          <w:highlight w:val="none"/>
        </w:rPr>
        <w:t>条规定向承包人支付工程优质费。</w:t>
      </w:r>
    </w:p>
    <w:p>
      <w:pPr>
        <w:shd w:val="clear" w:color="000000" w:fill="auto"/>
        <w:spacing w:line="360" w:lineRule="auto"/>
        <w:rPr>
          <w:rFonts w:ascii="仿宋" w:hAnsi="仿宋" w:eastAsia="仿宋" w:cs="Times New Roman"/>
          <w:b/>
          <w:bCs/>
          <w:caps/>
          <w:color w:val="auto"/>
          <w:sz w:val="24"/>
          <w:szCs w:val="24"/>
          <w:highlight w:val="none"/>
        </w:rPr>
      </w:pPr>
      <w:r>
        <w:rPr>
          <w:rFonts w:ascii="仿宋" w:hAnsi="仿宋" w:eastAsia="仿宋" w:cs="仿宋"/>
          <w:b/>
          <w:bCs/>
          <w:color w:val="auto"/>
          <w:sz w:val="24"/>
          <w:szCs w:val="24"/>
          <w:highlight w:val="none"/>
        </w:rPr>
        <w:t xml:space="preserve">43.2 </w:t>
      </w:r>
      <w:r>
        <w:rPr>
          <w:rFonts w:ascii="仿宋" w:hAnsi="仿宋" w:eastAsia="仿宋" w:cs="仿宋"/>
          <w:b/>
          <w:bCs/>
          <w:color w:val="auto"/>
          <w:sz w:val="24"/>
          <w:szCs w:val="24"/>
          <w:highlight w:val="none"/>
          <w:u w:val="dotted"/>
        </w:rPr>
        <w:t xml:space="preserve">                                                                              </w:t>
      </w:r>
    </w:p>
    <w:p>
      <w:pPr>
        <w:shd w:val="clear" w:color="000000" w:fill="auto"/>
        <w:spacing w:line="360" w:lineRule="auto"/>
        <w:ind w:left="1619" w:leftChars="771"/>
        <w:rPr>
          <w:rFonts w:ascii="仿宋" w:hAnsi="仿宋" w:eastAsia="仿宋" w:cs="Times New Roman"/>
          <w:caps/>
          <w:color w:val="auto"/>
          <w:sz w:val="24"/>
          <w:szCs w:val="24"/>
          <w:highlight w:val="none"/>
        </w:rPr>
      </w:pPr>
      <w:r>
        <w:rPr>
          <w:color w:val="auto"/>
          <w:highlight w:val="none"/>
        </w:rPr>
        <mc:AlternateContent>
          <mc:Choice Requires="wps">
            <w:drawing>
              <wp:anchor distT="0" distB="0" distL="114300" distR="114300" simplePos="0" relativeHeight="251830272" behindDoc="0" locked="0" layoutInCell="1" allowOverlap="1">
                <wp:simplePos x="0" y="0"/>
                <wp:positionH relativeFrom="column">
                  <wp:posOffset>-114300</wp:posOffset>
                </wp:positionH>
                <wp:positionV relativeFrom="paragraph">
                  <wp:posOffset>170815</wp:posOffset>
                </wp:positionV>
                <wp:extent cx="914400" cy="495300"/>
                <wp:effectExtent l="0" t="0" r="0" b="0"/>
                <wp:wrapNone/>
                <wp:docPr id="168" name="文本框 170"/>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承包人争取质量创优</w:t>
                            </w:r>
                          </w:p>
                        </w:txbxContent>
                      </wps:txbx>
                      <wps:bodyPr upright="1"/>
                    </wps:wsp>
                  </a:graphicData>
                </a:graphic>
              </wp:anchor>
            </w:drawing>
          </mc:Choice>
          <mc:Fallback>
            <w:pict>
              <v:shape id="文本框 170" o:spid="_x0000_s1026" o:spt="202" type="#_x0000_t202" style="position:absolute;left:0pt;margin-left:-9pt;margin-top:13.45pt;height:39pt;width:72pt;z-index:251830272;mso-width-relative:page;mso-height-relative:page;" filled="f" stroked="f" coordsize="21600,21600" o:gfxdata="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wHDXzdcA&#10;AAAKAQAADwAAAAAAAAABACAAAAAiAAAAZHJzL2Rvd25yZXYueG1sUEsBAhQAFAAAAAgAh07iQDmZ&#10;H2+uAQAAUQMAAA4AAAAAAAAAAQAgAAAAJgEAAGRycy9lMm9Eb2MueG1sUEsFBgAAAAAGAAYAWQEA&#10;AEYFA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承包人争取质量创优</w:t>
                      </w:r>
                    </w:p>
                  </w:txbxContent>
                </v:textbox>
              </v:shape>
            </w:pict>
          </mc:Fallback>
        </mc:AlternateContent>
      </w:r>
      <w:r>
        <w:rPr>
          <w:rFonts w:hint="eastAsia" w:ascii="仿宋" w:hAnsi="仿宋" w:eastAsia="仿宋" w:cs="仿宋"/>
          <w:caps/>
          <w:color w:val="auto"/>
          <w:sz w:val="24"/>
          <w:szCs w:val="24"/>
          <w:highlight w:val="none"/>
        </w:rPr>
        <w:t>承包人应采取有效措施确保合同工程质量与施工安全，在保证工程质量、施工安全达到国家或行业的强制性标准的前提下，提高工程质量与施工安全管理水平，争取合同工程质量创优。</w:t>
      </w:r>
    </w:p>
    <w:p>
      <w:pPr>
        <w:shd w:val="clear" w:color="000000" w:fill="auto"/>
        <w:tabs>
          <w:tab w:val="left" w:pos="1620"/>
        </w:tabs>
        <w:spacing w:line="360" w:lineRule="auto"/>
        <w:rPr>
          <w:rFonts w:ascii="仿宋" w:hAnsi="仿宋" w:eastAsia="仿宋" w:cs="Times New Roman"/>
          <w:b/>
          <w:bCs/>
          <w:color w:val="auto"/>
          <w:sz w:val="24"/>
          <w:szCs w:val="24"/>
          <w:highlight w:val="none"/>
          <w:u w:val="single"/>
        </w:rPr>
      </w:pPr>
      <w:r>
        <w:rPr>
          <w:rFonts w:ascii="仿宋" w:hAnsi="仿宋" w:eastAsia="仿宋" w:cs="仿宋"/>
          <w:b/>
          <w:bCs/>
          <w:cap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257" w:name="_Toc10624867"/>
      <w:bookmarkStart w:id="258" w:name="_Toc27545"/>
      <w:bookmarkStart w:id="259" w:name="_Toc469384027"/>
      <w:r>
        <w:rPr>
          <w:rFonts w:ascii="仿宋" w:hAnsi="仿宋" w:eastAsia="仿宋" w:cs="仿宋"/>
          <w:b/>
          <w:bCs/>
          <w:color w:val="auto"/>
          <w:sz w:val="24"/>
          <w:szCs w:val="24"/>
          <w:highlight w:val="none"/>
        </w:rPr>
        <w:t xml:space="preserve">44  </w:t>
      </w:r>
      <w:r>
        <w:rPr>
          <w:rFonts w:hint="eastAsia" w:ascii="仿宋" w:hAnsi="仿宋" w:eastAsia="仿宋" w:cs="仿宋"/>
          <w:b/>
          <w:bCs/>
          <w:color w:val="auto"/>
          <w:sz w:val="24"/>
          <w:szCs w:val="24"/>
          <w:highlight w:val="none"/>
        </w:rPr>
        <w:t>工程的照管</w:t>
      </w:r>
      <w:bookmarkEnd w:id="257"/>
      <w:bookmarkEnd w:id="258"/>
      <w:bookmarkEnd w:id="259"/>
    </w:p>
    <w:p>
      <w:pPr>
        <w:shd w:val="clear" w:color="000000" w:fill="auto"/>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831296" behindDoc="0" locked="0" layoutInCell="1" allowOverlap="1">
                <wp:simplePos x="0" y="0"/>
                <wp:positionH relativeFrom="column">
                  <wp:posOffset>-114300</wp:posOffset>
                </wp:positionH>
                <wp:positionV relativeFrom="paragraph">
                  <wp:posOffset>264160</wp:posOffset>
                </wp:positionV>
                <wp:extent cx="800100" cy="256540"/>
                <wp:effectExtent l="0" t="0" r="0" b="0"/>
                <wp:wrapNone/>
                <wp:docPr id="169" name="文本框 171"/>
                <wp:cNvGraphicFramePr/>
                <a:graphic xmlns:a="http://schemas.openxmlformats.org/drawingml/2006/main">
                  <a:graphicData uri="http://schemas.microsoft.com/office/word/2010/wordprocessingShape">
                    <wps:wsp>
                      <wps:cNvSpPr txBox="1"/>
                      <wps:spPr>
                        <a:xfrm>
                          <a:off x="0" y="0"/>
                          <a:ext cx="800100" cy="256540"/>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工程照管</w:t>
                            </w:r>
                          </w:p>
                        </w:txbxContent>
                      </wps:txbx>
                      <wps:bodyPr upright="1"/>
                    </wps:wsp>
                  </a:graphicData>
                </a:graphic>
              </wp:anchor>
            </w:drawing>
          </mc:Choice>
          <mc:Fallback>
            <w:pict>
              <v:shape id="文本框 171" o:spid="_x0000_s1026" o:spt="202" type="#_x0000_t202" style="position:absolute;left:0pt;margin-left:-9pt;margin-top:20.8pt;height:20.2pt;width:63pt;z-index:251831296;mso-width-relative:page;mso-height-relative:page;" filled="f" stroked="f" coordsize="21600,21600" o:gfxdata="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x4KDE1QAA&#10;AAkBAAAPAAAAAAAAAAEAIAAAACIAAABkcnMvZG93bnJldi54bWxQSwECFAAUAAAACACHTuJAPDx0&#10;q68BAABRAwAADgAAAAAAAAABACAAAAAkAQAAZHJzL2Uyb0RvYy54bWxQSwUGAAAAAAYABgBZAQAA&#10;RQU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工程照管</w:t>
                      </w:r>
                    </w:p>
                  </w:txbxContent>
                </v:textbox>
              </v:shape>
            </w:pict>
          </mc:Fallback>
        </mc:AlternateContent>
      </w:r>
      <w:r>
        <w:rPr>
          <w:rFonts w:ascii="仿宋" w:hAnsi="仿宋" w:eastAsia="仿宋" w:cs="仿宋"/>
          <w:b/>
          <w:bCs/>
          <w:color w:val="auto"/>
          <w:sz w:val="24"/>
          <w:szCs w:val="24"/>
          <w:highlight w:val="none"/>
        </w:rPr>
        <w:t xml:space="preserve">44.1  </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从开工之日起，承包人应全面负责照管合同工程及运至现场将用于和安装在合同工程中的材料和工程设备，直到合同双方当事人确认工程移交之日止。此后，工程的照管即转由发包人负责。</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在整个工程移交前，合同双方当事人已经确认移交或发包人提前使用其中任一单位工程，则从确认移交或提前使用之日起承包人无须对该单位工程负责照管，而转由发包人负责。但是，承包人应继续负责照管尚未完成的工程和将用于或安装在合同工程中的材料和工程设备，直至完成上述工作并经合同双方当事人确认整个工程移交之日止。</w:t>
      </w:r>
    </w:p>
    <w:p>
      <w:pPr>
        <w:shd w:val="clear" w:color="000000" w:fill="auto"/>
        <w:adjustRightInd w:val="0"/>
        <w:snapToGrid w:val="0"/>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32320" behindDoc="0" locked="0" layoutInCell="1" allowOverlap="1">
                <wp:simplePos x="0" y="0"/>
                <wp:positionH relativeFrom="column">
                  <wp:posOffset>-114300</wp:posOffset>
                </wp:positionH>
                <wp:positionV relativeFrom="paragraph">
                  <wp:posOffset>276860</wp:posOffset>
                </wp:positionV>
                <wp:extent cx="914400" cy="718185"/>
                <wp:effectExtent l="0" t="0" r="0" b="0"/>
                <wp:wrapNone/>
                <wp:docPr id="170" name="文本框 172"/>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wps:txbx>
                      <wps:bodyPr upright="1"/>
                    </wps:wsp>
                  </a:graphicData>
                </a:graphic>
              </wp:anchor>
            </w:drawing>
          </mc:Choice>
          <mc:Fallback>
            <w:pict>
              <v:shape id="文本框 172" o:spid="_x0000_s1026" o:spt="202" type="#_x0000_t202" style="position:absolute;left:0pt;margin-left:-9pt;margin-top:21.8pt;height:56.55pt;width:72pt;z-index:251832320;mso-width-relative:page;mso-height-relative:page;" filled="f" stroked="f" coordsize="21600,21600" o:gfxdata="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BsrFzY&#10;AAAACgEAAA8AAAAAAAAAAQAgAAAAIgAAAGRycy9kb3ducmV2LnhtbFBLAQIUABQAAAAIAIdO4kAy&#10;cLa5rgEAAFEDAAAOAAAAAAAAAAEAIAAAACcBAABkcnMvZTJvRG9jLnhtbFBLBQYAAAAABgAGAFkB&#10;AABHBQ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v:textbox>
              </v:shape>
            </w:pict>
          </mc:Fallback>
        </mc:AlternateContent>
      </w:r>
      <w:r>
        <w:rPr>
          <w:rFonts w:ascii="仿宋" w:hAnsi="仿宋" w:eastAsia="仿宋" w:cs="仿宋"/>
          <w:b/>
          <w:bCs/>
          <w:color w:val="auto"/>
          <w:sz w:val="24"/>
          <w:szCs w:val="24"/>
          <w:highlight w:val="none"/>
        </w:rPr>
        <w:t>44.2</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承包人在负责工程照管期间，如因自身原因造成合同工程或其任何部分，以及材料和工程设备或临时工程的损坏，承包人应自费修复上述损坏，保证合同工程质量达到合同约定的标准。</w:t>
      </w:r>
    </w:p>
    <w:p>
      <w:pPr>
        <w:shd w:val="clear" w:color="000000" w:fill="auto"/>
        <w:adjustRightInd w:val="0"/>
        <w:snapToGrid w:val="0"/>
        <w:spacing w:line="240" w:lineRule="exact"/>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260" w:name="_Toc469384028"/>
      <w:bookmarkStart w:id="261" w:name="_Toc5834"/>
      <w:bookmarkStart w:id="262" w:name="_Toc10624868"/>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45  </w:t>
      </w:r>
      <w:bookmarkEnd w:id="260"/>
      <w:r>
        <w:rPr>
          <w:rFonts w:hint="eastAsia" w:ascii="仿宋" w:hAnsi="仿宋" w:eastAsia="仿宋" w:cs="仿宋"/>
          <w:b/>
          <w:bCs/>
          <w:color w:val="auto"/>
          <w:sz w:val="24"/>
          <w:szCs w:val="24"/>
          <w:highlight w:val="none"/>
        </w:rPr>
        <w:t>绿色施工安全防护</w:t>
      </w:r>
      <w:bookmarkEnd w:id="261"/>
      <w:bookmarkEnd w:id="262"/>
    </w:p>
    <w:p>
      <w:pPr>
        <w:shd w:val="clear" w:color="000000" w:fill="auto"/>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833344" behindDoc="0" locked="0" layoutInCell="1" allowOverlap="1">
                <wp:simplePos x="0" y="0"/>
                <wp:positionH relativeFrom="column">
                  <wp:posOffset>-114300</wp:posOffset>
                </wp:positionH>
                <wp:positionV relativeFrom="paragraph">
                  <wp:posOffset>223520</wp:posOffset>
                </wp:positionV>
                <wp:extent cx="977900" cy="688975"/>
                <wp:effectExtent l="0" t="0" r="0" b="0"/>
                <wp:wrapNone/>
                <wp:docPr id="171" name="文本框 173"/>
                <wp:cNvGraphicFramePr/>
                <a:graphic xmlns:a="http://schemas.openxmlformats.org/drawingml/2006/main">
                  <a:graphicData uri="http://schemas.microsoft.com/office/word/2010/wordprocessingShape">
                    <wps:wsp>
                      <wps:cNvSpPr txBox="1"/>
                      <wps:spPr>
                        <a:xfrm>
                          <a:off x="0" y="0"/>
                          <a:ext cx="977900" cy="688975"/>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绿色施工安全防护的要求</w:t>
                            </w:r>
                          </w:p>
                        </w:txbxContent>
                      </wps:txbx>
                      <wps:bodyPr upright="1"/>
                    </wps:wsp>
                  </a:graphicData>
                </a:graphic>
              </wp:anchor>
            </w:drawing>
          </mc:Choice>
          <mc:Fallback>
            <w:pict>
              <v:shape id="文本框 173" o:spid="_x0000_s1026" o:spt="202" type="#_x0000_t202" style="position:absolute;left:0pt;margin-left:-9pt;margin-top:17.6pt;height:54.25pt;width:77pt;z-index:251833344;mso-width-relative:page;mso-height-relative:page;" filled="f" stroked="f" coordsize="21600,21600" o:gfxdata="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mvtET&#10;2AAAAAoBAAAPAAAAAAAAAAEAIAAAACIAAABkcnMvZG93bnJldi54bWxQSwECFAAUAAAACACHTuJA&#10;pv1nn68BAABRAwAADgAAAAAAAAABACAAAAAnAQAAZHJzL2Uyb0RvYy54bWxQSwUGAAAAAAYABgBZ&#10;AQAASAU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绿色施工安全防护的要求</w:t>
                      </w:r>
                    </w:p>
                  </w:txbxContent>
                </v:textbox>
              </v:shape>
            </w:pict>
          </mc:Fallback>
        </mc:AlternateContent>
      </w:r>
      <w:r>
        <w:rPr>
          <w:rFonts w:ascii="仿宋" w:hAnsi="仿宋" w:eastAsia="仿宋" w:cs="仿宋"/>
          <w:b/>
          <w:bCs/>
          <w:color w:val="auto"/>
          <w:sz w:val="24"/>
          <w:szCs w:val="24"/>
          <w:highlight w:val="none"/>
        </w:rPr>
        <w:t xml:space="preserve">45.1 </w:t>
      </w:r>
      <w:r>
        <w:rPr>
          <w:rFonts w:ascii="仿宋" w:hAnsi="仿宋" w:eastAsia="仿宋" w:cs="仿宋"/>
          <w:b/>
          <w:bCs/>
          <w:color w:val="auto"/>
          <w:sz w:val="24"/>
          <w:szCs w:val="24"/>
          <w:highlight w:val="none"/>
        </w:rPr>
        <w:tab/>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当事人均应当遵守国家、省、市有关绿色施工安全防护的要求，合同当事人有特别要求的，应在专用合同条款中明确施工项目绿色施工安全防护标准化达标目标及相应事项。承包人有权拒绝发包人及监理人强令承包人违章作业、冒险施工的任何指示。</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在施工过程中，如遇到突发的地质变动、事先未知的地下施工障碍等影响施工安全的紧急情况，承包人应及时报告监理人和发包人，发包人应当及时下令停工并报政府有关行政管理部门采取应急措施。</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发包人应组织承包人和有关单位进行安全检查，授权监理工程师按合同约定的绿色施工安全防护内容监督、检查承包人实施绿色施工安全防护，并按照第</w:t>
      </w:r>
      <w:r>
        <w:rPr>
          <w:rFonts w:ascii="仿宋" w:hAnsi="仿宋" w:eastAsia="仿宋" w:cs="仿宋"/>
          <w:color w:val="auto"/>
          <w:sz w:val="24"/>
          <w:szCs w:val="24"/>
          <w:highlight w:val="none"/>
        </w:rPr>
        <w:t xml:space="preserve"> 80 </w:t>
      </w:r>
      <w:r>
        <w:rPr>
          <w:rFonts w:hint="eastAsia" w:ascii="仿宋" w:hAnsi="仿宋" w:eastAsia="仿宋" w:cs="仿宋"/>
          <w:color w:val="auto"/>
          <w:sz w:val="24"/>
          <w:szCs w:val="24"/>
          <w:highlight w:val="none"/>
        </w:rPr>
        <w:t>条规定及时向承包人支付绿色施工安全防护费。</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应及时执行监理工程师发出的绿色施工安全防护的工作指令，并按合同约定的期限和绿色施工安全防护内容编制绿色施工安全防护措施计划，包括施工扬尘污染防治措施、用工实名管理等各类专项方案计划，以及淤泥运输方案并承诺使用专用运输工具运输，提交给监理工程师并由其报发包人批准后实施。</w:t>
      </w:r>
    </w:p>
    <w:p>
      <w:pPr>
        <w:shd w:val="clear" w:color="000000" w:fill="auto"/>
        <w:adjustRightInd w:val="0"/>
        <w:snapToGrid w:val="0"/>
        <w:ind w:left="1679" w:hanging="1679" w:hangingChars="697"/>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45.2  </w:t>
      </w:r>
      <w:r>
        <w:rPr>
          <w:rFonts w:ascii="仿宋" w:hAnsi="仿宋" w:eastAsia="仿宋" w:cs="仿宋"/>
          <w:b/>
          <w:bCs/>
          <w:color w:val="auto"/>
          <w:sz w:val="24"/>
          <w:szCs w:val="24"/>
          <w:highlight w:val="none"/>
          <w:u w:val="dotted"/>
        </w:rPr>
        <w:t xml:space="preserve">                                                                               </w:t>
      </w:r>
    </w:p>
    <w:p>
      <w:pPr>
        <w:shd w:val="clear" w:color="000000" w:fill="auto"/>
        <w:adjustRightInd w:val="0"/>
        <w:snapToGrid w:val="0"/>
        <w:ind w:left="1679" w:hanging="1679" w:hangingChars="697"/>
        <w:rPr>
          <w:rFonts w:ascii="仿宋" w:hAnsi="仿宋" w:eastAsia="仿宋" w:cs="Times New Roman"/>
          <w:b/>
          <w:bCs/>
          <w:color w:val="auto"/>
          <w:sz w:val="24"/>
          <w:szCs w:val="24"/>
          <w:highlight w:val="none"/>
        </w:rPr>
      </w:pPr>
    </w:p>
    <w:p>
      <w:pPr>
        <w:shd w:val="clear" w:color="000000" w:fill="auto"/>
        <w:adjustRightInd w:val="0"/>
        <w:snapToGrid w:val="0"/>
        <w:spacing w:line="360" w:lineRule="auto"/>
        <w:ind w:left="1739" w:leftChars="828"/>
        <w:jc w:val="left"/>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房屋建筑和市政基础设施工程应按国家、省、市住房城乡建设主管部门发布的有关用工实名制、工人工资支付分账管理办法、规定等文件要求实施用工实名制、工人工资支付分账。</w:t>
      </w:r>
      <w:r>
        <w:rPr>
          <w:rFonts w:ascii="楷体_GB2312" w:hAnsi="宋体" w:eastAsia="楷体_GB2312" w:cs="楷体_GB2312"/>
          <w:b/>
          <w:bCs/>
          <w:color w:val="auto"/>
          <w:sz w:val="18"/>
          <w:szCs w:val="18"/>
          <w:highlight w:val="none"/>
        </w:rPr>
        <w:t xml:space="preserve">                                                                            </w:t>
      </w:r>
      <w:r>
        <w:rPr>
          <w:color w:val="auto"/>
          <w:highlight w:val="none"/>
        </w:rPr>
        <mc:AlternateContent>
          <mc:Choice Requires="wps">
            <w:drawing>
              <wp:anchor distT="0" distB="0" distL="114300" distR="114300" simplePos="0" relativeHeight="252082176" behindDoc="0" locked="0" layoutInCell="1" allowOverlap="1">
                <wp:simplePos x="0" y="0"/>
                <wp:positionH relativeFrom="column">
                  <wp:posOffset>-114300</wp:posOffset>
                </wp:positionH>
                <wp:positionV relativeFrom="paragraph">
                  <wp:posOffset>1270</wp:posOffset>
                </wp:positionV>
                <wp:extent cx="977900" cy="607060"/>
                <wp:effectExtent l="0" t="0" r="0" b="0"/>
                <wp:wrapNone/>
                <wp:docPr id="414" name="文本框 174"/>
                <wp:cNvGraphicFramePr/>
                <a:graphic xmlns:a="http://schemas.openxmlformats.org/drawingml/2006/main">
                  <a:graphicData uri="http://schemas.microsoft.com/office/word/2010/wordprocessingShape">
                    <wps:wsp>
                      <wps:cNvSpPr txBox="1"/>
                      <wps:spPr>
                        <a:xfrm>
                          <a:off x="0" y="0"/>
                          <a:ext cx="977900" cy="60706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wps:txbx>
                      <wps:bodyPr upright="1"/>
                    </wps:wsp>
                  </a:graphicData>
                </a:graphic>
              </wp:anchor>
            </w:drawing>
          </mc:Choice>
          <mc:Fallback>
            <w:pict>
              <v:shape id="文本框 174" o:spid="_x0000_s1026" o:spt="202" type="#_x0000_t202" style="position:absolute;left:0pt;margin-left:-9pt;margin-top:0.1pt;height:47.8pt;width:77pt;z-index:252082176;mso-width-relative:page;mso-height-relative:page;" filled="f" stroked="f" coordsize="21600,21600" o:gfxdata="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R9ogsNUA&#10;AAAHAQAADwAAAAAAAAABACAAAAAiAAAAZHJzL2Rvd25yZXYueG1sUEsBAhQAFAAAAAgAh07iQOwq&#10;7uGwAQAAUQMAAA4AAAAAAAAAAQAgAAAAJAEAAGRycy9lMm9Eb2MueG1sUEsFBgAAAAAGAAYAWQEA&#10;AEY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v:textbox>
              </v:shape>
            </w:pict>
          </mc:Fallback>
        </mc:AlternateContent>
      </w:r>
    </w:p>
    <w:p>
      <w:pPr>
        <w:shd w:val="clear" w:color="000000" w:fill="auto"/>
        <w:adjustRightInd w:val="0"/>
        <w:snapToGrid w:val="0"/>
        <w:spacing w:line="360" w:lineRule="auto"/>
        <w:ind w:left="1739" w:leftChars="828"/>
        <w:jc w:val="left"/>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建设单位负责协调、监督项目各参建单位按规定落实实名管理，在工程安全文明措施费中明确列支实名管理所需的费用；负责监督施工总承包单位的工人工资支付情况，协调建设项目的工人工资支付事宜。</w:t>
      </w:r>
    </w:p>
    <w:p>
      <w:pPr>
        <w:shd w:val="clear" w:color="000000" w:fill="auto"/>
        <w:adjustRightInd w:val="0"/>
        <w:snapToGrid w:val="0"/>
        <w:spacing w:line="360" w:lineRule="auto"/>
        <w:ind w:left="1739" w:leftChars="828"/>
        <w:jc w:val="left"/>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建筑施工实名制以建设项目为管理单位。施工总承包企业对实名制管理负总责；专业承包企业和劳务分包企业按照合同约定，对本企业施工范围的实名制管理负责。</w:t>
      </w:r>
    </w:p>
    <w:p>
      <w:pPr>
        <w:shd w:val="clear" w:color="000000" w:fill="auto"/>
        <w:adjustRightInd w:val="0"/>
        <w:snapToGrid w:val="0"/>
        <w:spacing w:line="360" w:lineRule="auto"/>
        <w:ind w:left="1677" w:leftChars="570" w:hanging="480" w:hangingChars="200"/>
        <w:rPr>
          <w:rFonts w:ascii="仿宋" w:hAnsi="仿宋" w:eastAsia="仿宋" w:cs="Times New Roman"/>
          <w:b/>
          <w:bCs/>
          <w:color w:val="auto"/>
          <w:sz w:val="24"/>
          <w:szCs w:val="24"/>
          <w:highlight w:val="none"/>
          <w:u w:val="dotted"/>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建设单位、施工总承包企业、专业承包企业和劳务分包企业存在违反有关文件规定情形的，需承担相应的责任。</w:t>
      </w:r>
    </w:p>
    <w:p>
      <w:pPr>
        <w:shd w:val="clear" w:color="000000" w:fill="auto"/>
        <w:adjustRightInd w:val="0"/>
        <w:snapToGrid w:val="0"/>
        <w:spacing w:line="360" w:lineRule="auto"/>
        <w:rPr>
          <w:rFonts w:ascii="仿宋" w:hAnsi="仿宋" w:eastAsia="仿宋" w:cs="Times New Roman"/>
          <w:color w:val="auto"/>
          <w:sz w:val="24"/>
          <w:szCs w:val="24"/>
          <w:highlight w:val="none"/>
        </w:rPr>
      </w:pPr>
    </w:p>
    <w:p>
      <w:pPr>
        <w:shd w:val="clear" w:color="000000" w:fill="auto"/>
        <w:adjustRightInd w:val="0"/>
        <w:snapToGrid w:val="0"/>
        <w:ind w:left="1679" w:hanging="1679" w:hangingChars="697"/>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45.3  </w:t>
      </w:r>
      <w:r>
        <w:rPr>
          <w:rFonts w:ascii="仿宋" w:hAnsi="仿宋" w:eastAsia="仿宋" w:cs="仿宋"/>
          <w:b/>
          <w:bCs/>
          <w:color w:val="auto"/>
          <w:sz w:val="24"/>
          <w:szCs w:val="24"/>
          <w:highlight w:val="none"/>
          <w:u w:val="dotted"/>
        </w:rPr>
        <w:t xml:space="preserve">                                                                               </w:t>
      </w:r>
    </w:p>
    <w:p>
      <w:pPr>
        <w:shd w:val="clear" w:color="000000" w:fill="auto"/>
        <w:adjustRightInd w:val="0"/>
        <w:snapToGrid w:val="0"/>
        <w:ind w:left="1679" w:hanging="1679" w:hangingChars="697"/>
        <w:rPr>
          <w:rFonts w:ascii="仿宋" w:hAnsi="仿宋" w:eastAsia="仿宋" w:cs="Times New Roman"/>
          <w:b/>
          <w:bCs/>
          <w:color w:val="auto"/>
          <w:sz w:val="24"/>
          <w:szCs w:val="24"/>
          <w:highlight w:val="none"/>
        </w:rPr>
      </w:pP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34368" behindDoc="0" locked="0" layoutInCell="1" allowOverlap="1">
                <wp:simplePos x="0" y="0"/>
                <wp:positionH relativeFrom="column">
                  <wp:posOffset>-114300</wp:posOffset>
                </wp:positionH>
                <wp:positionV relativeFrom="paragraph">
                  <wp:posOffset>1270</wp:posOffset>
                </wp:positionV>
                <wp:extent cx="977900" cy="396240"/>
                <wp:effectExtent l="0" t="0" r="0" b="0"/>
                <wp:wrapNone/>
                <wp:docPr id="172" name="文本框 175"/>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发包人责任</w:t>
                            </w:r>
                          </w:p>
                        </w:txbxContent>
                      </wps:txbx>
                      <wps:bodyPr upright="1"/>
                    </wps:wsp>
                  </a:graphicData>
                </a:graphic>
              </wp:anchor>
            </w:drawing>
          </mc:Choice>
          <mc:Fallback>
            <w:pict>
              <v:shape id="文本框 175" o:spid="_x0000_s1026" o:spt="202" type="#_x0000_t202" style="position:absolute;left:0pt;margin-left:-9pt;margin-top:0.1pt;height:31.2pt;width:77pt;z-index:251834368;mso-width-relative:page;mso-height-relative:page;" filled="f" stroked="f" coordsize="21600,21600" o:gfxdata="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s5QyJ1AAA&#10;AAcBAAAPAAAAAAAAAAEAIAAAACIAAABkcnMvZG93bnJldi54bWxQSwECFAAUAAAACACHTuJApChp&#10;J7ABAABRAwAADgAAAAAAAAABACAAAAAjAQAAZHJzL2Uyb0RvYy54bWxQSwUGAAAAAAYABgBZAQAA&#10;RQ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发包人责任</w:t>
                      </w:r>
                    </w:p>
                  </w:txbxContent>
                </v:textbox>
              </v:shape>
            </w:pict>
          </mc:Fallback>
        </mc:AlternateContent>
      </w:r>
      <w:r>
        <w:rPr>
          <w:rFonts w:hint="eastAsia" w:ascii="仿宋" w:hAnsi="仿宋" w:eastAsia="仿宋" w:cs="仿宋"/>
          <w:color w:val="auto"/>
          <w:sz w:val="24"/>
          <w:szCs w:val="24"/>
          <w:highlight w:val="none"/>
        </w:rPr>
        <w:t>在合同工程实施、完成及保修期间，发包人承担下列责任：</w:t>
      </w:r>
    </w:p>
    <w:p>
      <w:pPr>
        <w:shd w:val="clear" w:color="000000" w:fill="auto"/>
        <w:adjustRightInd w:val="0"/>
        <w:snapToGrid w:val="0"/>
        <w:spacing w:line="360" w:lineRule="auto"/>
        <w:ind w:left="1619" w:leftChars="771" w:firstLine="60" w:firstLineChars="2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）发包人应配合承包人做好绿色施工安全防护工作，定期对其现场机构雇佣的全部人员进行绿色施工安全防护教育和培训。</w:t>
      </w:r>
    </w:p>
    <w:p>
      <w:pPr>
        <w:shd w:val="clear" w:color="000000" w:fill="auto"/>
        <w:adjustRightInd w:val="0"/>
        <w:snapToGrid w:val="0"/>
        <w:spacing w:line="360" w:lineRule="auto"/>
        <w:ind w:left="1575" w:leftChars="75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）发包人应对其现场机构雇佣的全部人员的安全事故承担责任，但由于承包人原因造成发包人人员安全事故的，应由承包人承担责任。</w:t>
      </w:r>
    </w:p>
    <w:p>
      <w:pPr>
        <w:shd w:val="clear" w:color="000000" w:fill="auto"/>
        <w:adjustRightInd w:val="0"/>
        <w:snapToGrid w:val="0"/>
        <w:spacing w:line="360" w:lineRule="auto"/>
        <w:ind w:left="1574" w:leftChars="743" w:hanging="14" w:hangingChars="6"/>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）发包人有下列行为之一或由于发包人原因造成安全事故的，由发包人承担责任，由此增加的费用和延误的工期由发包人承担。</w:t>
      </w:r>
    </w:p>
    <w:p>
      <w:pPr>
        <w:shd w:val="clear" w:color="000000" w:fill="auto"/>
        <w:tabs>
          <w:tab w:val="left" w:pos="1980"/>
        </w:tabs>
        <w:adjustRightInd w:val="0"/>
        <w:snapToGrid w:val="0"/>
        <w:spacing w:line="360" w:lineRule="auto"/>
        <w:ind w:firstLine="1680" w:firstLineChars="7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）要求承包人违反绿色施工安全防护操作规程施工的；</w:t>
      </w:r>
    </w:p>
    <w:p>
      <w:pPr>
        <w:shd w:val="clear" w:color="000000" w:fill="auto"/>
        <w:tabs>
          <w:tab w:val="left" w:pos="1980"/>
        </w:tabs>
        <w:adjustRightInd w:val="0"/>
        <w:snapToGrid w:val="0"/>
        <w:spacing w:line="360" w:lineRule="auto"/>
        <w:ind w:left="1619" w:leftChars="771" w:firstLine="60" w:firstLineChars="25"/>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）对承包人提出不符合国家、省有关安绿色施工安全防护全文明施工法律和强制性标准规定要求的；</w:t>
      </w:r>
    </w:p>
    <w:p>
      <w:pPr>
        <w:shd w:val="clear" w:color="000000" w:fill="auto"/>
        <w:tabs>
          <w:tab w:val="left" w:pos="1980"/>
        </w:tabs>
        <w:adjustRightInd w:val="0"/>
        <w:snapToGrid w:val="0"/>
        <w:spacing w:line="360" w:lineRule="auto"/>
        <w:ind w:left="1676" w:leftChars="798"/>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）明示承包人购买、租赁、使用不符合安全施工要求的安全防护用具、机械设备、施工机具及配件、消防设施和器材的。</w:t>
      </w:r>
    </w:p>
    <w:p>
      <w:pPr>
        <w:shd w:val="clear" w:color="000000" w:fill="auto"/>
        <w:adjustRightInd w:val="0"/>
        <w:snapToGrid w:val="0"/>
        <w:spacing w:line="360" w:lineRule="auto"/>
        <w:ind w:firstLine="1560" w:firstLineChars="65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）发包人应负责赔偿下列情形造成的第三者人身伤亡和财产损失。</w:t>
      </w:r>
    </w:p>
    <w:p>
      <w:pPr>
        <w:shd w:val="clear" w:color="000000" w:fill="auto"/>
        <w:adjustRightInd w:val="0"/>
        <w:snapToGrid w:val="0"/>
        <w:spacing w:line="360" w:lineRule="auto"/>
        <w:ind w:firstLine="1680" w:firstLineChars="7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）工程或工程的任何部分对土地的占用所造成的第三者财产损失；</w:t>
      </w:r>
    </w:p>
    <w:p>
      <w:pPr>
        <w:shd w:val="clear" w:color="000000" w:fill="auto"/>
        <w:adjustRightInd w:val="0"/>
        <w:snapToGrid w:val="0"/>
        <w:spacing w:line="360" w:lineRule="auto"/>
        <w:ind w:left="1796" w:leftChars="798" w:hanging="120" w:hangingChars="5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）由于发包人原因在施工场地及其毗邻造成的第三者人身伤亡和财产损失。</w:t>
      </w:r>
    </w:p>
    <w:p>
      <w:pPr>
        <w:shd w:val="clear" w:color="000000" w:fill="auto"/>
        <w:adjustRightInd w:val="0"/>
        <w:snapToGrid w:val="0"/>
        <w:rPr>
          <w:rFonts w:ascii="仿宋" w:hAnsi="仿宋" w:eastAsia="仿宋" w:cs="仿宋"/>
          <w:color w:val="auto"/>
          <w:sz w:val="24"/>
          <w:szCs w:val="24"/>
          <w:highlight w:val="none"/>
          <w:u w:val="dotted"/>
        </w:rPr>
      </w:pPr>
      <w:r>
        <w:rPr>
          <w:rFonts w:ascii="仿宋" w:hAnsi="仿宋" w:eastAsia="仿宋" w:cs="仿宋"/>
          <w:b/>
          <w:bCs/>
          <w:color w:val="auto"/>
          <w:sz w:val="24"/>
          <w:szCs w:val="24"/>
          <w:highlight w:val="none"/>
        </w:rPr>
        <w:t xml:space="preserve">45.4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shd w:val="clear" w:color="000000" w:fill="auto"/>
        <w:adjustRightInd w:val="0"/>
        <w:snapToGrid w:val="0"/>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35392" behindDoc="0" locked="0" layoutInCell="1" allowOverlap="1">
                <wp:simplePos x="0" y="0"/>
                <wp:positionH relativeFrom="column">
                  <wp:posOffset>-114300</wp:posOffset>
                </wp:positionH>
                <wp:positionV relativeFrom="paragraph">
                  <wp:posOffset>198120</wp:posOffset>
                </wp:positionV>
                <wp:extent cx="1028700" cy="567055"/>
                <wp:effectExtent l="0" t="0" r="0" b="0"/>
                <wp:wrapNone/>
                <wp:docPr id="173" name="文本框 176"/>
                <wp:cNvGraphicFramePr/>
                <a:graphic xmlns:a="http://schemas.openxmlformats.org/drawingml/2006/main">
                  <a:graphicData uri="http://schemas.microsoft.com/office/word/2010/wordprocessingShape">
                    <wps:wsp>
                      <wps:cNvSpPr txBox="1"/>
                      <wps:spPr>
                        <a:xfrm>
                          <a:off x="0" y="0"/>
                          <a:ext cx="1028700" cy="56705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承包人责任</w:t>
                            </w:r>
                          </w:p>
                        </w:txbxContent>
                      </wps:txbx>
                      <wps:bodyPr upright="1"/>
                    </wps:wsp>
                  </a:graphicData>
                </a:graphic>
              </wp:anchor>
            </w:drawing>
          </mc:Choice>
          <mc:Fallback>
            <w:pict>
              <v:shape id="文本框 176" o:spid="_x0000_s1026" o:spt="202" type="#_x0000_t202" style="position:absolute;left:0pt;margin-left:-9pt;margin-top:15.6pt;height:44.65pt;width:81pt;z-index:251835392;mso-width-relative:page;mso-height-relative:page;" filled="f" stroked="f" coordsize="21600,21600" o:gfxdata="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AWbBbY&#10;AAAACgEAAA8AAAAAAAAAAQAgAAAAIgAAAGRycy9kb3ducmV2LnhtbFBLAQIUABQAAAAIAIdO4kBJ&#10;fBjKrgEAAFIDAAAOAAAAAAAAAAEAIAAAACcBAABkcnMvZTJvRG9jLnhtbFBLBQYAAAAABgAGAFkB&#10;AABH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承包人责任</w:t>
                      </w:r>
                    </w:p>
                  </w:txbxContent>
                </v:textbox>
              </v:shape>
            </w:pict>
          </mc:Fallback>
        </mc:AlternateConten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在合同工程实施、完成及保修期间，承包人承担下列责任：</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）承包人应严格按照国家、省、市有关绿色施工安全防护的标准、内容与规范制定绿色施工安全防护操作规程，配备必要的安全生产和劳动保护设施，加强对承包人人员的施工安全教育和培训。</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）承包人应对合同工程的绿色施工安全防护负责，采取有效的安全措施消除安全事故隐患，并接受和配合依法实施的监督检查。</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承包人应加强施工作业安全管理，特别应加强经监理工程师同意并由其报发包人批准的输送电线路工程，使用易燃、易爆材料、火工器材、有毒与腐蚀性材料等危险品工程，以及爆破作业和地下工程施工等危险作业的安全管理，尽量避免人员伤亡和财产损失。</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）承包人应按监理工程师的指令制定应对灾害的紧急预案，并按预案做好安全检查，配置必要的救助物资和器材，切实保护好有关人员的人身和财产安全。</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）承包人违反本条规定或由于承包人原因造成安全事故的，由承包人承担责任，由此增加的费用和延误的工期由承包人承担。</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6</w:t>
      </w:r>
      <w:r>
        <w:rPr>
          <w:rFonts w:hint="eastAsia" w:ascii="仿宋" w:hAnsi="仿宋" w:eastAsia="仿宋" w:cs="仿宋"/>
          <w:color w:val="auto"/>
          <w:sz w:val="24"/>
          <w:szCs w:val="24"/>
          <w:highlight w:val="none"/>
        </w:rPr>
        <w:t>）承包人应对其履行合同所雇佣的全部人员，包括分包人人员的安全事故承担责任，但由于发包人原因造成承包人人员安全事故的，应由发包人承担责任。</w:t>
      </w:r>
    </w:p>
    <w:p>
      <w:pPr>
        <w:shd w:val="clear" w:color="000000" w:fill="auto"/>
        <w:adjustRightInd w:val="0"/>
        <w:snapToGrid w:val="0"/>
        <w:spacing w:line="360" w:lineRule="auto"/>
        <w:ind w:left="1619" w:leftChars="771" w:firstLine="60" w:firstLineChars="2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）由于承包人原因在施工场地内及其毗邻造成的第三者人身伤亡和财产损失，由承包人负责赔偿。</w:t>
      </w:r>
    </w:p>
    <w:p>
      <w:pPr>
        <w:shd w:val="clear" w:color="000000" w:fill="auto"/>
        <w:adjustRightInd w:val="0"/>
        <w:snapToGrid w:val="0"/>
        <w:rPr>
          <w:rFonts w:ascii="仿宋" w:hAnsi="仿宋" w:eastAsia="仿宋" w:cs="仿宋"/>
          <w:color w:val="auto"/>
          <w:sz w:val="24"/>
          <w:szCs w:val="24"/>
          <w:highlight w:val="none"/>
          <w:u w:val="dotted"/>
        </w:rPr>
      </w:pPr>
      <w:r>
        <w:rPr>
          <w:rFonts w:ascii="仿宋" w:hAnsi="仿宋" w:eastAsia="仿宋" w:cs="仿宋"/>
          <w:b/>
          <w:bCs/>
          <w:color w:val="auto"/>
          <w:sz w:val="24"/>
          <w:szCs w:val="24"/>
          <w:highlight w:val="none"/>
        </w:rPr>
        <w:t xml:space="preserve">45.5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shd w:val="clear" w:color="000000" w:fill="auto"/>
        <w:adjustRightInd w:val="0"/>
        <w:snapToGrid w:val="0"/>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36416" behindDoc="0" locked="0" layoutInCell="1" allowOverlap="1">
                <wp:simplePos x="0" y="0"/>
                <wp:positionH relativeFrom="column">
                  <wp:posOffset>-114300</wp:posOffset>
                </wp:positionH>
                <wp:positionV relativeFrom="paragraph">
                  <wp:posOffset>219710</wp:posOffset>
                </wp:positionV>
                <wp:extent cx="954405" cy="479425"/>
                <wp:effectExtent l="0" t="0" r="0" b="0"/>
                <wp:wrapNone/>
                <wp:docPr id="174" name="文本框 177"/>
                <wp:cNvGraphicFramePr/>
                <a:graphic xmlns:a="http://schemas.openxmlformats.org/drawingml/2006/main">
                  <a:graphicData uri="http://schemas.microsoft.com/office/word/2010/wordprocessingShape">
                    <wps:wsp>
                      <wps:cNvSpPr txBox="1"/>
                      <wps:spPr>
                        <a:xfrm>
                          <a:off x="0" y="0"/>
                          <a:ext cx="954405" cy="47942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施工措施的审查与整改</w:t>
                            </w:r>
                          </w:p>
                        </w:txbxContent>
                      </wps:txbx>
                      <wps:bodyPr upright="1"/>
                    </wps:wsp>
                  </a:graphicData>
                </a:graphic>
              </wp:anchor>
            </w:drawing>
          </mc:Choice>
          <mc:Fallback>
            <w:pict>
              <v:shape id="文本框 177" o:spid="_x0000_s1026" o:spt="202" type="#_x0000_t202" style="position:absolute;left:0pt;margin-left:-9pt;margin-top:17.3pt;height:37.75pt;width:75.15pt;z-index:251836416;mso-width-relative:page;mso-height-relative:page;" filled="f" stroked="f" coordsize="21600,21600" o:gfxdata="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PGx7BrX&#10;AAAACgEAAA8AAAAAAAAAAQAgAAAAIgAAAGRycy9kb3ducmV2LnhtbFBLAQIUABQAAAAIAIdO4kD1&#10;+l+6rwEAAFEDAAAOAAAAAAAAAAEAIAAAACYBAABkcnMvZTJvRG9jLnhtbFBLBQYAAAAABgAGAFkB&#10;AABH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施工措施的审查与整改</w:t>
                      </w:r>
                    </w:p>
                  </w:txbxContent>
                </v:textbox>
              </v:shape>
            </w:pict>
          </mc:Fallback>
        </mc:AlternateConten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小时内仍未整改的，监理工程师可在报经发包人批准后委托第三方采取措施。该款项经造价工程师核实后，由发包人从应付或将付给承包人的款项中扣除。</w:t>
      </w:r>
    </w:p>
    <w:p>
      <w:pPr>
        <w:shd w:val="clear" w:color="000000" w:fill="auto"/>
        <w:adjustRightInd w:val="0"/>
        <w:snapToGrid w:val="0"/>
        <w:spacing w:line="360" w:lineRule="auto"/>
        <w:rPr>
          <w:rFonts w:ascii="仿宋" w:hAnsi="仿宋" w:eastAsia="仿宋" w:cs="仿宋"/>
          <w:color w:val="auto"/>
          <w:sz w:val="24"/>
          <w:szCs w:val="24"/>
          <w:highlight w:val="none"/>
        </w:rPr>
      </w:pPr>
      <w:r>
        <w:rPr>
          <w:rFonts w:ascii="仿宋" w:hAnsi="仿宋" w:eastAsia="仿宋" w:cs="仿宋"/>
          <w:b/>
          <w:bCs/>
          <w:color w:val="auto"/>
          <w:sz w:val="24"/>
          <w:szCs w:val="24"/>
          <w:highlight w:val="none"/>
        </w:rPr>
        <w:t>45.6</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r>
        <w:rPr>
          <w:rFonts w:ascii="仿宋" w:hAnsi="仿宋" w:eastAsia="仿宋" w:cs="仿宋"/>
          <w:color w:val="auto"/>
          <w:sz w:val="24"/>
          <w:szCs w:val="24"/>
          <w:highlight w:val="none"/>
        </w:rPr>
        <w:t xml:space="preserve"> </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37440" behindDoc="0" locked="0" layoutInCell="1" allowOverlap="1">
                <wp:simplePos x="0" y="0"/>
                <wp:positionH relativeFrom="column">
                  <wp:posOffset>-83820</wp:posOffset>
                </wp:positionH>
                <wp:positionV relativeFrom="paragraph">
                  <wp:posOffset>11430</wp:posOffset>
                </wp:positionV>
                <wp:extent cx="800100" cy="720090"/>
                <wp:effectExtent l="0" t="0" r="0" b="0"/>
                <wp:wrapNone/>
                <wp:docPr id="175" name="文本框 178"/>
                <wp:cNvGraphicFramePr/>
                <a:graphic xmlns:a="http://schemas.openxmlformats.org/drawingml/2006/main">
                  <a:graphicData uri="http://schemas.microsoft.com/office/word/2010/wordprocessingShape">
                    <wps:wsp>
                      <wps:cNvSpPr txBox="1"/>
                      <wps:spPr>
                        <a:xfrm>
                          <a:off x="0" y="0"/>
                          <a:ext cx="800100" cy="72009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治安管理</w:t>
                            </w:r>
                          </w:p>
                        </w:txbxContent>
                      </wps:txbx>
                      <wps:bodyPr upright="1"/>
                    </wps:wsp>
                  </a:graphicData>
                </a:graphic>
              </wp:anchor>
            </w:drawing>
          </mc:Choice>
          <mc:Fallback>
            <w:pict>
              <v:shape id="文本框 178" o:spid="_x0000_s1026" o:spt="202" type="#_x0000_t202" style="position:absolute;left:0pt;margin-left:-6.6pt;margin-top:0.9pt;height:56.7pt;width:63pt;z-index:251837440;mso-width-relative:page;mso-height-relative:page;" filled="f" stroked="f" coordsize="21600,21600" o:gfxdata="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zYEY0dQAAAAJ&#10;AQAADwAAAAAAAAABACAAAAAiAAAAZHJzL2Rvd25yZXYueG1sUEsBAhQAFAAAAAgAh07iQGH/iFuu&#10;AQAAUQMAAA4AAAAAAAAAAQAgAAAAIwEAAGRycy9lMm9Eb2MueG1sUEsFBgAAAAAGAAYAWQEAAEMF&#10;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治安管理</w:t>
                      </w:r>
                    </w:p>
                  </w:txbxContent>
                </v:textbox>
              </v:shape>
            </w:pict>
          </mc:Fallback>
        </mc:AlternateContent>
      </w:r>
      <w:r>
        <w:rPr>
          <w:rFonts w:hint="eastAsia" w:ascii="仿宋" w:hAnsi="仿宋" w:eastAsia="仿宋" w:cs="仿宋"/>
          <w:color w:val="auto"/>
          <w:sz w:val="24"/>
          <w:szCs w:val="24"/>
          <w:highlight w:val="none"/>
        </w:rPr>
        <w:t>合同双方当事人不仅应协助现场治安管理机构或联防组织维护施工场地的社会治安，而且应做好包括有关人员现场生活、居住场所在内的施工场地内的治安保卫工作。</w:t>
      </w:r>
    </w:p>
    <w:p>
      <w:pPr>
        <w:shd w:val="clear" w:color="000000" w:fill="auto"/>
        <w:adjustRightInd w:val="0"/>
        <w:snapToGrid w:val="0"/>
        <w:spacing w:line="360" w:lineRule="auto"/>
        <w:ind w:left="1575" w:leftChars="75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除专用条款另有约定外，合同双方当事人应在工程开工后，共同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pPr>
        <w:shd w:val="clear" w:color="000000" w:fill="auto"/>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45.7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38464" behindDoc="0" locked="0" layoutInCell="1" allowOverlap="1">
                <wp:simplePos x="0" y="0"/>
                <wp:positionH relativeFrom="column">
                  <wp:posOffset>-73660</wp:posOffset>
                </wp:positionH>
                <wp:positionV relativeFrom="paragraph">
                  <wp:posOffset>15875</wp:posOffset>
                </wp:positionV>
                <wp:extent cx="873760" cy="650875"/>
                <wp:effectExtent l="0" t="0" r="0" b="0"/>
                <wp:wrapNone/>
                <wp:docPr id="176" name="文本框 179"/>
                <wp:cNvGraphicFramePr/>
                <a:graphic xmlns:a="http://schemas.openxmlformats.org/drawingml/2006/main">
                  <a:graphicData uri="http://schemas.microsoft.com/office/word/2010/wordprocessingShape">
                    <wps:wsp>
                      <wps:cNvSpPr txBox="1"/>
                      <wps:spPr>
                        <a:xfrm>
                          <a:off x="0" y="0"/>
                          <a:ext cx="873760" cy="65087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施工场地的环保、卫生要求</w:t>
                            </w:r>
                          </w:p>
                        </w:txbxContent>
                      </wps:txbx>
                      <wps:bodyPr upright="1"/>
                    </wps:wsp>
                  </a:graphicData>
                </a:graphic>
              </wp:anchor>
            </w:drawing>
          </mc:Choice>
          <mc:Fallback>
            <w:pict>
              <v:shape id="文本框 179" o:spid="_x0000_s1026" o:spt="202" type="#_x0000_t202" style="position:absolute;left:0pt;margin-left:-5.8pt;margin-top:1.25pt;height:51.25pt;width:68.8pt;z-index:251838464;mso-width-relative:page;mso-height-relative:page;" filled="f" stroked="f" coordsize="21600,21600" o:gfxdata="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a/AGb9YA&#10;AAAJAQAADwAAAAAAAAABACAAAAAiAAAAZHJzL2Rvd25yZXYueG1sUEsBAhQAFAAAAAgAh07iQPHu&#10;oUSvAQAAUQMAAA4AAAAAAAAAAQAgAAAAJQEAAGRycy9lMm9Eb2MueG1sUEsFBgAAAAAGAAYAWQEA&#10;AEY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施工场地的环保、卫生要求</w:t>
                      </w:r>
                    </w:p>
                  </w:txbxContent>
                </v:textbox>
              </v:shape>
            </w:pict>
          </mc:Fallback>
        </mc:AlternateContent>
      </w:r>
      <w:r>
        <w:rPr>
          <w:rFonts w:hint="eastAsia" w:ascii="仿宋" w:hAnsi="仿宋" w:eastAsia="仿宋" w:cs="仿宋"/>
          <w:color w:val="auto"/>
          <w:sz w:val="24"/>
          <w:szCs w:val="24"/>
          <w:highlight w:val="none"/>
        </w:rPr>
        <w:t>承包人应遵守国家有关环境保护、卫生监督的法律，按照合同约定采取有效措施，保证施工场地达到环境保护、卫生部门的管理要求，为现场所有人员提供并维护干净卫生的生活设施，并在颁发合同工程接收证书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清理现场，运走全部施工设备、剩余材料和垃圾，保持施工场地和合同工程的清洁整齐。否则，发包人可自行处理或委托第三方处理留下的物品，在扣除由此发生的费用之后，将余额退还给承包人，不足部分由承包人承担。</w:t>
      </w:r>
    </w:p>
    <w:p>
      <w:pPr>
        <w:shd w:val="clear" w:color="000000" w:fill="auto"/>
        <w:adjustRightInd w:val="0"/>
        <w:snapToGrid w:val="0"/>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45.8  </w:t>
      </w:r>
      <w:r>
        <w:rPr>
          <w:rFonts w:ascii="仿宋" w:hAnsi="仿宋" w:eastAsia="仿宋" w:cs="仿宋"/>
          <w:b/>
          <w:bCs/>
          <w:color w:val="auto"/>
          <w:sz w:val="24"/>
          <w:szCs w:val="24"/>
          <w:highlight w:val="none"/>
          <w:u w:val="dotted"/>
        </w:rPr>
        <w:t xml:space="preserve">                                                                                 </w:t>
      </w:r>
    </w:p>
    <w:p>
      <w:pPr>
        <w:shd w:val="clear" w:color="000000" w:fill="auto"/>
        <w:adjustRightInd w:val="0"/>
        <w:snapToGrid w:val="0"/>
        <w:spacing w:line="360" w:lineRule="auto"/>
        <w:ind w:left="1619" w:leftChars="771"/>
        <w:rPr>
          <w:rFonts w:ascii="仿宋" w:hAnsi="仿宋" w:eastAsia="仿宋" w:cs="Times New Roman"/>
          <w:caps/>
          <w:color w:val="auto"/>
          <w:sz w:val="24"/>
          <w:szCs w:val="24"/>
          <w:highlight w:val="none"/>
        </w:rPr>
      </w:pPr>
      <w:r>
        <w:rPr>
          <w:color w:val="auto"/>
          <w:highlight w:val="none"/>
        </w:rPr>
        <mc:AlternateContent>
          <mc:Choice Requires="wps">
            <w:drawing>
              <wp:anchor distT="0" distB="0" distL="114300" distR="114300" simplePos="0" relativeHeight="251839488"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177" name="文本框 180"/>
                <wp:cNvGraphicFramePr/>
                <a:graphic xmlns:a="http://schemas.openxmlformats.org/drawingml/2006/main">
                  <a:graphicData uri="http://schemas.microsoft.com/office/word/2010/wordprocessingShape">
                    <wps:wsp>
                      <wps:cNvSpPr txBox="1"/>
                      <wps:spPr>
                        <a:xfrm>
                          <a:off x="0" y="0"/>
                          <a:ext cx="873760" cy="594360"/>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发包人鼓励创建文明工地</w:t>
                            </w:r>
                          </w:p>
                        </w:txbxContent>
                      </wps:txbx>
                      <wps:bodyPr upright="1"/>
                    </wps:wsp>
                  </a:graphicData>
                </a:graphic>
              </wp:anchor>
            </w:drawing>
          </mc:Choice>
          <mc:Fallback>
            <w:pict>
              <v:shape id="文本框 180" o:spid="_x0000_s1026" o:spt="202" type="#_x0000_t202" style="position:absolute;left:0pt;margin-left:0pt;margin-top:1.35pt;height:46.8pt;width:68.8pt;z-index:251839488;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Lt6dMNQAAAAF&#10;AQAADwAAAAAAAAABACAAAAAiAAAAZHJzL2Rvd25yZXYueG1sUEsBAhQAFAAAAAgAh07iQNLfzvGu&#10;AQAAUQMAAA4AAAAAAAAAAQAgAAAAIwEAAGRycy9lMm9Eb2MueG1sUEsFBgAAAAAGAAYAWQEAAEMF&#10;A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发包人鼓励创建文明工地</w:t>
                      </w:r>
                    </w:p>
                  </w:txbxContent>
                </v:textbox>
              </v:shape>
            </w:pict>
          </mc:Fallback>
        </mc:AlternateContent>
      </w:r>
      <w:r>
        <w:rPr>
          <w:rFonts w:hint="eastAsia" w:ascii="仿宋" w:hAnsi="仿宋" w:eastAsia="仿宋" w:cs="仿宋"/>
          <w:caps/>
          <w:color w:val="auto"/>
          <w:sz w:val="24"/>
          <w:szCs w:val="24"/>
          <w:highlight w:val="none"/>
        </w:rPr>
        <w:t>发包人应配合承包人加强</w:t>
      </w:r>
      <w:r>
        <w:rPr>
          <w:rFonts w:hint="eastAsia" w:ascii="仿宋" w:hAnsi="仿宋" w:eastAsia="仿宋" w:cs="仿宋"/>
          <w:color w:val="auto"/>
          <w:sz w:val="24"/>
          <w:szCs w:val="24"/>
          <w:highlight w:val="none"/>
        </w:rPr>
        <w:t>绿色施工安全防护</w:t>
      </w:r>
      <w:r>
        <w:rPr>
          <w:rFonts w:hint="eastAsia" w:ascii="仿宋" w:hAnsi="仿宋" w:eastAsia="仿宋" w:cs="仿宋"/>
          <w:caps/>
          <w:color w:val="auto"/>
          <w:sz w:val="24"/>
          <w:szCs w:val="24"/>
          <w:highlight w:val="none"/>
        </w:rPr>
        <w:t>管理，鼓励承包人实施省、市级或其它级别文明工地。对于工程获得省、市级或其它级别文明工地的，应按照第</w:t>
      </w:r>
      <w:r>
        <w:rPr>
          <w:rFonts w:ascii="仿宋" w:hAnsi="仿宋" w:eastAsia="仿宋" w:cs="仿宋"/>
          <w:caps/>
          <w:color w:val="auto"/>
          <w:sz w:val="24"/>
          <w:szCs w:val="24"/>
          <w:highlight w:val="none"/>
        </w:rPr>
        <w:t>80</w:t>
      </w:r>
      <w:r>
        <w:rPr>
          <w:rFonts w:hint="eastAsia" w:ascii="仿宋" w:hAnsi="仿宋" w:eastAsia="仿宋" w:cs="仿宋"/>
          <w:caps/>
          <w:color w:val="auto"/>
          <w:sz w:val="24"/>
          <w:szCs w:val="24"/>
          <w:highlight w:val="none"/>
        </w:rPr>
        <w:t>条规定向承包人支付文明工地增加费。</w:t>
      </w:r>
    </w:p>
    <w:p>
      <w:pPr>
        <w:shd w:val="clear" w:color="000000" w:fill="auto"/>
        <w:adjustRightInd w:val="0"/>
        <w:snapToGrid w:val="0"/>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45.9 </w:t>
      </w:r>
      <w:r>
        <w:rPr>
          <w:rFonts w:ascii="仿宋" w:hAnsi="仿宋" w:eastAsia="仿宋" w:cs="仿宋"/>
          <w:b/>
          <w:bCs/>
          <w:color w:val="auto"/>
          <w:sz w:val="24"/>
          <w:szCs w:val="24"/>
          <w:highlight w:val="none"/>
          <w:u w:val="dotted"/>
        </w:rPr>
        <w:t xml:space="preserve">                                                                                 </w:t>
      </w:r>
    </w:p>
    <w:p>
      <w:pPr>
        <w:shd w:val="clear" w:color="000000" w:fill="auto"/>
        <w:spacing w:line="360" w:lineRule="auto"/>
        <w:ind w:firstLine="420" w:firstLineChars="200"/>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76032"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408" name="文本框 181"/>
                <wp:cNvGraphicFramePr/>
                <a:graphic xmlns:a="http://schemas.openxmlformats.org/drawingml/2006/main">
                  <a:graphicData uri="http://schemas.microsoft.com/office/word/2010/wordprocessingShape">
                    <wps:wsp>
                      <wps:cNvSpPr txBox="1"/>
                      <wps:spPr>
                        <a:xfrm>
                          <a:off x="0" y="0"/>
                          <a:ext cx="873760" cy="594360"/>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特别安全生产事项</w:t>
                            </w:r>
                          </w:p>
                        </w:txbxContent>
                      </wps:txbx>
                      <wps:bodyPr upright="1"/>
                    </wps:wsp>
                  </a:graphicData>
                </a:graphic>
              </wp:anchor>
            </w:drawing>
          </mc:Choice>
          <mc:Fallback>
            <w:pict>
              <v:shape id="文本框 181" o:spid="_x0000_s1026" o:spt="202" type="#_x0000_t202" style="position:absolute;left:0pt;margin-left:0pt;margin-top:1.35pt;height:46.8pt;width:68.8pt;z-index:252076032;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7enTDUAAAA&#10;BQEAAA8AAAAAAAAAAQAgAAAAIgAAAGRycy9kb3ducmV2LnhtbFBLAQIUABQAAAAIAIdO4kC+8rN+&#10;rwEAAFEDAAAOAAAAAAAAAAEAIAAAACMBAABkcnMvZTJvRG9jLnhtbFBLBQYAAAAABgAGAFkBAABE&#10;BQ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特别安全生产事项</w:t>
                      </w:r>
                    </w:p>
                  </w:txbxContent>
                </v:textbox>
              </v:shape>
            </w:pict>
          </mc:Fallback>
        </mc:AlternateConten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承包人应按照法律规定进行施工，开工前做好安全技术交底工作，施工过程中做好</w:t>
      </w:r>
    </w:p>
    <w:p>
      <w:pPr>
        <w:shd w:val="clear" w:color="000000" w:fill="auto"/>
        <w:spacing w:line="360" w:lineRule="auto"/>
        <w:ind w:left="1556" w:leftChars="74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各项安全防护措施。承包人为实施合同而雇用的特殊工种的人员应受过专门的培训并已取得政府有关管理机构颁发的上岗证书。</w:t>
      </w:r>
    </w:p>
    <w:p>
      <w:pPr>
        <w:shd w:val="clear" w:color="000000" w:fill="auto"/>
        <w:spacing w:line="360" w:lineRule="auto"/>
        <w:ind w:left="1556" w:leftChars="74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承包人在动力设备、输电线路、地下管道、密封防震车间、易燃易爆地段以及临街交通要道附近施工时，施工开始前应向发包人和监理人提出安全防护措施，经发包人认可后实施。</w:t>
      </w:r>
      <w:r>
        <w:rPr>
          <w:rFonts w:ascii="仿宋" w:hAnsi="仿宋" w:eastAsia="仿宋" w:cs="仿宋"/>
          <w:color w:val="auto"/>
          <w:sz w:val="24"/>
          <w:szCs w:val="24"/>
          <w:highlight w:val="none"/>
        </w:rPr>
        <w:t xml:space="preserve"> </w:t>
      </w:r>
    </w:p>
    <w:p>
      <w:pPr>
        <w:shd w:val="clear" w:color="000000" w:fill="auto"/>
        <w:spacing w:line="360" w:lineRule="auto"/>
        <w:ind w:left="1556" w:leftChars="74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实施爆破作业，在放射、毒害性环境中施工（含储存、运输、使用）及使用毒害性、腐蚀性物品施工时，承包人应在施工前</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天以书面通知发包人和监理人，并报送相应的安全防护措施，经发包人认可后实施。</w:t>
      </w:r>
    </w:p>
    <w:p>
      <w:pPr>
        <w:shd w:val="clear" w:color="000000" w:fill="auto"/>
        <w:adjustRightInd w:val="0"/>
        <w:snapToGrid w:val="0"/>
        <w:spacing w:line="360" w:lineRule="auto"/>
        <w:ind w:left="1556" w:leftChars="74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需单独编制危险性较大分部分项专项工程施工方案的，及要求进行专家论证的超过一定规模的危险性较大的分部分项工程，承包人应及时编制和组织论证。</w:t>
      </w:r>
    </w:p>
    <w:p>
      <w:pPr>
        <w:shd w:val="clear" w:color="000000" w:fill="auto"/>
        <w:adjustRightInd w:val="0"/>
        <w:snapToGrid w:val="0"/>
        <w:spacing w:line="240" w:lineRule="exact"/>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263" w:name="_Toc469384029"/>
      <w:bookmarkStart w:id="264" w:name="_Toc10624869"/>
      <w:bookmarkStart w:id="265" w:name="_Toc21653"/>
      <w:r>
        <w:rPr>
          <w:rFonts w:ascii="仿宋" w:hAnsi="仿宋" w:eastAsia="仿宋" w:cs="仿宋"/>
          <w:b/>
          <w:bCs/>
          <w:color w:val="auto"/>
          <w:sz w:val="24"/>
          <w:szCs w:val="24"/>
          <w:highlight w:val="none"/>
        </w:rPr>
        <w:t xml:space="preserve">46  </w:t>
      </w:r>
      <w:r>
        <w:rPr>
          <w:rFonts w:hint="eastAsia" w:ascii="仿宋" w:hAnsi="仿宋" w:eastAsia="仿宋" w:cs="仿宋"/>
          <w:b/>
          <w:bCs/>
          <w:color w:val="auto"/>
          <w:sz w:val="24"/>
          <w:szCs w:val="24"/>
          <w:highlight w:val="none"/>
        </w:rPr>
        <w:t>测量放线</w:t>
      </w:r>
      <w:bookmarkEnd w:id="263"/>
      <w:bookmarkEnd w:id="264"/>
      <w:bookmarkEnd w:id="265"/>
    </w:p>
    <w:p>
      <w:pPr>
        <w:pStyle w:val="13"/>
        <w:shd w:val="clear" w:color="000000" w:fill="auto"/>
        <w:tabs>
          <w:tab w:val="left" w:pos="1202"/>
        </w:tabs>
        <w:adjustRightInd w:val="0"/>
        <w:snapToGrid w:val="0"/>
        <w:spacing w:line="360" w:lineRule="auto"/>
        <w:ind w:firstLine="0"/>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840512" behindDoc="0" locked="0" layoutInCell="1" allowOverlap="1">
                <wp:simplePos x="0" y="0"/>
                <wp:positionH relativeFrom="column">
                  <wp:posOffset>-114300</wp:posOffset>
                </wp:positionH>
                <wp:positionV relativeFrom="paragraph">
                  <wp:posOffset>286385</wp:posOffset>
                </wp:positionV>
                <wp:extent cx="914400" cy="546100"/>
                <wp:effectExtent l="0" t="0" r="0" b="0"/>
                <wp:wrapNone/>
                <wp:docPr id="178" name="文本框 182"/>
                <wp:cNvGraphicFramePr/>
                <a:graphic xmlns:a="http://schemas.openxmlformats.org/drawingml/2006/main">
                  <a:graphicData uri="http://schemas.microsoft.com/office/word/2010/wordprocessingShape">
                    <wps:wsp>
                      <wps:cNvSpPr txBox="1"/>
                      <wps:spPr>
                        <a:xfrm>
                          <a:off x="0" y="0"/>
                          <a:ext cx="914400" cy="546100"/>
                        </a:xfrm>
                        <a:prstGeom prst="rect">
                          <a:avLst/>
                        </a:prstGeom>
                        <a:noFill/>
                        <a:ln>
                          <a:noFill/>
                        </a:ln>
                      </wps:spPr>
                      <wps:txbx>
                        <w:txbxContent>
                          <w:p>
                            <w:pPr>
                              <w:rPr>
                                <w:rFonts w:ascii="宋体" w:cs="Times New Roman"/>
                                <w:sz w:val="18"/>
                                <w:szCs w:val="18"/>
                              </w:rPr>
                            </w:pPr>
                            <w:r>
                              <w:rPr>
                                <w:rFonts w:hint="eastAsia" w:ascii="楷体_GB2312" w:hAnsi="宋体" w:eastAsia="楷体_GB2312" w:cs="楷体_GB2312"/>
                                <w:b/>
                                <w:bCs/>
                                <w:color w:val="000000"/>
                                <w:sz w:val="18"/>
                                <w:szCs w:val="18"/>
                              </w:rPr>
                              <w:t>测设施工控制网</w:t>
                            </w:r>
                          </w:p>
                        </w:txbxContent>
                      </wps:txbx>
                      <wps:bodyPr upright="1"/>
                    </wps:wsp>
                  </a:graphicData>
                </a:graphic>
              </wp:anchor>
            </w:drawing>
          </mc:Choice>
          <mc:Fallback>
            <w:pict>
              <v:shape id="文本框 182" o:spid="_x0000_s1026" o:spt="202" type="#_x0000_t202" style="position:absolute;left:0pt;margin-left:-9pt;margin-top:22.55pt;height:43pt;width:72pt;z-index:251840512;mso-width-relative:page;mso-height-relative:page;" filled="f" stroked="f" coordsize="21600,21600" o:gfxdata="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F63redcA&#10;AAAKAQAADwAAAAAAAAABACAAAAAiAAAAZHJzL2Rvd25yZXYueG1sUEsBAhQAFAAAAAgAh07iQKgx&#10;q2WuAQAAUQMAAA4AAAAAAAAAAQAgAAAAJgEAAGRycy9lMm9Eb2MueG1sUEsFBgAAAAAGAAYAWQEA&#10;AEYFAAAAAA==&#10;">
                <v:fill on="f" focussize="0,0"/>
                <v:stroke on="f"/>
                <v:imagedata o:title=""/>
                <o:lock v:ext="edit" aspectratio="f"/>
                <v:textbox>
                  <w:txbxContent>
                    <w:p>
                      <w:pPr>
                        <w:rPr>
                          <w:rFonts w:ascii="宋体" w:cs="Times New Roman"/>
                          <w:sz w:val="18"/>
                          <w:szCs w:val="18"/>
                        </w:rPr>
                      </w:pPr>
                      <w:r>
                        <w:rPr>
                          <w:rFonts w:hint="eastAsia" w:ascii="楷体_GB2312" w:hAnsi="宋体" w:eastAsia="楷体_GB2312" w:cs="楷体_GB2312"/>
                          <w:b/>
                          <w:bCs/>
                          <w:color w:val="000000"/>
                          <w:sz w:val="18"/>
                          <w:szCs w:val="18"/>
                        </w:rPr>
                        <w:t>测设施工控制网</w:t>
                      </w:r>
                    </w:p>
                  </w:txbxContent>
                </v:textbox>
              </v:shape>
            </w:pict>
          </mc:Fallback>
        </mc:AlternateContent>
      </w:r>
      <w:r>
        <w:rPr>
          <w:rFonts w:ascii="仿宋" w:hAnsi="仿宋" w:eastAsia="仿宋" w:cs="仿宋"/>
          <w:b/>
          <w:bCs/>
          <w:color w:val="auto"/>
          <w:sz w:val="24"/>
          <w:szCs w:val="24"/>
          <w:highlight w:val="none"/>
        </w:rPr>
        <w:t>46.1</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监理工程师应在发出开工令后的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承包人提供原始基准点、基准线、基准高程等书面资料。承包人应根据国家测绘基准、测绘系统和工程测量技术规范，按照上述资料以及合同工程精度要求，测绘施工控制网，并在专用条款约定的期限内，将施工控制网资料提交监理工程师确认。</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p>
    <w:p>
      <w:pPr>
        <w:shd w:val="clear" w:color="000000" w:fill="auto"/>
        <w:adjustRightInd w:val="0"/>
        <w:snapToGrid w:val="0"/>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46.2  </w:t>
      </w:r>
      <w:r>
        <w:rPr>
          <w:rFonts w:ascii="仿宋" w:hAnsi="仿宋" w:eastAsia="仿宋" w:cs="仿宋"/>
          <w:b/>
          <w:bCs/>
          <w:color w:val="auto"/>
          <w:sz w:val="24"/>
          <w:szCs w:val="24"/>
          <w:highlight w:val="none"/>
          <w:u w:val="dotted"/>
        </w:rPr>
        <w:t xml:space="preserve">                                                                              </w:t>
      </w:r>
    </w:p>
    <w:p>
      <w:pPr>
        <w:shd w:val="clear" w:color="000000" w:fill="auto"/>
        <w:adjustRightInd w:val="0"/>
        <w:snapToGrid w:val="0"/>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41536" behindDoc="0" locked="0" layoutInCell="1" allowOverlap="1">
                <wp:simplePos x="0" y="0"/>
                <wp:positionH relativeFrom="column">
                  <wp:posOffset>-114300</wp:posOffset>
                </wp:positionH>
                <wp:positionV relativeFrom="paragraph">
                  <wp:posOffset>214630</wp:posOffset>
                </wp:positionV>
                <wp:extent cx="914400" cy="677545"/>
                <wp:effectExtent l="0" t="0" r="0" b="0"/>
                <wp:wrapNone/>
                <wp:docPr id="179" name="文本框 183"/>
                <wp:cNvGraphicFramePr/>
                <a:graphic xmlns:a="http://schemas.openxmlformats.org/drawingml/2006/main">
                  <a:graphicData uri="http://schemas.microsoft.com/office/word/2010/wordprocessingShape">
                    <wps:wsp>
                      <wps:cNvSpPr txBox="1"/>
                      <wps:spPr>
                        <a:xfrm>
                          <a:off x="0" y="0"/>
                          <a:ext cx="914400" cy="677545"/>
                        </a:xfrm>
                        <a:prstGeom prst="rect">
                          <a:avLst/>
                        </a:prstGeom>
                        <a:noFill/>
                        <a:ln>
                          <a:noFill/>
                        </a:ln>
                      </wps:spPr>
                      <wps:txb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施工控制网（点）管理与使用</w:t>
                            </w:r>
                          </w:p>
                        </w:txbxContent>
                      </wps:txbx>
                      <wps:bodyPr upright="1"/>
                    </wps:wsp>
                  </a:graphicData>
                </a:graphic>
              </wp:anchor>
            </w:drawing>
          </mc:Choice>
          <mc:Fallback>
            <w:pict>
              <v:shape id="文本框 183" o:spid="_x0000_s1026" o:spt="202" type="#_x0000_t202" style="position:absolute;left:0pt;margin-left:-9pt;margin-top:16.9pt;height:53.35pt;width:72pt;z-index:251841536;mso-width-relative:page;mso-height-relative:page;" filled="f" stroked="f" coordsize="21600,21600" o:gfxdata="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ak0tp&#10;1wAAAAoBAAAPAAAAAAAAAAEAIAAAACIAAABkcnMvZG93bnJldi54bWxQSwECFAAUAAAACACHTuJA&#10;01R54LABAABRAwAADgAAAAAAAAABACAAAAAmAQAAZHJzL2Uyb0RvYy54bWxQSwUGAAAAAAYABgBZ&#10;AQAASAUAAAAA&#10;">
                <v:fill on="f" focussize="0,0"/>
                <v:stroke on="f"/>
                <v:imagedata o:title=""/>
                <o:lock v:ext="edit" aspectratio="f"/>
                <v:textbo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施工控制网（点）管理与使用</w:t>
                      </w:r>
                    </w:p>
                  </w:txbxContent>
                </v:textbox>
              </v:shape>
            </w:pict>
          </mc:Fallback>
        </mc:AlternateConten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承包人应负责施工控制网点的管理。施工控制网点丢失或损坏的，承包人应及时修复。承包人应承担施工控制网点的管理与修复费用，并在工程竣工后将施工控制网点移交发包人。</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监理工程师需要使用施工控制网的，承包人应提供必要的协助，发包人无需为此支付任何费用。</w:t>
      </w:r>
    </w:p>
    <w:p>
      <w:pPr>
        <w:shd w:val="clear" w:color="000000" w:fill="auto"/>
        <w:adjustRightInd w:val="0"/>
        <w:snapToGrid w:val="0"/>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46.3  </w:t>
      </w:r>
      <w:r>
        <w:rPr>
          <w:rFonts w:ascii="仿宋" w:hAnsi="仿宋" w:eastAsia="仿宋" w:cs="仿宋"/>
          <w:b/>
          <w:bCs/>
          <w:color w:val="auto"/>
          <w:sz w:val="24"/>
          <w:szCs w:val="24"/>
          <w:highlight w:val="none"/>
          <w:u w:val="dotted"/>
        </w:rPr>
        <w:t xml:space="preserve">                                                                              </w:t>
      </w:r>
    </w:p>
    <w:p>
      <w:pPr>
        <w:shd w:val="clear" w:color="000000" w:fill="auto"/>
        <w:adjustRightInd w:val="0"/>
        <w:snapToGrid w:val="0"/>
        <w:rPr>
          <w:rFonts w:ascii="仿宋" w:hAnsi="仿宋" w:eastAsia="仿宋" w:cs="Times New Roman"/>
          <w:color w:val="auto"/>
          <w:sz w:val="24"/>
          <w:szCs w:val="24"/>
          <w:highlight w:val="none"/>
        </w:rPr>
      </w:pP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42560" behindDoc="0" locked="0" layoutInCell="1" allowOverlap="1">
                <wp:simplePos x="0" y="0"/>
                <wp:positionH relativeFrom="column">
                  <wp:posOffset>-114300</wp:posOffset>
                </wp:positionH>
                <wp:positionV relativeFrom="paragraph">
                  <wp:posOffset>-6350</wp:posOffset>
                </wp:positionV>
                <wp:extent cx="914400" cy="541020"/>
                <wp:effectExtent l="0" t="0" r="0" b="0"/>
                <wp:wrapNone/>
                <wp:docPr id="180" name="文本框 184"/>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pPr>
                              <w:spacing w:line="200" w:lineRule="exact"/>
                              <w:rPr>
                                <w:rFonts w:cs="Times New Roman"/>
                                <w:sz w:val="18"/>
                                <w:szCs w:val="18"/>
                              </w:rPr>
                            </w:pPr>
                            <w:r>
                              <w:rPr>
                                <w:rFonts w:hint="eastAsia" w:ascii="楷体_GB2312" w:hAnsi="宋体" w:eastAsia="楷体_GB2312" w:cs="楷体_GB2312"/>
                                <w:b/>
                                <w:bCs/>
                                <w:color w:val="000000"/>
                                <w:sz w:val="18"/>
                                <w:szCs w:val="18"/>
                              </w:rPr>
                              <w:t>承包人测量放线的责任</w:t>
                            </w:r>
                          </w:p>
                        </w:txbxContent>
                      </wps:txbx>
                      <wps:bodyPr upright="1"/>
                    </wps:wsp>
                  </a:graphicData>
                </a:graphic>
              </wp:anchor>
            </w:drawing>
          </mc:Choice>
          <mc:Fallback>
            <w:pict>
              <v:shape id="文本框 184" o:spid="_x0000_s1026" o:spt="202" type="#_x0000_t202" style="position:absolute;left:0pt;margin-left:-9pt;margin-top:-0.5pt;height:42.6pt;width:72pt;z-index:251842560;mso-width-relative:page;mso-height-relative:page;" filled="f" stroked="f" coordsize="21600,21600" o:gfxdata="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4ssLzVAAAA&#10;CQEAAA8AAAAAAAAAAQAgAAAAIgAAAGRycy9kb3ducmV2LnhtbFBLAQIUABQAAAAIAIdO4kDsiIpo&#10;rgEAAFEDAAAOAAAAAAAAAAEAIAAAACQBAABkcnMvZTJvRG9jLnhtbFBLBQYAAAAABgAGAFkBAABE&#10;BQAAAAA=&#10;">
                <v:fill on="f" focussize="0,0"/>
                <v:stroke on="f"/>
                <v:imagedata o:title=""/>
                <o:lock v:ext="edit" aspectratio="f"/>
                <v:textbox>
                  <w:txbxContent>
                    <w:p>
                      <w:pPr>
                        <w:spacing w:line="200" w:lineRule="exact"/>
                        <w:rPr>
                          <w:rFonts w:cs="Times New Roman"/>
                          <w:sz w:val="18"/>
                          <w:szCs w:val="18"/>
                        </w:rPr>
                      </w:pPr>
                      <w:r>
                        <w:rPr>
                          <w:rFonts w:hint="eastAsia" w:ascii="楷体_GB2312" w:hAnsi="宋体" w:eastAsia="楷体_GB2312" w:cs="楷体_GB2312"/>
                          <w:b/>
                          <w:bCs/>
                          <w:color w:val="000000"/>
                          <w:sz w:val="18"/>
                          <w:szCs w:val="18"/>
                        </w:rPr>
                        <w:t>承包人测量放线的责任</w:t>
                      </w:r>
                    </w:p>
                  </w:txbxContent>
                </v:textbox>
              </v:shape>
            </w:pict>
          </mc:Fallback>
        </mc:AlternateContent>
      </w:r>
      <w:r>
        <w:rPr>
          <w:rFonts w:hint="eastAsia" w:ascii="仿宋" w:hAnsi="仿宋" w:eastAsia="仿宋" w:cs="仿宋"/>
          <w:color w:val="auto"/>
          <w:sz w:val="24"/>
          <w:szCs w:val="24"/>
          <w:highlight w:val="none"/>
        </w:rPr>
        <w:t>承包人应配置合格的人员、仪器、设备和其他物品，根据监理工程师书面确定的原始基准点、基准线、基准高程等资料，准确完成对合同工程的全部施工测量放线工作，并对工程各部分的位置、标高、尺寸或定线的正确性负责。</w:t>
      </w:r>
    </w:p>
    <w:p>
      <w:pPr>
        <w:pStyle w:val="13"/>
        <w:shd w:val="clear" w:color="000000" w:fill="auto"/>
        <w:tabs>
          <w:tab w:val="left" w:pos="720"/>
          <w:tab w:val="left" w:pos="1080"/>
        </w:tabs>
        <w:adjustRightInd w:val="0"/>
        <w:snapToGrid w:val="0"/>
        <w:ind w:firstLine="0"/>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46.4 </w:t>
      </w:r>
      <w:r>
        <w:rPr>
          <w:rFonts w:ascii="仿宋" w:hAnsi="仿宋" w:eastAsia="仿宋" w:cs="仿宋"/>
          <w:b/>
          <w:bCs/>
          <w:color w:val="auto"/>
          <w:sz w:val="24"/>
          <w:szCs w:val="24"/>
          <w:highlight w:val="none"/>
          <w:u w:val="dotted"/>
        </w:rPr>
        <w:t xml:space="preserve">                                                                               </w:t>
      </w:r>
    </w:p>
    <w:p>
      <w:pPr>
        <w:shd w:val="clear" w:color="000000" w:fill="auto"/>
        <w:rPr>
          <w:color w:val="auto"/>
          <w:highlight w:val="none"/>
        </w:rPr>
      </w:pP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43584" behindDoc="0" locked="0" layoutInCell="1" allowOverlap="1">
                <wp:simplePos x="0" y="0"/>
                <wp:positionH relativeFrom="column">
                  <wp:posOffset>-66675</wp:posOffset>
                </wp:positionH>
                <wp:positionV relativeFrom="paragraph">
                  <wp:posOffset>8255</wp:posOffset>
                </wp:positionV>
                <wp:extent cx="914400" cy="375920"/>
                <wp:effectExtent l="0" t="0" r="0" b="0"/>
                <wp:wrapNone/>
                <wp:docPr id="181" name="文本框 185"/>
                <wp:cNvGraphicFramePr/>
                <a:graphic xmlns:a="http://schemas.openxmlformats.org/drawingml/2006/main">
                  <a:graphicData uri="http://schemas.microsoft.com/office/word/2010/wordprocessingShape">
                    <wps:wsp>
                      <wps:cNvSpPr txBox="1"/>
                      <wps:spPr>
                        <a:xfrm>
                          <a:off x="0" y="0"/>
                          <a:ext cx="914400" cy="375920"/>
                        </a:xfrm>
                        <a:prstGeom prst="rect">
                          <a:avLst/>
                        </a:prstGeom>
                        <a:noFill/>
                        <a:ln>
                          <a:noFill/>
                        </a:ln>
                      </wps:spPr>
                      <wps:txbx>
                        <w:txbxContent>
                          <w:p>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测量放线误差的处理</w:t>
                            </w:r>
                          </w:p>
                        </w:txbxContent>
                      </wps:txbx>
                      <wps:bodyPr upright="1"/>
                    </wps:wsp>
                  </a:graphicData>
                </a:graphic>
              </wp:anchor>
            </w:drawing>
          </mc:Choice>
          <mc:Fallback>
            <w:pict>
              <v:shape id="文本框 185" o:spid="_x0000_s1026" o:spt="202" type="#_x0000_t202" style="position:absolute;left:0pt;margin-left:-5.25pt;margin-top:0.65pt;height:29.6pt;width:72pt;z-index:251843584;mso-width-relative:page;mso-height-relative:page;" filled="f" stroked="f" coordsize="21600,21600" o:gfxdata="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47LALNMAAAAI&#10;AQAADwAAAAAAAAABACAAAAAiAAAAZHJzL2Rvd25yZXYueG1sUEsBAhQAFAAAAAgAh07iQNTC4Mav&#10;AQAAUQMAAA4AAAAAAAAAAQAgAAAAIgEAAGRycy9lMm9Eb2MueG1sUEsFBgAAAAAGAAYAWQEAAEMF&#10;AAAAAA==&#10;">
                <v:fill on="f" focussize="0,0"/>
                <v:stroke on="f"/>
                <v:imagedata o:title=""/>
                <o:lock v:ext="edit" aspectratio="f"/>
                <v:textbox>
                  <w:txbxContent>
                    <w:p>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测量放线误差的处理</w:t>
                      </w:r>
                    </w:p>
                  </w:txbxContent>
                </v:textbox>
              </v:shape>
            </w:pict>
          </mc:Fallback>
        </mc:AlternateContent>
      </w:r>
      <w:r>
        <w:rPr>
          <w:rFonts w:hint="eastAsia" w:ascii="仿宋" w:hAnsi="仿宋" w:eastAsia="仿宋" w:cs="仿宋"/>
          <w:color w:val="auto"/>
          <w:sz w:val="24"/>
          <w:szCs w:val="24"/>
          <w:highlight w:val="none"/>
        </w:rPr>
        <w:t>监理工程师有权对承包人施工测量放线工作进行检查验收。如果发现永久工程任何部分的位置、标高、尺寸或定线超过合同约定误差的，承包人应自费纠正，直到监理工程师认为符合合同约定为止。如果这些误差是由于监理工程师书面提供的数据错误导致的，发包人应当承担由此增加的费用和（或）工期延误，并向承包人支付合理利润。</w:t>
      </w:r>
    </w:p>
    <w:p>
      <w:pPr>
        <w:pStyle w:val="13"/>
        <w:shd w:val="clear" w:color="000000" w:fill="auto"/>
        <w:tabs>
          <w:tab w:val="left" w:pos="720"/>
          <w:tab w:val="left" w:pos="1080"/>
        </w:tabs>
        <w:adjustRightInd w:val="0"/>
        <w:snapToGrid w:val="0"/>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46.5 </w:t>
      </w:r>
      <w:r>
        <w:rPr>
          <w:rFonts w:ascii="仿宋" w:hAnsi="仿宋" w:eastAsia="仿宋" w:cs="仿宋"/>
          <w:b/>
          <w:bCs/>
          <w:color w:val="auto"/>
          <w:sz w:val="24"/>
          <w:szCs w:val="24"/>
          <w:highlight w:val="none"/>
          <w:u w:val="dotted"/>
        </w:rPr>
        <w:t xml:space="preserve">                                                                         </w:t>
      </w:r>
      <w:r>
        <w:rPr>
          <w:color w:val="auto"/>
          <w:highlight w:val="none"/>
        </w:rPr>
        <mc:AlternateContent>
          <mc:Choice Requires="wps">
            <w:drawing>
              <wp:anchor distT="0" distB="0" distL="114300" distR="114300" simplePos="0" relativeHeight="251844608" behindDoc="0" locked="0" layoutInCell="1" allowOverlap="1">
                <wp:simplePos x="0" y="0"/>
                <wp:positionH relativeFrom="column">
                  <wp:posOffset>-114300</wp:posOffset>
                </wp:positionH>
                <wp:positionV relativeFrom="paragraph">
                  <wp:posOffset>278130</wp:posOffset>
                </wp:positionV>
                <wp:extent cx="914400" cy="448310"/>
                <wp:effectExtent l="0" t="0" r="0" b="0"/>
                <wp:wrapNone/>
                <wp:docPr id="182" name="文本框 186"/>
                <wp:cNvGraphicFramePr/>
                <a:graphic xmlns:a="http://schemas.openxmlformats.org/drawingml/2006/main">
                  <a:graphicData uri="http://schemas.microsoft.com/office/word/2010/wordprocessingShape">
                    <wps:wsp>
                      <wps:cNvSpPr txBox="1"/>
                      <wps:spPr>
                        <a:xfrm>
                          <a:off x="0" y="0"/>
                          <a:ext cx="914400" cy="44831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保护基准点或线等标志</w:t>
                            </w:r>
                          </w:p>
                        </w:txbxContent>
                      </wps:txbx>
                      <wps:bodyPr upright="1"/>
                    </wps:wsp>
                  </a:graphicData>
                </a:graphic>
              </wp:anchor>
            </w:drawing>
          </mc:Choice>
          <mc:Fallback>
            <w:pict>
              <v:shape id="文本框 186" o:spid="_x0000_s1026" o:spt="202" type="#_x0000_t202" style="position:absolute;left:0pt;margin-left:-9pt;margin-top:21.9pt;height:35.3pt;width:72pt;z-index:251844608;mso-width-relative:page;mso-height-relative:page;" filled="f" stroked="f" coordsize="21600,21600" o:gfxdata="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BLqU/X&#10;AAAACgEAAA8AAAAAAAAAAQAgAAAAIgAAAGRycy9kb3ducmV2LnhtbFBLAQIUABQAAAAIAIdO4kD2&#10;QxdCrwEAAFEDAAAOAAAAAAAAAAEAIAAAACYBAABkcnMvZTJvRG9jLnhtbFBLBQYAAAAABgAGAFkB&#10;AABH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保护基准点或线等标志</w:t>
                      </w:r>
                    </w:p>
                  </w:txbxContent>
                </v:textbox>
              </v:shape>
            </w:pict>
          </mc:Fallback>
        </mc:AlternateContent>
      </w:r>
      <w:r>
        <w:rPr>
          <w:rFonts w:ascii="仿宋" w:hAnsi="仿宋" w:eastAsia="仿宋" w:cs="仿宋"/>
          <w:b/>
          <w:bCs/>
          <w:color w:val="auto"/>
          <w:sz w:val="24"/>
          <w:szCs w:val="24"/>
          <w:highlight w:val="none"/>
          <w:u w:val="dotted"/>
        </w:rPr>
        <w:t xml:space="preserve">      </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监理工程师对工程位置、标高、尺寸、定线的检查，不能免除承包人测量放线工作准确性应承担的任何责任和应履行的任何义务。承包人应有效地保护一切基准点、基准线和其他有关的标志，直到永久工程竣工验收合格为止。</w:t>
      </w:r>
    </w:p>
    <w:p>
      <w:pPr>
        <w:pStyle w:val="13"/>
        <w:shd w:val="clear" w:color="000000" w:fill="auto"/>
        <w:tabs>
          <w:tab w:val="left" w:pos="2070"/>
        </w:tabs>
        <w:adjustRightInd w:val="0"/>
        <w:snapToGrid w:val="0"/>
        <w:spacing w:line="240" w:lineRule="exact"/>
        <w:ind w:firstLine="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266" w:name="_Toc10624870"/>
      <w:bookmarkStart w:id="267" w:name="_Toc27788"/>
      <w:bookmarkStart w:id="268" w:name="_Toc469384030"/>
      <w:r>
        <w:rPr>
          <w:rFonts w:ascii="仿宋" w:hAnsi="仿宋" w:eastAsia="仿宋" w:cs="仿宋"/>
          <w:b/>
          <w:bCs/>
          <w:color w:val="auto"/>
          <w:sz w:val="24"/>
          <w:szCs w:val="24"/>
          <w:highlight w:val="none"/>
        </w:rPr>
        <w:t xml:space="preserve">47  </w:t>
      </w:r>
      <w:r>
        <w:rPr>
          <w:rFonts w:hint="eastAsia" w:ascii="仿宋" w:hAnsi="仿宋" w:eastAsia="仿宋" w:cs="仿宋"/>
          <w:b/>
          <w:bCs/>
          <w:color w:val="auto"/>
          <w:sz w:val="24"/>
          <w:szCs w:val="24"/>
          <w:highlight w:val="none"/>
        </w:rPr>
        <w:t>钻孔与勘探性开挖</w:t>
      </w:r>
      <w:bookmarkEnd w:id="266"/>
      <w:bookmarkEnd w:id="267"/>
      <w:bookmarkEnd w:id="268"/>
    </w:p>
    <w:p>
      <w:pPr>
        <w:pStyle w:val="13"/>
        <w:shd w:val="clear" w:color="000000" w:fill="auto"/>
        <w:adjustRightInd w:val="0"/>
        <w:snapToGrid w:val="0"/>
        <w:spacing w:line="360" w:lineRule="auto"/>
        <w:ind w:firstLine="0"/>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845632" behindDoc="0" locked="0" layoutInCell="1" allowOverlap="1">
                <wp:simplePos x="0" y="0"/>
                <wp:positionH relativeFrom="column">
                  <wp:posOffset>-133350</wp:posOffset>
                </wp:positionH>
                <wp:positionV relativeFrom="paragraph">
                  <wp:posOffset>285115</wp:posOffset>
                </wp:positionV>
                <wp:extent cx="914400" cy="648335"/>
                <wp:effectExtent l="0" t="0" r="0" b="0"/>
                <wp:wrapNone/>
                <wp:docPr id="183" name="文本框 187"/>
                <wp:cNvGraphicFramePr/>
                <a:graphic xmlns:a="http://schemas.openxmlformats.org/drawingml/2006/main">
                  <a:graphicData uri="http://schemas.microsoft.com/office/word/2010/wordprocessingShape">
                    <wps:wsp>
                      <wps:cNvSpPr txBox="1"/>
                      <wps:spPr>
                        <a:xfrm>
                          <a:off x="0" y="0"/>
                          <a:ext cx="914400" cy="64833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wps:txbx>
                      <wps:bodyPr upright="1"/>
                    </wps:wsp>
                  </a:graphicData>
                </a:graphic>
              </wp:anchor>
            </w:drawing>
          </mc:Choice>
          <mc:Fallback>
            <w:pict>
              <v:shape id="文本框 187" o:spid="_x0000_s1026" o:spt="202" type="#_x0000_t202" style="position:absolute;left:0pt;margin-left:-10.5pt;margin-top:22.45pt;height:51.05pt;width:72pt;z-index:251845632;mso-width-relative:page;mso-height-relative:page;" filled="f" stroked="f" coordsize="21600,21600" o:gfxdata="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I2LZqrX&#10;AAAACgEAAA8AAAAAAAAAAQAgAAAAIgAAAGRycy9kb3ducmV2LnhtbFBLAQIUABQAAAAIAIdO4kAU&#10;G+jcrwEAAFEDAAAOAAAAAAAAAAEAIAAAACYBAABkcnMvZTJvRG9jLnhtbFBLBQYAAAAABgAGAFkB&#10;AABH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v:textbox>
              </v:shape>
            </w:pict>
          </mc:Fallback>
        </mc:AlternateContent>
      </w:r>
      <w:r>
        <w:rPr>
          <w:rFonts w:ascii="仿宋" w:hAnsi="仿宋" w:eastAsia="仿宋" w:cs="仿宋"/>
          <w:b/>
          <w:bCs/>
          <w:color w:val="auto"/>
          <w:sz w:val="24"/>
          <w:szCs w:val="24"/>
          <w:highlight w:val="none"/>
        </w:rPr>
        <w:t>47.1</w:t>
      </w:r>
    </w:p>
    <w:p>
      <w:pPr>
        <w:pStyle w:val="13"/>
        <w:shd w:val="clear" w:color="000000" w:fill="auto"/>
        <w:adjustRightInd w:val="0"/>
        <w:snapToGrid w:val="0"/>
        <w:spacing w:line="360" w:lineRule="auto"/>
        <w:ind w:left="1619" w:leftChars="771"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在施工过程中，如果需要承包人进行钻孔或勘探性开挖（含疏浚工作在内）工作的，监理工程师应就此项工作按照第</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条规定书面发出专项指令。承包人在接到监理工程师指令后，应及时实施相关工作。</w:t>
      </w:r>
    </w:p>
    <w:p>
      <w:pPr>
        <w:pStyle w:val="13"/>
        <w:shd w:val="clear" w:color="000000" w:fill="auto"/>
        <w:tabs>
          <w:tab w:val="left" w:pos="720"/>
          <w:tab w:val="left" w:pos="1080"/>
        </w:tabs>
        <w:adjustRightInd w:val="0"/>
        <w:snapToGrid w:val="0"/>
        <w:spacing w:line="360" w:lineRule="auto"/>
        <w:ind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46656" behindDoc="0" locked="0" layoutInCell="1" allowOverlap="1">
                <wp:simplePos x="0" y="0"/>
                <wp:positionH relativeFrom="column">
                  <wp:posOffset>-133350</wp:posOffset>
                </wp:positionH>
                <wp:positionV relativeFrom="paragraph">
                  <wp:posOffset>199390</wp:posOffset>
                </wp:positionV>
                <wp:extent cx="914400" cy="699135"/>
                <wp:effectExtent l="0" t="0" r="0" b="0"/>
                <wp:wrapNone/>
                <wp:docPr id="184" name="文本框 188"/>
                <wp:cNvGraphicFramePr/>
                <a:graphic xmlns:a="http://schemas.openxmlformats.org/drawingml/2006/main">
                  <a:graphicData uri="http://schemas.microsoft.com/office/word/2010/wordprocessingShape">
                    <wps:wsp>
                      <wps:cNvSpPr txBox="1"/>
                      <wps:spPr>
                        <a:xfrm>
                          <a:off x="0" y="0"/>
                          <a:ext cx="914400" cy="69913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钻孔和勘探性开挖工作的费用</w:t>
                            </w:r>
                          </w:p>
                          <w:p>
                            <w:pPr>
                              <w:spacing w:line="200" w:lineRule="exact"/>
                              <w:rPr>
                                <w:rFonts w:cs="Times New Roman"/>
                                <w:sz w:val="18"/>
                                <w:szCs w:val="18"/>
                              </w:rPr>
                            </w:pPr>
                          </w:p>
                        </w:txbxContent>
                      </wps:txbx>
                      <wps:bodyPr upright="1"/>
                    </wps:wsp>
                  </a:graphicData>
                </a:graphic>
              </wp:anchor>
            </w:drawing>
          </mc:Choice>
          <mc:Fallback>
            <w:pict>
              <v:shape id="文本框 188" o:spid="_x0000_s1026" o:spt="202" type="#_x0000_t202" style="position:absolute;left:0pt;margin-left:-10.5pt;margin-top:15.7pt;height:55.05pt;width:72pt;z-index:251846656;mso-width-relative:page;mso-height-relative:page;" filled="f" stroked="f" coordsize="21600,21600" o:gfxdata="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ItDPMbX&#10;AAAACgEAAA8AAAAAAAAAAQAgAAAAIgAAAGRycy9kb3ducmV2LnhtbFBLAQIUABQAAAAIAIdO4kA6&#10;pqElrwEAAFEDAAAOAAAAAAAAAAEAIAAAACYBAABkcnMvZTJvRG9jLnhtbFBLBQYAAAAABgAGAFkB&#10;AABH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钻孔和勘探性开挖工作的费用</w:t>
                      </w:r>
                    </w:p>
                    <w:p>
                      <w:pPr>
                        <w:spacing w:line="200" w:lineRule="exact"/>
                        <w:rPr>
                          <w:rFonts w:cs="Times New Roman"/>
                          <w:sz w:val="18"/>
                          <w:szCs w:val="18"/>
                        </w:rPr>
                      </w:pPr>
                    </w:p>
                  </w:txbxContent>
                </v:textbox>
              </v:shape>
            </w:pict>
          </mc:Fallback>
        </mc:AlternateContent>
      </w:r>
      <w:r>
        <w:rPr>
          <w:rFonts w:ascii="仿宋" w:hAnsi="仿宋" w:eastAsia="仿宋" w:cs="仿宋"/>
          <w:b/>
          <w:bCs/>
          <w:color w:val="auto"/>
          <w:sz w:val="24"/>
          <w:szCs w:val="24"/>
          <w:highlight w:val="none"/>
        </w:rPr>
        <w:t xml:space="preserve">47.2 </w:t>
      </w:r>
      <w:r>
        <w:rPr>
          <w:rFonts w:ascii="仿宋" w:hAnsi="仿宋" w:eastAsia="仿宋" w:cs="仿宋"/>
          <w:b/>
          <w:bCs/>
          <w:color w:val="auto"/>
          <w:sz w:val="24"/>
          <w:szCs w:val="24"/>
          <w:highlight w:val="none"/>
          <w:u w:val="dotted"/>
        </w:rPr>
        <w:t xml:space="preserve">                                                                               </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除工程量清单中已列有此类工作的支付项目和额度外，此项工作所发生的一切费用，经造价工程师核实后，由合同双方当事人按照第</w:t>
      </w:r>
      <w:r>
        <w:rPr>
          <w:rFonts w:ascii="仿宋" w:hAnsi="仿宋" w:eastAsia="仿宋" w:cs="仿宋"/>
          <w:color w:val="auto"/>
          <w:sz w:val="24"/>
          <w:szCs w:val="24"/>
          <w:highlight w:val="none"/>
        </w:rPr>
        <w:t>72</w:t>
      </w:r>
      <w:r>
        <w:rPr>
          <w:rFonts w:hint="eastAsia" w:ascii="仿宋" w:hAnsi="仿宋" w:eastAsia="仿宋" w:cs="仿宋"/>
          <w:color w:val="auto"/>
          <w:sz w:val="24"/>
          <w:szCs w:val="24"/>
          <w:highlight w:val="none"/>
        </w:rPr>
        <w:t>条规定办理。</w:t>
      </w:r>
    </w:p>
    <w:p>
      <w:pPr>
        <w:pStyle w:val="2"/>
        <w:shd w:val="clear" w:color="000000" w:fill="auto"/>
        <w:tabs>
          <w:tab w:val="left" w:pos="540"/>
        </w:tabs>
        <w:adjustRightInd w:val="0"/>
        <w:snapToGrid w:val="0"/>
        <w:spacing w:before="240" w:beforeLines="100" w:line="240" w:lineRule="exact"/>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u w:val="single"/>
        </w:rPr>
        <w:t xml:space="preserve">                                                                                                              </w:t>
      </w:r>
    </w:p>
    <w:p>
      <w:pPr>
        <w:pStyle w:val="13"/>
        <w:shd w:val="clear" w:color="000000" w:fill="auto"/>
        <w:adjustRightInd w:val="0"/>
        <w:snapToGrid w:val="0"/>
        <w:spacing w:line="360" w:lineRule="auto"/>
        <w:ind w:firstLine="0"/>
        <w:outlineLvl w:val="2"/>
        <w:rPr>
          <w:rFonts w:ascii="仿宋" w:hAnsi="仿宋" w:eastAsia="仿宋"/>
          <w:b/>
          <w:bCs/>
          <w:color w:val="auto"/>
          <w:sz w:val="24"/>
          <w:szCs w:val="24"/>
          <w:highlight w:val="none"/>
        </w:rPr>
      </w:pPr>
      <w:bookmarkStart w:id="269" w:name="_Toc16974"/>
      <w:bookmarkStart w:id="270" w:name="_Toc469384031"/>
      <w:bookmarkStart w:id="271" w:name="_Toc10624871"/>
      <w:r>
        <w:rPr>
          <w:rFonts w:ascii="仿宋" w:hAnsi="仿宋" w:eastAsia="仿宋" w:cs="仿宋"/>
          <w:b/>
          <w:bCs/>
          <w:color w:val="auto"/>
          <w:sz w:val="24"/>
          <w:szCs w:val="24"/>
          <w:highlight w:val="none"/>
        </w:rPr>
        <w:t xml:space="preserve">48  </w:t>
      </w:r>
      <w:r>
        <w:rPr>
          <w:rFonts w:hint="eastAsia" w:ascii="仿宋" w:hAnsi="仿宋" w:eastAsia="仿宋" w:cs="仿宋"/>
          <w:b/>
          <w:bCs/>
          <w:color w:val="auto"/>
          <w:sz w:val="24"/>
          <w:szCs w:val="24"/>
          <w:highlight w:val="none"/>
        </w:rPr>
        <w:t>发包人供应材料和工程设备</w:t>
      </w:r>
      <w:bookmarkEnd w:id="269"/>
      <w:bookmarkEnd w:id="270"/>
      <w:bookmarkEnd w:id="271"/>
    </w:p>
    <w:p>
      <w:pPr>
        <w:pStyle w:val="13"/>
        <w:shd w:val="clear" w:color="000000" w:fill="auto"/>
        <w:adjustRightInd w:val="0"/>
        <w:snapToGrid w:val="0"/>
        <w:spacing w:line="360" w:lineRule="auto"/>
        <w:ind w:firstLine="0"/>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847680" behindDoc="0" locked="0" layoutInCell="1" allowOverlap="1">
                <wp:simplePos x="0" y="0"/>
                <wp:positionH relativeFrom="column">
                  <wp:posOffset>-114300</wp:posOffset>
                </wp:positionH>
                <wp:positionV relativeFrom="paragraph">
                  <wp:posOffset>278765</wp:posOffset>
                </wp:positionV>
                <wp:extent cx="914400" cy="514985"/>
                <wp:effectExtent l="0" t="0" r="0" b="0"/>
                <wp:wrapNone/>
                <wp:docPr id="185" name="文本框 189"/>
                <wp:cNvGraphicFramePr/>
                <a:graphic xmlns:a="http://schemas.openxmlformats.org/drawingml/2006/main">
                  <a:graphicData uri="http://schemas.microsoft.com/office/word/2010/wordprocessingShape">
                    <wps:wsp>
                      <wps:cNvSpPr txBox="1"/>
                      <wps:spPr>
                        <a:xfrm>
                          <a:off x="0" y="0"/>
                          <a:ext cx="914400" cy="51498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约定供应的材料和工程设备</w:t>
                            </w:r>
                          </w:p>
                        </w:txbxContent>
                      </wps:txbx>
                      <wps:bodyPr upright="1"/>
                    </wps:wsp>
                  </a:graphicData>
                </a:graphic>
              </wp:anchor>
            </w:drawing>
          </mc:Choice>
          <mc:Fallback>
            <w:pict>
              <v:shape id="文本框 189" o:spid="_x0000_s1026" o:spt="202" type="#_x0000_t202" style="position:absolute;left:0pt;margin-left:-9pt;margin-top:21.95pt;height:40.55pt;width:72pt;z-index:251847680;mso-width-relative:page;mso-height-relative:page;" filled="f" stroked="f" coordsize="21600,21600" o:gfxdata="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OOhIONcA&#10;AAAKAQAADwAAAAAAAAABACAAAAAiAAAAZHJzL2Rvd25yZXYueG1sUEsBAhQAFAAAAAgAh07iQCwn&#10;WdKuAQAAUQMAAA4AAAAAAAAAAQAgAAAAJgEAAGRycy9lMm9Eb2MueG1sUEsFBgAAAAAGAAYAWQEA&#10;AEY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约定供应的材料和工程设备</w:t>
                      </w:r>
                    </w:p>
                  </w:txbxContent>
                </v:textbox>
              </v:shape>
            </w:pict>
          </mc:Fallback>
        </mc:AlternateContent>
      </w:r>
      <w:r>
        <w:rPr>
          <w:rFonts w:ascii="仿宋" w:hAnsi="仿宋" w:eastAsia="仿宋" w:cs="仿宋"/>
          <w:b/>
          <w:bCs/>
          <w:color w:val="auto"/>
          <w:sz w:val="24"/>
          <w:szCs w:val="24"/>
          <w:highlight w:val="none"/>
        </w:rPr>
        <w:t>48.1</w:t>
      </w:r>
    </w:p>
    <w:p>
      <w:pPr>
        <w:pStyle w:val="13"/>
        <w:shd w:val="clear" w:color="000000" w:fill="auto"/>
        <w:adjustRightInd w:val="0"/>
        <w:snapToGrid w:val="0"/>
        <w:spacing w:line="360" w:lineRule="auto"/>
        <w:ind w:left="1619" w:leftChars="771"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发包人供应材料和工程设备的，应在供应材料和工程设备前，与承包人确认“发包人供应材料和工程设备一览表”，并作为本合同的附件。一览表应包括发包人供应材料和工程设备的品种、规格、型号、数量、单价、质量标准、交货计划和地点等内容。</w:t>
      </w:r>
    </w:p>
    <w:p>
      <w:pPr>
        <w:pStyle w:val="13"/>
        <w:shd w:val="clear" w:color="000000" w:fill="auto"/>
        <w:adjustRightInd w:val="0"/>
        <w:snapToGrid w:val="0"/>
        <w:spacing w:line="360" w:lineRule="auto"/>
        <w:ind w:firstLine="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48.2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13"/>
        <w:shd w:val="clear" w:color="000000" w:fill="auto"/>
        <w:adjustRightInd w:val="0"/>
        <w:snapToGrid w:val="0"/>
        <w:spacing w:line="360" w:lineRule="auto"/>
        <w:ind w:left="1575" w:leftChars="750" w:firstLine="0"/>
        <w:rPr>
          <w:rFonts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848704" behindDoc="0" locked="0" layoutInCell="1" allowOverlap="1">
                <wp:simplePos x="0" y="0"/>
                <wp:positionH relativeFrom="column">
                  <wp:posOffset>-66675</wp:posOffset>
                </wp:positionH>
                <wp:positionV relativeFrom="paragraph">
                  <wp:posOffset>47625</wp:posOffset>
                </wp:positionV>
                <wp:extent cx="914400" cy="514985"/>
                <wp:effectExtent l="0" t="0" r="0" b="0"/>
                <wp:wrapNone/>
                <wp:docPr id="186" name="文本框 190"/>
                <wp:cNvGraphicFramePr/>
                <a:graphic xmlns:a="http://schemas.openxmlformats.org/drawingml/2006/main">
                  <a:graphicData uri="http://schemas.microsoft.com/office/word/2010/wordprocessingShape">
                    <wps:wsp>
                      <wps:cNvSpPr txBox="1"/>
                      <wps:spPr>
                        <a:xfrm>
                          <a:off x="0" y="0"/>
                          <a:ext cx="914400" cy="51498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发包人交货日期的要求</w:t>
                            </w:r>
                          </w:p>
                        </w:txbxContent>
                      </wps:txbx>
                      <wps:bodyPr upright="1"/>
                    </wps:wsp>
                  </a:graphicData>
                </a:graphic>
              </wp:anchor>
            </w:drawing>
          </mc:Choice>
          <mc:Fallback>
            <w:pict>
              <v:shape id="文本框 190" o:spid="_x0000_s1026" o:spt="202" type="#_x0000_t202" style="position:absolute;left:0pt;margin-left:-5.25pt;margin-top:3.75pt;height:40.55pt;width:72pt;z-index:251848704;mso-width-relative:page;mso-height-relative:page;" filled="f" stroked="f" coordsize="21600,21600" o:gfxdata="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RngLzVAAAA&#10;CAEAAA8AAAAAAAAAAQAgAAAAIgAAAGRycy9kb3ducmV2LnhtbFBLAQIUABQAAAAIAIdO4kBbzHrR&#10;rgEAAFEDAAAOAAAAAAAAAAEAIAAAACQBAABkcnMvZTJvRG9jLnhtbFBLBQYAAAAABgAGAFkBAABE&#10;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发包人交货日期的要求</w:t>
                      </w:r>
                    </w:p>
                  </w:txbxContent>
                </v:textbox>
              </v:shape>
            </w:pict>
          </mc:Fallback>
        </mc:AlternateContent>
      </w:r>
      <w:r>
        <w:rPr>
          <w:rFonts w:hint="eastAsia" w:ascii="仿宋" w:hAnsi="仿宋" w:eastAsia="仿宋" w:cs="仿宋"/>
          <w:color w:val="auto"/>
          <w:sz w:val="24"/>
          <w:szCs w:val="24"/>
          <w:highlight w:val="none"/>
        </w:rPr>
        <w:t>发包人供应材料和工程设备的，承包人应根据合同工程进度计划向监理工程师提交发包人交货的日期计划。经合同双方当事人商定交货日期后，发包人应准时向承包人供应材料和工程设备；否则，发包人应承担由此增加的费用和（或）延误的工期，并向承包人支付合理利润。</w:t>
      </w:r>
    </w:p>
    <w:p>
      <w:pPr>
        <w:pStyle w:val="13"/>
        <w:shd w:val="clear" w:color="000000" w:fill="auto"/>
        <w:adjustRightInd w:val="0"/>
        <w:snapToGrid w:val="0"/>
        <w:spacing w:line="360" w:lineRule="auto"/>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48.3  </w:t>
      </w:r>
      <w:r>
        <w:rPr>
          <w:rFonts w:ascii="仿宋" w:hAnsi="仿宋" w:eastAsia="仿宋" w:cs="仿宋"/>
          <w:b/>
          <w:bCs/>
          <w:color w:val="auto"/>
          <w:sz w:val="24"/>
          <w:szCs w:val="24"/>
          <w:highlight w:val="none"/>
          <w:u w:val="dotted"/>
        </w:rPr>
        <w:t xml:space="preserve">                                                                                                        </w:t>
      </w:r>
    </w:p>
    <w:p>
      <w:pPr>
        <w:pStyle w:val="13"/>
        <w:shd w:val="clear" w:color="000000" w:fill="auto"/>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49728" behindDoc="0" locked="0" layoutInCell="1" allowOverlap="1">
                <wp:simplePos x="0" y="0"/>
                <wp:positionH relativeFrom="column">
                  <wp:posOffset>-114300</wp:posOffset>
                </wp:positionH>
                <wp:positionV relativeFrom="paragraph">
                  <wp:posOffset>2540</wp:posOffset>
                </wp:positionV>
                <wp:extent cx="967740" cy="452755"/>
                <wp:effectExtent l="0" t="0" r="0" b="0"/>
                <wp:wrapNone/>
                <wp:docPr id="187" name="文本框 191"/>
                <wp:cNvGraphicFramePr/>
                <a:graphic xmlns:a="http://schemas.openxmlformats.org/drawingml/2006/main">
                  <a:graphicData uri="http://schemas.microsoft.com/office/word/2010/wordprocessingShape">
                    <wps:wsp>
                      <wps:cNvSpPr txBox="1"/>
                      <wps:spPr>
                        <a:xfrm>
                          <a:off x="0" y="0"/>
                          <a:ext cx="967740" cy="45275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w:t>
                            </w:r>
                          </w:p>
                        </w:txbxContent>
                      </wps:txbx>
                      <wps:bodyPr upright="1"/>
                    </wps:wsp>
                  </a:graphicData>
                </a:graphic>
              </wp:anchor>
            </w:drawing>
          </mc:Choice>
          <mc:Fallback>
            <w:pict>
              <v:shape id="文本框 191" o:spid="_x0000_s1026" o:spt="202" type="#_x0000_t202" style="position:absolute;left:0pt;margin-left:-9pt;margin-top:0.2pt;height:35.65pt;width:76.2pt;z-index:251849728;mso-width-relative:page;mso-height-relative:page;" filled="f" stroked="f" coordsize="21600,21600" o:gfxdata="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jzXfF1QAA&#10;AAcBAAAPAAAAAAAAAAEAIAAAACIAAABkcnMvZG93bnJldi54bWxQSwECFAAUAAAACACHTuJA84ct&#10;068BAABRAwAADgAAAAAAAAABACAAAAAkAQAAZHJzL2Uyb0RvYy54bWxQSwUGAAAAAAYABgBZAQAA&#10;RQ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w:t>
                      </w:r>
                    </w:p>
                  </w:txbxContent>
                </v:textbox>
              </v:shape>
            </w:pict>
          </mc:Fallback>
        </mc:AlternateContent>
      </w:r>
      <w:r>
        <w:rPr>
          <w:rFonts w:hint="eastAsia" w:ascii="仿宋" w:hAnsi="仿宋" w:eastAsia="仿宋" w:cs="仿宋"/>
          <w:color w:val="auto"/>
          <w:sz w:val="24"/>
          <w:szCs w:val="24"/>
          <w:highlight w:val="none"/>
        </w:rPr>
        <w:t>发包人应按照一览表内容和第</w:t>
      </w:r>
      <w:r>
        <w:rPr>
          <w:rFonts w:ascii="仿宋" w:hAnsi="仿宋" w:eastAsia="仿宋" w:cs="仿宋"/>
          <w:color w:val="auto"/>
          <w:sz w:val="24"/>
          <w:szCs w:val="24"/>
          <w:highlight w:val="none"/>
        </w:rPr>
        <w:t>48.2</w:t>
      </w:r>
      <w:r>
        <w:rPr>
          <w:rFonts w:hint="eastAsia" w:ascii="仿宋" w:hAnsi="仿宋" w:eastAsia="仿宋" w:cs="仿宋"/>
          <w:color w:val="auto"/>
          <w:sz w:val="24"/>
          <w:szCs w:val="24"/>
          <w:highlight w:val="none"/>
        </w:rPr>
        <w:t>款交货日期向承包人供应材料和工程设备，并提供产品质量合格证明文件，对材料和工程设备质量负责。发包人应在材料和工程设备到货前至少提前</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小时，以书面形式通知承包人和监理工程师，并在监理工程师的见证下与承包人共同清点，同时在施工现场内合理堆放。</w:t>
      </w:r>
    </w:p>
    <w:p>
      <w:pPr>
        <w:pStyle w:val="13"/>
        <w:shd w:val="clear" w:color="000000" w:fill="auto"/>
        <w:adjustRightInd w:val="0"/>
        <w:snapToGrid w:val="0"/>
        <w:spacing w:line="360" w:lineRule="auto"/>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48.4  </w:t>
      </w:r>
      <w:r>
        <w:rPr>
          <w:rFonts w:ascii="仿宋" w:hAnsi="仿宋" w:eastAsia="仿宋" w:cs="仿宋"/>
          <w:b/>
          <w:bCs/>
          <w:color w:val="auto"/>
          <w:sz w:val="24"/>
          <w:szCs w:val="24"/>
          <w:highlight w:val="none"/>
          <w:u w:val="dotted"/>
        </w:rPr>
        <w:t xml:space="preserve">                                                                                                        </w:t>
      </w:r>
    </w:p>
    <w:p>
      <w:pPr>
        <w:pStyle w:val="13"/>
        <w:shd w:val="clear" w:color="000000" w:fill="auto"/>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50752" behindDoc="0" locked="0" layoutInCell="1" allowOverlap="1">
                <wp:simplePos x="0" y="0"/>
                <wp:positionH relativeFrom="column">
                  <wp:posOffset>-114300</wp:posOffset>
                </wp:positionH>
                <wp:positionV relativeFrom="paragraph">
                  <wp:posOffset>8890</wp:posOffset>
                </wp:positionV>
                <wp:extent cx="914400" cy="1019175"/>
                <wp:effectExtent l="0" t="0" r="0" b="0"/>
                <wp:wrapNone/>
                <wp:docPr id="188" name="文本框 192"/>
                <wp:cNvGraphicFramePr/>
                <a:graphic xmlns:a="http://schemas.openxmlformats.org/drawingml/2006/main">
                  <a:graphicData uri="http://schemas.microsoft.com/office/word/2010/wordprocessingShape">
                    <wps:wsp>
                      <wps:cNvSpPr txBox="1"/>
                      <wps:spPr>
                        <a:xfrm>
                          <a:off x="0" y="0"/>
                          <a:ext cx="914400" cy="101917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发包人供应材料和工程设备的责任</w:t>
                            </w:r>
                          </w:p>
                        </w:txbxContent>
                      </wps:txbx>
                      <wps:bodyPr upright="1"/>
                    </wps:wsp>
                  </a:graphicData>
                </a:graphic>
              </wp:anchor>
            </w:drawing>
          </mc:Choice>
          <mc:Fallback>
            <w:pict>
              <v:shape id="文本框 192" o:spid="_x0000_s1026" o:spt="202" type="#_x0000_t202" style="position:absolute;left:0pt;margin-left:-9pt;margin-top:0.7pt;height:80.25pt;width:72pt;z-index:251850752;mso-width-relative:page;mso-height-relative:page;" filled="f" stroked="f" coordsize="21600,21600" o:gfxdata="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2fA2H1QAA&#10;AAkBAAAPAAAAAAAAAAEAIAAAACIAAABkcnMvZG93bnJldi54bWxQSwECFAAUAAAACACHTuJA7SgP&#10;0q8BAABSAwAADgAAAAAAAAABACAAAAAkAQAAZHJzL2Uyb0RvYy54bWxQSwUGAAAAAAYABgBZAQAA&#10;RQ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发包人供应材料和工程设备的责任</w:t>
                      </w:r>
                    </w:p>
                  </w:txbxContent>
                </v:textbox>
              </v:shape>
            </w:pict>
          </mc:Fallback>
        </mc:AlternateContent>
      </w:r>
      <w:r>
        <w:rPr>
          <w:rFonts w:hint="eastAsia" w:ascii="仿宋" w:hAnsi="仿宋" w:eastAsia="仿宋" w:cs="仿宋"/>
          <w:color w:val="auto"/>
          <w:sz w:val="24"/>
          <w:szCs w:val="24"/>
          <w:highlight w:val="none"/>
        </w:rPr>
        <w:t>发包人应保证供应的材料和工程设备符合标准与规范、设计要求和合同约定的要求。如不符合要求，承包人有权拒绝，并要求发包人将其运出施工现场，重新供应符合要求的产品，发包人应承担由此增加的费用和（或）延误的工期，并向承包人支付合理费用。</w:t>
      </w:r>
    </w:p>
    <w:p>
      <w:pPr>
        <w:pStyle w:val="13"/>
        <w:shd w:val="clear" w:color="000000" w:fill="auto"/>
        <w:adjustRightInd w:val="0"/>
        <w:snapToGrid w:val="0"/>
        <w:spacing w:line="360" w:lineRule="auto"/>
        <w:ind w:firstLine="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48.5  </w:t>
      </w:r>
      <w:r>
        <w:rPr>
          <w:rFonts w:ascii="仿宋" w:hAnsi="仿宋" w:eastAsia="仿宋" w:cs="仿宋"/>
          <w:color w:val="auto"/>
          <w:sz w:val="24"/>
          <w:szCs w:val="24"/>
          <w:highlight w:val="none"/>
          <w:u w:val="dotted"/>
        </w:rPr>
        <w:t xml:space="preserve">                                                                                                        </w:t>
      </w:r>
    </w:p>
    <w:p>
      <w:pPr>
        <w:pStyle w:val="13"/>
        <w:shd w:val="clear" w:color="000000" w:fill="auto"/>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51776" behindDoc="0" locked="0" layoutInCell="1" allowOverlap="1">
                <wp:simplePos x="0" y="0"/>
                <wp:positionH relativeFrom="column">
                  <wp:posOffset>-114300</wp:posOffset>
                </wp:positionH>
                <wp:positionV relativeFrom="paragraph">
                  <wp:posOffset>8890</wp:posOffset>
                </wp:positionV>
                <wp:extent cx="914400" cy="594360"/>
                <wp:effectExtent l="0" t="0" r="0" b="0"/>
                <wp:wrapNone/>
                <wp:docPr id="189" name="文本框 193"/>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承包人保管发包人供应的材料和工程设备</w:t>
                            </w:r>
                          </w:p>
                        </w:txbxContent>
                      </wps:txbx>
                      <wps:bodyPr upright="1"/>
                    </wps:wsp>
                  </a:graphicData>
                </a:graphic>
              </wp:anchor>
            </w:drawing>
          </mc:Choice>
          <mc:Fallback>
            <w:pict>
              <v:shape id="文本框 193" o:spid="_x0000_s1026" o:spt="202" type="#_x0000_t202" style="position:absolute;left:0pt;margin-left:-9pt;margin-top:0.7pt;height:46.8pt;width:72pt;z-index:251851776;mso-width-relative:page;mso-height-relative:page;" filled="f" stroked="f" coordsize="21600,21600" o:gfxdata="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PDdBI1AAA&#10;AAgBAAAPAAAAAAAAAAEAIAAAACIAAABkcnMvZG93bnJldi54bWxQSwECFAAUAAAACACHTuJAY2h/&#10;LrABAABRAwAADgAAAAAAAAABACAAAAAjAQAAZHJzL2Uyb0RvYy54bWxQSwUGAAAAAAYABgBZAQAA&#10;RQ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承包人保管发包人供应的材料和工程设备</w:t>
                      </w:r>
                    </w:p>
                  </w:txbxContent>
                </v:textbox>
              </v:shape>
            </w:pict>
          </mc:Fallback>
        </mc:AlternateContent>
      </w:r>
      <w:r>
        <w:rPr>
          <w:rFonts w:hint="eastAsia" w:ascii="仿宋" w:hAnsi="仿宋" w:eastAsia="仿宋" w:cs="仿宋"/>
          <w:color w:val="auto"/>
          <w:sz w:val="24"/>
          <w:szCs w:val="24"/>
          <w:highlight w:val="none"/>
        </w:rPr>
        <w:t>发包人供应材料和工程设备的，经合同双方当事人共同清点后由承包人妥善保管，保管费由发包人承担；因承包人保管不善或承包人其它原因导致丢失或损害的，承包人应予赔偿。除工程量清单中已列有此类工作的支付项目和额度外，造价工程师应与合同双方当事人协商确定保管费，并增加到合同价款中；协商不能达成一致的，由造价工程师暂定，通知承包人并抄报发包人。</w:t>
      </w:r>
    </w:p>
    <w:p>
      <w:pPr>
        <w:pStyle w:val="13"/>
        <w:shd w:val="clear" w:color="000000" w:fill="auto"/>
        <w:adjustRightInd w:val="0"/>
        <w:snapToGrid w:val="0"/>
        <w:spacing w:line="360" w:lineRule="auto"/>
        <w:ind w:firstLine="0"/>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48.6  </w:t>
      </w:r>
      <w:r>
        <w:rPr>
          <w:rFonts w:ascii="仿宋" w:hAnsi="仿宋" w:eastAsia="仿宋" w:cs="仿宋"/>
          <w:b/>
          <w:bCs/>
          <w:color w:val="auto"/>
          <w:sz w:val="24"/>
          <w:szCs w:val="24"/>
          <w:highlight w:val="none"/>
          <w:u w:val="dotted"/>
        </w:rPr>
        <w:t xml:space="preserve">                                                                                                        </w:t>
      </w:r>
    </w:p>
    <w:p>
      <w:pPr>
        <w:pStyle w:val="13"/>
        <w:shd w:val="clear" w:color="000000" w:fill="auto"/>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52800" behindDoc="0" locked="0" layoutInCell="1" allowOverlap="1">
                <wp:simplePos x="0" y="0"/>
                <wp:positionH relativeFrom="column">
                  <wp:posOffset>-114300</wp:posOffset>
                </wp:positionH>
                <wp:positionV relativeFrom="paragraph">
                  <wp:posOffset>18415</wp:posOffset>
                </wp:positionV>
                <wp:extent cx="914400" cy="908685"/>
                <wp:effectExtent l="0" t="0" r="0" b="0"/>
                <wp:wrapNone/>
                <wp:docPr id="190" name="文本框 194"/>
                <wp:cNvGraphicFramePr/>
                <a:graphic xmlns:a="http://schemas.openxmlformats.org/drawingml/2006/main">
                  <a:graphicData uri="http://schemas.microsoft.com/office/word/2010/wordprocessingShape">
                    <wps:wsp>
                      <wps:cNvSpPr txBox="1"/>
                      <wps:spPr>
                        <a:xfrm>
                          <a:off x="0" y="0"/>
                          <a:ext cx="914400" cy="90868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供应材料和工程设备与约定不符时发包人的责任</w:t>
                            </w:r>
                          </w:p>
                        </w:txbxContent>
                      </wps:txbx>
                      <wps:bodyPr upright="1"/>
                    </wps:wsp>
                  </a:graphicData>
                </a:graphic>
              </wp:anchor>
            </w:drawing>
          </mc:Choice>
          <mc:Fallback>
            <w:pict>
              <v:shape id="文本框 194" o:spid="_x0000_s1026" o:spt="202" type="#_x0000_t202" style="position:absolute;left:0pt;margin-left:-9pt;margin-top:1.45pt;height:71.55pt;width:72pt;z-index:251852800;mso-width-relative:page;mso-height-relative:page;" filled="f" stroked="f" coordsize="21600,21600" o:gfxdata="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yqIyPVAAAA&#10;CQEAAA8AAAAAAAAAAQAgAAAAIgAAAGRycy9kb3ducmV2LnhtbFBLAQIUABQAAAAIAIdO4kBCPDSA&#10;rgEAAFEDAAAOAAAAAAAAAAEAIAAAACQBAABkcnMvZTJvRG9jLnhtbFBLBQYAAAAABgAGAFkBAABE&#10;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供应材料和工程设备与约定不符时发包人的责任</w:t>
                      </w:r>
                    </w:p>
                  </w:txbxContent>
                </v:textbox>
              </v:shape>
            </w:pict>
          </mc:Fallback>
        </mc:AlternateContent>
      </w:r>
      <w:r>
        <w:rPr>
          <w:rFonts w:hint="eastAsia" w:ascii="仿宋" w:hAnsi="仿宋" w:eastAsia="仿宋" w:cs="仿宋"/>
          <w:color w:val="auto"/>
          <w:sz w:val="24"/>
          <w:szCs w:val="24"/>
          <w:highlight w:val="none"/>
        </w:rPr>
        <w:t>发包人供应的材料和工程设备与一览表不符时，发包人应按照下列规定承担相应责任：</w:t>
      </w:r>
    </w:p>
    <w:p>
      <w:pPr>
        <w:pStyle w:val="13"/>
        <w:numPr>
          <w:ilvl w:val="0"/>
          <w:numId w:val="17"/>
        </w:numPr>
        <w:shd w:val="clear" w:color="000000" w:fill="auto"/>
        <w:tabs>
          <w:tab w:val="left" w:pos="1080"/>
          <w:tab w:val="left" w:pos="2160"/>
        </w:tabs>
        <w:adjustRightInd w:val="0"/>
        <w:snapToGrid w:val="0"/>
        <w:spacing w:line="360" w:lineRule="auto"/>
        <w:ind w:left="1619" w:leftChars="771"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材料和工程设备的单价与一览表不符，由发包人承担所有价差；</w:t>
      </w:r>
    </w:p>
    <w:p>
      <w:pPr>
        <w:pStyle w:val="13"/>
        <w:numPr>
          <w:ilvl w:val="0"/>
          <w:numId w:val="17"/>
        </w:numPr>
        <w:shd w:val="clear" w:color="000000" w:fill="auto"/>
        <w:tabs>
          <w:tab w:val="left" w:pos="1080"/>
          <w:tab w:val="left" w:pos="1620"/>
        </w:tabs>
        <w:adjustRightInd w:val="0"/>
        <w:snapToGrid w:val="0"/>
        <w:spacing w:line="360" w:lineRule="auto"/>
        <w:ind w:left="1617" w:leftChars="769" w:hanging="2" w:hangingChars="1"/>
        <w:rPr>
          <w:rFonts w:ascii="仿宋" w:hAnsi="仿宋" w:eastAsia="仿宋"/>
          <w:color w:val="auto"/>
          <w:sz w:val="24"/>
          <w:szCs w:val="24"/>
          <w:highlight w:val="none"/>
        </w:rPr>
      </w:pPr>
      <w:r>
        <w:rPr>
          <w:rFonts w:hint="eastAsia" w:ascii="仿宋" w:hAnsi="仿宋" w:eastAsia="仿宋" w:cs="仿宋"/>
          <w:color w:val="auto"/>
          <w:sz w:val="24"/>
          <w:szCs w:val="24"/>
          <w:highlight w:val="none"/>
        </w:rPr>
        <w:t>材料和工程设备的品种、规格、型号、质量标准与一览表不符，承包人可以拒绝接受保管，由发包人运出施工场地并重新采购；</w:t>
      </w:r>
    </w:p>
    <w:p>
      <w:pPr>
        <w:pStyle w:val="13"/>
        <w:numPr>
          <w:ilvl w:val="0"/>
          <w:numId w:val="17"/>
        </w:numPr>
        <w:shd w:val="clear" w:color="000000" w:fill="auto"/>
        <w:tabs>
          <w:tab w:val="left" w:pos="1080"/>
          <w:tab w:val="left" w:pos="1620"/>
        </w:tabs>
        <w:adjustRightInd w:val="0"/>
        <w:snapToGrid w:val="0"/>
        <w:spacing w:line="360" w:lineRule="auto"/>
        <w:ind w:left="1617" w:leftChars="769" w:hanging="2" w:hangingChars="1"/>
        <w:rPr>
          <w:rFonts w:ascii="仿宋" w:hAnsi="仿宋" w:eastAsia="仿宋"/>
          <w:color w:val="auto"/>
          <w:sz w:val="24"/>
          <w:szCs w:val="24"/>
          <w:highlight w:val="none"/>
        </w:rPr>
      </w:pPr>
      <w:r>
        <w:rPr>
          <w:rFonts w:hint="eastAsia" w:ascii="仿宋" w:hAnsi="仿宋" w:eastAsia="仿宋" w:cs="仿宋"/>
          <w:color w:val="auto"/>
          <w:sz w:val="24"/>
          <w:szCs w:val="24"/>
          <w:highlight w:val="none"/>
        </w:rPr>
        <w:t>材料和工程设备的品种、规格、型号、质量标准与一览表不符，经发包人同意，承包人可代为调剂替换，由发包人承担相应费用；</w:t>
      </w:r>
    </w:p>
    <w:p>
      <w:pPr>
        <w:pStyle w:val="13"/>
        <w:numPr>
          <w:ilvl w:val="0"/>
          <w:numId w:val="17"/>
        </w:numPr>
        <w:shd w:val="clear" w:color="000000" w:fill="auto"/>
        <w:tabs>
          <w:tab w:val="left" w:pos="1620"/>
          <w:tab w:val="clear" w:pos="1560"/>
        </w:tabs>
        <w:adjustRightInd w:val="0"/>
        <w:snapToGrid w:val="0"/>
        <w:spacing w:line="360" w:lineRule="auto"/>
        <w:ind w:left="1618" w:leftChars="770" w:hanging="1"/>
        <w:rPr>
          <w:rFonts w:ascii="仿宋" w:hAnsi="仿宋" w:eastAsia="仿宋"/>
          <w:color w:val="auto"/>
          <w:sz w:val="24"/>
          <w:szCs w:val="24"/>
          <w:highlight w:val="none"/>
        </w:rPr>
      </w:pPr>
      <w:r>
        <w:rPr>
          <w:rFonts w:hint="eastAsia" w:ascii="仿宋" w:hAnsi="仿宋" w:eastAsia="仿宋" w:cs="仿宋"/>
          <w:color w:val="auto"/>
          <w:sz w:val="24"/>
          <w:szCs w:val="24"/>
          <w:highlight w:val="none"/>
        </w:rPr>
        <w:t>交货地点与一览表不符，除合同双方当事人协商确定外，由发包人重新运至一览表指定地点，并承担由此增加的费用和（或）延误的工期；</w:t>
      </w:r>
    </w:p>
    <w:p>
      <w:pPr>
        <w:pStyle w:val="13"/>
        <w:shd w:val="clear" w:color="000000" w:fill="auto"/>
        <w:tabs>
          <w:tab w:val="left" w:pos="2160"/>
        </w:tabs>
        <w:adjustRightInd w:val="0"/>
        <w:snapToGrid w:val="0"/>
        <w:spacing w:line="360" w:lineRule="auto"/>
        <w:ind w:left="1678" w:leftChars="750" w:hanging="103" w:hangingChars="43"/>
        <w:rPr>
          <w:rFonts w:ascii="仿宋" w:hAnsi="仿宋" w:eastAsia="仿宋"/>
          <w:color w:val="auto"/>
          <w:sz w:val="24"/>
          <w:szCs w:val="24"/>
          <w:highlight w:val="none"/>
        </w:rPr>
      </w:pP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供应数量少于一览表约定的数量时，由发包人补齐；多于一览表约定的数量时，发包人应将多出的部分运出施工场地；</w:t>
      </w:r>
    </w:p>
    <w:p>
      <w:pPr>
        <w:pStyle w:val="13"/>
        <w:shd w:val="clear" w:color="000000" w:fill="auto"/>
        <w:tabs>
          <w:tab w:val="left" w:pos="1980"/>
        </w:tabs>
        <w:adjustRightInd w:val="0"/>
        <w:snapToGrid w:val="0"/>
        <w:spacing w:line="360" w:lineRule="auto"/>
        <w:ind w:left="1680" w:leftChars="800" w:firstLine="0"/>
        <w:rPr>
          <w:rFonts w:ascii="仿宋" w:hAnsi="仿宋" w:eastAsia="仿宋"/>
          <w:color w:val="auto"/>
          <w:sz w:val="24"/>
          <w:szCs w:val="24"/>
          <w:highlight w:val="none"/>
        </w:rPr>
      </w:pPr>
      <w:r>
        <w:rPr>
          <w:rFonts w:ascii="仿宋" w:hAnsi="仿宋" w:eastAsia="仿宋" w:cs="仿宋"/>
          <w:color w:val="auto"/>
          <w:sz w:val="24"/>
          <w:szCs w:val="24"/>
          <w:highlight w:val="none"/>
        </w:rPr>
        <w:t>(6)</w:t>
      </w:r>
      <w:r>
        <w:rPr>
          <w:rFonts w:hint="eastAsia" w:ascii="仿宋" w:hAnsi="仿宋" w:eastAsia="仿宋" w:cs="仿宋"/>
          <w:color w:val="auto"/>
          <w:sz w:val="24"/>
          <w:szCs w:val="24"/>
          <w:highlight w:val="none"/>
        </w:rPr>
        <w:t>交货时间早于一览表约定计划和第</w:t>
      </w:r>
      <w:r>
        <w:rPr>
          <w:rFonts w:ascii="仿宋" w:hAnsi="仿宋" w:eastAsia="仿宋" w:cs="仿宋"/>
          <w:color w:val="auto"/>
          <w:sz w:val="24"/>
          <w:szCs w:val="24"/>
          <w:highlight w:val="none"/>
        </w:rPr>
        <w:t>48.2</w:t>
      </w:r>
      <w:r>
        <w:rPr>
          <w:rFonts w:hint="eastAsia" w:ascii="仿宋" w:hAnsi="仿宋" w:eastAsia="仿宋" w:cs="仿宋"/>
          <w:color w:val="auto"/>
          <w:sz w:val="24"/>
          <w:szCs w:val="24"/>
          <w:highlight w:val="none"/>
        </w:rPr>
        <w:t>款交货日期，由发包人承担由此发生的保管费；交货时间迟于一览表约定计划和第</w:t>
      </w:r>
      <w:r>
        <w:rPr>
          <w:rFonts w:ascii="仿宋" w:hAnsi="仿宋" w:eastAsia="仿宋" w:cs="仿宋"/>
          <w:color w:val="auto"/>
          <w:sz w:val="24"/>
          <w:szCs w:val="24"/>
          <w:highlight w:val="none"/>
        </w:rPr>
        <w:t>48.2</w:t>
      </w:r>
      <w:r>
        <w:rPr>
          <w:rFonts w:hint="eastAsia" w:ascii="仿宋" w:hAnsi="仿宋" w:eastAsia="仿宋" w:cs="仿宋"/>
          <w:color w:val="auto"/>
          <w:sz w:val="24"/>
          <w:szCs w:val="24"/>
          <w:highlight w:val="none"/>
        </w:rPr>
        <w:t>款交货日期，由发包人承担由此增加的费用和（或）延误的工期。</w:t>
      </w:r>
    </w:p>
    <w:p>
      <w:pPr>
        <w:pStyle w:val="13"/>
        <w:shd w:val="clear" w:color="000000" w:fill="auto"/>
        <w:tabs>
          <w:tab w:val="left" w:pos="2160"/>
        </w:tabs>
        <w:adjustRightInd w:val="0"/>
        <w:snapToGrid w:val="0"/>
        <w:spacing w:line="360" w:lineRule="auto"/>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48.7 </w:t>
      </w:r>
      <w:r>
        <w:rPr>
          <w:rFonts w:ascii="仿宋" w:hAnsi="仿宋" w:eastAsia="仿宋" w:cs="仿宋"/>
          <w:b/>
          <w:bCs/>
          <w:color w:val="auto"/>
          <w:sz w:val="24"/>
          <w:szCs w:val="24"/>
          <w:highlight w:val="none"/>
          <w:u w:val="dotted"/>
        </w:rPr>
        <w:t xml:space="preserve">                                                                                 </w:t>
      </w:r>
    </w:p>
    <w:p>
      <w:pPr>
        <w:pStyle w:val="13"/>
        <w:shd w:val="clear" w:color="000000" w:fill="auto"/>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53824" behindDoc="0" locked="0" layoutInCell="1" allowOverlap="1">
                <wp:simplePos x="0" y="0"/>
                <wp:positionH relativeFrom="column">
                  <wp:posOffset>-114300</wp:posOffset>
                </wp:positionH>
                <wp:positionV relativeFrom="paragraph">
                  <wp:posOffset>17145</wp:posOffset>
                </wp:positionV>
                <wp:extent cx="914400" cy="611505"/>
                <wp:effectExtent l="0" t="0" r="0" b="0"/>
                <wp:wrapNone/>
                <wp:docPr id="191" name="文本框 195"/>
                <wp:cNvGraphicFramePr/>
                <a:graphic xmlns:a="http://schemas.openxmlformats.org/drawingml/2006/main">
                  <a:graphicData uri="http://schemas.microsoft.com/office/word/2010/wordprocessingShape">
                    <wps:wsp>
                      <wps:cNvSpPr txBox="1"/>
                      <wps:spPr>
                        <a:xfrm>
                          <a:off x="0" y="0"/>
                          <a:ext cx="914400" cy="61150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wps:txbx>
                      <wps:bodyPr upright="1"/>
                    </wps:wsp>
                  </a:graphicData>
                </a:graphic>
              </wp:anchor>
            </w:drawing>
          </mc:Choice>
          <mc:Fallback>
            <w:pict>
              <v:shape id="文本框 195" o:spid="_x0000_s1026" o:spt="202" type="#_x0000_t202" style="position:absolute;left:0pt;margin-left:-9pt;margin-top:1.35pt;height:48.15pt;width:72pt;z-index:251853824;mso-width-relative:page;mso-height-relative:page;" filled="f" stroked="f" coordsize="21600,21600" o:gfxdata="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6dGel1QAA&#10;AAgBAAAPAAAAAAAAAAEAIAAAACIAAABkcnMvZG93bnJldi54bWxQSwECFAAUAAAACACHTuJAt96Q&#10;f68BAABRAwAADgAAAAAAAAABACAAAAAkAQAAZHJzL2Uyb0RvYy54bWxQSwUGAAAAAAYABgBZAQAA&#10;RQ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v:textbox>
              </v:shape>
            </w:pict>
          </mc:Fallback>
        </mc:AlternateContent>
      </w:r>
      <w:r>
        <w:rPr>
          <w:rFonts w:hint="eastAsia" w:ascii="仿宋" w:hAnsi="仿宋" w:eastAsia="仿宋" w:cs="仿宋"/>
          <w:color w:val="auto"/>
          <w:sz w:val="24"/>
          <w:szCs w:val="24"/>
          <w:highlight w:val="none"/>
        </w:rPr>
        <w:t>发包人供应的材料和工程设备使用前，由监理工程师会同承包人进行检验试验，查验材料合格证明和产品合格证书。合同双方当事人应做好检验书面记录，并要求指定人选及时办理签认手续。不合格的，禁止在合同工程中使用。</w:t>
      </w:r>
    </w:p>
    <w:p>
      <w:pPr>
        <w:pStyle w:val="13"/>
        <w:shd w:val="clear" w:color="000000" w:fill="auto"/>
        <w:adjustRightInd w:val="0"/>
        <w:snapToGrid w:val="0"/>
        <w:spacing w:before="120" w:beforeLines="50"/>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48.8  </w:t>
      </w:r>
      <w:r>
        <w:rPr>
          <w:rFonts w:ascii="仿宋" w:hAnsi="仿宋" w:eastAsia="仿宋" w:cs="仿宋"/>
          <w:b/>
          <w:bCs/>
          <w:color w:val="auto"/>
          <w:sz w:val="24"/>
          <w:szCs w:val="24"/>
          <w:highlight w:val="none"/>
          <w:u w:val="dotted"/>
        </w:rPr>
        <w:t xml:space="preserve">                                                                                                        </w:t>
      </w:r>
    </w:p>
    <w:p>
      <w:pPr>
        <w:pStyle w:val="13"/>
        <w:shd w:val="clear" w:color="000000" w:fill="auto"/>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54848" behindDoc="0" locked="0" layoutInCell="1" allowOverlap="1">
                <wp:simplePos x="0" y="0"/>
                <wp:positionH relativeFrom="column">
                  <wp:posOffset>-114300</wp:posOffset>
                </wp:positionH>
                <wp:positionV relativeFrom="paragraph">
                  <wp:posOffset>7620</wp:posOffset>
                </wp:positionV>
                <wp:extent cx="1028700" cy="297180"/>
                <wp:effectExtent l="0" t="0" r="0" b="0"/>
                <wp:wrapNone/>
                <wp:docPr id="192" name="文本框 196"/>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约定结算方式</w:t>
                            </w:r>
                          </w:p>
                        </w:txbxContent>
                      </wps:txbx>
                      <wps:bodyPr upright="1"/>
                    </wps:wsp>
                  </a:graphicData>
                </a:graphic>
              </wp:anchor>
            </w:drawing>
          </mc:Choice>
          <mc:Fallback>
            <w:pict>
              <v:shape id="文本框 196" o:spid="_x0000_s1026" o:spt="202" type="#_x0000_t202" style="position:absolute;left:0pt;margin-left:-9pt;margin-top:0.6pt;height:23.4pt;width:81pt;z-index:251854848;mso-width-relative:page;mso-height-relative:page;" filled="f" stroked="f" coordsize="21600,21600" o:gfxdata="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O5Ymg3UAAAA&#10;CAEAAA8AAAAAAAAAAQAgAAAAIgAAAGRycy9kb3ducmV2LnhtbFBLAQIUABQAAAAIAIdO4kA8aB+I&#10;rwEAAFIDAAAOAAAAAAAAAAEAIAAAACMBAABkcnMvZTJvRG9jLnhtbFBLBQYAAAAABgAGAFkBAABE&#10;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约定结算方式</w:t>
                      </w:r>
                    </w:p>
                  </w:txbxContent>
                </v:textbox>
              </v:shape>
            </w:pict>
          </mc:Fallback>
        </mc:AlternateContent>
      </w:r>
      <w:r>
        <w:rPr>
          <w:rFonts w:hint="eastAsia" w:ascii="仿宋" w:hAnsi="仿宋" w:eastAsia="仿宋" w:cs="仿宋"/>
          <w:color w:val="auto"/>
          <w:sz w:val="24"/>
          <w:szCs w:val="24"/>
          <w:highlight w:val="none"/>
        </w:rPr>
        <w:t>发包人供应材料和工程设备的结算方式，由合同双方当事人在专用条款中约定。除工程量清单中已列有规费、税金项目的计算方法和额度，可由承包人代收代缴外，该结算方式发包人应按照政府有关部门和税务部门规定缴纳合同工程的规费、税金。</w:t>
      </w:r>
    </w:p>
    <w:p>
      <w:pPr>
        <w:pStyle w:val="13"/>
        <w:shd w:val="clear" w:color="000000" w:fill="auto"/>
        <w:adjustRightInd w:val="0"/>
        <w:snapToGrid w:val="0"/>
        <w:ind w:firstLine="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13"/>
        <w:shd w:val="clear" w:color="000000" w:fill="auto"/>
        <w:adjustRightInd w:val="0"/>
        <w:snapToGrid w:val="0"/>
        <w:spacing w:line="360" w:lineRule="auto"/>
        <w:ind w:firstLine="0"/>
        <w:outlineLvl w:val="2"/>
        <w:rPr>
          <w:rFonts w:ascii="仿宋" w:hAnsi="仿宋" w:eastAsia="仿宋"/>
          <w:b/>
          <w:bCs/>
          <w:color w:val="auto"/>
          <w:sz w:val="24"/>
          <w:szCs w:val="24"/>
          <w:highlight w:val="none"/>
        </w:rPr>
      </w:pPr>
      <w:bookmarkStart w:id="272" w:name="_Toc29447"/>
      <w:bookmarkStart w:id="273" w:name="_Toc10624872"/>
      <w:bookmarkStart w:id="274" w:name="_Toc469384032"/>
      <w:r>
        <w:rPr>
          <w:rFonts w:ascii="仿宋" w:hAnsi="仿宋" w:eastAsia="仿宋" w:cs="仿宋"/>
          <w:b/>
          <w:bCs/>
          <w:color w:val="auto"/>
          <w:sz w:val="24"/>
          <w:szCs w:val="24"/>
          <w:highlight w:val="none"/>
        </w:rPr>
        <w:t xml:space="preserve">49  </w:t>
      </w:r>
      <w:r>
        <w:rPr>
          <w:rFonts w:hint="eastAsia" w:ascii="仿宋" w:hAnsi="仿宋" w:eastAsia="仿宋" w:cs="仿宋"/>
          <w:b/>
          <w:bCs/>
          <w:color w:val="auto"/>
          <w:sz w:val="24"/>
          <w:szCs w:val="24"/>
          <w:highlight w:val="none"/>
        </w:rPr>
        <w:t>承包人采购材料和工程设备</w:t>
      </w:r>
      <w:bookmarkEnd w:id="272"/>
      <w:bookmarkEnd w:id="273"/>
      <w:bookmarkEnd w:id="274"/>
    </w:p>
    <w:p>
      <w:pPr>
        <w:pStyle w:val="13"/>
        <w:shd w:val="clear" w:color="000000" w:fill="auto"/>
        <w:adjustRightInd w:val="0"/>
        <w:snapToGrid w:val="0"/>
        <w:spacing w:line="360" w:lineRule="auto"/>
        <w:ind w:firstLine="0"/>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49.1 </w:t>
      </w:r>
    </w:p>
    <w:p>
      <w:pPr>
        <w:pStyle w:val="13"/>
        <w:shd w:val="clear" w:color="000000" w:fill="auto"/>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55872"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193" name="文本框 197"/>
                <wp:cNvGraphicFramePr/>
                <a:graphic xmlns:a="http://schemas.openxmlformats.org/drawingml/2006/main">
                  <a:graphicData uri="http://schemas.microsoft.com/office/word/2010/wordprocessingShape">
                    <wps:wsp>
                      <wps:cNvSpPr txBox="1"/>
                      <wps:spPr>
                        <a:xfrm>
                          <a:off x="0" y="0"/>
                          <a:ext cx="914400" cy="48641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w:t>
                            </w:r>
                          </w:p>
                        </w:txbxContent>
                      </wps:txbx>
                      <wps:bodyPr upright="1"/>
                    </wps:wsp>
                  </a:graphicData>
                </a:graphic>
              </wp:anchor>
            </w:drawing>
          </mc:Choice>
          <mc:Fallback>
            <w:pict>
              <v:shape id="文本框 197" o:spid="_x0000_s1026" o:spt="202" type="#_x0000_t202" style="position:absolute;left:0pt;margin-left:-9pt;margin-top:1.35pt;height:38.3pt;width:72pt;z-index:251855872;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I/7+1dYA&#10;AAAIAQAADwAAAAAAAAABACAAAAAiAAAAZHJzL2Rvd25yZXYueG1sUEsBAhQAFAAAAAgAh07iQHRB&#10;WiuvAQAAUQMAAA4AAAAAAAAAAQAgAAAAJQEAAGRycy9lMm9Eb2MueG1sUEsFBgAAAAAGAAYAWQEA&#10;AEY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w:t>
                      </w:r>
                    </w:p>
                  </w:txbxContent>
                </v:textbox>
              </v:shape>
            </w:pict>
          </mc:Fallback>
        </mc:AlternateContent>
      </w:r>
      <w:r>
        <w:rPr>
          <w:rFonts w:hint="eastAsia" w:ascii="仿宋" w:hAnsi="仿宋" w:eastAsia="仿宋" w:cs="仿宋"/>
          <w:color w:val="auto"/>
          <w:sz w:val="24"/>
          <w:szCs w:val="24"/>
          <w:highlight w:val="none"/>
        </w:rPr>
        <w:t>承包人负责采购材料和工程设备的，应按照标准与规范、设计要求和合同约定的要求采购，并提供产品质量合格证明文件，对材料和工程设备质量负责。承包人采购招标工程的材料和工程设备，应与其提交的投标文件相应内容一致。除专用条款另有约定外，上述材料和工程设备均由承包人负责运输和保管。</w:t>
      </w:r>
    </w:p>
    <w:p>
      <w:pPr>
        <w:pStyle w:val="13"/>
        <w:shd w:val="clear" w:color="000000" w:fill="auto"/>
        <w:adjustRightInd w:val="0"/>
        <w:snapToGrid w:val="0"/>
        <w:spacing w:line="360" w:lineRule="auto"/>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49.2 </w:t>
      </w:r>
      <w:r>
        <w:rPr>
          <w:rFonts w:ascii="仿宋" w:hAnsi="仿宋" w:eastAsia="仿宋" w:cs="仿宋"/>
          <w:b/>
          <w:bCs/>
          <w:color w:val="auto"/>
          <w:sz w:val="24"/>
          <w:szCs w:val="24"/>
          <w:highlight w:val="none"/>
          <w:u w:val="dotted"/>
        </w:rPr>
        <w:t xml:space="preserve">                                                                               </w:t>
      </w:r>
    </w:p>
    <w:p>
      <w:pPr>
        <w:pStyle w:val="13"/>
        <w:shd w:val="clear" w:color="000000" w:fill="auto"/>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56896"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194" name="文本框 198"/>
                <wp:cNvGraphicFramePr/>
                <a:graphic xmlns:a="http://schemas.openxmlformats.org/drawingml/2006/main">
                  <a:graphicData uri="http://schemas.microsoft.com/office/word/2010/wordprocessingShape">
                    <wps:wsp>
                      <wps:cNvSpPr txBox="1"/>
                      <wps:spPr>
                        <a:xfrm>
                          <a:off x="0" y="0"/>
                          <a:ext cx="914400" cy="48641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承包人供货与清点要求</w:t>
                            </w:r>
                          </w:p>
                        </w:txbxContent>
                      </wps:txbx>
                      <wps:bodyPr upright="1"/>
                    </wps:wsp>
                  </a:graphicData>
                </a:graphic>
              </wp:anchor>
            </w:drawing>
          </mc:Choice>
          <mc:Fallback>
            <w:pict>
              <v:shape id="文本框 198" o:spid="_x0000_s1026" o:spt="202" type="#_x0000_t202" style="position:absolute;left:0pt;margin-left:-9pt;margin-top:1.35pt;height:38.3pt;width:72pt;z-index:251856896;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I/7+1dYA&#10;AAAIAQAADwAAAAAAAAABACAAAAAiAAAAZHJzL2Rvd25yZXYueG1sUEsBAhQAFAAAAAgAh07iQKx0&#10;HVCvAQAAUQMAAA4AAAAAAAAAAQAgAAAAJQEAAGRycy9lMm9Eb2MueG1sUEsFBgAAAAAGAAYAWQEA&#10;AEY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承包人供货与清点要求</w:t>
                      </w:r>
                    </w:p>
                  </w:txbxContent>
                </v:textbox>
              </v:shape>
            </w:pict>
          </mc:Fallback>
        </mc:AlternateContent>
      </w:r>
      <w:r>
        <w:rPr>
          <w:rFonts w:hint="eastAsia" w:ascii="仿宋" w:hAnsi="仿宋" w:eastAsia="仿宋" w:cs="仿宋"/>
          <w:color w:val="auto"/>
          <w:sz w:val="24"/>
          <w:szCs w:val="24"/>
          <w:highlight w:val="none"/>
        </w:rPr>
        <w:t>承包人应按照专用条款的约定，将各项材料和工程设备的供货人及品种、规格、数量和供货时间等情况以书面形式提交监理工程师确认，并由其报发包人批准后实施供货。承包人应在材料和工程设备到货前至少提前</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小时，以书面形式通知发包人和监理工程师，并在监理工程师的见证下与发包人共同清点。</w:t>
      </w:r>
    </w:p>
    <w:p>
      <w:pPr>
        <w:pStyle w:val="13"/>
        <w:shd w:val="clear" w:color="000000" w:fill="auto"/>
        <w:adjustRightInd w:val="0"/>
        <w:snapToGrid w:val="0"/>
        <w:spacing w:line="360" w:lineRule="auto"/>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49.3  </w:t>
      </w:r>
      <w:r>
        <w:rPr>
          <w:rFonts w:ascii="仿宋" w:hAnsi="仿宋" w:eastAsia="仿宋" w:cs="仿宋"/>
          <w:b/>
          <w:bCs/>
          <w:color w:val="auto"/>
          <w:sz w:val="24"/>
          <w:szCs w:val="24"/>
          <w:highlight w:val="none"/>
          <w:u w:val="dotted"/>
        </w:rPr>
        <w:t xml:space="preserve">                                                                                                        </w:t>
      </w:r>
    </w:p>
    <w:p>
      <w:pPr>
        <w:pStyle w:val="13"/>
        <w:shd w:val="clear" w:color="000000" w:fill="auto"/>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57920" behindDoc="0" locked="0" layoutInCell="1" allowOverlap="1">
                <wp:simplePos x="0" y="0"/>
                <wp:positionH relativeFrom="column">
                  <wp:posOffset>-114300</wp:posOffset>
                </wp:positionH>
                <wp:positionV relativeFrom="paragraph">
                  <wp:posOffset>1270</wp:posOffset>
                </wp:positionV>
                <wp:extent cx="914400" cy="792480"/>
                <wp:effectExtent l="0" t="0" r="0" b="0"/>
                <wp:wrapNone/>
                <wp:docPr id="195" name="文本框 199"/>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wps:txbx>
                      <wps:bodyPr upright="1"/>
                    </wps:wsp>
                  </a:graphicData>
                </a:graphic>
              </wp:anchor>
            </w:drawing>
          </mc:Choice>
          <mc:Fallback>
            <w:pict>
              <v:shape id="文本框 199" o:spid="_x0000_s1026" o:spt="202" type="#_x0000_t202" style="position:absolute;left:0pt;margin-left:-9pt;margin-top:0.1pt;height:62.4pt;width:72pt;z-index:251857920;mso-width-relative:page;mso-height-relative:page;" filled="f" stroked="f" coordsize="21600,21600" o:gfxdata="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ZDwqrUAAAA&#10;CAEAAA8AAAAAAAAAAQAgAAAAIgAAAGRycy9kb3ducmV2LnhtbFBLAQIUABQAAAAIAIdO4kBzjmFh&#10;rwEAAFEDAAAOAAAAAAAAAAEAIAAAACMBAABkcnMvZTJvRG9jLnhtbFBLBQYAAAAABgAGAFkBAABE&#10;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v:textbox>
              </v:shape>
            </w:pict>
          </mc:Fallback>
        </mc:AlternateContent>
      </w:r>
      <w:r>
        <w:rPr>
          <w:rFonts w:hint="eastAsia" w:ascii="仿宋" w:hAnsi="仿宋" w:eastAsia="仿宋" w:cs="仿宋"/>
          <w:color w:val="auto"/>
          <w:sz w:val="24"/>
          <w:szCs w:val="24"/>
          <w:highlight w:val="none"/>
        </w:rPr>
        <w:t>承包人采购的材料和工程设备不符合标准与规范、设计要求和合同约定的要求时，应按照监理工程师的指令将其运出施工场地，重新采购符合要求的产品，由此增加的费用和（或）延误的工期由承包人承担。</w:t>
      </w:r>
    </w:p>
    <w:p>
      <w:pPr>
        <w:pStyle w:val="13"/>
        <w:shd w:val="clear" w:color="000000" w:fill="auto"/>
        <w:adjustRightInd w:val="0"/>
        <w:snapToGrid w:val="0"/>
        <w:spacing w:line="360" w:lineRule="auto"/>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49.4  </w:t>
      </w:r>
      <w:r>
        <w:rPr>
          <w:rFonts w:ascii="仿宋" w:hAnsi="仿宋" w:eastAsia="仿宋" w:cs="仿宋"/>
          <w:b/>
          <w:bCs/>
          <w:color w:val="auto"/>
          <w:sz w:val="24"/>
          <w:szCs w:val="24"/>
          <w:highlight w:val="none"/>
          <w:u w:val="dotted"/>
        </w:rPr>
        <w:t xml:space="preserve">                                                                                                        </w:t>
      </w:r>
    </w:p>
    <w:p>
      <w:pPr>
        <w:pStyle w:val="13"/>
        <w:shd w:val="clear" w:color="000000" w:fill="auto"/>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58944" behindDoc="0" locked="0" layoutInCell="1" allowOverlap="1">
                <wp:simplePos x="0" y="0"/>
                <wp:positionH relativeFrom="column">
                  <wp:posOffset>-114300</wp:posOffset>
                </wp:positionH>
                <wp:positionV relativeFrom="paragraph">
                  <wp:posOffset>-5080</wp:posOffset>
                </wp:positionV>
                <wp:extent cx="914400" cy="792480"/>
                <wp:effectExtent l="0" t="0" r="0" b="0"/>
                <wp:wrapNone/>
                <wp:docPr id="196" name="文本框 200"/>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wps:txbx>
                      <wps:bodyPr upright="1"/>
                    </wps:wsp>
                  </a:graphicData>
                </a:graphic>
              </wp:anchor>
            </w:drawing>
          </mc:Choice>
          <mc:Fallback>
            <w:pict>
              <v:shape id="文本框 200" o:spid="_x0000_s1026" o:spt="202" type="#_x0000_t202" style="position:absolute;left:0pt;margin-left:-9pt;margin-top:-0.4pt;height:62.4pt;width:72pt;z-index:251858944;mso-width-relative:page;mso-height-relative:page;" filled="f" stroked="f" coordsize="21600,21600" o:gfxdata="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jqri9QAAAAJ&#10;AQAADwAAAAAAAAABACAAAAAiAAAAZHJzL2Rvd25yZXYueG1sUEsBAhQAFAAAAAgAh07iQHV+zTeu&#10;AQAAUQMAAA4AAAAAAAAAAQAgAAAAIwEAAGRycy9lMm9Eb2MueG1sUEsFBgAAAAAGAAYAWQEAAEMF&#10;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v:textbox>
              </v:shape>
            </w:pict>
          </mc:Fallback>
        </mc:AlternateContent>
      </w:r>
      <w:r>
        <w:rPr>
          <w:rFonts w:hint="eastAsia" w:ascii="仿宋" w:hAnsi="仿宋" w:eastAsia="仿宋" w:cs="仿宋"/>
          <w:color w:val="auto"/>
          <w:sz w:val="24"/>
          <w:szCs w:val="24"/>
          <w:highlight w:val="none"/>
        </w:rPr>
        <w:t>监理工程师发现承包人使用不符合标准与规范、设计要求和合同约定要求的材料和工程设备时，应迅速发出指令要求承包人立即停止使用，并拆除、修复或重新采购，由此增加的费用和（或）延误的工期由承包人承担。</w:t>
      </w:r>
    </w:p>
    <w:p>
      <w:pPr>
        <w:pStyle w:val="13"/>
        <w:shd w:val="clear" w:color="000000" w:fill="auto"/>
        <w:adjustRightInd w:val="0"/>
        <w:snapToGrid w:val="0"/>
        <w:spacing w:line="360" w:lineRule="auto"/>
        <w:ind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59968" behindDoc="0" locked="0" layoutInCell="1" allowOverlap="1">
                <wp:simplePos x="0" y="0"/>
                <wp:positionH relativeFrom="column">
                  <wp:posOffset>-114300</wp:posOffset>
                </wp:positionH>
                <wp:positionV relativeFrom="paragraph">
                  <wp:posOffset>242570</wp:posOffset>
                </wp:positionV>
                <wp:extent cx="914400" cy="441960"/>
                <wp:effectExtent l="0" t="0" r="0" b="0"/>
                <wp:wrapNone/>
                <wp:docPr id="197" name="文本框 201"/>
                <wp:cNvGraphicFramePr/>
                <a:graphic xmlns:a="http://schemas.openxmlformats.org/drawingml/2006/main">
                  <a:graphicData uri="http://schemas.microsoft.com/office/word/2010/wordprocessingShape">
                    <wps:wsp>
                      <wps:cNvSpPr txBox="1"/>
                      <wps:spPr>
                        <a:xfrm>
                          <a:off x="0" y="0"/>
                          <a:ext cx="914400" cy="44196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承包人不执行指令的责任</w:t>
                            </w:r>
                          </w:p>
                        </w:txbxContent>
                      </wps:txbx>
                      <wps:bodyPr upright="1"/>
                    </wps:wsp>
                  </a:graphicData>
                </a:graphic>
              </wp:anchor>
            </w:drawing>
          </mc:Choice>
          <mc:Fallback>
            <w:pict>
              <v:shape id="文本框 201" o:spid="_x0000_s1026" o:spt="202" type="#_x0000_t202" style="position:absolute;left:0pt;margin-left:-9pt;margin-top:19.1pt;height:34.8pt;width:72pt;z-index:251859968;mso-width-relative:page;mso-height-relative:page;" filled="f" stroked="f" coordsize="21600,21600" o:gfxdata="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3eY1HX&#10;AAAACgEAAA8AAAAAAAAAAQAgAAAAIgAAAGRycy9kb3ducmV2LnhtbFBLAQIUABQAAAAIAIdO4kBb&#10;WMnNrwEAAFEDAAAOAAAAAAAAAAEAIAAAACYBAABkcnMvZTJvRG9jLnhtbFBLBQYAAAAABgAGAFkB&#10;AABH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承包人不执行指令的责任</w:t>
                      </w:r>
                    </w:p>
                  </w:txbxContent>
                </v:textbox>
              </v:shape>
            </w:pict>
          </mc:Fallback>
        </mc:AlternateContent>
      </w:r>
      <w:r>
        <w:rPr>
          <w:rFonts w:ascii="仿宋" w:hAnsi="仿宋" w:eastAsia="仿宋" w:cs="仿宋"/>
          <w:b/>
          <w:bCs/>
          <w:color w:val="auto"/>
          <w:sz w:val="24"/>
          <w:szCs w:val="24"/>
          <w:highlight w:val="none"/>
        </w:rPr>
        <w:t xml:space="preserve">49.5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如果承包人不执行监理工程师依据第</w:t>
      </w:r>
      <w:r>
        <w:rPr>
          <w:rFonts w:ascii="仿宋" w:hAnsi="仿宋" w:eastAsia="仿宋" w:cs="仿宋"/>
          <w:color w:val="auto"/>
          <w:sz w:val="24"/>
          <w:szCs w:val="24"/>
          <w:highlight w:val="none"/>
        </w:rPr>
        <w:t>49.3</w:t>
      </w:r>
      <w:r>
        <w:rPr>
          <w:rFonts w:hint="eastAsia" w:ascii="仿宋" w:hAnsi="仿宋" w:eastAsia="仿宋" w:cs="仿宋"/>
          <w:color w:val="auto"/>
          <w:sz w:val="24"/>
          <w:szCs w:val="24"/>
          <w:highlight w:val="none"/>
        </w:rPr>
        <w:t>款和第</w:t>
      </w:r>
      <w:r>
        <w:rPr>
          <w:rFonts w:ascii="仿宋" w:hAnsi="仿宋" w:eastAsia="仿宋" w:cs="仿宋"/>
          <w:color w:val="auto"/>
          <w:sz w:val="24"/>
          <w:szCs w:val="24"/>
          <w:highlight w:val="none"/>
        </w:rPr>
        <w:t>49.4</w:t>
      </w:r>
      <w:r>
        <w:rPr>
          <w:rFonts w:hint="eastAsia" w:ascii="仿宋" w:hAnsi="仿宋" w:eastAsia="仿宋" w:cs="仿宋"/>
          <w:color w:val="auto"/>
          <w:sz w:val="24"/>
          <w:szCs w:val="24"/>
          <w:highlight w:val="none"/>
        </w:rPr>
        <w:t>款规定发出的指令</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则发包人可自行或委托第三方执行该指令，由此发生的费用由承包人承担。该笔款项经造价工程师核实后，由发包人从应付或将付给或将付给承包人的工程款中扣除。</w:t>
      </w:r>
    </w:p>
    <w:p>
      <w:pPr>
        <w:pStyle w:val="13"/>
        <w:shd w:val="clear" w:color="000000" w:fill="auto"/>
        <w:adjustRightInd w:val="0"/>
        <w:snapToGrid w:val="0"/>
        <w:spacing w:line="360" w:lineRule="auto"/>
        <w:ind w:firstLine="0"/>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49.6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pPr>
        <w:pStyle w:val="13"/>
        <w:shd w:val="clear" w:color="000000" w:fill="auto"/>
        <w:tabs>
          <w:tab w:val="left" w:pos="1260"/>
        </w:tabs>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60992" behindDoc="0" locked="0" layoutInCell="1" allowOverlap="1">
                <wp:simplePos x="0" y="0"/>
                <wp:positionH relativeFrom="column">
                  <wp:posOffset>-114300</wp:posOffset>
                </wp:positionH>
                <wp:positionV relativeFrom="paragraph">
                  <wp:posOffset>45720</wp:posOffset>
                </wp:positionV>
                <wp:extent cx="914400" cy="410845"/>
                <wp:effectExtent l="0" t="0" r="0" b="0"/>
                <wp:wrapNone/>
                <wp:docPr id="198" name="文本框 202"/>
                <wp:cNvGraphicFramePr/>
                <a:graphic xmlns:a="http://schemas.openxmlformats.org/drawingml/2006/main">
                  <a:graphicData uri="http://schemas.microsoft.com/office/word/2010/wordprocessingShape">
                    <wps:wsp>
                      <wps:cNvSpPr txBox="1"/>
                      <wps:spPr>
                        <a:xfrm>
                          <a:off x="0" y="0"/>
                          <a:ext cx="914400" cy="41084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使用替换材料的申请与批准</w:t>
                            </w:r>
                          </w:p>
                        </w:txbxContent>
                      </wps:txbx>
                      <wps:bodyPr upright="1"/>
                    </wps:wsp>
                  </a:graphicData>
                </a:graphic>
              </wp:anchor>
            </w:drawing>
          </mc:Choice>
          <mc:Fallback>
            <w:pict>
              <v:shape id="文本框 202" o:spid="_x0000_s1026" o:spt="202" type="#_x0000_t202" style="position:absolute;left:0pt;margin-left:-9pt;margin-top:3.6pt;height:32.35pt;width:72pt;z-index:251860992;mso-width-relative:page;mso-height-relative:page;" filled="f" stroked="f" coordsize="21600,21600" o:gfxdata="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R/6zdtQAAAAI&#10;AQAADwAAAAAAAAABACAAAAAiAAAAZHJzL2Rvd25yZXYueG1sUEsBAhQAFAAAAAgAh07iQIygbAyu&#10;AQAAUQMAAA4AAAAAAAAAAQAgAAAAIwEAAGRycy9lMm9Eb2MueG1sUEsFBgAAAAAGAAYAWQEAAEMF&#10;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使用替换材料的申请与批准</w:t>
                      </w:r>
                    </w:p>
                  </w:txbxContent>
                </v:textbox>
              </v:shape>
            </w:pict>
          </mc:Fallback>
        </mc:AlternateContent>
      </w:r>
      <w:r>
        <w:rPr>
          <w:rFonts w:hint="eastAsia" w:ascii="仿宋" w:hAnsi="仿宋" w:eastAsia="仿宋" w:cs="仿宋"/>
          <w:color w:val="auto"/>
          <w:sz w:val="24"/>
          <w:szCs w:val="24"/>
          <w:highlight w:val="none"/>
        </w:rPr>
        <w:t>承包人需要使用替换材料的，应经监理工程师同意并由其报发包人批准后方可实施，由此引起合同价款的增减由造价工程师与合同双方当事人协商确定；协商不能达成一致的，由造价工程师暂定，通知承包人并抄报发包人。</w:t>
      </w:r>
    </w:p>
    <w:p>
      <w:pPr>
        <w:pStyle w:val="13"/>
        <w:shd w:val="clear" w:color="000000" w:fill="auto"/>
        <w:adjustRightInd w:val="0"/>
        <w:snapToGrid w:val="0"/>
        <w:spacing w:line="360" w:lineRule="auto"/>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49.7  </w:t>
      </w:r>
      <w:r>
        <w:rPr>
          <w:rFonts w:ascii="仿宋" w:hAnsi="仿宋" w:eastAsia="仿宋" w:cs="仿宋"/>
          <w:b/>
          <w:bCs/>
          <w:color w:val="auto"/>
          <w:sz w:val="24"/>
          <w:szCs w:val="24"/>
          <w:highlight w:val="none"/>
          <w:u w:val="dotted"/>
        </w:rPr>
        <w:t xml:space="preserve">                                                                                                       </w:t>
      </w:r>
    </w:p>
    <w:p>
      <w:pPr>
        <w:pStyle w:val="13"/>
        <w:shd w:val="clear" w:color="000000" w:fill="auto"/>
        <w:tabs>
          <w:tab w:val="left" w:pos="1800"/>
        </w:tabs>
        <w:adjustRightInd w:val="0"/>
        <w:snapToGrid w:val="0"/>
        <w:spacing w:before="120" w:beforeLines="50"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62016" behindDoc="0" locked="0" layoutInCell="1" allowOverlap="1">
                <wp:simplePos x="0" y="0"/>
                <wp:positionH relativeFrom="column">
                  <wp:posOffset>-114300</wp:posOffset>
                </wp:positionH>
                <wp:positionV relativeFrom="paragraph">
                  <wp:posOffset>30480</wp:posOffset>
                </wp:positionV>
                <wp:extent cx="914400" cy="819150"/>
                <wp:effectExtent l="0" t="0" r="0" b="0"/>
                <wp:wrapNone/>
                <wp:docPr id="199" name="文本框 203"/>
                <wp:cNvGraphicFramePr/>
                <a:graphic xmlns:a="http://schemas.openxmlformats.org/drawingml/2006/main">
                  <a:graphicData uri="http://schemas.microsoft.com/office/word/2010/wordprocessingShape">
                    <wps:wsp>
                      <wps:cNvSpPr txBox="1"/>
                      <wps:spPr>
                        <a:xfrm>
                          <a:off x="0" y="0"/>
                          <a:ext cx="914400" cy="81915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wps:txbx>
                      <wps:bodyPr upright="1"/>
                    </wps:wsp>
                  </a:graphicData>
                </a:graphic>
              </wp:anchor>
            </w:drawing>
          </mc:Choice>
          <mc:Fallback>
            <w:pict>
              <v:shape id="文本框 203" o:spid="_x0000_s1026" o:spt="202" type="#_x0000_t202" style="position:absolute;left:0pt;margin-left:-9pt;margin-top:2.4pt;height:64.5pt;width:72pt;z-index:251862016;mso-width-relative:page;mso-height-relative:page;" filled="f" stroked="f" coordsize="21600,21600" o:gfxdata="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b/bPc9YA&#10;AAAJAQAADwAAAAAAAAABACAAAAAiAAAAZHJzL2Rvd25yZXYueG1sUEsBAhQAFAAAAAgAh07iQI3u&#10;z9+vAQAAUQMAAA4AAAAAAAAAAQAgAAAAJQEAAGRycy9lMm9Eb2MueG1sUEsFBgAAAAAGAAYAWQEA&#10;AEY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v:textbox>
              </v:shape>
            </w:pict>
          </mc:Fallback>
        </mc:AlternateContent>
      </w:r>
      <w:r>
        <w:rPr>
          <w:rFonts w:hint="eastAsia" w:ascii="仿宋" w:hAnsi="仿宋" w:eastAsia="仿宋" w:cs="仿宋"/>
          <w:color w:val="auto"/>
          <w:sz w:val="24"/>
          <w:szCs w:val="24"/>
          <w:highlight w:val="none"/>
        </w:rPr>
        <w:t>承包人采购的材料和工程设备在使用前，应会同监理工程师进行检验试验，查验材料合格证明和产品合格证书。合同双方当事人应做好检验书面记录，并要求指定人选及时办理签认手续。不合格的，禁止在合同工程中使用。</w:t>
      </w:r>
    </w:p>
    <w:p>
      <w:pPr>
        <w:pStyle w:val="13"/>
        <w:shd w:val="clear" w:color="000000" w:fill="auto"/>
        <w:adjustRightInd w:val="0"/>
        <w:snapToGrid w:val="0"/>
        <w:spacing w:line="360" w:lineRule="auto"/>
        <w:ind w:firstLine="0"/>
        <w:rPr>
          <w:rFonts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863040" behindDoc="0" locked="0" layoutInCell="1" allowOverlap="1">
                <wp:simplePos x="0" y="0"/>
                <wp:positionH relativeFrom="column">
                  <wp:posOffset>-114300</wp:posOffset>
                </wp:positionH>
                <wp:positionV relativeFrom="paragraph">
                  <wp:posOffset>207010</wp:posOffset>
                </wp:positionV>
                <wp:extent cx="914400" cy="711835"/>
                <wp:effectExtent l="0" t="0" r="0" b="0"/>
                <wp:wrapNone/>
                <wp:docPr id="200" name="文本框 204"/>
                <wp:cNvGraphicFramePr/>
                <a:graphic xmlns:a="http://schemas.openxmlformats.org/drawingml/2006/main">
                  <a:graphicData uri="http://schemas.microsoft.com/office/word/2010/wordprocessingShape">
                    <wps:wsp>
                      <wps:cNvSpPr txBox="1"/>
                      <wps:spPr>
                        <a:xfrm>
                          <a:off x="0" y="0"/>
                          <a:ext cx="914400" cy="71183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wps:txbx>
                      <wps:bodyPr upright="1"/>
                    </wps:wsp>
                  </a:graphicData>
                </a:graphic>
              </wp:anchor>
            </w:drawing>
          </mc:Choice>
          <mc:Fallback>
            <w:pict>
              <v:shape id="文本框 204" o:spid="_x0000_s1026" o:spt="202" type="#_x0000_t202" style="position:absolute;left:0pt;margin-left:-9pt;margin-top:16.3pt;height:56.05pt;width:72pt;z-index:251863040;mso-width-relative:page;mso-height-relative:page;" filled="f" stroked="f" coordsize="21600,21600" o:gfxdata="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rlD+ttcA&#10;AAAKAQAADwAAAAAAAAABACAAAAAiAAAAZHJzL2Rvd25yZXYueG1sUEsBAhQAFAAAAAgAh07iQBuB&#10;4oCuAQAAUQMAAA4AAAAAAAAAAQAgAAAAJgEAAGRycy9lMm9Eb2MueG1sUEsFBgAAAAAGAAYAWQEA&#10;AEY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v:textbox>
              </v:shape>
            </w:pict>
          </mc:Fallback>
        </mc:AlternateContent>
      </w:r>
      <w:r>
        <w:rPr>
          <w:rFonts w:ascii="仿宋" w:hAnsi="仿宋" w:eastAsia="仿宋" w:cs="仿宋"/>
          <w:b/>
          <w:bCs/>
          <w:color w:val="auto"/>
          <w:sz w:val="24"/>
          <w:szCs w:val="24"/>
          <w:highlight w:val="none"/>
        </w:rPr>
        <w:t xml:space="preserve">49.8  </w:t>
      </w:r>
      <w:r>
        <w:rPr>
          <w:rFonts w:ascii="仿宋" w:hAnsi="仿宋" w:eastAsia="仿宋" w:cs="仿宋"/>
          <w:b/>
          <w:bCs/>
          <w:color w:val="auto"/>
          <w:sz w:val="24"/>
          <w:szCs w:val="24"/>
          <w:highlight w:val="none"/>
          <w:u w:val="dotted"/>
        </w:rPr>
        <w:t xml:space="preserve">                                                                                                        </w:t>
      </w:r>
    </w:p>
    <w:p>
      <w:pPr>
        <w:pStyle w:val="13"/>
        <w:shd w:val="clear" w:color="000000" w:fill="auto"/>
        <w:adjustRightInd w:val="0"/>
        <w:snapToGrid w:val="0"/>
        <w:spacing w:line="360" w:lineRule="auto"/>
        <w:ind w:left="1619" w:leftChars="771"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承包人采购材料和工程设备的，除专用条款另有约定外，发包人不得指定生产厂家或供应商。</w:t>
      </w:r>
    </w:p>
    <w:p>
      <w:pPr>
        <w:pStyle w:val="13"/>
        <w:shd w:val="clear" w:color="000000" w:fill="auto"/>
        <w:adjustRightInd w:val="0"/>
        <w:snapToGrid w:val="0"/>
        <w:ind w:firstLine="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outlineLvl w:val="2"/>
        <w:rPr>
          <w:rFonts w:ascii="仿宋" w:hAnsi="仿宋" w:eastAsia="仿宋" w:cs="Times New Roman"/>
          <w:b/>
          <w:bCs/>
          <w:color w:val="auto"/>
          <w:sz w:val="24"/>
          <w:szCs w:val="24"/>
          <w:highlight w:val="none"/>
        </w:rPr>
      </w:pPr>
      <w:bookmarkStart w:id="275" w:name="_Toc27152"/>
      <w:bookmarkStart w:id="276" w:name="_Toc10624873"/>
      <w:bookmarkStart w:id="277" w:name="_Toc469384033"/>
      <w:r>
        <w:rPr>
          <w:rFonts w:ascii="仿宋" w:hAnsi="仿宋" w:eastAsia="仿宋" w:cs="仿宋"/>
          <w:b/>
          <w:bCs/>
          <w:color w:val="auto"/>
          <w:sz w:val="24"/>
          <w:szCs w:val="24"/>
          <w:highlight w:val="none"/>
        </w:rPr>
        <w:t xml:space="preserve">50  </w:t>
      </w:r>
      <w:r>
        <w:rPr>
          <w:rFonts w:hint="eastAsia" w:ascii="仿宋" w:hAnsi="仿宋" w:eastAsia="仿宋" w:cs="仿宋"/>
          <w:b/>
          <w:bCs/>
          <w:color w:val="auto"/>
          <w:sz w:val="24"/>
          <w:szCs w:val="24"/>
          <w:highlight w:val="none"/>
        </w:rPr>
        <w:t>材料和工程设备的检验试验</w:t>
      </w:r>
      <w:bookmarkEnd w:id="275"/>
      <w:bookmarkEnd w:id="276"/>
      <w:bookmarkEnd w:id="277"/>
    </w:p>
    <w:p>
      <w:pPr>
        <w:pStyle w:val="13"/>
        <w:shd w:val="clear" w:color="000000" w:fill="auto"/>
        <w:adjustRightInd w:val="0"/>
        <w:snapToGrid w:val="0"/>
        <w:spacing w:line="360" w:lineRule="auto"/>
        <w:ind w:firstLine="0"/>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50.1</w:t>
      </w:r>
    </w:p>
    <w:p>
      <w:pPr>
        <w:pStyle w:val="13"/>
        <w:shd w:val="clear" w:color="000000" w:fill="auto"/>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64064" behindDoc="0" locked="0" layoutInCell="1" allowOverlap="1">
                <wp:simplePos x="0" y="0"/>
                <wp:positionH relativeFrom="column">
                  <wp:posOffset>-114300</wp:posOffset>
                </wp:positionH>
                <wp:positionV relativeFrom="paragraph">
                  <wp:posOffset>635</wp:posOffset>
                </wp:positionV>
                <wp:extent cx="914400" cy="506095"/>
                <wp:effectExtent l="0" t="0" r="0" b="0"/>
                <wp:wrapNone/>
                <wp:docPr id="201" name="文本框 205"/>
                <wp:cNvGraphicFramePr/>
                <a:graphic xmlns:a="http://schemas.openxmlformats.org/drawingml/2006/main">
                  <a:graphicData uri="http://schemas.microsoft.com/office/word/2010/wordprocessingShape">
                    <wps:wsp>
                      <wps:cNvSpPr txBox="1"/>
                      <wps:spPr>
                        <a:xfrm>
                          <a:off x="0" y="0"/>
                          <a:ext cx="914400" cy="50609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进入现场检验试验</w:t>
                            </w:r>
                          </w:p>
                        </w:txbxContent>
                      </wps:txbx>
                      <wps:bodyPr upright="1"/>
                    </wps:wsp>
                  </a:graphicData>
                </a:graphic>
              </wp:anchor>
            </w:drawing>
          </mc:Choice>
          <mc:Fallback>
            <w:pict>
              <v:shape id="文本框 205" o:spid="_x0000_s1026" o:spt="202" type="#_x0000_t202" style="position:absolute;left:0pt;margin-left:-9pt;margin-top:0.05pt;height:39.85pt;width:72pt;z-index:251864064;mso-width-relative:page;mso-height-relative:page;" filled="f" stroked="f" coordsize="21600,21600" o:gfxdata="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MZJPrfUAAAA&#10;BwEAAA8AAAAAAAAAAQAgAAAAIgAAAGRycy9kb3ducmV2LnhtbFBLAQIUABQAAAAIAIdO4kCzkcSk&#10;rwEAAFEDAAAOAAAAAAAAAAEAIAAAACMBAABkcnMvZTJvRG9jLnhtbFBLBQYAAAAABgAGAFkBAABE&#10;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进入现场检验试验</w:t>
                      </w:r>
                    </w:p>
                  </w:txbxContent>
                </v:textbox>
              </v:shape>
            </w:pict>
          </mc:Fallback>
        </mc:AlternateContent>
      </w:r>
      <w:r>
        <w:rPr>
          <w:rFonts w:hint="eastAsia" w:ascii="仿宋" w:hAnsi="仿宋" w:eastAsia="仿宋" w:cs="仿宋"/>
          <w:color w:val="auto"/>
          <w:sz w:val="24"/>
          <w:szCs w:val="24"/>
          <w:highlight w:val="none"/>
        </w:rPr>
        <w:t>监理工程师及其委派的代表可进入施工场地、材料和工程设备的制造、加工或制配车间等场所参加材料和工程设备等产品的检验试验。承包人应为他们进入上述场所及开展相关工作提供便利和协助。</w:t>
      </w:r>
    </w:p>
    <w:p>
      <w:pPr>
        <w:pStyle w:val="13"/>
        <w:shd w:val="clear" w:color="000000" w:fill="auto"/>
        <w:tabs>
          <w:tab w:val="left" w:pos="360"/>
          <w:tab w:val="left" w:pos="720"/>
        </w:tabs>
        <w:adjustRightInd w:val="0"/>
        <w:snapToGrid w:val="0"/>
        <w:spacing w:line="360" w:lineRule="auto"/>
        <w:ind w:firstLine="0"/>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50.2  </w:t>
      </w:r>
      <w:r>
        <w:rPr>
          <w:rFonts w:ascii="仿宋" w:hAnsi="仿宋" w:eastAsia="仿宋" w:cs="仿宋"/>
          <w:b/>
          <w:bCs/>
          <w:color w:val="auto"/>
          <w:sz w:val="24"/>
          <w:szCs w:val="24"/>
          <w:highlight w:val="none"/>
          <w:u w:val="dotted"/>
        </w:rPr>
        <w:t xml:space="preserve">                                                                              </w:t>
      </w:r>
    </w:p>
    <w:p>
      <w:pPr>
        <w:shd w:val="clear" w:color="000000" w:fill="auto"/>
        <w:rPr>
          <w:color w:val="auto"/>
          <w:highlight w:val="none"/>
        </w:rPr>
      </w:pPr>
      <w:r>
        <w:rPr>
          <w:color w:val="auto"/>
          <w:highlight w:val="none"/>
        </w:rPr>
        <mc:AlternateContent>
          <mc:Choice Requires="wps">
            <w:drawing>
              <wp:anchor distT="0" distB="0" distL="114300" distR="114300" simplePos="0" relativeHeight="251865088" behindDoc="0" locked="0" layoutInCell="1" allowOverlap="1">
                <wp:simplePos x="0" y="0"/>
                <wp:positionH relativeFrom="column">
                  <wp:posOffset>-114300</wp:posOffset>
                </wp:positionH>
                <wp:positionV relativeFrom="paragraph">
                  <wp:posOffset>154305</wp:posOffset>
                </wp:positionV>
                <wp:extent cx="914400" cy="572770"/>
                <wp:effectExtent l="0" t="0" r="0" b="0"/>
                <wp:wrapNone/>
                <wp:docPr id="202" name="文本框 206"/>
                <wp:cNvGraphicFramePr/>
                <a:graphic xmlns:a="http://schemas.openxmlformats.org/drawingml/2006/main">
                  <a:graphicData uri="http://schemas.microsoft.com/office/word/2010/wordprocessingShape">
                    <wps:wsp>
                      <wps:cNvSpPr txBox="1"/>
                      <wps:spPr>
                        <a:xfrm>
                          <a:off x="0" y="0"/>
                          <a:ext cx="914400" cy="57277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wps:txbx>
                      <wps:bodyPr upright="1"/>
                    </wps:wsp>
                  </a:graphicData>
                </a:graphic>
              </wp:anchor>
            </w:drawing>
          </mc:Choice>
          <mc:Fallback>
            <w:pict>
              <v:shape id="文本框 206" o:spid="_x0000_s1026" o:spt="202" type="#_x0000_t202" style="position:absolute;left:0pt;margin-left:-9pt;margin-top:12.15pt;height:45.1pt;width:72pt;z-index:251865088;mso-width-relative:page;mso-height-relative:page;" filled="f" stroked="f" coordsize="21600,21600" o:gfxdata="UEsDBAoAAAAAAIdO4kAAAAAAAAAAAAAAAAAEAAAAZHJzL1BLAwQUAAAACACHTuJAvZuTd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vZuT&#10;dNgAAAAKAQAADwAAAAAAAAABACAAAAAiAAAAZHJzL2Rvd25yZXYueG1sUEsBAhQAFAAAAAgAh07i&#10;QGD5LCKwAQAAUQMAAA4AAAAAAAAAAQAgAAAAJwEAAGRycy9lMm9Eb2MueG1sUEsFBgAAAAAGAAYA&#10;WQEAAEk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v:textbox>
              </v:shape>
            </w:pict>
          </mc:Fallback>
        </mc:AlternateContent>
      </w:r>
    </w:p>
    <w:p>
      <w:pPr>
        <w:pStyle w:val="13"/>
        <w:shd w:val="clear" w:color="000000" w:fill="auto"/>
        <w:adjustRightInd w:val="0"/>
        <w:snapToGrid w:val="0"/>
        <w:spacing w:line="360" w:lineRule="auto"/>
        <w:ind w:left="1619" w:leftChars="771"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材料和工程设备等产品的检验试验，包括见证取样和不见证取样两种情形：</w:t>
      </w:r>
    </w:p>
    <w:p>
      <w:pPr>
        <w:pStyle w:val="13"/>
        <w:shd w:val="clear" w:color="000000" w:fill="auto"/>
        <w:adjustRightInd w:val="0"/>
        <w:snapToGrid w:val="0"/>
        <w:spacing w:line="360" w:lineRule="auto"/>
        <w:ind w:left="1619" w:leftChars="771" w:firstLine="0"/>
        <w:rPr>
          <w:rFonts w:ascii="仿宋" w:hAnsi="仿宋" w:eastAsia="仿宋"/>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标准与规范、涉及结构安全有要求或合同有约定进行见证取样检验试验的材料和工程设备等产品，承包人应在取样前至少提前</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小时通知监理工程师参加，并在监理工程师的见证下现场取样，同时送至具有相应资质等级的质量检测机构进行检验试验。</w:t>
      </w:r>
    </w:p>
    <w:p>
      <w:pPr>
        <w:pStyle w:val="13"/>
        <w:shd w:val="clear" w:color="000000" w:fill="auto"/>
        <w:adjustRightInd w:val="0"/>
        <w:snapToGrid w:val="0"/>
        <w:spacing w:line="360" w:lineRule="auto"/>
        <w:ind w:left="1619" w:leftChars="771" w:firstLine="0"/>
        <w:rPr>
          <w:rFonts w:ascii="仿宋" w:hAnsi="仿宋" w:eastAsia="仿宋"/>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标准与规范没要求或合同没约定进行见证取样检验试验的材料和工程设备等产品，承包人和监理工程师应按照合同约定进行材料和工程设备等产品的检验试验。承包人和监理工程师应事先协商确定检验试验的时间和地点，并按时到场参加检验试验。如果监理工程师或其委派的代表不能按时到场参加的，监理工程师应至少提前</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小时发出延期检验试验指令并书面说明理由，延期不得超过</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如果监理工程师或其委派的代表未发出延期指令也未能按时到场检验试验，承包人可自行检验试验，并认为该检验试验是经监理工程师同意下完成的；检验试验完成后，承包人应立即向监理工程师提交检验试验结果的有效证据，监理工程师应予认可。</w:t>
      </w:r>
    </w:p>
    <w:p>
      <w:pPr>
        <w:pStyle w:val="13"/>
        <w:shd w:val="clear" w:color="000000" w:fill="auto"/>
        <w:adjustRightInd w:val="0"/>
        <w:snapToGrid w:val="0"/>
        <w:spacing w:line="360" w:lineRule="auto"/>
        <w:ind w:left="1619" w:leftChars="1" w:hanging="1617" w:hangingChars="671"/>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50.3 </w:t>
      </w:r>
      <w:r>
        <w:rPr>
          <w:rFonts w:ascii="仿宋" w:hAnsi="仿宋" w:eastAsia="仿宋" w:cs="仿宋"/>
          <w:b/>
          <w:bCs/>
          <w:color w:val="auto"/>
          <w:sz w:val="24"/>
          <w:szCs w:val="24"/>
          <w:highlight w:val="none"/>
          <w:u w:val="dotted"/>
        </w:rPr>
        <w:t xml:space="preserve">                                                                               </w:t>
      </w:r>
    </w:p>
    <w:p>
      <w:pPr>
        <w:pStyle w:val="13"/>
        <w:shd w:val="clear" w:color="000000" w:fill="auto"/>
        <w:adjustRightInd w:val="0"/>
        <w:snapToGrid w:val="0"/>
        <w:spacing w:line="360" w:lineRule="auto"/>
        <w:ind w:left="1575" w:leftChars="750"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66112" behindDoc="0" locked="0" layoutInCell="1" allowOverlap="1">
                <wp:simplePos x="0" y="0"/>
                <wp:positionH relativeFrom="column">
                  <wp:posOffset>-66675</wp:posOffset>
                </wp:positionH>
                <wp:positionV relativeFrom="paragraph">
                  <wp:posOffset>11430</wp:posOffset>
                </wp:positionV>
                <wp:extent cx="914400" cy="557530"/>
                <wp:effectExtent l="0" t="0" r="0" b="0"/>
                <wp:wrapNone/>
                <wp:docPr id="203" name="文本框 207"/>
                <wp:cNvGraphicFramePr/>
                <a:graphic xmlns:a="http://schemas.openxmlformats.org/drawingml/2006/main">
                  <a:graphicData uri="http://schemas.microsoft.com/office/word/2010/wordprocessingShape">
                    <wps:wsp>
                      <wps:cNvSpPr txBox="1"/>
                      <wps:spPr>
                        <a:xfrm>
                          <a:off x="0" y="0"/>
                          <a:ext cx="914400" cy="55753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材料和工程设备的使用</w:t>
                            </w:r>
                          </w:p>
                        </w:txbxContent>
                      </wps:txbx>
                      <wps:bodyPr upright="1"/>
                    </wps:wsp>
                  </a:graphicData>
                </a:graphic>
              </wp:anchor>
            </w:drawing>
          </mc:Choice>
          <mc:Fallback>
            <w:pict>
              <v:shape id="文本框 207" o:spid="_x0000_s1026" o:spt="202" type="#_x0000_t202" style="position:absolute;left:0pt;margin-left:-5.25pt;margin-top:0.9pt;height:43.9pt;width:72pt;z-index:251866112;mso-width-relative:page;mso-height-relative:page;" filled="f" stroked="f" coordsize="21600,21600" o:gfxdata="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3h+lsNQA&#10;AAAIAQAADwAAAAAAAAABACAAAAAiAAAAZHJzL2Rvd25yZXYueG1sUEsBAhQAFAAAAAgAh07iQJgx&#10;FXGxAQAAUQMAAA4AAAAAAAAAAQAgAAAAIwEAAGRycy9lMm9Eb2MueG1sUEsFBgAAAAAGAAYAWQEA&#10;AEY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材料和工程设备的使用</w:t>
                      </w:r>
                    </w:p>
                  </w:txbxContent>
                </v:textbox>
              </v:shape>
            </w:pict>
          </mc:Fallback>
        </mc:AlternateContent>
      </w:r>
      <w:r>
        <w:rPr>
          <w:rFonts w:hint="eastAsia" w:ascii="仿宋" w:hAnsi="仿宋" w:eastAsia="仿宋" w:cs="仿宋"/>
          <w:color w:val="auto"/>
          <w:sz w:val="24"/>
          <w:szCs w:val="24"/>
          <w:highlight w:val="none"/>
        </w:rPr>
        <w:t>材料和工程设备等产品检验试验合格的，可在合同工程中使用。材料和工程设备等产品检验试验不合格的，禁止在合同工程中使用，并及时清出施工场地。</w:t>
      </w:r>
    </w:p>
    <w:p>
      <w:pPr>
        <w:pStyle w:val="13"/>
        <w:shd w:val="clear" w:color="000000" w:fill="auto"/>
        <w:tabs>
          <w:tab w:val="left" w:pos="540"/>
        </w:tabs>
        <w:adjustRightInd w:val="0"/>
        <w:snapToGrid w:val="0"/>
        <w:spacing w:line="360" w:lineRule="auto"/>
        <w:ind w:firstLine="0"/>
        <w:rPr>
          <w:rFonts w:ascii="仿宋" w:hAnsi="仿宋" w:eastAsia="仿宋"/>
          <w:color w:val="auto"/>
          <w:sz w:val="24"/>
          <w:szCs w:val="24"/>
          <w:highlight w:val="none"/>
          <w:u w:val="dotted"/>
        </w:rPr>
      </w:pPr>
      <w:r>
        <w:rPr>
          <w:rFonts w:ascii="仿宋" w:hAnsi="仿宋" w:eastAsia="仿宋" w:cs="仿宋"/>
          <w:b/>
          <w:bCs/>
          <w:color w:val="auto"/>
          <w:sz w:val="24"/>
          <w:szCs w:val="24"/>
          <w:highlight w:val="none"/>
        </w:rPr>
        <w:t xml:space="preserve">50.4  </w:t>
      </w:r>
      <w:r>
        <w:rPr>
          <w:rFonts w:ascii="仿宋" w:hAnsi="仿宋" w:eastAsia="仿宋" w:cs="仿宋"/>
          <w:b/>
          <w:bCs/>
          <w:color w:val="auto"/>
          <w:sz w:val="24"/>
          <w:szCs w:val="24"/>
          <w:highlight w:val="none"/>
          <w:u w:val="dotted"/>
        </w:rPr>
        <w:t xml:space="preserve">                                                                              </w:t>
      </w:r>
    </w:p>
    <w:p>
      <w:pPr>
        <w:pStyle w:val="13"/>
        <w:shd w:val="clear" w:color="000000" w:fill="auto"/>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67136" behindDoc="0" locked="0" layoutInCell="1" allowOverlap="1">
                <wp:simplePos x="0" y="0"/>
                <wp:positionH relativeFrom="column">
                  <wp:posOffset>-114300</wp:posOffset>
                </wp:positionH>
                <wp:positionV relativeFrom="paragraph">
                  <wp:posOffset>15240</wp:posOffset>
                </wp:positionV>
                <wp:extent cx="914400" cy="555625"/>
                <wp:effectExtent l="0" t="0" r="0" b="0"/>
                <wp:wrapNone/>
                <wp:docPr id="204" name="文本框 208"/>
                <wp:cNvGraphicFramePr/>
                <a:graphic xmlns:a="http://schemas.openxmlformats.org/drawingml/2006/main">
                  <a:graphicData uri="http://schemas.microsoft.com/office/word/2010/wordprocessingShape">
                    <wps:wsp>
                      <wps:cNvSpPr txBox="1"/>
                      <wps:spPr>
                        <a:xfrm>
                          <a:off x="0" y="0"/>
                          <a:ext cx="914400" cy="55562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wps:txbx>
                      <wps:bodyPr upright="1"/>
                    </wps:wsp>
                  </a:graphicData>
                </a:graphic>
              </wp:anchor>
            </w:drawing>
          </mc:Choice>
          <mc:Fallback>
            <w:pict>
              <v:shape id="文本框 208" o:spid="_x0000_s1026" o:spt="202" type="#_x0000_t202" style="position:absolute;left:0pt;margin-left:-9pt;margin-top:1.2pt;height:43.75pt;width:72pt;z-index:251867136;mso-width-relative:page;mso-height-relative:page;" filled="f" stroked="f" coordsize="21600,21600" o:gfxdata="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HER6A1QAA&#10;AAgBAAAPAAAAAAAAAAEAIAAAACIAAABkcnMvZG93bnJldi54bWxQSwECFAAUAAAACACHTuJA0nkN&#10;O68BAABRAwAADgAAAAAAAAABACAAAAAkAQAAZHJzL2Uyb0RvYy54bWxQSwUGAAAAAAYABgBZAQAA&#10;RQ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v:textbox>
              </v:shape>
            </w:pict>
          </mc:Fallback>
        </mc:AlternateContent>
      </w:r>
      <w:r>
        <w:rPr>
          <w:rFonts w:hint="eastAsia" w:ascii="仿宋" w:hAnsi="仿宋" w:eastAsia="仿宋" w:cs="仿宋"/>
          <w:color w:val="auto"/>
          <w:sz w:val="24"/>
          <w:szCs w:val="24"/>
          <w:highlight w:val="none"/>
        </w:rPr>
        <w:t>除合同价款已包括外，材料和工程设备等产品的检验试验费，按照实际发生的费用计算。</w:t>
      </w:r>
    </w:p>
    <w:p>
      <w:pPr>
        <w:pStyle w:val="13"/>
        <w:shd w:val="clear" w:color="000000" w:fill="auto"/>
        <w:tabs>
          <w:tab w:val="left" w:pos="1620"/>
          <w:tab w:val="left" w:pos="1980"/>
          <w:tab w:val="left" w:pos="2160"/>
        </w:tabs>
        <w:adjustRightInd w:val="0"/>
        <w:snapToGrid w:val="0"/>
        <w:spacing w:line="360" w:lineRule="auto"/>
        <w:ind w:left="1617"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）现场使用前材料和工程设备等产品的检验试验，发包人供应的，检验试验费由发包人承担；承包人采购的，检验试验费由承包人承担。</w:t>
      </w:r>
    </w:p>
    <w:p>
      <w:pPr>
        <w:pStyle w:val="13"/>
        <w:shd w:val="clear" w:color="000000" w:fill="auto"/>
        <w:tabs>
          <w:tab w:val="left" w:pos="1620"/>
          <w:tab w:val="left" w:pos="2160"/>
          <w:tab w:val="left" w:pos="2520"/>
        </w:tabs>
        <w:adjustRightInd w:val="0"/>
        <w:snapToGrid w:val="0"/>
        <w:spacing w:line="360" w:lineRule="auto"/>
        <w:ind w:left="1619" w:firstLine="0"/>
        <w:rPr>
          <w:rFonts w:ascii="仿宋" w:hAnsi="仿宋" w:eastAsia="仿宋"/>
          <w:b/>
          <w:bCs/>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）施工过程中材料和工程设备等产品的检验试验，合格的，检验试验费由发包人承担。不合格的，发包人供应的，检验试验费由发包人承担；承包人采购的，检验试验费由承包人承担。</w:t>
      </w:r>
    </w:p>
    <w:p>
      <w:pPr>
        <w:pStyle w:val="13"/>
        <w:shd w:val="clear" w:color="000000" w:fill="auto"/>
        <w:tabs>
          <w:tab w:val="left" w:pos="1620"/>
          <w:tab w:val="left" w:pos="1980"/>
          <w:tab w:val="left" w:pos="2520"/>
          <w:tab w:val="left" w:pos="2700"/>
        </w:tabs>
        <w:adjustRightInd w:val="0"/>
        <w:snapToGrid w:val="0"/>
        <w:spacing w:line="360" w:lineRule="auto"/>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50.5 </w:t>
      </w:r>
      <w:r>
        <w:rPr>
          <w:rFonts w:ascii="仿宋" w:hAnsi="仿宋" w:eastAsia="仿宋" w:cs="仿宋"/>
          <w:b/>
          <w:bCs/>
          <w:color w:val="auto"/>
          <w:sz w:val="24"/>
          <w:szCs w:val="24"/>
          <w:highlight w:val="none"/>
          <w:u w:val="dotted"/>
        </w:rPr>
        <w:t xml:space="preserve">                                                                                                        </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68160"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205" name="文本框 20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再次检验试验及其费用承担</w:t>
                            </w:r>
                          </w:p>
                        </w:txbxContent>
                      </wps:txbx>
                      <wps:bodyPr upright="1"/>
                    </wps:wsp>
                  </a:graphicData>
                </a:graphic>
              </wp:anchor>
            </w:drawing>
          </mc:Choice>
          <mc:Fallback>
            <w:pict>
              <v:shape id="文本框 209" o:spid="_x0000_s1026" o:spt="202" type="#_x0000_t202" style="position:absolute;left:0pt;margin-left:-9pt;margin-top:0.65pt;height:31.2pt;width:72pt;z-index:251868160;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lrdoltUA&#10;AAAIAQAADwAAAAAAAAABACAAAAAiAAAAZHJzL2Rvd25yZXYueG1sUEsBAhQAFAAAAAgAh07iQPZv&#10;1BOwAQAAUQMAAA4AAAAAAAAAAQAgAAAAJAEAAGRycy9lMm9Eb2MueG1sUEsFBgAAAAAGAAYAWQEA&#10;AEY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再次检验试验及其费用承担</w:t>
                      </w:r>
                    </w:p>
                  </w:txbxContent>
                </v:textbox>
              </v:shape>
            </w:pict>
          </mc:Fallback>
        </mc:AlternateContent>
      </w:r>
      <w:r>
        <w:rPr>
          <w:rFonts w:hint="eastAsia" w:ascii="仿宋" w:hAnsi="仿宋" w:eastAsia="仿宋" w:cs="仿宋"/>
          <w:color w:val="auto"/>
          <w:sz w:val="24"/>
          <w:szCs w:val="24"/>
          <w:highlight w:val="none"/>
        </w:rPr>
        <w:t>监理工程师对承包人自行检验试验结果有疑问的，或重新查验检验试验结果的，可要求承包人共同对材料和工程设备等产品再次检验试验。</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）合格的，再次检验试验费和（或）延误的工期由发包人承担，并向承包人支付合理利润。</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）不合格的，发包人供应的，再次检验试验费和（或）延误的工期由发包人承担，并向承包人支付合理利润；承包人采购的，再次检验试验费和（或）延误的工期由承包人承担。</w:t>
      </w:r>
    </w:p>
    <w:p>
      <w:pPr>
        <w:pStyle w:val="13"/>
        <w:shd w:val="clear" w:color="000000" w:fill="auto"/>
        <w:tabs>
          <w:tab w:val="left" w:pos="540"/>
        </w:tabs>
        <w:adjustRightInd w:val="0"/>
        <w:snapToGrid w:val="0"/>
        <w:spacing w:line="360" w:lineRule="auto"/>
        <w:ind w:firstLine="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50.6 </w:t>
      </w:r>
      <w:r>
        <w:rPr>
          <w:rFonts w:ascii="仿宋" w:hAnsi="仿宋" w:eastAsia="仿宋" w:cs="仿宋"/>
          <w:b/>
          <w:bCs/>
          <w:color w:val="auto"/>
          <w:sz w:val="24"/>
          <w:szCs w:val="24"/>
          <w:highlight w:val="none"/>
          <w:u w:val="dotted"/>
        </w:rPr>
        <w:t xml:space="preserve">                                                                           </w:t>
      </w:r>
      <w:r>
        <w:rPr>
          <w:color w:val="auto"/>
          <w:highlight w:val="none"/>
        </w:rPr>
        <mc:AlternateContent>
          <mc:Choice Requires="wps">
            <w:drawing>
              <wp:anchor distT="0" distB="0" distL="114300" distR="114300" simplePos="0" relativeHeight="251869184" behindDoc="0" locked="0" layoutInCell="1" allowOverlap="1">
                <wp:simplePos x="0" y="0"/>
                <wp:positionH relativeFrom="column">
                  <wp:posOffset>-114300</wp:posOffset>
                </wp:positionH>
                <wp:positionV relativeFrom="paragraph">
                  <wp:posOffset>245110</wp:posOffset>
                </wp:positionV>
                <wp:extent cx="914400" cy="690245"/>
                <wp:effectExtent l="0" t="0" r="0" b="0"/>
                <wp:wrapNone/>
                <wp:docPr id="206" name="文本框 210"/>
                <wp:cNvGraphicFramePr/>
                <a:graphic xmlns:a="http://schemas.openxmlformats.org/drawingml/2006/main">
                  <a:graphicData uri="http://schemas.microsoft.com/office/word/2010/wordprocessingShape">
                    <wps:wsp>
                      <wps:cNvSpPr txBox="1"/>
                      <wps:spPr>
                        <a:xfrm>
                          <a:off x="0" y="0"/>
                          <a:ext cx="914400" cy="69024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wps:txbx>
                      <wps:bodyPr upright="1"/>
                    </wps:wsp>
                  </a:graphicData>
                </a:graphic>
              </wp:anchor>
            </w:drawing>
          </mc:Choice>
          <mc:Fallback>
            <w:pict>
              <v:shape id="文本框 210" o:spid="_x0000_s1026" o:spt="202" type="#_x0000_t202" style="position:absolute;left:0pt;margin-left:-9pt;margin-top:19.3pt;height:54.35pt;width:72pt;z-index:251869184;mso-width-relative:page;mso-height-relative:page;" filled="f" stroked="f" coordsize="21600,21600" o:gfxdata="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UXPofY&#10;AAAACgEAAA8AAAAAAAAAAQAgAAAAIgAAAGRycy9kb3ducmV2LnhtbFBLAQIUABQAAAAIAIdO4kBx&#10;YVHOrgEAAFEDAAAOAAAAAAAAAAEAIAAAACcBAABkcnMvZTJvRG9jLnhtbFBLBQYAAAAABgAGAFkB&#10;AABH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v:textbox>
              </v:shape>
            </w:pict>
          </mc:Fallback>
        </mc:AlternateContent>
      </w:r>
      <w:r>
        <w:rPr>
          <w:rFonts w:ascii="仿宋" w:hAnsi="仿宋" w:eastAsia="仿宋" w:cs="仿宋"/>
          <w:b/>
          <w:bCs/>
          <w:color w:val="auto"/>
          <w:sz w:val="24"/>
          <w:szCs w:val="24"/>
          <w:highlight w:val="none"/>
          <w:u w:val="dotted"/>
        </w:rPr>
        <w:t xml:space="preserve">    </w:t>
      </w:r>
    </w:p>
    <w:p>
      <w:pPr>
        <w:pStyle w:val="13"/>
        <w:shd w:val="clear" w:color="000000" w:fill="auto"/>
        <w:adjustRightInd w:val="0"/>
        <w:snapToGrid w:val="0"/>
        <w:spacing w:line="360" w:lineRule="auto"/>
        <w:ind w:left="1619" w:leftChars="771"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合同双方当事人对材料和工程设备等产品质量有争议的，所需的检验试验费由责任方承担。双方均有责任的，由双方根据其责任划分分别承担。</w:t>
      </w:r>
    </w:p>
    <w:p>
      <w:pPr>
        <w:pStyle w:val="13"/>
        <w:shd w:val="clear" w:color="000000" w:fill="auto"/>
        <w:adjustRightInd w:val="0"/>
        <w:snapToGrid w:val="0"/>
        <w:spacing w:line="360" w:lineRule="auto"/>
        <w:ind w:firstLine="0"/>
        <w:rPr>
          <w:rFonts w:ascii="仿宋" w:hAnsi="仿宋" w:eastAsia="仿宋" w:cs="仿宋"/>
          <w:color w:val="auto"/>
          <w:sz w:val="24"/>
          <w:szCs w:val="24"/>
          <w:highlight w:val="none"/>
          <w:u w:val="single"/>
        </w:rPr>
      </w:pPr>
      <w:r>
        <w:rPr>
          <w:rFonts w:ascii="仿宋" w:hAnsi="仿宋" w:eastAsia="仿宋" w:cs="仿宋"/>
          <w:b/>
          <w:bCs/>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p>
    <w:p>
      <w:pPr>
        <w:pStyle w:val="13"/>
        <w:shd w:val="clear" w:color="000000" w:fill="auto"/>
        <w:adjustRightInd w:val="0"/>
        <w:snapToGrid w:val="0"/>
        <w:spacing w:line="360" w:lineRule="auto"/>
        <w:ind w:firstLine="0"/>
        <w:outlineLvl w:val="2"/>
        <w:rPr>
          <w:rFonts w:ascii="仿宋" w:hAnsi="仿宋" w:eastAsia="仿宋"/>
          <w:b/>
          <w:bCs/>
          <w:color w:val="auto"/>
          <w:sz w:val="24"/>
          <w:szCs w:val="24"/>
          <w:highlight w:val="none"/>
        </w:rPr>
      </w:pPr>
      <w:bookmarkStart w:id="278" w:name="_Toc19396"/>
      <w:bookmarkStart w:id="279" w:name="_Toc10624874"/>
      <w:bookmarkStart w:id="280" w:name="_Toc469384034"/>
      <w:r>
        <w:rPr>
          <w:rFonts w:ascii="仿宋" w:hAnsi="仿宋" w:eastAsia="仿宋" w:cs="仿宋"/>
          <w:b/>
          <w:bCs/>
          <w:color w:val="auto"/>
          <w:sz w:val="24"/>
          <w:szCs w:val="24"/>
          <w:highlight w:val="none"/>
        </w:rPr>
        <w:t xml:space="preserve">51  </w:t>
      </w:r>
      <w:r>
        <w:rPr>
          <w:rFonts w:hint="eastAsia" w:ascii="仿宋" w:hAnsi="仿宋" w:eastAsia="仿宋" w:cs="仿宋"/>
          <w:b/>
          <w:bCs/>
          <w:color w:val="auto"/>
          <w:sz w:val="24"/>
          <w:szCs w:val="24"/>
          <w:highlight w:val="none"/>
        </w:rPr>
        <w:t>施工设备和临时设施</w:t>
      </w:r>
      <w:bookmarkEnd w:id="278"/>
      <w:bookmarkEnd w:id="279"/>
      <w:bookmarkEnd w:id="280"/>
    </w:p>
    <w:p>
      <w:pPr>
        <w:pStyle w:val="13"/>
        <w:shd w:val="clear" w:color="000000" w:fill="auto"/>
        <w:adjustRightInd w:val="0"/>
        <w:snapToGrid w:val="0"/>
        <w:spacing w:line="360" w:lineRule="auto"/>
        <w:ind w:firstLine="0"/>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51.1 </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70208" behindDoc="0" locked="0" layoutInCell="1" allowOverlap="1">
                <wp:simplePos x="0" y="0"/>
                <wp:positionH relativeFrom="column">
                  <wp:posOffset>-73660</wp:posOffset>
                </wp:positionH>
                <wp:positionV relativeFrom="paragraph">
                  <wp:posOffset>5715</wp:posOffset>
                </wp:positionV>
                <wp:extent cx="988060" cy="753110"/>
                <wp:effectExtent l="0" t="0" r="0" b="0"/>
                <wp:wrapNone/>
                <wp:docPr id="207" name="文本框 211"/>
                <wp:cNvGraphicFramePr/>
                <a:graphic xmlns:a="http://schemas.openxmlformats.org/drawingml/2006/main">
                  <a:graphicData uri="http://schemas.microsoft.com/office/word/2010/wordprocessingShape">
                    <wps:wsp>
                      <wps:cNvSpPr txBox="1"/>
                      <wps:spPr>
                        <a:xfrm>
                          <a:off x="0" y="0"/>
                          <a:ext cx="988060" cy="75311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wps:txbx>
                      <wps:bodyPr upright="1"/>
                    </wps:wsp>
                  </a:graphicData>
                </a:graphic>
              </wp:anchor>
            </w:drawing>
          </mc:Choice>
          <mc:Fallback>
            <w:pict>
              <v:shape id="文本框 211" o:spid="_x0000_s1026" o:spt="202" type="#_x0000_t202" style="position:absolute;left:0pt;margin-left:-5.8pt;margin-top:0.45pt;height:59.3pt;width:77.8pt;z-index:251870208;mso-width-relative:page;mso-height-relative:page;" filled="f" stroked="f" coordsize="21600,21600" o:gfxdata="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KtbrHNUA&#10;AAAIAQAADwAAAAAAAAABACAAAAAiAAAAZHJzL2Rvd25yZXYueG1sUEsBAhQAFAAAAAgAh07iQJIB&#10;4oKwAQAAUQMAAA4AAAAAAAAAAQAgAAAAJAEAAGRycy9lMm9Eb2MueG1sUEsFBgAAAAAGAAYAWQEA&#10;AEY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v:textbox>
              </v:shape>
            </w:pict>
          </mc:Fallback>
        </mc:AlternateContent>
      </w:r>
      <w:r>
        <w:rPr>
          <w:rFonts w:hint="eastAsia" w:ascii="仿宋" w:hAnsi="仿宋" w:eastAsia="仿宋" w:cs="仿宋"/>
          <w:color w:val="auto"/>
          <w:sz w:val="24"/>
          <w:szCs w:val="24"/>
          <w:highlight w:val="none"/>
        </w:rPr>
        <w:t>承包人应按合同工程进度计划的要求，及时配置施工设备和修建临时设施。除专用条款另有约定外，承包人应自行承担修建临时设施的费用。需要临时占地的，发包人应办理其申请手续并承担相应费用。</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进入施工场地的承包人施工设备，需经监理工程师核查后才能投入使用。承包人更换合同约定自身施工设备的，应经监理工程师同意并由其报发包人批准后方可实施。</w:t>
      </w:r>
    </w:p>
    <w:p>
      <w:pPr>
        <w:pStyle w:val="13"/>
        <w:shd w:val="clear" w:color="000000" w:fill="auto"/>
        <w:tabs>
          <w:tab w:val="left" w:pos="540"/>
        </w:tabs>
        <w:adjustRightInd w:val="0"/>
        <w:snapToGrid w:val="0"/>
        <w:spacing w:line="360" w:lineRule="auto"/>
        <w:ind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71232" behindDoc="0" locked="0" layoutInCell="1" allowOverlap="1">
                <wp:simplePos x="0" y="0"/>
                <wp:positionH relativeFrom="column">
                  <wp:posOffset>-66675</wp:posOffset>
                </wp:positionH>
                <wp:positionV relativeFrom="paragraph">
                  <wp:posOffset>215900</wp:posOffset>
                </wp:positionV>
                <wp:extent cx="873760" cy="685800"/>
                <wp:effectExtent l="0" t="0" r="0" b="0"/>
                <wp:wrapNone/>
                <wp:docPr id="208" name="文本框 212"/>
                <wp:cNvGraphicFramePr/>
                <a:graphic xmlns:a="http://schemas.openxmlformats.org/drawingml/2006/main">
                  <a:graphicData uri="http://schemas.microsoft.com/office/word/2010/wordprocessingShape">
                    <wps:wsp>
                      <wps:cNvSpPr txBox="1"/>
                      <wps:spPr>
                        <a:xfrm>
                          <a:off x="0" y="0"/>
                          <a:ext cx="873760" cy="68580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发包人提供的施工设备和临时设施</w:t>
                            </w:r>
                          </w:p>
                          <w:p>
                            <w:pPr>
                              <w:spacing w:line="240" w:lineRule="exact"/>
                              <w:rPr>
                                <w:rFonts w:cs="Times New Roman"/>
                                <w:sz w:val="18"/>
                                <w:szCs w:val="18"/>
                              </w:rPr>
                            </w:pPr>
                          </w:p>
                        </w:txbxContent>
                      </wps:txbx>
                      <wps:bodyPr upright="1"/>
                    </wps:wsp>
                  </a:graphicData>
                </a:graphic>
              </wp:anchor>
            </w:drawing>
          </mc:Choice>
          <mc:Fallback>
            <w:pict>
              <v:shape id="文本框 212" o:spid="_x0000_s1026" o:spt="202" type="#_x0000_t202" style="position:absolute;left:0pt;margin-left:-5.25pt;margin-top:17pt;height:54pt;width:68.8pt;z-index:251871232;mso-width-relative:page;mso-height-relative:page;" filled="f" stroked="f" coordsize="21600,21600" o:gfxdata="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JPsD3X&#10;AAAACgEAAA8AAAAAAAAAAQAgAAAAIgAAAGRycy9kb3ducmV2LnhtbFBLAQIUABQAAAAIAIdO4kBl&#10;RXH0rwEAAFEDAAAOAAAAAAAAAAEAIAAAACYBAABkcnMvZTJvRG9jLnhtbFBLBQYAAAAABgAGAFkB&#10;AABH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发包人提供的施工设备和临时设施</w:t>
                      </w:r>
                    </w:p>
                    <w:p>
                      <w:pPr>
                        <w:spacing w:line="240" w:lineRule="exact"/>
                        <w:rPr>
                          <w:rFonts w:cs="Times New Roman"/>
                          <w:sz w:val="18"/>
                          <w:szCs w:val="18"/>
                        </w:rPr>
                      </w:pPr>
                    </w:p>
                  </w:txbxContent>
                </v:textbox>
              </v:shape>
            </w:pict>
          </mc:Fallback>
        </mc:AlternateContent>
      </w:r>
      <w:r>
        <w:rPr>
          <w:rFonts w:ascii="仿宋" w:hAnsi="仿宋" w:eastAsia="仿宋" w:cs="仿宋"/>
          <w:b/>
          <w:bCs/>
          <w:color w:val="auto"/>
          <w:sz w:val="24"/>
          <w:szCs w:val="24"/>
          <w:highlight w:val="none"/>
        </w:rPr>
        <w:t xml:space="preserve">51.2 </w:t>
      </w:r>
      <w:r>
        <w:rPr>
          <w:rFonts w:ascii="仿宋" w:hAnsi="仿宋" w:eastAsia="仿宋" w:cs="仿宋"/>
          <w:color w:val="auto"/>
          <w:sz w:val="24"/>
          <w:szCs w:val="24"/>
          <w:highlight w:val="none"/>
          <w:u w:val="dotted"/>
        </w:rPr>
        <w:t xml:space="preserve">                                                                                                        </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如果发包人提供施工设备或临时设施的，合同双方当事人应在专用条款中约定施工设备或临时设施的品种、规格、型号和提供的时间、地点等内容。</w:t>
      </w:r>
    </w:p>
    <w:p>
      <w:pPr>
        <w:pStyle w:val="13"/>
        <w:shd w:val="clear" w:color="000000" w:fill="auto"/>
        <w:tabs>
          <w:tab w:val="left" w:pos="540"/>
        </w:tabs>
        <w:adjustRightInd w:val="0"/>
        <w:snapToGrid w:val="0"/>
        <w:spacing w:line="360" w:lineRule="auto"/>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51.3 </w:t>
      </w:r>
      <w:r>
        <w:rPr>
          <w:rFonts w:ascii="仿宋" w:hAnsi="仿宋" w:eastAsia="仿宋" w:cs="仿宋"/>
          <w:b/>
          <w:bCs/>
          <w:color w:val="auto"/>
          <w:sz w:val="24"/>
          <w:szCs w:val="24"/>
          <w:highlight w:val="none"/>
          <w:u w:val="dotted"/>
        </w:rPr>
        <w:t xml:space="preserve">                                                                                                        </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72256"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209" name="文本框 213"/>
                <wp:cNvGraphicFramePr/>
                <a:graphic xmlns:a="http://schemas.openxmlformats.org/drawingml/2006/main">
                  <a:graphicData uri="http://schemas.microsoft.com/office/word/2010/wordprocessingShape">
                    <wps:wsp>
                      <wps:cNvSpPr txBox="1"/>
                      <wps:spPr>
                        <a:xfrm>
                          <a:off x="0" y="0"/>
                          <a:ext cx="873760" cy="65976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承包人增加或更换施工设备</w:t>
                            </w:r>
                          </w:p>
                        </w:txbxContent>
                      </wps:txbx>
                      <wps:bodyPr upright="1"/>
                    </wps:wsp>
                  </a:graphicData>
                </a:graphic>
              </wp:anchor>
            </w:drawing>
          </mc:Choice>
          <mc:Fallback>
            <w:pict>
              <v:shape id="文本框 213" o:spid="_x0000_s1026" o:spt="202" type="#_x0000_t202" style="position:absolute;left:0pt;margin-left:-5.8pt;margin-top:0.7pt;height:51.95pt;width:68.8pt;z-index:251872256;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umFIAdUA&#10;AAAJAQAADwAAAAAAAAABACAAAAAiAAAAZHJzL2Rvd25yZXYueG1sUEsBAhQAFAAAAAgAh07iQBCP&#10;v1ywAQAAUQMAAA4AAAAAAAAAAQAgAAAAJAEAAGRycy9lMm9Eb2MueG1sUEsFBgAAAAAGAAYAWQEA&#10;AEY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承包人增加或更换施工设备</w:t>
                      </w:r>
                    </w:p>
                  </w:txbxContent>
                </v:textbox>
              </v:shape>
            </w:pict>
          </mc:Fallback>
        </mc:AlternateContent>
      </w:r>
      <w:r>
        <w:rPr>
          <w:rFonts w:hint="eastAsia" w:ascii="仿宋" w:hAnsi="仿宋" w:eastAsia="仿宋" w:cs="仿宋"/>
          <w:color w:val="auto"/>
          <w:sz w:val="24"/>
          <w:szCs w:val="24"/>
          <w:highlight w:val="none"/>
        </w:rPr>
        <w:t>如果承包人使用的施工设备不能满足合同工程进度计划和（或）质量要求的，监理工程师有权要求承包人增加或更换施工设备，承包人应及时增加或更换，由此增加的费用和（或）延误的工期由承包人承担。</w:t>
      </w:r>
    </w:p>
    <w:p>
      <w:pPr>
        <w:pStyle w:val="13"/>
        <w:shd w:val="clear" w:color="000000" w:fill="auto"/>
        <w:tabs>
          <w:tab w:val="left" w:pos="540"/>
        </w:tabs>
        <w:adjustRightInd w:val="0"/>
        <w:snapToGrid w:val="0"/>
        <w:spacing w:line="360" w:lineRule="auto"/>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51.4  </w:t>
      </w:r>
      <w:r>
        <w:rPr>
          <w:rFonts w:ascii="仿宋" w:hAnsi="仿宋" w:eastAsia="仿宋" w:cs="仿宋"/>
          <w:b/>
          <w:bCs/>
          <w:color w:val="auto"/>
          <w:sz w:val="24"/>
          <w:szCs w:val="24"/>
          <w:highlight w:val="none"/>
          <w:u w:val="dotted"/>
        </w:rPr>
        <w:t xml:space="preserve">                                                                                                        </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运至施工现场的施工设备和在施工现场修建的临时设施，均应视为专门用于实施合同工程。除经监理工程师同意并由其报发包人批准，承包人可根据合同工程进度计划撤走闲置的施工设备</w:t>
      </w:r>
      <w:r>
        <w:rPr>
          <w:color w:val="auto"/>
          <w:highlight w:val="none"/>
        </w:rPr>
        <mc:AlternateContent>
          <mc:Choice Requires="wps">
            <w:drawing>
              <wp:anchor distT="0" distB="0" distL="114300" distR="114300" simplePos="0" relativeHeight="251873280" behindDoc="0" locked="0" layoutInCell="1" allowOverlap="1">
                <wp:simplePos x="0" y="0"/>
                <wp:positionH relativeFrom="column">
                  <wp:posOffset>-114300</wp:posOffset>
                </wp:positionH>
                <wp:positionV relativeFrom="paragraph">
                  <wp:posOffset>46355</wp:posOffset>
                </wp:positionV>
                <wp:extent cx="914400" cy="659130"/>
                <wp:effectExtent l="0" t="0" r="0" b="0"/>
                <wp:wrapNone/>
                <wp:docPr id="210" name="文本框 214"/>
                <wp:cNvGraphicFramePr/>
                <a:graphic xmlns:a="http://schemas.openxmlformats.org/drawingml/2006/main">
                  <a:graphicData uri="http://schemas.microsoft.com/office/word/2010/wordprocessingShape">
                    <wps:wsp>
                      <wps:cNvSpPr txBox="1"/>
                      <wps:spPr>
                        <a:xfrm>
                          <a:off x="0" y="0"/>
                          <a:ext cx="914400" cy="65913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wps:txbx>
                      <wps:bodyPr upright="1"/>
                    </wps:wsp>
                  </a:graphicData>
                </a:graphic>
              </wp:anchor>
            </w:drawing>
          </mc:Choice>
          <mc:Fallback>
            <w:pict>
              <v:shape id="文本框 214" o:spid="_x0000_s1026" o:spt="202" type="#_x0000_t202" style="position:absolute;left:0pt;margin-left:-9pt;margin-top:3.65pt;height:51.9pt;width:72pt;z-index:251873280;mso-width-relative:page;mso-height-relative:page;" filled="f" stroked="f" coordsize="21600,21600" o:gfxdata="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6jqlI1QAA&#10;AAkBAAAPAAAAAAAAAAEAIAAAACIAAABkcnMvZG93bnJldi54bWxQSwECFAAUAAAACACHTuJAvwv7&#10;BK8BAABRAwAADgAAAAAAAAABACAAAAAkAQAAZHJzL2Uyb0RvYy54bWxQSwUGAAAAAAYABgBZAQAA&#10;RQ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v:textbox>
              </v:shape>
            </w:pict>
          </mc:Fallback>
        </mc:AlternateContent>
      </w:r>
      <w:r>
        <w:rPr>
          <w:rFonts w:hint="eastAsia" w:ascii="仿宋" w:hAnsi="仿宋" w:eastAsia="仿宋" w:cs="仿宋"/>
          <w:color w:val="auto"/>
          <w:sz w:val="24"/>
          <w:szCs w:val="24"/>
          <w:highlight w:val="none"/>
        </w:rPr>
        <w:t>外，承包人不得将上述施工设备和临时设施中的任何部分运出施工场地或挪作他用。</w:t>
      </w:r>
    </w:p>
    <w:p>
      <w:pPr>
        <w:pStyle w:val="2"/>
        <w:shd w:val="clear" w:color="000000" w:fill="auto"/>
        <w:tabs>
          <w:tab w:val="left" w:pos="540"/>
        </w:tabs>
        <w:adjustRightInd w:val="0"/>
        <w:snapToGrid w:val="0"/>
        <w:spacing w:before="240" w:beforeLines="100" w:line="240" w:lineRule="exact"/>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281" w:name="_Toc10624875"/>
      <w:bookmarkStart w:id="282" w:name="_Toc469384035"/>
      <w:bookmarkStart w:id="283" w:name="_Toc27372"/>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52  </w:t>
      </w:r>
      <w:r>
        <w:rPr>
          <w:rFonts w:hint="eastAsia" w:ascii="仿宋" w:hAnsi="仿宋" w:eastAsia="仿宋" w:cs="仿宋"/>
          <w:b/>
          <w:bCs/>
          <w:color w:val="auto"/>
          <w:sz w:val="24"/>
          <w:szCs w:val="24"/>
          <w:highlight w:val="none"/>
        </w:rPr>
        <w:t>工程质量检查</w:t>
      </w:r>
      <w:bookmarkEnd w:id="281"/>
      <w:bookmarkEnd w:id="282"/>
      <w:bookmarkEnd w:id="283"/>
    </w:p>
    <w:p>
      <w:pPr>
        <w:pStyle w:val="13"/>
        <w:shd w:val="clear" w:color="000000" w:fill="auto"/>
        <w:adjustRightInd w:val="0"/>
        <w:snapToGrid w:val="0"/>
        <w:spacing w:line="360" w:lineRule="auto"/>
        <w:ind w:firstLine="0"/>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52.1 </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74304" behindDoc="0" locked="0" layoutInCell="1" allowOverlap="1">
                <wp:simplePos x="0" y="0"/>
                <wp:positionH relativeFrom="column">
                  <wp:posOffset>-73660</wp:posOffset>
                </wp:positionH>
                <wp:positionV relativeFrom="paragraph">
                  <wp:posOffset>5715</wp:posOffset>
                </wp:positionV>
                <wp:extent cx="988060" cy="522605"/>
                <wp:effectExtent l="0" t="0" r="0" b="0"/>
                <wp:wrapNone/>
                <wp:docPr id="211" name="文本框 215"/>
                <wp:cNvGraphicFramePr/>
                <a:graphic xmlns:a="http://schemas.openxmlformats.org/drawingml/2006/main">
                  <a:graphicData uri="http://schemas.microsoft.com/office/word/2010/wordprocessingShape">
                    <wps:wsp>
                      <wps:cNvSpPr txBox="1"/>
                      <wps:spPr>
                        <a:xfrm>
                          <a:off x="0" y="0"/>
                          <a:ext cx="988060" cy="52260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承包人对工程</w:t>
                            </w:r>
                          </w:p>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质量检查的义</w:t>
                            </w:r>
                          </w:p>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txbxContent>
                      </wps:txbx>
                      <wps:bodyPr upright="1"/>
                    </wps:wsp>
                  </a:graphicData>
                </a:graphic>
              </wp:anchor>
            </w:drawing>
          </mc:Choice>
          <mc:Fallback>
            <w:pict>
              <v:shape id="文本框 215" o:spid="_x0000_s1026" o:spt="202" type="#_x0000_t202" style="position:absolute;left:0pt;margin-left:-5.8pt;margin-top:0.45pt;height:41.15pt;width:77.8pt;z-index:251874304;mso-width-relative:page;mso-height-relative:page;" filled="f" stroked="f" coordsize="21600,21600" o:gfxdata="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pu+lR1QAA&#10;AAcBAAAPAAAAAAAAAAEAIAAAACIAAABkcnMvZG93bnJldi54bWxQSwECFAAUAAAACACHTuJA3IN3&#10;sK8BAABRAwAADgAAAAAAAAABACAAAAAkAQAAZHJzL2Uyb0RvYy54bWxQSwUGAAAAAAYABgBZAQAA&#10;RQ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承包人对工程</w:t>
                      </w:r>
                    </w:p>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质量检查的义</w:t>
                      </w:r>
                    </w:p>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txbxContent>
                </v:textbox>
              </v:shape>
            </w:pict>
          </mc:Fallback>
        </mc:AlternateContent>
      </w:r>
      <w:r>
        <w:rPr>
          <w:rFonts w:hint="eastAsia" w:ascii="仿宋" w:hAnsi="仿宋" w:eastAsia="仿宋" w:cs="仿宋"/>
          <w:color w:val="auto"/>
          <w:sz w:val="24"/>
          <w:szCs w:val="24"/>
          <w:highlight w:val="none"/>
        </w:rPr>
        <w:t>承包人应按照标准与规范、设计要求以及监理工程师依据合同约定发出的指令施工，确保工程质量，随时接受监理工程师的检查，并为监理工程师的检查（包括监理工程师到施工场地，或合同约定的其他地方察看和查阅施工原始记录等）提供便利和协助。</w:t>
      </w:r>
    </w:p>
    <w:p>
      <w:pPr>
        <w:pStyle w:val="13"/>
        <w:shd w:val="clear" w:color="000000" w:fill="auto"/>
        <w:tabs>
          <w:tab w:val="left" w:pos="540"/>
        </w:tabs>
        <w:adjustRightInd w:val="0"/>
        <w:snapToGrid w:val="0"/>
        <w:spacing w:line="360" w:lineRule="auto"/>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52.2 </w:t>
      </w:r>
      <w:r>
        <w:rPr>
          <w:rFonts w:ascii="仿宋" w:hAnsi="仿宋" w:eastAsia="仿宋" w:cs="仿宋"/>
          <w:b/>
          <w:bCs/>
          <w:color w:val="auto"/>
          <w:sz w:val="24"/>
          <w:szCs w:val="24"/>
          <w:highlight w:val="none"/>
          <w:u w:val="dotted"/>
        </w:rPr>
        <w:t xml:space="preserve">                                                                                                        </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75328" behindDoc="0" locked="0" layoutInCell="1" allowOverlap="1">
                <wp:simplePos x="0" y="0"/>
                <wp:positionH relativeFrom="column">
                  <wp:posOffset>-73660</wp:posOffset>
                </wp:positionH>
                <wp:positionV relativeFrom="paragraph">
                  <wp:posOffset>8890</wp:posOffset>
                </wp:positionV>
                <wp:extent cx="873760" cy="448310"/>
                <wp:effectExtent l="0" t="0" r="0" b="0"/>
                <wp:wrapNone/>
                <wp:docPr id="212" name="文本框 216"/>
                <wp:cNvGraphicFramePr/>
                <a:graphic xmlns:a="http://schemas.openxmlformats.org/drawingml/2006/main">
                  <a:graphicData uri="http://schemas.microsoft.com/office/word/2010/wordprocessingShape">
                    <wps:wsp>
                      <wps:cNvSpPr txBox="1"/>
                      <wps:spPr>
                        <a:xfrm>
                          <a:off x="0" y="0"/>
                          <a:ext cx="873760" cy="448310"/>
                        </a:xfrm>
                        <a:prstGeom prst="rect">
                          <a:avLst/>
                        </a:prstGeom>
                        <a:noFill/>
                        <a:ln>
                          <a:noFill/>
                        </a:ln>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工程质量检查的要求</w:t>
                            </w:r>
                          </w:p>
                        </w:txbxContent>
                      </wps:txbx>
                      <wps:bodyPr upright="1"/>
                    </wps:wsp>
                  </a:graphicData>
                </a:graphic>
              </wp:anchor>
            </w:drawing>
          </mc:Choice>
          <mc:Fallback>
            <w:pict>
              <v:shape id="文本框 216" o:spid="_x0000_s1026" o:spt="202" type="#_x0000_t202" style="position:absolute;left:0pt;margin-left:-5.8pt;margin-top:0.7pt;height:35.3pt;width:68.8pt;z-index:251875328;mso-width-relative:page;mso-height-relative:page;" filled="f" stroked="f" coordsize="21600,21600" o:gfxdata="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BGpak9UA&#10;AAAIAQAADwAAAAAAAAABACAAAAAiAAAAZHJzL2Rvd25yZXYueG1sUEsBAhQAFAAAAAgAh07iQC3t&#10;5G2wAQAAUQMAAA4AAAAAAAAAAQAgAAAAJA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工程质量检查的要求</w:t>
                      </w:r>
                    </w:p>
                  </w:txbxContent>
                </v:textbox>
              </v:shape>
            </w:pict>
          </mc:Fallback>
        </mc:AlternateContent>
      </w:r>
      <w:r>
        <w:rPr>
          <w:rFonts w:hint="eastAsia" w:ascii="仿宋" w:hAnsi="仿宋" w:eastAsia="仿宋" w:cs="仿宋"/>
          <w:color w:val="auto"/>
          <w:sz w:val="24"/>
          <w:szCs w:val="24"/>
          <w:highlight w:val="none"/>
        </w:rPr>
        <w:t>承包人应按照合同约定对合同工程的所有部位及其施工工艺进行全过程的质量检查，并做好详细记录，编制工程质量报表，提交监理工程师核实并由其报发包人审批。发包人应通知监理工程师及时对合同工程的所有部位及其施工工艺进行检查；发现质量不合格的，监理工程师应迅速向承包人发出书面指令，通知承包人立即拆除和重新施工。即使经监理工程师检查，也不能免除承包人按照合同约定应承担的任何责任和应履行的任何义务。</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p>
    <w:p>
      <w:pPr>
        <w:pStyle w:val="13"/>
        <w:shd w:val="clear" w:color="000000" w:fill="auto"/>
        <w:tabs>
          <w:tab w:val="left" w:pos="540"/>
        </w:tabs>
        <w:adjustRightInd w:val="0"/>
        <w:snapToGrid w:val="0"/>
        <w:spacing w:line="360" w:lineRule="auto"/>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52.3 </w:t>
      </w:r>
      <w:r>
        <w:rPr>
          <w:rFonts w:ascii="仿宋" w:hAnsi="仿宋" w:eastAsia="仿宋" w:cs="仿宋"/>
          <w:b/>
          <w:bCs/>
          <w:color w:val="auto"/>
          <w:sz w:val="24"/>
          <w:szCs w:val="24"/>
          <w:highlight w:val="none"/>
          <w:u w:val="dotted"/>
        </w:rPr>
        <w:t xml:space="preserve">                                                                                                        </w:t>
      </w:r>
    </w:p>
    <w:p>
      <w:pPr>
        <w:pStyle w:val="13"/>
        <w:shd w:val="clear" w:color="000000" w:fill="auto"/>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76352"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213" name="文本框 217"/>
                <wp:cNvGraphicFramePr/>
                <a:graphic xmlns:a="http://schemas.openxmlformats.org/drawingml/2006/main">
                  <a:graphicData uri="http://schemas.microsoft.com/office/word/2010/wordprocessingShape">
                    <wps:wsp>
                      <wps:cNvSpPr txBox="1"/>
                      <wps:spPr>
                        <a:xfrm>
                          <a:off x="0" y="0"/>
                          <a:ext cx="873760" cy="65976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wps:txbx>
                      <wps:bodyPr upright="1"/>
                    </wps:wsp>
                  </a:graphicData>
                </a:graphic>
              </wp:anchor>
            </w:drawing>
          </mc:Choice>
          <mc:Fallback>
            <w:pict>
              <v:shape id="文本框 217" o:spid="_x0000_s1026" o:spt="202" type="#_x0000_t202" style="position:absolute;left:0pt;margin-left:-5.8pt;margin-top:0.7pt;height:51.95pt;width:68.8pt;z-index:251876352;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umFIAdUA&#10;AAAJAQAADwAAAAAAAAABACAAAAAiAAAAZHJzL2Rvd25yZXYueG1sUEsBAhQAFAAAAAgAh07iQGkg&#10;W7GwAQAAUQMAAA4AAAAAAAAAAQAgAAAAJA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v:textbox>
              </v:shape>
            </w:pict>
          </mc:Fallback>
        </mc:AlternateContent>
      </w:r>
      <w:r>
        <w:rPr>
          <w:rFonts w:hint="eastAsia" w:ascii="仿宋" w:hAnsi="仿宋" w:eastAsia="仿宋" w:cs="仿宋"/>
          <w:color w:val="auto"/>
          <w:sz w:val="24"/>
          <w:szCs w:val="24"/>
          <w:highlight w:val="none"/>
        </w:rPr>
        <w:t>发现工程质量达不到合同约定验收标准，承包人应拆除和重新施工，直到符合合同约定验收标准为止。因承包人的原因达不到合同约定验收标准的，由此增加的费用和（或）延误的工期由承包人承担；因发包人的原因达不到合同约定验收标准的，包括承包人拆除和重新施工费用在内的由此增加的费用和（或）延误的工期由发包人承担，并向承包人支付合理利润。</w:t>
      </w:r>
    </w:p>
    <w:p>
      <w:pPr>
        <w:pStyle w:val="13"/>
        <w:shd w:val="clear" w:color="000000" w:fill="auto"/>
        <w:tabs>
          <w:tab w:val="left" w:pos="540"/>
        </w:tabs>
        <w:adjustRightInd w:val="0"/>
        <w:snapToGrid w:val="0"/>
        <w:spacing w:line="360" w:lineRule="auto"/>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52.4  </w:t>
      </w:r>
      <w:r>
        <w:rPr>
          <w:rFonts w:ascii="仿宋" w:hAnsi="仿宋" w:eastAsia="仿宋" w:cs="仿宋"/>
          <w:b/>
          <w:bCs/>
          <w:color w:val="auto"/>
          <w:sz w:val="24"/>
          <w:szCs w:val="24"/>
          <w:highlight w:val="none"/>
          <w:u w:val="dotted"/>
        </w:rPr>
        <w:t xml:space="preserve">                                                                                                        </w:t>
      </w:r>
    </w:p>
    <w:p>
      <w:pPr>
        <w:pStyle w:val="13"/>
        <w:shd w:val="clear" w:color="000000" w:fill="auto"/>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77376"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214" name="文本框 218"/>
                <wp:cNvGraphicFramePr/>
                <a:graphic xmlns:a="http://schemas.openxmlformats.org/drawingml/2006/main">
                  <a:graphicData uri="http://schemas.microsoft.com/office/word/2010/wordprocessingShape">
                    <wps:wsp>
                      <wps:cNvSpPr txBox="1"/>
                      <wps:spPr>
                        <a:xfrm>
                          <a:off x="0" y="0"/>
                          <a:ext cx="914400" cy="44005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质量检查不得影响施工</w:t>
                            </w:r>
                          </w:p>
                        </w:txbxContent>
                      </wps:txbx>
                      <wps:bodyPr upright="1"/>
                    </wps:wsp>
                  </a:graphicData>
                </a:graphic>
              </wp:anchor>
            </w:drawing>
          </mc:Choice>
          <mc:Fallback>
            <w:pict>
              <v:shape id="文本框 218" o:spid="_x0000_s1026" o:spt="202" type="#_x0000_t202" style="position:absolute;left:0pt;margin-left:-9pt;margin-top:3.65pt;height:34.65pt;width:72pt;z-index:251877376;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PGhhB1AAAAAgB&#10;AAAPAAAAAAAAAAEAIAAAACIAAABkcnMvZG93bnJldi54bWxQSwECFAAUAAAACACHTuJALlf31K0B&#10;AABRAwAADgAAAAAAAAABACAAAAAjAQAAZHJzL2Uyb0RvYy54bWxQSwUGAAAAAAYABgBZAQAAQgUA&#10;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质量检查不得影响施工</w:t>
                      </w:r>
                    </w:p>
                  </w:txbxContent>
                </v:textbox>
              </v:shape>
            </w:pict>
          </mc:Fallback>
        </mc:AlternateContent>
      </w:r>
      <w:r>
        <w:rPr>
          <w:rFonts w:hint="eastAsia" w:ascii="仿宋" w:hAnsi="仿宋" w:eastAsia="仿宋" w:cs="仿宋"/>
          <w:color w:val="auto"/>
          <w:sz w:val="24"/>
          <w:szCs w:val="24"/>
          <w:highlight w:val="none"/>
        </w:rPr>
        <w:t>监理工程师对合同工程质量的检查，不得影响承包人的正常施工。如影响施工正常进行，承包人应向发包人、监理工程师发出书面改正通知；监理工程师应及时予以改正，否则承包人有权提出并得到补偿。</w:t>
      </w:r>
    </w:p>
    <w:p>
      <w:pPr>
        <w:pStyle w:val="13"/>
        <w:shd w:val="clear" w:color="000000" w:fill="auto"/>
        <w:tabs>
          <w:tab w:val="left" w:pos="540"/>
        </w:tabs>
        <w:adjustRightInd w:val="0"/>
        <w:snapToGrid w:val="0"/>
        <w:spacing w:line="360" w:lineRule="auto"/>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52.5  </w:t>
      </w:r>
      <w:r>
        <w:rPr>
          <w:rFonts w:ascii="仿宋" w:hAnsi="仿宋" w:eastAsia="仿宋" w:cs="仿宋"/>
          <w:b/>
          <w:bCs/>
          <w:color w:val="auto"/>
          <w:sz w:val="24"/>
          <w:szCs w:val="24"/>
          <w:highlight w:val="none"/>
          <w:u w:val="dotted"/>
        </w:rPr>
        <w:t xml:space="preserve">                                                                                                        </w:t>
      </w:r>
    </w:p>
    <w:p>
      <w:pPr>
        <w:pStyle w:val="13"/>
        <w:shd w:val="clear" w:color="000000" w:fill="auto"/>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78400"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215" name="文本框 219"/>
                <wp:cNvGraphicFramePr/>
                <a:graphic xmlns:a="http://schemas.openxmlformats.org/drawingml/2006/main">
                  <a:graphicData uri="http://schemas.microsoft.com/office/word/2010/wordprocessingShape">
                    <wps:wsp>
                      <wps:cNvSpPr txBox="1"/>
                      <wps:spPr>
                        <a:xfrm>
                          <a:off x="0" y="0"/>
                          <a:ext cx="914400" cy="44005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现场工艺试验</w:t>
                            </w:r>
                          </w:p>
                        </w:txbxContent>
                      </wps:txbx>
                      <wps:bodyPr upright="1"/>
                    </wps:wsp>
                  </a:graphicData>
                </a:graphic>
              </wp:anchor>
            </w:drawing>
          </mc:Choice>
          <mc:Fallback>
            <w:pict>
              <v:shape id="文本框 219" o:spid="_x0000_s1026" o:spt="202" type="#_x0000_t202" style="position:absolute;left:0pt;margin-left:-9pt;margin-top:3.65pt;height:34.65pt;width:72pt;z-index:251878400;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PGhhB1AAAAAgB&#10;AAAPAAAAAAAAAAEAIAAAACIAAABkcnMvZG93bnJldi54bWxQSwECFAAUAAAACACHTuJADa6JfK0B&#10;AABRAwAADgAAAAAAAAABACAAAAAjAQAAZHJzL2Uyb0RvYy54bWxQSwUGAAAAAAYABgBZAQAAQgUA&#10;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现场工艺试验</w:t>
                      </w:r>
                    </w:p>
                  </w:txbxContent>
                </v:textbox>
              </v:shape>
            </w:pict>
          </mc:Fallback>
        </mc:AlternateContent>
      </w:r>
      <w:r>
        <w:rPr>
          <w:rFonts w:hint="eastAsia" w:ascii="仿宋" w:hAnsi="仿宋" w:eastAsia="仿宋" w:cs="仿宋"/>
          <w:color w:val="auto"/>
          <w:sz w:val="24"/>
          <w:szCs w:val="24"/>
          <w:highlight w:val="none"/>
        </w:rPr>
        <w:t>如合同有约定或监理工程师发出书面指令，承包人应进行现场工艺试验。监理工程师报发包人批准后，认为有必要进行大型现场工艺试验的，承包人应根据监理工程师提出的书面要求，编制工艺试验措施计划，提交监理工程师确认并由其报发包人审批。除工程量清单中已经列有此类工作的支付项目和额度外，由此增加的费用和（或）延误的工期由发包人承担。</w:t>
      </w:r>
    </w:p>
    <w:p>
      <w:pPr>
        <w:pStyle w:val="13"/>
        <w:shd w:val="clear" w:color="000000" w:fill="auto"/>
        <w:adjustRightInd w:val="0"/>
        <w:snapToGrid w:val="0"/>
        <w:ind w:firstLine="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284" w:name="_Toc469384036"/>
      <w:bookmarkStart w:id="285" w:name="_Toc10624876"/>
      <w:bookmarkStart w:id="286" w:name="_Toc13975"/>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53  </w:t>
      </w:r>
      <w:r>
        <w:rPr>
          <w:rFonts w:hint="eastAsia" w:ascii="仿宋" w:hAnsi="仿宋" w:eastAsia="仿宋" w:cs="仿宋"/>
          <w:b/>
          <w:bCs/>
          <w:color w:val="auto"/>
          <w:sz w:val="24"/>
          <w:szCs w:val="24"/>
          <w:highlight w:val="none"/>
        </w:rPr>
        <w:t>隐蔽工程和中间验收</w:t>
      </w:r>
      <w:bookmarkEnd w:id="284"/>
      <w:bookmarkEnd w:id="285"/>
      <w:bookmarkEnd w:id="286"/>
    </w:p>
    <w:p>
      <w:pPr>
        <w:pStyle w:val="13"/>
        <w:shd w:val="clear" w:color="000000" w:fill="auto"/>
        <w:tabs>
          <w:tab w:val="left" w:pos="1320"/>
        </w:tabs>
        <w:adjustRightInd w:val="0"/>
        <w:snapToGrid w:val="0"/>
        <w:spacing w:line="360" w:lineRule="auto"/>
        <w:ind w:firstLine="0"/>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53.1</w:t>
      </w:r>
    </w:p>
    <w:p>
      <w:pPr>
        <w:pStyle w:val="13"/>
        <w:shd w:val="clear" w:color="000000" w:fill="auto"/>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79424" behindDoc="0" locked="0" layoutInCell="1" allowOverlap="1">
                <wp:simplePos x="0" y="0"/>
                <wp:positionH relativeFrom="column">
                  <wp:posOffset>-73660</wp:posOffset>
                </wp:positionH>
                <wp:positionV relativeFrom="paragraph">
                  <wp:posOffset>17780</wp:posOffset>
                </wp:positionV>
                <wp:extent cx="873760" cy="454660"/>
                <wp:effectExtent l="0" t="0" r="0" b="0"/>
                <wp:wrapNone/>
                <wp:docPr id="216" name="文本框 220"/>
                <wp:cNvGraphicFramePr/>
                <a:graphic xmlns:a="http://schemas.openxmlformats.org/drawingml/2006/main">
                  <a:graphicData uri="http://schemas.microsoft.com/office/word/2010/wordprocessingShape">
                    <wps:wsp>
                      <wps:cNvSpPr txBox="1"/>
                      <wps:spPr>
                        <a:xfrm>
                          <a:off x="0" y="0"/>
                          <a:ext cx="873760" cy="45466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隐蔽工程和中间验收的通知</w:t>
                            </w:r>
                          </w:p>
                        </w:txbxContent>
                      </wps:txbx>
                      <wps:bodyPr upright="1"/>
                    </wps:wsp>
                  </a:graphicData>
                </a:graphic>
              </wp:anchor>
            </w:drawing>
          </mc:Choice>
          <mc:Fallback>
            <w:pict>
              <v:shape id="文本框 220" o:spid="_x0000_s1026" o:spt="202" type="#_x0000_t202" style="position:absolute;left:0pt;margin-left:-5.8pt;margin-top:1.4pt;height:35.8pt;width:68.8pt;z-index:251879424;mso-width-relative:page;mso-height-relative:page;" filled="f" stroked="f" coordsize="21600,21600" o:gfxdata="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6iyA7NQAAAAI&#10;AQAADwAAAAAAAAABACAAAAAiAAAAZHJzL2Rvd25yZXYueG1sUEsBAhQAFAAAAAgAh07iQIqeA0Wu&#10;AQAAUQMAAA4AAAAAAAAAAQAgAAAAIwEAAGRycy9lMm9Eb2MueG1sUEsFBgAAAAAGAAYAWQEAAEMF&#10;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隐蔽工程和中间验收的通知</w:t>
                      </w:r>
                    </w:p>
                  </w:txbxContent>
                </v:textbox>
              </v:shape>
            </w:pict>
          </mc:Fallback>
        </mc:AlternateContent>
      </w:r>
      <w:r>
        <w:rPr>
          <w:rFonts w:hint="eastAsia" w:ascii="仿宋" w:hAnsi="仿宋" w:eastAsia="仿宋" w:cs="仿宋"/>
          <w:color w:val="auto"/>
          <w:sz w:val="24"/>
          <w:szCs w:val="24"/>
          <w:highlight w:val="none"/>
        </w:rPr>
        <w:t>没有经监理工程师验收同意，任何工程均不得覆盖或隐蔽。隐蔽工程覆盖前或中间验收部位具备专用条款约定的验收条件时，承包人应进行自检，并在隐蔽或中间验收前</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向监理工程师提出隐蔽工程或中间验收申请，通知监理工程师验收。通知的内容包括工程隐蔽或中间验收的内容、时间、地点，以及自检记录和必要的验收资料。承包人应准备验收记录，并提供必要的资料和协助。</w:t>
      </w:r>
    </w:p>
    <w:p>
      <w:pPr>
        <w:pStyle w:val="13"/>
        <w:shd w:val="clear" w:color="000000" w:fill="auto"/>
        <w:tabs>
          <w:tab w:val="left" w:pos="720"/>
        </w:tabs>
        <w:adjustRightInd w:val="0"/>
        <w:snapToGrid w:val="0"/>
        <w:spacing w:line="360" w:lineRule="auto"/>
        <w:ind w:firstLine="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53.2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13"/>
        <w:shd w:val="clear" w:color="000000" w:fill="auto"/>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80448" behindDoc="0" locked="0" layoutInCell="1" allowOverlap="1">
                <wp:simplePos x="0" y="0"/>
                <wp:positionH relativeFrom="column">
                  <wp:posOffset>-114300</wp:posOffset>
                </wp:positionH>
                <wp:positionV relativeFrom="paragraph">
                  <wp:posOffset>52070</wp:posOffset>
                </wp:positionV>
                <wp:extent cx="914400" cy="466725"/>
                <wp:effectExtent l="0" t="0" r="0" b="0"/>
                <wp:wrapNone/>
                <wp:docPr id="217" name="文本框 221"/>
                <wp:cNvGraphicFramePr/>
                <a:graphic xmlns:a="http://schemas.openxmlformats.org/drawingml/2006/main">
                  <a:graphicData uri="http://schemas.microsoft.com/office/word/2010/wordprocessingShape">
                    <wps:wsp>
                      <wps:cNvSpPr txBox="1"/>
                      <wps:spPr>
                        <a:xfrm>
                          <a:off x="0" y="0"/>
                          <a:ext cx="914400" cy="46672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参加验收的限制</w:t>
                            </w:r>
                          </w:p>
                        </w:txbxContent>
                      </wps:txbx>
                      <wps:bodyPr upright="1"/>
                    </wps:wsp>
                  </a:graphicData>
                </a:graphic>
              </wp:anchor>
            </w:drawing>
          </mc:Choice>
          <mc:Fallback>
            <w:pict>
              <v:shape id="文本框 221" o:spid="_x0000_s1026" o:spt="202" type="#_x0000_t202" style="position:absolute;left:0pt;margin-left:-9pt;margin-top:4.1pt;height:36.75pt;width:72pt;z-index:251880448;mso-width-relative:page;mso-height-relative:page;" filled="f" stroked="f" coordsize="21600,21600" o:gfxdata="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eo09G1QAA&#10;AAgBAAAPAAAAAAAAAAEAIAAAACIAAABkcnMvZG93bnJldi54bWxQSwECFAAUAAAACACHTuJA5azb&#10;6a8BAABRAwAADgAAAAAAAAABACAAAAAkAQAAZHJzL2Uyb0RvYy54bWxQSwUGAAAAAAYABgBZAQAA&#10;R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参加验收的限制</w:t>
                      </w:r>
                    </w:p>
                  </w:txbxContent>
                </v:textbox>
              </v:shape>
            </w:pict>
          </mc:Fallback>
        </mc:AlternateContent>
      </w:r>
      <w:r>
        <w:rPr>
          <w:rFonts w:hint="eastAsia" w:ascii="仿宋" w:hAnsi="仿宋" w:eastAsia="仿宋" w:cs="仿宋"/>
          <w:color w:val="auto"/>
          <w:sz w:val="24"/>
          <w:szCs w:val="24"/>
          <w:highlight w:val="none"/>
        </w:rPr>
        <w:t>如果监理工程师不能按时参加验收，应至少提前</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小时发出延期验收指令并书面说明理由，延期不得超过</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如果监理工程师或其委派的代表未发出延期验收指令也未到场验收，承包人可自行验收，并认为该验收是经监理工程师同意下完成的；由此增加的费用和（或）延误的工期由发包人承担，并向承包人支付合理利润。验收完成后，承包人应立即向监理工程师提交验收记录，监理工程师应予认可。监理工程师事后对验收记录有疑问的，可按照第</w:t>
      </w:r>
      <w:r>
        <w:rPr>
          <w:rFonts w:ascii="仿宋" w:hAnsi="仿宋" w:eastAsia="仿宋" w:cs="仿宋"/>
          <w:color w:val="auto"/>
          <w:sz w:val="24"/>
          <w:szCs w:val="24"/>
          <w:highlight w:val="none"/>
        </w:rPr>
        <w:t>54.1</w:t>
      </w:r>
      <w:r>
        <w:rPr>
          <w:rFonts w:hint="eastAsia" w:ascii="仿宋" w:hAnsi="仿宋" w:eastAsia="仿宋" w:cs="仿宋"/>
          <w:color w:val="auto"/>
          <w:sz w:val="24"/>
          <w:szCs w:val="24"/>
          <w:highlight w:val="none"/>
        </w:rPr>
        <w:t>款规定重新验收。</w:t>
      </w:r>
    </w:p>
    <w:p>
      <w:pPr>
        <w:pStyle w:val="13"/>
        <w:shd w:val="clear" w:color="000000" w:fill="auto"/>
        <w:tabs>
          <w:tab w:val="left" w:pos="720"/>
        </w:tabs>
        <w:adjustRightInd w:val="0"/>
        <w:snapToGrid w:val="0"/>
        <w:spacing w:line="360" w:lineRule="auto"/>
        <w:ind w:firstLine="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53.3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13"/>
        <w:shd w:val="clear" w:color="000000" w:fill="auto"/>
        <w:tabs>
          <w:tab w:val="left" w:pos="2160"/>
        </w:tabs>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81472" behindDoc="0" locked="0" layoutInCell="1" allowOverlap="1">
                <wp:simplePos x="0" y="0"/>
                <wp:positionH relativeFrom="column">
                  <wp:posOffset>-114300</wp:posOffset>
                </wp:positionH>
                <wp:positionV relativeFrom="paragraph">
                  <wp:posOffset>3810</wp:posOffset>
                </wp:positionV>
                <wp:extent cx="914400" cy="476250"/>
                <wp:effectExtent l="0" t="0" r="0" b="0"/>
                <wp:wrapNone/>
                <wp:docPr id="218" name="文本框 222"/>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验收结果的确认</w:t>
                            </w:r>
                          </w:p>
                        </w:txbxContent>
                      </wps:txbx>
                      <wps:bodyPr upright="1"/>
                    </wps:wsp>
                  </a:graphicData>
                </a:graphic>
              </wp:anchor>
            </w:drawing>
          </mc:Choice>
          <mc:Fallback>
            <w:pict>
              <v:shape id="文本框 222" o:spid="_x0000_s1026" o:spt="202" type="#_x0000_t202" style="position:absolute;left:0pt;margin-left:-9pt;margin-top:0.3pt;height:37.5pt;width:72pt;z-index:251881472;mso-width-relative:page;mso-height-relative:page;" filled="f" stroked="f" coordsize="21600,21600" o:gfxdata="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JBxazUAAAA&#10;BwEAAA8AAAAAAAAAAQAgAAAAIgAAAGRycy9kb3ducmV2LnhtbFBLAQIUABQAAAAIAIdO4kBhC+dN&#10;rwEAAFEDAAAOAAAAAAAAAAEAIAAAACMBAABkcnMvZTJvRG9jLnhtbFBLBQYAAAAABgAGAFkBAABE&#10;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验收结果的确认</w:t>
                      </w:r>
                    </w:p>
                  </w:txbxContent>
                </v:textbox>
              </v:shape>
            </w:pict>
          </mc:Fallback>
        </mc:AlternateContent>
      </w:r>
      <w:r>
        <w:rPr>
          <w:rFonts w:hint="eastAsia" w:ascii="仿宋" w:hAnsi="仿宋" w:eastAsia="仿宋" w:cs="仿宋"/>
          <w:color w:val="auto"/>
          <w:sz w:val="24"/>
          <w:szCs w:val="24"/>
          <w:highlight w:val="none"/>
        </w:rPr>
        <w:t>验收合格的，监理工程师应在验收记录上签字，并形成验收文件，承包人可进行隐蔽或继续施工。验收合格</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小时后，监理工程师仍不在验收记录上签字，视为监理工程师已认可验收记录。</w:t>
      </w:r>
    </w:p>
    <w:p>
      <w:pPr>
        <w:pStyle w:val="13"/>
        <w:shd w:val="clear" w:color="000000" w:fill="auto"/>
        <w:tabs>
          <w:tab w:val="left" w:pos="2160"/>
        </w:tabs>
        <w:adjustRightInd w:val="0"/>
        <w:snapToGrid w:val="0"/>
        <w:spacing w:line="360" w:lineRule="auto"/>
        <w:ind w:left="1619" w:leftChars="771"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验收不合格的，承包人应按照监理工程师的指令修改后重新验收，由此增加的费用和（或）延误的工期由承包人承担。</w:t>
      </w:r>
    </w:p>
    <w:p>
      <w:pPr>
        <w:pStyle w:val="13"/>
        <w:shd w:val="clear" w:color="000000" w:fill="auto"/>
        <w:tabs>
          <w:tab w:val="left" w:pos="540"/>
        </w:tabs>
        <w:adjustRightInd w:val="0"/>
        <w:snapToGrid w:val="0"/>
        <w:spacing w:line="360" w:lineRule="auto"/>
        <w:ind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82496"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219" name="文本框 22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隐蔽工程的拍摄或照相</w:t>
                            </w:r>
                          </w:p>
                        </w:txbxContent>
                      </wps:txbx>
                      <wps:bodyPr upright="1"/>
                    </wps:wsp>
                  </a:graphicData>
                </a:graphic>
              </wp:anchor>
            </w:drawing>
          </mc:Choice>
          <mc:Fallback>
            <w:pict>
              <v:shape id="文本框 223" o:spid="_x0000_s1026" o:spt="202" type="#_x0000_t202" style="position:absolute;left:0pt;margin-left:-9pt;margin-top:19.3pt;height:31.2pt;width:72pt;z-index:251882496;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SCLKy&#10;1wAAAAoBAAAPAAAAAAAAAAEAIAAAACIAAABkcnMvZG93bnJldi54bWxQSwECFAAUAAAACACHTuJA&#10;jAO2ObABAABRAwAADgAAAAAAAAABACAAAAAmAQAAZHJzL2Uyb0RvYy54bWxQSwUGAAAAAAYABgBZ&#10;AQAAS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隐蔽工程的拍摄或照相</w:t>
                      </w:r>
                    </w:p>
                  </w:txbxContent>
                </v:textbox>
              </v:shape>
            </w:pict>
          </mc:Fallback>
        </mc:AlternateContent>
      </w:r>
      <w:r>
        <w:rPr>
          <w:rFonts w:ascii="仿宋" w:hAnsi="仿宋" w:eastAsia="仿宋" w:cs="仿宋"/>
          <w:b/>
          <w:bCs/>
          <w:color w:val="auto"/>
          <w:sz w:val="24"/>
          <w:szCs w:val="24"/>
          <w:highlight w:val="none"/>
        </w:rPr>
        <w:t xml:space="preserve">53.4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13"/>
        <w:shd w:val="clear" w:color="000000" w:fill="auto"/>
        <w:adjustRightInd w:val="0"/>
        <w:snapToGrid w:val="0"/>
        <w:spacing w:line="360" w:lineRule="auto"/>
        <w:ind w:left="1619" w:leftChars="771"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如监理工程师有指令，承包人应对隐蔽工程进行拍摄或照相，保证监理工程师能充分检查和测量隐蔽的工程。</w:t>
      </w:r>
    </w:p>
    <w:p>
      <w:pPr>
        <w:pStyle w:val="13"/>
        <w:shd w:val="clear" w:color="000000" w:fill="auto"/>
        <w:tabs>
          <w:tab w:val="left" w:pos="540"/>
        </w:tabs>
        <w:adjustRightInd w:val="0"/>
        <w:snapToGrid w:val="0"/>
        <w:spacing w:line="360" w:lineRule="auto"/>
        <w:ind w:firstLine="0"/>
        <w:rPr>
          <w:rFonts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883520"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220" name="文本框 22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承包人私自隐蔽</w:t>
                            </w:r>
                          </w:p>
                        </w:txbxContent>
                      </wps:txbx>
                      <wps:bodyPr upright="1"/>
                    </wps:wsp>
                  </a:graphicData>
                </a:graphic>
              </wp:anchor>
            </w:drawing>
          </mc:Choice>
          <mc:Fallback>
            <w:pict>
              <v:shape id="文本框 224" o:spid="_x0000_s1026" o:spt="202" type="#_x0000_t202" style="position:absolute;left:0pt;margin-left:-9pt;margin-top:19.3pt;height:31.2pt;width:72pt;z-index:251883520;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IIsrLX&#10;AAAACgEAAA8AAAAAAAAAAQAgAAAAIgAAAGRycy9kb3ducmV2LnhtbFBLAQIUABQAAAAIAIdO4kB+&#10;t/B9rwEAAFEDAAAOAAAAAAAAAAEAIAAAACYBAABkcnMvZTJvRG9jLnhtbFBLBQYAAAAABgAGAFkB&#10;AABHBQ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承包人私自隐蔽</w:t>
                      </w:r>
                    </w:p>
                  </w:txbxContent>
                </v:textbox>
              </v:shape>
            </w:pict>
          </mc:Fallback>
        </mc:AlternateContent>
      </w:r>
      <w:r>
        <w:rPr>
          <w:rFonts w:ascii="仿宋" w:hAnsi="仿宋" w:eastAsia="仿宋" w:cs="仿宋"/>
          <w:b/>
          <w:bCs/>
          <w:color w:val="auto"/>
          <w:sz w:val="24"/>
          <w:szCs w:val="24"/>
          <w:highlight w:val="none"/>
        </w:rPr>
        <w:t xml:space="preserve">53.5  </w:t>
      </w:r>
      <w:r>
        <w:rPr>
          <w:rFonts w:ascii="仿宋" w:hAnsi="仿宋" w:eastAsia="仿宋" w:cs="仿宋"/>
          <w:b/>
          <w:bCs/>
          <w:color w:val="auto"/>
          <w:sz w:val="24"/>
          <w:szCs w:val="24"/>
          <w:highlight w:val="none"/>
          <w:u w:val="dotted"/>
        </w:rPr>
        <w:t xml:space="preserve">                                                                                                       </w:t>
      </w:r>
    </w:p>
    <w:p>
      <w:pPr>
        <w:pStyle w:val="13"/>
        <w:shd w:val="clear" w:color="000000" w:fill="auto"/>
        <w:adjustRightInd w:val="0"/>
        <w:snapToGrid w:val="0"/>
        <w:spacing w:line="360" w:lineRule="auto"/>
        <w:ind w:left="1619" w:leftChars="771" w:firstLine="0"/>
        <w:rPr>
          <w:rFonts w:ascii="仿宋" w:hAnsi="仿宋" w:eastAsia="仿宋"/>
          <w:color w:val="auto"/>
          <w:sz w:val="24"/>
          <w:szCs w:val="24"/>
          <w:highlight w:val="none"/>
          <w:u w:val="single"/>
        </w:rPr>
      </w:pPr>
      <w:r>
        <w:rPr>
          <w:rFonts w:hint="eastAsia" w:ascii="仿宋" w:hAnsi="仿宋" w:eastAsia="仿宋" w:cs="仿宋"/>
          <w:color w:val="auto"/>
          <w:sz w:val="24"/>
          <w:szCs w:val="24"/>
          <w:highlight w:val="none"/>
        </w:rPr>
        <w:t>承包人未通知监理工程师到场验收，私自将隐蔽工程覆盖的，监理工程师有权指令承包人进行钻孔探测或剥露验收，由此增加的费用和（或）延误的工期由承包人承担。</w:t>
      </w:r>
    </w:p>
    <w:p>
      <w:pPr>
        <w:pStyle w:val="13"/>
        <w:shd w:val="clear" w:color="000000" w:fill="auto"/>
        <w:adjustRightInd w:val="0"/>
        <w:snapToGrid w:val="0"/>
        <w:ind w:firstLine="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287" w:name="_Toc13919"/>
      <w:bookmarkStart w:id="288" w:name="_Toc469384037"/>
      <w:bookmarkStart w:id="289" w:name="_Toc10624877"/>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54  </w:t>
      </w:r>
      <w:r>
        <w:rPr>
          <w:rFonts w:hint="eastAsia" w:ascii="仿宋" w:hAnsi="仿宋" w:eastAsia="仿宋" w:cs="仿宋"/>
          <w:b/>
          <w:bCs/>
          <w:color w:val="auto"/>
          <w:sz w:val="24"/>
          <w:szCs w:val="24"/>
          <w:highlight w:val="none"/>
        </w:rPr>
        <w:t>重新验收和额外检查检验</w:t>
      </w:r>
      <w:bookmarkEnd w:id="287"/>
      <w:bookmarkEnd w:id="288"/>
      <w:bookmarkEnd w:id="289"/>
    </w:p>
    <w:p>
      <w:pPr>
        <w:pStyle w:val="13"/>
        <w:shd w:val="clear" w:color="000000" w:fill="auto"/>
        <w:adjustRightInd w:val="0"/>
        <w:snapToGrid w:val="0"/>
        <w:spacing w:line="360" w:lineRule="auto"/>
        <w:ind w:firstLine="0"/>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884544" behindDoc="0" locked="0" layoutInCell="1" allowOverlap="1">
                <wp:simplePos x="0" y="0"/>
                <wp:positionH relativeFrom="column">
                  <wp:posOffset>-114300</wp:posOffset>
                </wp:positionH>
                <wp:positionV relativeFrom="paragraph">
                  <wp:posOffset>246380</wp:posOffset>
                </wp:positionV>
                <wp:extent cx="800100" cy="285750"/>
                <wp:effectExtent l="0" t="0" r="0" b="0"/>
                <wp:wrapNone/>
                <wp:docPr id="221" name="文本框 225"/>
                <wp:cNvGraphicFramePr/>
                <a:graphic xmlns:a="http://schemas.openxmlformats.org/drawingml/2006/main">
                  <a:graphicData uri="http://schemas.microsoft.com/office/word/2010/wordprocessingShape">
                    <wps:wsp>
                      <wps:cNvSpPr txBox="1"/>
                      <wps:spPr>
                        <a:xfrm>
                          <a:off x="0" y="0"/>
                          <a:ext cx="800100" cy="2857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重新验收</w:t>
                            </w:r>
                          </w:p>
                        </w:txbxContent>
                      </wps:txbx>
                      <wps:bodyPr upright="1"/>
                    </wps:wsp>
                  </a:graphicData>
                </a:graphic>
              </wp:anchor>
            </w:drawing>
          </mc:Choice>
          <mc:Fallback>
            <w:pict>
              <v:shape id="文本框 225" o:spid="_x0000_s1026" o:spt="202" type="#_x0000_t202" style="position:absolute;left:0pt;margin-left:-9pt;margin-top:19.4pt;height:22.5pt;width:63pt;z-index:251884544;mso-width-relative:page;mso-height-relative:page;" filled="f" stroked="f" coordsize="21600,21600" o:gfxdata="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3HCFvVAAAA&#10;CQEAAA8AAAAAAAAAAQAgAAAAIgAAAGRycy9kb3ducmV2LnhtbFBLAQIUABQAAAAIAIdO4kCmkvGa&#10;rgEAAFEDAAAOAAAAAAAAAAEAIAAAACQBAABkcnMvZTJvRG9jLnhtbFBLBQYAAAAABgAGAFkBAABE&#10;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重新验收</w:t>
                      </w:r>
                    </w:p>
                  </w:txbxContent>
                </v:textbox>
              </v:shape>
            </w:pict>
          </mc:Fallback>
        </mc:AlternateContent>
      </w:r>
      <w:r>
        <w:rPr>
          <w:rFonts w:ascii="仿宋" w:hAnsi="仿宋" w:eastAsia="仿宋" w:cs="仿宋"/>
          <w:b/>
          <w:bCs/>
          <w:color w:val="auto"/>
          <w:sz w:val="24"/>
          <w:szCs w:val="24"/>
          <w:highlight w:val="none"/>
        </w:rPr>
        <w:t>54.1</w:t>
      </w:r>
    </w:p>
    <w:p>
      <w:pPr>
        <w:pStyle w:val="13"/>
        <w:shd w:val="clear" w:color="000000" w:fill="auto"/>
        <w:adjustRightInd w:val="0"/>
        <w:snapToGrid w:val="0"/>
        <w:spacing w:line="360" w:lineRule="auto"/>
        <w:ind w:left="1619" w:leftChars="771"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当监理工程师对已经覆盖的隐蔽工程有疑问，要求重新验收时，承包人应按照要求对已覆盖的部位进行钻孔探测或剥露，并在验收后重新覆盖恢复原状。验收合格的，由此增加的费用和（或）延误的工期由发包人承担，并向承包人支付合理利润；验收不合格的，承包人应按照监理工程师的指令重新返工，直到验收合格为止，由此增加的费用和（或）延误的工期由承包人承担。</w:t>
      </w:r>
    </w:p>
    <w:p>
      <w:pPr>
        <w:pStyle w:val="13"/>
        <w:shd w:val="clear" w:color="000000" w:fill="auto"/>
        <w:tabs>
          <w:tab w:val="left" w:pos="540"/>
          <w:tab w:val="left" w:pos="720"/>
        </w:tabs>
        <w:adjustRightInd w:val="0"/>
        <w:snapToGrid w:val="0"/>
        <w:spacing w:line="360" w:lineRule="auto"/>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54.2 </w:t>
      </w:r>
      <w:r>
        <w:rPr>
          <w:rFonts w:ascii="仿宋" w:hAnsi="仿宋" w:eastAsia="仿宋" w:cs="仿宋"/>
          <w:b/>
          <w:bCs/>
          <w:color w:val="auto"/>
          <w:sz w:val="24"/>
          <w:szCs w:val="24"/>
          <w:highlight w:val="none"/>
          <w:u w:val="dotted"/>
        </w:rPr>
        <w:t xml:space="preserve">                                                                                                       </w:t>
      </w:r>
    </w:p>
    <w:p>
      <w:pPr>
        <w:pStyle w:val="13"/>
        <w:shd w:val="clear" w:color="000000" w:fill="auto"/>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85568" behindDoc="0" locked="0" layoutInCell="1" allowOverlap="1">
                <wp:simplePos x="0" y="0"/>
                <wp:positionH relativeFrom="column">
                  <wp:posOffset>-114300</wp:posOffset>
                </wp:positionH>
                <wp:positionV relativeFrom="paragraph">
                  <wp:posOffset>7620</wp:posOffset>
                </wp:positionV>
                <wp:extent cx="970280" cy="627380"/>
                <wp:effectExtent l="0" t="0" r="0" b="0"/>
                <wp:wrapNone/>
                <wp:docPr id="222" name="文本框 226"/>
                <wp:cNvGraphicFramePr/>
                <a:graphic xmlns:a="http://schemas.openxmlformats.org/drawingml/2006/main">
                  <a:graphicData uri="http://schemas.microsoft.com/office/word/2010/wordprocessingShape">
                    <wps:wsp>
                      <wps:cNvSpPr txBox="1"/>
                      <wps:spPr>
                        <a:xfrm>
                          <a:off x="0" y="0"/>
                          <a:ext cx="970280" cy="62738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额外检查检验</w:t>
                            </w:r>
                          </w:p>
                        </w:txbxContent>
                      </wps:txbx>
                      <wps:bodyPr upright="1"/>
                    </wps:wsp>
                  </a:graphicData>
                </a:graphic>
              </wp:anchor>
            </w:drawing>
          </mc:Choice>
          <mc:Fallback>
            <w:pict>
              <v:shape id="文本框 226" o:spid="_x0000_s1026" o:spt="202" type="#_x0000_t202" style="position:absolute;left:0pt;margin-left:-9pt;margin-top:0.6pt;height:49.4pt;width:76.4pt;z-index:251885568;mso-width-relative:page;mso-height-relative:page;" filled="f" stroked="f" coordsize="21600,21600" o:gfxdata="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MMYFonVAAAA&#10;CQEAAA8AAAAAAAAAAQAgAAAAIgAAAGRycy9kb3ducmV2LnhtbFBLAQIUABQAAAAIAIdO4kDBuTFQ&#10;rgEAAFEDAAAOAAAAAAAAAAEAIAAAACQBAABkcnMvZTJvRG9jLnhtbFBLBQYAAAAABgAGAFkBAABE&#10;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额外检查检验</w:t>
                      </w:r>
                    </w:p>
                  </w:txbxContent>
                </v:textbox>
              </v:shape>
            </w:pict>
          </mc:Fallback>
        </mc:AlternateContent>
      </w:r>
      <w:r>
        <w:rPr>
          <w:rFonts w:hint="eastAsia" w:ascii="仿宋" w:hAnsi="仿宋" w:eastAsia="仿宋" w:cs="仿宋"/>
          <w:color w:val="auto"/>
          <w:sz w:val="24"/>
          <w:szCs w:val="24"/>
          <w:highlight w:val="none"/>
        </w:rPr>
        <w:t>当监理工程师指令承包人进行合同中没有约定的检查检验，以核实合同工程某一部位或某种材料和工程设备等产品是否有缺陷时，承包人应按照要求进行检查检验。存在缺陷的，分别按照第</w:t>
      </w:r>
      <w:r>
        <w:rPr>
          <w:rFonts w:ascii="仿宋" w:hAnsi="仿宋" w:eastAsia="仿宋" w:cs="仿宋"/>
          <w:color w:val="auto"/>
          <w:sz w:val="24"/>
          <w:szCs w:val="24"/>
          <w:highlight w:val="none"/>
        </w:rPr>
        <w:t>50.5</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52.3</w:t>
      </w:r>
      <w:r>
        <w:rPr>
          <w:rFonts w:hint="eastAsia" w:ascii="仿宋" w:hAnsi="仿宋" w:eastAsia="仿宋" w:cs="仿宋"/>
          <w:color w:val="auto"/>
          <w:sz w:val="24"/>
          <w:szCs w:val="24"/>
          <w:highlight w:val="none"/>
        </w:rPr>
        <w:t>款规定处理；没有缺陷的，检查检验的费用和（或）延误的工期由发包人承担，并向承包人支付合理利润。</w:t>
      </w:r>
    </w:p>
    <w:p>
      <w:pPr>
        <w:shd w:val="clear" w:color="000000" w:fill="auto"/>
        <w:adjustRightInd w:val="0"/>
        <w:snapToGrid w:val="0"/>
        <w:spacing w:line="360" w:lineRule="auto"/>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290" w:name="_Toc13336"/>
      <w:bookmarkStart w:id="291" w:name="_Toc10624878"/>
      <w:bookmarkStart w:id="292" w:name="_Toc469384038"/>
      <w:r>
        <w:rPr>
          <w:rFonts w:ascii="仿宋" w:hAnsi="仿宋" w:eastAsia="仿宋" w:cs="仿宋"/>
          <w:b/>
          <w:bCs/>
          <w:color w:val="auto"/>
          <w:sz w:val="24"/>
          <w:szCs w:val="24"/>
          <w:highlight w:val="none"/>
        </w:rPr>
        <w:t xml:space="preserve">55  </w:t>
      </w:r>
      <w:r>
        <w:rPr>
          <w:rFonts w:hint="eastAsia" w:ascii="仿宋" w:hAnsi="仿宋" w:eastAsia="仿宋" w:cs="仿宋"/>
          <w:b/>
          <w:bCs/>
          <w:color w:val="auto"/>
          <w:sz w:val="24"/>
          <w:szCs w:val="24"/>
          <w:highlight w:val="none"/>
        </w:rPr>
        <w:t>工程试车</w:t>
      </w:r>
      <w:bookmarkEnd w:id="290"/>
      <w:bookmarkEnd w:id="291"/>
      <w:bookmarkEnd w:id="292"/>
    </w:p>
    <w:p>
      <w:pPr>
        <w:shd w:val="clear" w:color="000000" w:fill="auto"/>
        <w:adjustRightInd w:val="0"/>
        <w:snapToGrid w:val="0"/>
        <w:spacing w:line="360" w:lineRule="auto"/>
        <w:ind w:left="-2" w:leftChars="-1" w:firstLine="1"/>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55.1 </w:t>
      </w:r>
    </w:p>
    <w:p>
      <w:pPr>
        <w:shd w:val="clear" w:color="000000" w:fill="auto"/>
        <w:adjustRightInd w:val="0"/>
        <w:snapToGrid w:val="0"/>
        <w:spacing w:line="360" w:lineRule="auto"/>
        <w:ind w:left="1620"/>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86592" behindDoc="0" locked="0" layoutInCell="1" allowOverlap="1">
                <wp:simplePos x="0" y="0"/>
                <wp:positionH relativeFrom="column">
                  <wp:posOffset>-114300</wp:posOffset>
                </wp:positionH>
                <wp:positionV relativeFrom="paragraph">
                  <wp:posOffset>16510</wp:posOffset>
                </wp:positionV>
                <wp:extent cx="800100" cy="297180"/>
                <wp:effectExtent l="0" t="0" r="0" b="0"/>
                <wp:wrapNone/>
                <wp:docPr id="223" name="文本框 227"/>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试车内容</w:t>
                            </w:r>
                          </w:p>
                        </w:txbxContent>
                      </wps:txbx>
                      <wps:bodyPr upright="1"/>
                    </wps:wsp>
                  </a:graphicData>
                </a:graphic>
              </wp:anchor>
            </w:drawing>
          </mc:Choice>
          <mc:Fallback>
            <w:pict>
              <v:shape id="文本框 227" o:spid="_x0000_s1026" o:spt="202" type="#_x0000_t202" style="position:absolute;left:0pt;margin-left:-9pt;margin-top:1.3pt;height:23.4pt;width:63pt;z-index:251886592;mso-width-relative:page;mso-height-relative:page;" filled="f" stroked="f" coordsize="21600,21600" o:gfxdata="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B3sr/UAAAA&#10;CAEAAA8AAAAAAAAAAQAgAAAAIgAAAGRycy9kb3ducmV2LnhtbFBLAQIUABQAAAAIAIdO4kBhKGk6&#10;rwEAAFEDAAAOAAAAAAAAAAEAIAAAACMBAABkcnMvZTJvRG9jLnhtbFBLBQYAAAAABgAGAFkBAABE&#10;BQ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试车内容</w:t>
                      </w:r>
                    </w:p>
                  </w:txbxContent>
                </v:textbox>
              </v:shape>
            </w:pict>
          </mc:Fallback>
        </mc:AlternateContent>
      </w:r>
      <w:r>
        <w:rPr>
          <w:rFonts w:hint="eastAsia" w:ascii="仿宋" w:hAnsi="仿宋" w:eastAsia="仿宋" w:cs="仿宋"/>
          <w:color w:val="auto"/>
          <w:sz w:val="24"/>
          <w:szCs w:val="24"/>
          <w:highlight w:val="none"/>
        </w:rPr>
        <w:t>按照合同约定需要试车的，试车的内容应与承包人承包的安装范围相一致。</w:t>
      </w:r>
    </w:p>
    <w:p>
      <w:pPr>
        <w:shd w:val="clear" w:color="000000" w:fill="auto"/>
        <w:tabs>
          <w:tab w:val="left" w:pos="540"/>
        </w:tabs>
        <w:adjustRightInd w:val="0"/>
        <w:snapToGrid w:val="0"/>
        <w:spacing w:line="36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55.2  </w:t>
      </w:r>
      <w:r>
        <w:rPr>
          <w:rFonts w:ascii="仿宋" w:hAnsi="仿宋" w:eastAsia="仿宋" w:cs="仿宋"/>
          <w:b/>
          <w:bCs/>
          <w:color w:val="auto"/>
          <w:sz w:val="24"/>
          <w:szCs w:val="24"/>
          <w:highlight w:val="none"/>
          <w:u w:val="dotted"/>
        </w:rPr>
        <w:t xml:space="preserve">                                                                                                        </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87616" behindDoc="0" locked="0" layoutInCell="1" allowOverlap="1">
                <wp:simplePos x="0" y="0"/>
                <wp:positionH relativeFrom="column">
                  <wp:posOffset>-114300</wp:posOffset>
                </wp:positionH>
                <wp:positionV relativeFrom="paragraph">
                  <wp:posOffset>3175</wp:posOffset>
                </wp:positionV>
                <wp:extent cx="914400" cy="469265"/>
                <wp:effectExtent l="0" t="0" r="0" b="0"/>
                <wp:wrapNone/>
                <wp:docPr id="224" name="文本框 228"/>
                <wp:cNvGraphicFramePr/>
                <a:graphic xmlns:a="http://schemas.openxmlformats.org/drawingml/2006/main">
                  <a:graphicData uri="http://schemas.microsoft.com/office/word/2010/wordprocessingShape">
                    <wps:wsp>
                      <wps:cNvSpPr txBox="1"/>
                      <wps:spPr>
                        <a:xfrm>
                          <a:off x="0" y="0"/>
                          <a:ext cx="914400" cy="469265"/>
                        </a:xfrm>
                        <a:prstGeom prst="rect">
                          <a:avLst/>
                        </a:prstGeom>
                        <a:noFill/>
                        <a:ln>
                          <a:noFill/>
                        </a:ln>
                      </wps:spPr>
                      <wps:txb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单机试车的通知和限制</w:t>
                            </w:r>
                          </w:p>
                        </w:txbxContent>
                      </wps:txbx>
                      <wps:bodyPr upright="1"/>
                    </wps:wsp>
                  </a:graphicData>
                </a:graphic>
              </wp:anchor>
            </w:drawing>
          </mc:Choice>
          <mc:Fallback>
            <w:pict>
              <v:shape id="文本框 228" o:spid="_x0000_s1026" o:spt="202" type="#_x0000_t202" style="position:absolute;left:0pt;margin-left:-9pt;margin-top:0.25pt;height:36.95pt;width:72pt;z-index:251887616;mso-width-relative:page;mso-height-relative:page;" filled="f" stroked="f" coordsize="21600,21600" o:gfxdata="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sH9tnUAAAA&#10;BwEAAA8AAAAAAAAAAQAgAAAAIgAAAGRycy9kb3ducmV2LnhtbFBLAQIUABQAAAAIAIdO4kDXSbIB&#10;rwEAAFEDAAAOAAAAAAAAAAEAIAAAACMBAABkcnMvZTJvRG9jLnhtbFBLBQYAAAAABgAGAFkBAABE&#10;BQAAAAA=&#10;">
                <v:fill on="f" focussize="0,0"/>
                <v:stroke on="f"/>
                <v:imagedata o:title=""/>
                <o:lock v:ext="edit" aspectratio="f"/>
                <v:textbo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单机试车的通知和限制</w:t>
                      </w:r>
                    </w:p>
                  </w:txbxContent>
                </v:textbox>
              </v:shape>
            </w:pict>
          </mc:Fallback>
        </mc:AlternateContent>
      </w:r>
      <w:r>
        <w:rPr>
          <w:rFonts w:hint="eastAsia" w:ascii="仿宋" w:hAnsi="仿宋" w:eastAsia="仿宋" w:cs="仿宋"/>
          <w:color w:val="auto"/>
          <w:sz w:val="24"/>
          <w:szCs w:val="24"/>
          <w:highlight w:val="none"/>
        </w:rPr>
        <w:t>设备安装工程具备单机无负荷试车条件时，承包人应组织试车，并在试车前</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小时以书面形式通知监理工程师。通知包括试车内容、时间和地点。承包人应自行准备试车记录，发包人应为承包人试车提供便利和协助。</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监理工程师不能按时参加试车的，应在开始试车前至少提前</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小时发出延期试车指令并书面说明理由，延期不能超过</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小时。监理工程师未发出延期试车指令也未能按时参加试车的，承包人可自行试车，并认为试车是经监理工程师同意下完成的。试车完成后，承包人应立即向监理工程师提交试车记录，监理工程师应予认可。</w:t>
      </w:r>
    </w:p>
    <w:p>
      <w:pPr>
        <w:shd w:val="clear" w:color="000000" w:fill="auto"/>
        <w:adjustRightInd w:val="0"/>
        <w:snapToGrid w:val="0"/>
        <w:spacing w:line="360" w:lineRule="auto"/>
        <w:rPr>
          <w:rFonts w:ascii="仿宋" w:hAnsi="仿宋" w:eastAsia="仿宋" w:cs="仿宋"/>
          <w:color w:val="auto"/>
          <w:sz w:val="24"/>
          <w:szCs w:val="24"/>
          <w:highlight w:val="none"/>
          <w:u w:val="dotted"/>
        </w:rPr>
      </w:pPr>
      <w:r>
        <w:rPr>
          <w:rFonts w:ascii="仿宋" w:hAnsi="仿宋" w:eastAsia="仿宋" w:cs="仿宋"/>
          <w:b/>
          <w:bCs/>
          <w:color w:val="auto"/>
          <w:sz w:val="24"/>
          <w:szCs w:val="24"/>
          <w:highlight w:val="none"/>
        </w:rPr>
        <w:t xml:space="preserve">55.3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88640" behindDoc="0" locked="0" layoutInCell="1" allowOverlap="1">
                <wp:simplePos x="0" y="0"/>
                <wp:positionH relativeFrom="column">
                  <wp:posOffset>-73660</wp:posOffset>
                </wp:positionH>
                <wp:positionV relativeFrom="paragraph">
                  <wp:posOffset>635</wp:posOffset>
                </wp:positionV>
                <wp:extent cx="873760" cy="471805"/>
                <wp:effectExtent l="0" t="0" r="0" b="0"/>
                <wp:wrapNone/>
                <wp:docPr id="225" name="文本框 229"/>
                <wp:cNvGraphicFramePr/>
                <a:graphic xmlns:a="http://schemas.openxmlformats.org/drawingml/2006/main">
                  <a:graphicData uri="http://schemas.microsoft.com/office/word/2010/wordprocessingShape">
                    <wps:wsp>
                      <wps:cNvSpPr txBox="1"/>
                      <wps:spPr>
                        <a:xfrm>
                          <a:off x="0" y="0"/>
                          <a:ext cx="873760" cy="471805"/>
                        </a:xfrm>
                        <a:prstGeom prst="rect">
                          <a:avLst/>
                        </a:prstGeom>
                        <a:noFill/>
                        <a:ln>
                          <a:noFill/>
                        </a:ln>
                      </wps:spPr>
                      <wps:txb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单机试车结果的确认</w:t>
                            </w:r>
                          </w:p>
                        </w:txbxContent>
                      </wps:txbx>
                      <wps:bodyPr upright="1"/>
                    </wps:wsp>
                  </a:graphicData>
                </a:graphic>
              </wp:anchor>
            </w:drawing>
          </mc:Choice>
          <mc:Fallback>
            <w:pict>
              <v:shape id="文本框 229" o:spid="_x0000_s1026" o:spt="202" type="#_x0000_t202" style="position:absolute;left:0pt;margin-left:-5.8pt;margin-top:0.05pt;height:37.15pt;width:68.8pt;z-index:251888640;mso-width-relative:page;mso-height-relative:page;" filled="f" stroked="f" coordsize="21600,21600" o:gfxdata="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KAs6D1AAA&#10;AAcBAAAPAAAAAAAAAAEAIAAAACIAAABkcnMvZG93bnJldi54bWxQSwECFAAUAAAACACHTuJAga56&#10;mrABAABRAwAADgAAAAAAAAABACAAAAAjAQAAZHJzL2Uyb0RvYy54bWxQSwUGAAAAAAYABgBZAQAA&#10;RQUAAAAA&#10;">
                <v:fill on="f" focussize="0,0"/>
                <v:stroke on="f"/>
                <v:imagedata o:title=""/>
                <o:lock v:ext="edit" aspectratio="f"/>
                <v:textbo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单机试车结果的确认</w:t>
                      </w:r>
                    </w:p>
                  </w:txbxContent>
                </v:textbox>
              </v:shape>
            </w:pict>
          </mc:Fallback>
        </mc:AlternateContent>
      </w:r>
      <w:r>
        <w:rPr>
          <w:rFonts w:hint="eastAsia" w:ascii="仿宋" w:hAnsi="仿宋" w:eastAsia="仿宋" w:cs="仿宋"/>
          <w:color w:val="auto"/>
          <w:sz w:val="24"/>
          <w:szCs w:val="24"/>
          <w:highlight w:val="none"/>
        </w:rPr>
        <w:t>单机试车合格，监理工程师应在试车记录上签字，承包人可继续施工或申请办理竣工验收手续。单机试车合格</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小时后，监理工程师仍不在试车记录上签字的，视为监理工程师已认可试车记录。</w:t>
      </w:r>
    </w:p>
    <w:p>
      <w:pPr>
        <w:shd w:val="clear" w:color="000000" w:fill="auto"/>
        <w:adjustRightInd w:val="0"/>
        <w:snapToGrid w:val="0"/>
        <w:spacing w:line="36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55.4  </w:t>
      </w:r>
      <w:r>
        <w:rPr>
          <w:rFonts w:ascii="仿宋" w:hAnsi="仿宋" w:eastAsia="仿宋" w:cs="仿宋"/>
          <w:b/>
          <w:bCs/>
          <w:color w:val="auto"/>
          <w:sz w:val="24"/>
          <w:szCs w:val="24"/>
          <w:highlight w:val="none"/>
          <w:u w:val="dotted"/>
        </w:rPr>
        <w:t xml:space="preserve">                                                                                                        </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89664" behindDoc="0" locked="0" layoutInCell="1" allowOverlap="1">
                <wp:simplePos x="0" y="0"/>
                <wp:positionH relativeFrom="column">
                  <wp:posOffset>-73660</wp:posOffset>
                </wp:positionH>
                <wp:positionV relativeFrom="paragraph">
                  <wp:posOffset>11430</wp:posOffset>
                </wp:positionV>
                <wp:extent cx="873760" cy="492760"/>
                <wp:effectExtent l="0" t="0" r="0" b="0"/>
                <wp:wrapNone/>
                <wp:docPr id="226" name="文本框 230"/>
                <wp:cNvGraphicFramePr/>
                <a:graphic xmlns:a="http://schemas.openxmlformats.org/drawingml/2006/main">
                  <a:graphicData uri="http://schemas.microsoft.com/office/word/2010/wordprocessingShape">
                    <wps:wsp>
                      <wps:cNvSpPr txBox="1"/>
                      <wps:spPr>
                        <a:xfrm>
                          <a:off x="0" y="0"/>
                          <a:ext cx="873760" cy="492760"/>
                        </a:xfrm>
                        <a:prstGeom prst="rect">
                          <a:avLst/>
                        </a:prstGeom>
                        <a:noFill/>
                        <a:ln>
                          <a:noFill/>
                        </a:ln>
                      </wps:spPr>
                      <wps:txb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联动试车通知和结果的确认</w:t>
                            </w:r>
                          </w:p>
                        </w:txbxContent>
                      </wps:txbx>
                      <wps:bodyPr upright="1"/>
                    </wps:wsp>
                  </a:graphicData>
                </a:graphic>
              </wp:anchor>
            </w:drawing>
          </mc:Choice>
          <mc:Fallback>
            <w:pict>
              <v:shape id="文本框 230" o:spid="_x0000_s1026" o:spt="202" type="#_x0000_t202" style="position:absolute;left:0pt;margin-left:-5.8pt;margin-top:0.9pt;height:38.8pt;width:68.8pt;z-index:251889664;mso-width-relative:page;mso-height-relative:page;" filled="f" stroked="f" coordsize="21600,21600" o:gfxdata="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cVsADVAAAA&#10;CAEAAA8AAAAAAAAAAQAgAAAAIgAAAGRycy9kb3ducmV2LnhtbFBLAQIUABQAAAAIAIdO4kAe1Z2F&#10;rgEAAFEDAAAOAAAAAAAAAAEAIAAAACQBAABkcnMvZTJvRG9jLnhtbFBLBQYAAAAABgAGAFkBAABE&#10;BQAAAAA=&#10;">
                <v:fill on="f" focussize="0,0"/>
                <v:stroke on="f"/>
                <v:imagedata o:title=""/>
                <o:lock v:ext="edit" aspectratio="f"/>
                <v:textbo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联动试车通知和结果的确认</w:t>
                      </w:r>
                    </w:p>
                  </w:txbxContent>
                </v:textbox>
              </v:shape>
            </w:pict>
          </mc:Fallback>
        </mc:AlternateContent>
      </w:r>
      <w:r>
        <w:rPr>
          <w:rFonts w:hint="eastAsia" w:ascii="仿宋" w:hAnsi="仿宋" w:eastAsia="仿宋" w:cs="仿宋"/>
          <w:color w:val="auto"/>
          <w:sz w:val="24"/>
          <w:szCs w:val="24"/>
          <w:highlight w:val="none"/>
        </w:rPr>
        <w:t>设备安装工程具备联动无负荷试车条件时，发包人应组织试车，并在试车前</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小时以书面形式通知承包人。通知包括试车内容、时间、地点和对承包人的要求，承包人应按照要求做好准备工作。试车合格，合同双方当事人均应在试车记录上签字。</w:t>
      </w:r>
    </w:p>
    <w:p>
      <w:pPr>
        <w:shd w:val="clear" w:color="000000" w:fill="auto"/>
        <w:adjustRightInd w:val="0"/>
        <w:snapToGrid w:val="0"/>
        <w:spacing w:line="36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55.5  </w:t>
      </w:r>
      <w:r>
        <w:rPr>
          <w:rFonts w:ascii="仿宋" w:hAnsi="仿宋" w:eastAsia="仿宋" w:cs="仿宋"/>
          <w:b/>
          <w:bCs/>
          <w:color w:val="auto"/>
          <w:sz w:val="24"/>
          <w:szCs w:val="24"/>
          <w:highlight w:val="none"/>
          <w:u w:val="dotted"/>
        </w:rPr>
        <w:t xml:space="preserve">                                                                                                        </w:t>
      </w:r>
    </w:p>
    <w:p>
      <w:pPr>
        <w:shd w:val="clear" w:color="000000" w:fill="auto"/>
        <w:adjustRightInd w:val="0"/>
        <w:snapToGrid w:val="0"/>
        <w:spacing w:line="360" w:lineRule="auto"/>
        <w:ind w:left="1620"/>
        <w:rPr>
          <w:rFonts w:ascii="仿宋" w:hAnsi="仿宋" w:eastAsia="仿宋" w:cs="仿宋"/>
          <w:color w:val="auto"/>
          <w:sz w:val="24"/>
          <w:szCs w:val="24"/>
          <w:highlight w:val="none"/>
        </w:rPr>
      </w:pPr>
      <w:r>
        <w:rPr>
          <w:color w:val="auto"/>
          <w:highlight w:val="none"/>
        </w:rPr>
        <mc:AlternateContent>
          <mc:Choice Requires="wps">
            <w:drawing>
              <wp:anchor distT="0" distB="0" distL="114300" distR="114300" simplePos="0" relativeHeight="251890688" behindDoc="0" locked="0" layoutInCell="1" allowOverlap="1">
                <wp:simplePos x="0" y="0"/>
                <wp:positionH relativeFrom="column">
                  <wp:posOffset>-114300</wp:posOffset>
                </wp:positionH>
                <wp:positionV relativeFrom="paragraph">
                  <wp:posOffset>-6350</wp:posOffset>
                </wp:positionV>
                <wp:extent cx="883920" cy="427990"/>
                <wp:effectExtent l="0" t="0" r="0" b="0"/>
                <wp:wrapNone/>
                <wp:docPr id="227" name="文本框 231"/>
                <wp:cNvGraphicFramePr/>
                <a:graphic xmlns:a="http://schemas.openxmlformats.org/drawingml/2006/main">
                  <a:graphicData uri="http://schemas.microsoft.com/office/word/2010/wordprocessingShape">
                    <wps:wsp>
                      <wps:cNvSpPr txBox="1"/>
                      <wps:spPr>
                        <a:xfrm>
                          <a:off x="0" y="0"/>
                          <a:ext cx="883920" cy="427990"/>
                        </a:xfrm>
                        <a:prstGeom prst="rect">
                          <a:avLst/>
                        </a:prstGeom>
                        <a:noFill/>
                        <a:ln>
                          <a:noFill/>
                        </a:ln>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试车费用和不达要求处理</w:t>
                            </w:r>
                          </w:p>
                        </w:txbxContent>
                      </wps:txbx>
                      <wps:bodyPr upright="1"/>
                    </wps:wsp>
                  </a:graphicData>
                </a:graphic>
              </wp:anchor>
            </w:drawing>
          </mc:Choice>
          <mc:Fallback>
            <w:pict>
              <v:shape id="文本框 231" o:spid="_x0000_s1026" o:spt="202" type="#_x0000_t202" style="position:absolute;left:0pt;margin-left:-9pt;margin-top:-0.5pt;height:33.7pt;width:69.6pt;z-index:251890688;mso-width-relative:page;mso-height-relative:page;" filled="f" stroked="f" coordsize="21600,21600" o:gfxdata="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CCYfOHW&#10;AAAACQEAAA8AAAAAAAAAAQAgAAAAIgAAAGRycy9kb3ducmV2LnhtbFBLAQIUABQAAAAIAIdO4kCo&#10;Vl35sAEAAFEDAAAOAAAAAAAAAAEAIAAAACUBAABkcnMvZTJvRG9jLnhtbFBLBQYAAAAABgAGAFkB&#10;AABHBQ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试车费用和不达要求处理</w:t>
                      </w:r>
                    </w:p>
                  </w:txbxContent>
                </v:textbox>
              </v:shape>
            </w:pict>
          </mc:Fallback>
        </mc:AlternateContent>
      </w:r>
      <w:r>
        <w:rPr>
          <w:rFonts w:hint="eastAsia" w:ascii="仿宋" w:hAnsi="仿宋" w:eastAsia="仿宋" w:cs="仿宋"/>
          <w:color w:val="auto"/>
          <w:sz w:val="24"/>
          <w:szCs w:val="24"/>
          <w:highlight w:val="none"/>
        </w:rPr>
        <w:t>试车费用，除已含在合同价款外，由发包人承担。试车达不到验收要求的，按照下列规定处理：</w:t>
      </w:r>
      <w:r>
        <w:rPr>
          <w:rFonts w:ascii="仿宋" w:hAnsi="仿宋" w:eastAsia="仿宋" w:cs="仿宋"/>
          <w:color w:val="auto"/>
          <w:sz w:val="24"/>
          <w:szCs w:val="24"/>
          <w:highlight w:val="none"/>
        </w:rPr>
        <w:t xml:space="preserve"> </w:t>
      </w:r>
    </w:p>
    <w:p>
      <w:pPr>
        <w:numPr>
          <w:ilvl w:val="0"/>
          <w:numId w:val="18"/>
        </w:numPr>
        <w:shd w:val="clear" w:color="000000" w:fill="auto"/>
        <w:tabs>
          <w:tab w:val="left" w:pos="1080"/>
          <w:tab w:val="left" w:pos="1620"/>
        </w:tabs>
        <w:adjustRightInd w:val="0"/>
        <w:snapToGrid w:val="0"/>
        <w:spacing w:line="360" w:lineRule="auto"/>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由于设计原因试车达不到验收要求，发包人应要求设计人修改设计，承包人按照修改后的设计重新安装。发包人承担修改设计、拆除及重新安装的全部费用和延误的工期。</w:t>
      </w:r>
    </w:p>
    <w:p>
      <w:pPr>
        <w:numPr>
          <w:ilvl w:val="0"/>
          <w:numId w:val="18"/>
        </w:numPr>
        <w:shd w:val="clear" w:color="000000" w:fill="auto"/>
        <w:tabs>
          <w:tab w:val="left" w:pos="1080"/>
          <w:tab w:val="left" w:pos="1620"/>
        </w:tabs>
        <w:adjustRightInd w:val="0"/>
        <w:snapToGrid w:val="0"/>
        <w:spacing w:line="360" w:lineRule="auto"/>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由于设备制造质量原因试车达不到验收要求，由该责任方重新购置或修理，承包人负责拆除和重新安装。设备由承包人采购的，由承包人承担修理或重新采购、拆除及重新安装的费用和延误的工期；设备由发包人供应的，发包人承担上述各项费用和延误的工期。</w:t>
      </w:r>
    </w:p>
    <w:p>
      <w:pPr>
        <w:numPr>
          <w:ilvl w:val="0"/>
          <w:numId w:val="18"/>
        </w:numPr>
        <w:shd w:val="clear" w:color="000000" w:fill="auto"/>
        <w:tabs>
          <w:tab w:val="left" w:pos="1080"/>
          <w:tab w:val="left" w:pos="1980"/>
        </w:tabs>
        <w:adjustRightInd w:val="0"/>
        <w:snapToGrid w:val="0"/>
        <w:spacing w:line="360" w:lineRule="auto"/>
        <w:ind w:left="1617" w:leftChars="77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由于承包人施工原因试车达不到验收要求，承包人应按照监理工程师要求重新安装和试车，并承担拆除、重新安装和重新试车的费用和延误的工期。</w:t>
      </w:r>
    </w:p>
    <w:p>
      <w:pPr>
        <w:shd w:val="clear" w:color="000000" w:fill="auto"/>
        <w:adjustRightInd w:val="0"/>
        <w:snapToGrid w:val="0"/>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55.6  </w:t>
      </w:r>
      <w:r>
        <w:rPr>
          <w:rFonts w:ascii="仿宋" w:hAnsi="仿宋" w:eastAsia="仿宋" w:cs="仿宋"/>
          <w:b/>
          <w:bCs/>
          <w:color w:val="auto"/>
          <w:sz w:val="24"/>
          <w:szCs w:val="24"/>
          <w:highlight w:val="none"/>
          <w:u w:val="dotted"/>
        </w:rPr>
        <w:t xml:space="preserve">                                                                               </w:t>
      </w:r>
    </w:p>
    <w:p>
      <w:pPr>
        <w:shd w:val="clear" w:color="000000" w:fill="auto"/>
        <w:adjustRightInd w:val="0"/>
        <w:snapToGrid w:val="0"/>
        <w:rPr>
          <w:rFonts w:ascii="仿宋" w:hAnsi="仿宋" w:eastAsia="仿宋" w:cs="仿宋"/>
          <w:b/>
          <w:bCs/>
          <w:color w:val="auto"/>
          <w:sz w:val="24"/>
          <w:szCs w:val="24"/>
          <w:highlight w:val="none"/>
          <w:u w:val="dotted"/>
        </w:rPr>
      </w:pPr>
    </w:p>
    <w:p>
      <w:pPr>
        <w:pStyle w:val="33"/>
        <w:shd w:val="clear" w:color="000000" w:fill="auto"/>
        <w:adjustRightInd w:val="0"/>
        <w:snapToGrid w:val="0"/>
        <w:ind w:left="1619" w:leftChars="771"/>
        <w:rPr>
          <w:rFonts w:ascii="仿宋" w:hAnsi="仿宋" w:eastAsia="仿宋"/>
          <w:color w:val="auto"/>
          <w:highlight w:val="none"/>
        </w:rPr>
      </w:pPr>
      <w:r>
        <w:rPr>
          <w:color w:val="auto"/>
          <w:highlight w:val="none"/>
        </w:rPr>
        <mc:AlternateContent>
          <mc:Choice Requires="wps">
            <w:drawing>
              <wp:anchor distT="0" distB="0" distL="114300" distR="114300" simplePos="0" relativeHeight="251891712" behindDoc="0" locked="0" layoutInCell="1" allowOverlap="1">
                <wp:simplePos x="0" y="0"/>
                <wp:positionH relativeFrom="column">
                  <wp:posOffset>-114300</wp:posOffset>
                </wp:positionH>
                <wp:positionV relativeFrom="paragraph">
                  <wp:posOffset>10160</wp:posOffset>
                </wp:positionV>
                <wp:extent cx="800100" cy="297180"/>
                <wp:effectExtent l="0" t="0" r="0" b="0"/>
                <wp:wrapNone/>
                <wp:docPr id="228" name="文本框 232"/>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投料试车</w:t>
                            </w:r>
                          </w:p>
                        </w:txbxContent>
                      </wps:txbx>
                      <wps:bodyPr upright="1"/>
                    </wps:wsp>
                  </a:graphicData>
                </a:graphic>
              </wp:anchor>
            </w:drawing>
          </mc:Choice>
          <mc:Fallback>
            <w:pict>
              <v:shape id="文本框 232" o:spid="_x0000_s1026" o:spt="202" type="#_x0000_t202" style="position:absolute;left:0pt;margin-left:-9pt;margin-top:0.8pt;height:23.4pt;width:63pt;z-index:251891712;mso-width-relative:page;mso-height-relative:page;" filled="f" stroked="f" coordsize="21600,21600" o:gfxdata="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1nO0gNQAAAAI&#10;AQAADwAAAAAAAAABACAAAAAiAAAAZHJzL2Rvd25yZXYueG1sUEsBAhQAFAAAAAgAh07iQLBxPN2u&#10;AQAAUQMAAA4AAAAAAAAAAQAgAAAAIwEAAGRycy9lMm9Eb2MueG1sUEsFBgAAAAAGAAYAWQEAAEMF&#10;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投料试车</w:t>
                      </w:r>
                    </w:p>
                  </w:txbxContent>
                </v:textbox>
              </v:shape>
            </w:pict>
          </mc:Fallback>
        </mc:AlternateContent>
      </w:r>
      <w:r>
        <w:rPr>
          <w:rFonts w:hint="eastAsia" w:ascii="仿宋" w:hAnsi="仿宋" w:eastAsia="仿宋" w:cs="仿宋"/>
          <w:color w:val="auto"/>
          <w:highlight w:val="none"/>
        </w:rPr>
        <w:t>投料试车应在永久工程竣工验收后，由发包人负责。如果发包人要求在永久工程竣工验收前进行试车或需要承包人配合时，应事先取得承包人同意，并另行签订补充协议。</w:t>
      </w:r>
    </w:p>
    <w:p>
      <w:pPr>
        <w:pStyle w:val="13"/>
        <w:shd w:val="clear" w:color="000000" w:fill="auto"/>
        <w:adjustRightInd w:val="0"/>
        <w:snapToGrid w:val="0"/>
        <w:spacing w:line="240" w:lineRule="exact"/>
        <w:ind w:firstLine="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293" w:name="_Toc469384039"/>
      <w:bookmarkStart w:id="294" w:name="_Toc4973"/>
      <w:bookmarkStart w:id="295" w:name="_Toc10624879"/>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56  </w:t>
      </w:r>
      <w:r>
        <w:rPr>
          <w:rFonts w:hint="eastAsia" w:ascii="仿宋" w:hAnsi="仿宋" w:eastAsia="仿宋" w:cs="仿宋"/>
          <w:b/>
          <w:bCs/>
          <w:color w:val="auto"/>
          <w:sz w:val="24"/>
          <w:szCs w:val="24"/>
          <w:highlight w:val="none"/>
        </w:rPr>
        <w:t>工程变更</w:t>
      </w:r>
      <w:bookmarkEnd w:id="293"/>
      <w:bookmarkEnd w:id="294"/>
      <w:bookmarkEnd w:id="295"/>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56.1</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92736" behindDoc="0" locked="0" layoutInCell="1" allowOverlap="1">
                <wp:simplePos x="0" y="0"/>
                <wp:positionH relativeFrom="column">
                  <wp:posOffset>-114300</wp:posOffset>
                </wp:positionH>
                <wp:positionV relativeFrom="paragraph">
                  <wp:posOffset>1270</wp:posOffset>
                </wp:positionV>
                <wp:extent cx="1028700" cy="297180"/>
                <wp:effectExtent l="0" t="0" r="0" b="0"/>
                <wp:wrapNone/>
                <wp:docPr id="229" name="文本框 233"/>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工程变更权限</w:t>
                            </w:r>
                          </w:p>
                        </w:txbxContent>
                      </wps:txbx>
                      <wps:bodyPr upright="1"/>
                    </wps:wsp>
                  </a:graphicData>
                </a:graphic>
              </wp:anchor>
            </w:drawing>
          </mc:Choice>
          <mc:Fallback>
            <w:pict>
              <v:shape id="文本框 233" o:spid="_x0000_s1026" o:spt="202" type="#_x0000_t202" style="position:absolute;left:0pt;margin-left:-9pt;margin-top:0.1pt;height:23.4pt;width:81pt;z-index:251892736;mso-width-relative:page;mso-height-relative:page;" filled="f" stroked="f" coordsize="21600,21600" o:gfxdata="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rMkyrTAAAA&#10;BwEAAA8AAAAAAAAAAQAgAAAAIgAAAGRycy9kb3ducmV2LnhtbFBLAQIUABQAAAAIAIdO4kAWw4pP&#10;sAEAAFIDAAAOAAAAAAAAAAEAIAAAACIBAABkcnMvZTJvRG9jLnhtbFBLBQYAAAAABgAGAFkBAABE&#10;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工程变更权限</w:t>
                      </w:r>
                    </w:p>
                  </w:txbxContent>
                </v:textbox>
              </v:shape>
            </w:pict>
          </mc:Fallback>
        </mc:AlternateContent>
      </w:r>
      <w:r>
        <w:rPr>
          <w:rFonts w:hint="eastAsia" w:ascii="仿宋" w:hAnsi="仿宋" w:eastAsia="仿宋" w:cs="仿宋"/>
          <w:color w:val="auto"/>
          <w:sz w:val="24"/>
          <w:szCs w:val="24"/>
          <w:highlight w:val="none"/>
        </w:rPr>
        <w:t>合同履行期间，经发包人批准，监理工程师可按照第</w:t>
      </w:r>
      <w:r>
        <w:rPr>
          <w:rFonts w:ascii="仿宋" w:hAnsi="仿宋" w:eastAsia="仿宋" w:cs="仿宋"/>
          <w:color w:val="auto"/>
          <w:sz w:val="24"/>
          <w:szCs w:val="24"/>
          <w:highlight w:val="none"/>
        </w:rPr>
        <w:t>56.3</w:t>
      </w:r>
      <w:r>
        <w:rPr>
          <w:rFonts w:hint="eastAsia" w:ascii="仿宋" w:hAnsi="仿宋" w:eastAsia="仿宋" w:cs="仿宋"/>
          <w:color w:val="auto"/>
          <w:sz w:val="24"/>
          <w:szCs w:val="24"/>
          <w:highlight w:val="none"/>
        </w:rPr>
        <w:t>款约定的变更程序向承包人发出变更指令，承包人应按照合同约定实施变更工作。</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没有经发包人批准也没有监理工程师的工程变更指令，承包人应按照合同约定施工，无权对合同工程作出任何变更。</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工程量偏差不属于工程变更，该项工程量增减不需要任何指令。</w:t>
      </w:r>
    </w:p>
    <w:p>
      <w:pPr>
        <w:pStyle w:val="2"/>
        <w:shd w:val="clear" w:color="000000" w:fill="auto"/>
        <w:adjustRightInd w:val="0"/>
        <w:snapToGrid w:val="0"/>
        <w:rPr>
          <w:rFonts w:ascii="仿宋" w:hAnsi="仿宋" w:eastAsia="仿宋" w:cs="仿宋"/>
          <w:color w:val="auto"/>
          <w:sz w:val="24"/>
          <w:szCs w:val="24"/>
          <w:highlight w:val="none"/>
          <w:u w:val="dotted"/>
        </w:rPr>
      </w:pPr>
      <w:r>
        <w:rPr>
          <w:rFonts w:ascii="仿宋" w:hAnsi="仿宋" w:eastAsia="仿宋" w:cs="仿宋"/>
          <w:b/>
          <w:bCs/>
          <w:color w:val="auto"/>
          <w:sz w:val="24"/>
          <w:szCs w:val="24"/>
          <w:highlight w:val="none"/>
        </w:rPr>
        <w:t xml:space="preserve">56.2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
        <w:shd w:val="clear" w:color="000000" w:fill="auto"/>
        <w:adjustRightInd w:val="0"/>
        <w:snapToGrid w:val="0"/>
        <w:rPr>
          <w:rFonts w:ascii="仿宋" w:hAnsi="仿宋" w:eastAsia="仿宋" w:cs="Times New Roman"/>
          <w:color w:val="auto"/>
          <w:sz w:val="24"/>
          <w:szCs w:val="24"/>
          <w:highlight w:val="none"/>
        </w:rPr>
      </w:pP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93760" behindDoc="0" locked="0" layoutInCell="1" allowOverlap="1">
                <wp:simplePos x="0" y="0"/>
                <wp:positionH relativeFrom="column">
                  <wp:posOffset>-114300</wp:posOffset>
                </wp:positionH>
                <wp:positionV relativeFrom="paragraph">
                  <wp:posOffset>69850</wp:posOffset>
                </wp:positionV>
                <wp:extent cx="914400" cy="396240"/>
                <wp:effectExtent l="0" t="0" r="0" b="0"/>
                <wp:wrapNone/>
                <wp:docPr id="230" name="文本框 23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工程变更内容</w:t>
                            </w:r>
                          </w:p>
                        </w:txbxContent>
                      </wps:txbx>
                      <wps:bodyPr upright="1"/>
                    </wps:wsp>
                  </a:graphicData>
                </a:graphic>
              </wp:anchor>
            </w:drawing>
          </mc:Choice>
          <mc:Fallback>
            <w:pict>
              <v:shape id="文本框 234" o:spid="_x0000_s1026" o:spt="202" type="#_x0000_t202" style="position:absolute;left:0pt;margin-left:-9pt;margin-top:5.5pt;height:31.2pt;width:72pt;z-index:251893760;mso-width-relative:page;mso-height-relative:page;" filled="f" stroked="f" coordsize="21600,21600" o:gfxdata="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wPpe1dYA&#10;AAAJAQAADwAAAAAAAAABACAAAAAiAAAAZHJzL2Rvd25yZXYueG1sUEsBAhQAFAAAAAgAh07iQPW4&#10;P9+vAQAAUQMAAA4AAAAAAAAAAQAgAAAAJQ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工程变更内容</w:t>
                      </w:r>
                    </w:p>
                  </w:txbxContent>
                </v:textbox>
              </v:shape>
            </w:pict>
          </mc:Fallback>
        </mc:AlternateContent>
      </w:r>
      <w:r>
        <w:rPr>
          <w:rFonts w:hint="eastAsia" w:ascii="仿宋" w:hAnsi="仿宋" w:eastAsia="仿宋" w:cs="仿宋"/>
          <w:color w:val="auto"/>
          <w:sz w:val="24"/>
          <w:szCs w:val="24"/>
          <w:highlight w:val="none"/>
        </w:rPr>
        <w:t>合同履行期间，发包人可对合同工程或其任何部分的形式、质量或数量作出变更。发生下列情形之一，应按照本条规定进行变更。</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rPr>
        <w:t>改变合同工程中任何工程数量（不含工程量的偏差）；</w:t>
      </w:r>
    </w:p>
    <w:p>
      <w:pPr>
        <w:pStyle w:val="2"/>
        <w:shd w:val="clear" w:color="000000" w:fill="auto"/>
        <w:adjustRightInd w:val="0"/>
        <w:snapToGrid w:val="0"/>
        <w:spacing w:line="360" w:lineRule="auto"/>
        <w:ind w:left="1619" w:leftChars="771"/>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(2) </w:t>
      </w:r>
      <w:r>
        <w:rPr>
          <w:rFonts w:hint="eastAsia" w:ascii="仿宋" w:hAnsi="仿宋" w:eastAsia="仿宋" w:cs="仿宋"/>
          <w:color w:val="auto"/>
          <w:sz w:val="24"/>
          <w:szCs w:val="24"/>
          <w:highlight w:val="none"/>
        </w:rPr>
        <w:t>删减任何工作，但删减的工作不能转由发包人或其他人实施；</w:t>
      </w:r>
      <w:r>
        <w:rPr>
          <w:rFonts w:ascii="仿宋" w:hAnsi="仿宋" w:eastAsia="仿宋" w:cs="仿宋"/>
          <w:color w:val="auto"/>
          <w:sz w:val="24"/>
          <w:szCs w:val="24"/>
          <w:highlight w:val="none"/>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(3) </w:t>
      </w:r>
      <w:r>
        <w:rPr>
          <w:rFonts w:hint="eastAsia" w:ascii="仿宋" w:hAnsi="仿宋" w:eastAsia="仿宋" w:cs="仿宋"/>
          <w:color w:val="auto"/>
          <w:sz w:val="24"/>
          <w:szCs w:val="24"/>
          <w:highlight w:val="none"/>
        </w:rPr>
        <w:t>改变任何工作内容的性质、质量或其他特征；</w:t>
      </w:r>
    </w:p>
    <w:p>
      <w:pPr>
        <w:pStyle w:val="2"/>
        <w:shd w:val="clear" w:color="000000" w:fill="auto"/>
        <w:adjustRightInd w:val="0"/>
        <w:snapToGrid w:val="0"/>
        <w:spacing w:line="360" w:lineRule="auto"/>
        <w:ind w:left="1619" w:leftChars="771" w:firstLine="1"/>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(4) </w:t>
      </w:r>
      <w:r>
        <w:rPr>
          <w:rFonts w:hint="eastAsia" w:ascii="仿宋" w:hAnsi="仿宋" w:eastAsia="仿宋" w:cs="仿宋"/>
          <w:color w:val="auto"/>
          <w:sz w:val="24"/>
          <w:szCs w:val="24"/>
          <w:highlight w:val="none"/>
        </w:rPr>
        <w:t>改变工程任何部分的标高、基线、位置和</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或</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尺寸；</w:t>
      </w:r>
    </w:p>
    <w:p>
      <w:pPr>
        <w:pStyle w:val="2"/>
        <w:shd w:val="clear" w:color="000000" w:fill="auto"/>
        <w:adjustRightInd w:val="0"/>
        <w:snapToGrid w:val="0"/>
        <w:spacing w:line="360" w:lineRule="auto"/>
        <w:ind w:left="1619" w:leftChars="771" w:firstLine="1"/>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(5) </w:t>
      </w:r>
      <w:r>
        <w:rPr>
          <w:rFonts w:hint="eastAsia" w:ascii="仿宋" w:hAnsi="仿宋" w:eastAsia="仿宋" w:cs="仿宋"/>
          <w:color w:val="auto"/>
          <w:sz w:val="24"/>
          <w:szCs w:val="24"/>
          <w:highlight w:val="none"/>
        </w:rPr>
        <w:t>为完成永久工程所必须的任何额外工作；</w:t>
      </w:r>
    </w:p>
    <w:p>
      <w:pPr>
        <w:pStyle w:val="2"/>
        <w:shd w:val="clear" w:color="000000" w:fill="auto"/>
        <w:adjustRightInd w:val="0"/>
        <w:snapToGrid w:val="0"/>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但对合同工程工期、质量标准等实质性变更的，应在作出变更前，与承包人签订补充协议书，作为本合同的补充文件。</w:t>
      </w:r>
    </w:p>
    <w:p>
      <w:pPr>
        <w:pStyle w:val="2"/>
        <w:shd w:val="clear" w:color="000000" w:fill="auto"/>
        <w:adjustRightInd w:val="0"/>
        <w:snapToGrid w:val="0"/>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56.3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rPr>
          <w:rFonts w:ascii="仿宋" w:hAnsi="仿宋" w:eastAsia="仿宋" w:cs="Times New Roman"/>
          <w:b/>
          <w:bCs/>
          <w:color w:val="auto"/>
          <w:sz w:val="24"/>
          <w:szCs w:val="24"/>
          <w:highlight w:val="none"/>
        </w:rPr>
      </w:pP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94784" behindDoc="0" locked="0" layoutInCell="1" allowOverlap="1">
                <wp:simplePos x="0" y="0"/>
                <wp:positionH relativeFrom="column">
                  <wp:posOffset>-114300</wp:posOffset>
                </wp:positionH>
                <wp:positionV relativeFrom="paragraph">
                  <wp:posOffset>15875</wp:posOffset>
                </wp:positionV>
                <wp:extent cx="914400" cy="556895"/>
                <wp:effectExtent l="0" t="0" r="0" b="0"/>
                <wp:wrapNone/>
                <wp:docPr id="231" name="文本框 235"/>
                <wp:cNvGraphicFramePr/>
                <a:graphic xmlns:a="http://schemas.openxmlformats.org/drawingml/2006/main">
                  <a:graphicData uri="http://schemas.microsoft.com/office/word/2010/wordprocessingShape">
                    <wps:wsp>
                      <wps:cNvSpPr txBox="1"/>
                      <wps:spPr>
                        <a:xfrm>
                          <a:off x="0" y="0"/>
                          <a:ext cx="914400" cy="556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工程变更程序</w:t>
                            </w:r>
                          </w:p>
                        </w:txbxContent>
                      </wps:txbx>
                      <wps:bodyPr upright="1"/>
                    </wps:wsp>
                  </a:graphicData>
                </a:graphic>
              </wp:anchor>
            </w:drawing>
          </mc:Choice>
          <mc:Fallback>
            <w:pict>
              <v:shape id="文本框 235" o:spid="_x0000_s1026" o:spt="202" type="#_x0000_t202" style="position:absolute;left:0pt;margin-left:-9pt;margin-top:1.25pt;height:43.85pt;width:72pt;z-index:251894784;mso-width-relative:page;mso-height-relative:page;" filled="f" stroked="f" coordsize="21600,21600" o:gfxdata="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Qw/9jV&#10;AAAACAEAAA8AAAAAAAAAAQAgAAAAIgAAAGRycy9kb3ducmV2LnhtbFBLAQIUABQAAAAIAIdO4kC1&#10;QmN3sQEAAFEDAAAOAAAAAAAAAAEAIAAAACQBAABkcnMvZTJvRG9jLnhtbFBLBQYAAAAABgAGAFkB&#10;AABH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工程变更程序</w:t>
                      </w:r>
                    </w:p>
                  </w:txbxContent>
                </v:textbox>
              </v:shape>
            </w:pict>
          </mc:Fallback>
        </mc:AlternateContent>
      </w:r>
      <w:r>
        <w:rPr>
          <w:rFonts w:hint="eastAsia" w:ascii="仿宋" w:hAnsi="仿宋" w:eastAsia="仿宋" w:cs="仿宋"/>
          <w:color w:val="auto"/>
          <w:sz w:val="24"/>
          <w:szCs w:val="24"/>
          <w:highlight w:val="none"/>
        </w:rPr>
        <w:t>合同工程发生变更，合同双方当事人以及监理工程师、造价工程师应遵循下列程序实施工程变更的相关工作。</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合同工程可能发生或发生工程变更时，监理工程师或承包人可依据下列情况及时提出。</w:t>
      </w:r>
    </w:p>
    <w:p>
      <w:pPr>
        <w:pStyle w:val="2"/>
        <w:shd w:val="clear" w:color="000000" w:fill="auto"/>
        <w:adjustRightInd w:val="0"/>
        <w:snapToGrid w:val="0"/>
        <w:spacing w:line="360" w:lineRule="auto"/>
        <w:ind w:left="162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）合同工程可能发生第</w:t>
      </w:r>
      <w:r>
        <w:rPr>
          <w:rFonts w:ascii="仿宋" w:hAnsi="仿宋" w:eastAsia="仿宋" w:cs="仿宋"/>
          <w:color w:val="auto"/>
          <w:sz w:val="24"/>
          <w:szCs w:val="24"/>
          <w:highlight w:val="none"/>
        </w:rPr>
        <w:t>56.2</w:t>
      </w:r>
      <w:r>
        <w:rPr>
          <w:rFonts w:hint="eastAsia" w:ascii="仿宋" w:hAnsi="仿宋" w:eastAsia="仿宋" w:cs="仿宋"/>
          <w:color w:val="auto"/>
          <w:sz w:val="24"/>
          <w:szCs w:val="24"/>
          <w:highlight w:val="none"/>
        </w:rPr>
        <w:t>款所列情形的，监理工程师可向承包人发出变更意向书，并附必要的施工设计图纸及其说明等资料。承包人应在收到变更意向书后的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天内，向监理工程师书面提交包括拟实施变更工作的计划、措施、竣工时间、修改内容和所需金额等在内的实施方案。发包人应在收到实施方案后的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天内予以答复；同意承包人提交的实施方案的，监理工程师应在收到实施方案后的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天内发出变更指令。</w:t>
      </w:r>
    </w:p>
    <w:p>
      <w:pPr>
        <w:pStyle w:val="2"/>
        <w:shd w:val="clear" w:color="000000" w:fill="auto"/>
        <w:adjustRightInd w:val="0"/>
        <w:snapToGrid w:val="0"/>
        <w:spacing w:line="360" w:lineRule="auto"/>
        <w:ind w:left="162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）合同工程发生第</w:t>
      </w:r>
      <w:r>
        <w:rPr>
          <w:rFonts w:ascii="仿宋" w:hAnsi="仿宋" w:eastAsia="仿宋" w:cs="仿宋"/>
          <w:color w:val="auto"/>
          <w:sz w:val="24"/>
          <w:szCs w:val="24"/>
          <w:highlight w:val="none"/>
        </w:rPr>
        <w:t>56.2</w:t>
      </w:r>
      <w:r>
        <w:rPr>
          <w:rFonts w:hint="eastAsia" w:ascii="仿宋" w:hAnsi="仿宋" w:eastAsia="仿宋" w:cs="仿宋"/>
          <w:color w:val="auto"/>
          <w:sz w:val="24"/>
          <w:szCs w:val="24"/>
          <w:highlight w:val="none"/>
        </w:rPr>
        <w:t>款所列情形的，监理工程师应至少提前</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天以书面形式向承包人发出变更指令，并提供变更的施工设计图纸及其说明等资料。</w:t>
      </w:r>
    </w:p>
    <w:p>
      <w:pPr>
        <w:pStyle w:val="2"/>
        <w:shd w:val="clear" w:color="000000" w:fill="auto"/>
        <w:adjustRightInd w:val="0"/>
        <w:snapToGrid w:val="0"/>
        <w:spacing w:line="360" w:lineRule="auto"/>
        <w:ind w:left="162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）承包人收到发包人为实施合同工程所提供的施工设计图纸和文件，经检查认为存在第</w:t>
      </w:r>
      <w:r>
        <w:rPr>
          <w:rFonts w:ascii="仿宋" w:hAnsi="仿宋" w:eastAsia="仿宋" w:cs="仿宋"/>
          <w:color w:val="auto"/>
          <w:sz w:val="24"/>
          <w:szCs w:val="24"/>
          <w:highlight w:val="none"/>
        </w:rPr>
        <w:t>56.2</w:t>
      </w:r>
      <w:r>
        <w:rPr>
          <w:rFonts w:hint="eastAsia" w:ascii="仿宋" w:hAnsi="仿宋" w:eastAsia="仿宋" w:cs="仿宋"/>
          <w:color w:val="auto"/>
          <w:sz w:val="24"/>
          <w:szCs w:val="24"/>
          <w:highlight w:val="none"/>
        </w:rPr>
        <w:t>款所列情形的，可向监理工程师提出书面建议。监理工程师收到承包人书面建议后，应提出确认意见并报发包人审批；确认存在变更的，监理工程师应在收到承包人书面建议后的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天内发出变更指令。不同意作为变更的，应由监理工程师书面答复承包人。</w:t>
      </w:r>
    </w:p>
    <w:p>
      <w:pPr>
        <w:pStyle w:val="2"/>
        <w:shd w:val="clear" w:color="000000" w:fill="auto"/>
        <w:adjustRightInd w:val="0"/>
        <w:snapToGrid w:val="0"/>
        <w:spacing w:line="360" w:lineRule="auto"/>
        <w:ind w:left="162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）若承包人收到监理工程师的变更意向书后认为难以实施此项变更的，应立即通知监理工程师，说明原因并附详细依据。监理工程师与合同双方当事人协商后确定撤销、改变或不改变原变更意向书。</w:t>
      </w:r>
    </w:p>
    <w:p>
      <w:pPr>
        <w:pStyle w:val="2"/>
        <w:shd w:val="clear" w:color="000000" w:fill="auto"/>
        <w:adjustRightInd w:val="0"/>
        <w:snapToGrid w:val="0"/>
        <w:spacing w:line="360" w:lineRule="auto"/>
        <w:ind w:left="162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）承包人应在收到监理工程师发出变更指令或变更意向书后的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天内，向发包人提交工程变更报告，并抄送监理工程师、造价工程师。报告内容应包括变更原因、根据第</w:t>
      </w:r>
      <w:r>
        <w:rPr>
          <w:rFonts w:ascii="仿宋" w:hAnsi="仿宋" w:eastAsia="仿宋" w:cs="仿宋"/>
          <w:color w:val="auto"/>
          <w:sz w:val="24"/>
          <w:szCs w:val="24"/>
          <w:highlight w:val="none"/>
        </w:rPr>
        <w:t>72</w:t>
      </w:r>
      <w:r>
        <w:rPr>
          <w:rFonts w:hint="eastAsia" w:ascii="仿宋" w:hAnsi="仿宋" w:eastAsia="仿宋" w:cs="仿宋"/>
          <w:color w:val="auto"/>
          <w:sz w:val="24"/>
          <w:szCs w:val="24"/>
          <w:highlight w:val="none"/>
        </w:rPr>
        <w:t>条约定详细开列变更工作的价格组成和依据，并附变更的施工设计图纸及其相关说明。</w:t>
      </w:r>
    </w:p>
    <w:p>
      <w:pPr>
        <w:pStyle w:val="2"/>
        <w:shd w:val="clear" w:color="000000" w:fill="auto"/>
        <w:adjustRightInd w:val="0"/>
        <w:snapToGrid w:val="0"/>
        <w:spacing w:line="360" w:lineRule="auto"/>
        <w:ind w:left="162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变更工作影响工期的，承包人应提出调整工期的要求。发包人认为有必要时，可要求承包人提交提前或者延长工期的施工进度计划或相应施工措施等资料。</w:t>
      </w:r>
    </w:p>
    <w:p>
      <w:pPr>
        <w:pStyle w:val="2"/>
        <w:shd w:val="clear" w:color="000000" w:fill="auto"/>
        <w:adjustRightInd w:val="0"/>
        <w:snapToGrid w:val="0"/>
        <w:spacing w:line="360" w:lineRule="auto"/>
        <w:ind w:left="162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发包人在收到承包人工程变更报告后，应通知监理工程师、造价工程师及时对报告内容予以核实，并在收到报告后的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天内予以确定或提出修改意见。发包人在收到承包人工程变更报告后的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天内未确定也未提出修改意见的，视为承包人提交的工程变更报告已被认可。</w:t>
      </w:r>
    </w:p>
    <w:p>
      <w:pPr>
        <w:pStyle w:val="2"/>
        <w:shd w:val="clear" w:color="000000" w:fill="auto"/>
        <w:adjustRightInd w:val="0"/>
        <w:snapToGrid w:val="0"/>
        <w:spacing w:line="360" w:lineRule="auto"/>
        <w:ind w:left="1575" w:leftChars="750"/>
        <w:rPr>
          <w:rFonts w:ascii="仿宋" w:hAnsi="仿宋" w:eastAsia="仿宋" w:cs="Times New Roman"/>
          <w:b/>
          <w:bCs/>
          <w:color w:val="auto"/>
          <w:sz w:val="24"/>
          <w:szCs w:val="24"/>
          <w:highlight w:val="none"/>
        </w:rPr>
      </w:pP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承包人应在发包人确定工程变更报告后的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天内，按照监理工程师发出的变更指令及时组织实施变更工作。否则，由此引起的损失和（或）延误的工期由承包人承担。</w:t>
      </w:r>
    </w:p>
    <w:p>
      <w:pPr>
        <w:pStyle w:val="2"/>
        <w:shd w:val="clear" w:color="000000" w:fill="auto"/>
        <w:adjustRightInd w:val="0"/>
        <w:snapToGrid w:val="0"/>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56.4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rPr>
          <w:rFonts w:ascii="仿宋" w:hAnsi="仿宋" w:eastAsia="仿宋" w:cs="Times New Roman"/>
          <w:b/>
          <w:bCs/>
          <w:color w:val="auto"/>
          <w:sz w:val="24"/>
          <w:szCs w:val="24"/>
          <w:highlight w:val="none"/>
        </w:rPr>
      </w:pP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95808" behindDoc="0" locked="0" layoutInCell="1" allowOverlap="1">
                <wp:simplePos x="0" y="0"/>
                <wp:positionH relativeFrom="column">
                  <wp:posOffset>-114300</wp:posOffset>
                </wp:positionH>
                <wp:positionV relativeFrom="paragraph">
                  <wp:posOffset>7620</wp:posOffset>
                </wp:positionV>
                <wp:extent cx="914400" cy="412115"/>
                <wp:effectExtent l="0" t="0" r="0" b="0"/>
                <wp:wrapNone/>
                <wp:docPr id="232" name="文本框 236"/>
                <wp:cNvGraphicFramePr/>
                <a:graphic xmlns:a="http://schemas.openxmlformats.org/drawingml/2006/main">
                  <a:graphicData uri="http://schemas.microsoft.com/office/word/2010/wordprocessingShape">
                    <wps:wsp>
                      <wps:cNvSpPr txBox="1"/>
                      <wps:spPr>
                        <a:xfrm>
                          <a:off x="0" y="0"/>
                          <a:ext cx="914400" cy="41211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承包人提出工程变更建议</w:t>
                            </w:r>
                          </w:p>
                        </w:txbxContent>
                      </wps:txbx>
                      <wps:bodyPr upright="1"/>
                    </wps:wsp>
                  </a:graphicData>
                </a:graphic>
              </wp:anchor>
            </w:drawing>
          </mc:Choice>
          <mc:Fallback>
            <w:pict>
              <v:shape id="文本框 236" o:spid="_x0000_s1026" o:spt="202" type="#_x0000_t202" style="position:absolute;left:0pt;margin-left:-9pt;margin-top:0.6pt;height:32.45pt;width:72pt;z-index:251895808;mso-width-relative:page;mso-height-relative:page;" filled="f" stroked="f" coordsize="21600,21600" o:gfxdata="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4TrXUAAAA&#10;CAEAAA8AAAAAAAAAAQAgAAAAIgAAAGRycy9kb3ducmV2LnhtbFBLAQIUABQAAAAIAIdO4kCG5yiE&#10;rwEAAFEDAAAOAAAAAAAAAAEAIAAAACMBAABkcnMvZTJvRG9jLnhtbFBLBQYAAAAABgAGAFkBAABE&#10;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承包人提出工程变更建议</w:t>
                      </w:r>
                    </w:p>
                  </w:txbxContent>
                </v:textbox>
              </v:shape>
            </w:pict>
          </mc:Fallback>
        </mc:AlternateContent>
      </w:r>
      <w:r>
        <w:rPr>
          <w:rFonts w:hint="eastAsia" w:ascii="仿宋" w:hAnsi="仿宋" w:eastAsia="仿宋" w:cs="仿宋"/>
          <w:color w:val="auto"/>
          <w:sz w:val="24"/>
          <w:szCs w:val="24"/>
          <w:highlight w:val="none"/>
        </w:rPr>
        <w:t>合同履行期间，承包人可提出工程变更建议。变更建议应以书面形式向监理工程师提出，同时抄送发包人，详细说明变更的原因、变更方案及合同价格的增减情况，并附必要的施工设计图纸及其说明等资料。变更建议被采纳的，监理工程师应按照第</w:t>
      </w:r>
      <w:r>
        <w:rPr>
          <w:rFonts w:ascii="仿宋" w:hAnsi="仿宋" w:eastAsia="仿宋" w:cs="仿宋"/>
          <w:color w:val="auto"/>
          <w:sz w:val="24"/>
          <w:szCs w:val="24"/>
          <w:highlight w:val="none"/>
        </w:rPr>
        <w:t>56.3</w:t>
      </w:r>
      <w:r>
        <w:rPr>
          <w:rFonts w:hint="eastAsia" w:ascii="仿宋" w:hAnsi="仿宋" w:eastAsia="仿宋" w:cs="仿宋"/>
          <w:color w:val="auto"/>
          <w:sz w:val="24"/>
          <w:szCs w:val="24"/>
          <w:highlight w:val="none"/>
        </w:rPr>
        <w:t>款规定向承包人发出变更指令。</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发包人采纳承包人的建议，给发包人带来降低合同价款、缩短工期或提交工程经济效益等利益的，发包人应按照国家有关规定并在专用条款中约定的计算方法予以奖励。</w:t>
      </w:r>
    </w:p>
    <w:p>
      <w:pPr>
        <w:pStyle w:val="2"/>
        <w:shd w:val="clear" w:color="000000" w:fill="auto"/>
        <w:adjustRightInd w:val="0"/>
        <w:snapToGrid w:val="0"/>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56.5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rPr>
          <w:rFonts w:ascii="仿宋" w:hAnsi="仿宋" w:eastAsia="仿宋" w:cs="Times New Roman"/>
          <w:b/>
          <w:bCs/>
          <w:color w:val="auto"/>
          <w:sz w:val="24"/>
          <w:szCs w:val="24"/>
          <w:highlight w:val="none"/>
        </w:rPr>
      </w:pP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96832" behindDoc="0" locked="0" layoutInCell="1" allowOverlap="1">
                <wp:simplePos x="0" y="0"/>
                <wp:positionH relativeFrom="column">
                  <wp:posOffset>-114300</wp:posOffset>
                </wp:positionH>
                <wp:positionV relativeFrom="paragraph">
                  <wp:posOffset>15240</wp:posOffset>
                </wp:positionV>
                <wp:extent cx="914400" cy="588010"/>
                <wp:effectExtent l="0" t="0" r="0" b="0"/>
                <wp:wrapNone/>
                <wp:docPr id="233" name="文本框 237"/>
                <wp:cNvGraphicFramePr/>
                <a:graphic xmlns:a="http://schemas.openxmlformats.org/drawingml/2006/main">
                  <a:graphicData uri="http://schemas.microsoft.com/office/word/2010/wordprocessingShape">
                    <wps:wsp>
                      <wps:cNvSpPr txBox="1"/>
                      <wps:spPr>
                        <a:xfrm>
                          <a:off x="0" y="0"/>
                          <a:ext cx="914400" cy="58801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wps:txbx>
                      <wps:bodyPr upright="1"/>
                    </wps:wsp>
                  </a:graphicData>
                </a:graphic>
              </wp:anchor>
            </w:drawing>
          </mc:Choice>
          <mc:Fallback>
            <w:pict>
              <v:shape id="文本框 237" o:spid="_x0000_s1026" o:spt="202" type="#_x0000_t202" style="position:absolute;left:0pt;margin-left:-9pt;margin-top:1.2pt;height:46.3pt;width:72pt;z-index:251896832;mso-width-relative:page;mso-height-relative:page;" filled="f" stroked="f" coordsize="21600,21600" o:gfxdata="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vMrES1QAA&#10;AAgBAAAPAAAAAAAAAAEAIAAAACIAAABkcnMvZG93bnJldi54bWxQSwECFAAUAAAACACHTuJAB2ja&#10;oK8BAABRAwAADgAAAAAAAAABACAAAAAkAQAAZHJzL2Uyb0RvYy54bWxQSwUGAAAAAAYABgBZAQAA&#10;R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v:textbox>
              </v:shape>
            </w:pict>
          </mc:Fallback>
        </mc:AlternateContent>
      </w:r>
      <w:r>
        <w:rPr>
          <w:rFonts w:hint="eastAsia" w:ascii="仿宋" w:hAnsi="仿宋" w:eastAsia="仿宋" w:cs="仿宋"/>
          <w:color w:val="auto"/>
          <w:sz w:val="24"/>
          <w:szCs w:val="24"/>
          <w:highlight w:val="none"/>
        </w:rPr>
        <w:t>工程变更不应使合同作废或无效。工程变更应按照第</w:t>
      </w:r>
      <w:r>
        <w:rPr>
          <w:rFonts w:ascii="仿宋" w:hAnsi="仿宋" w:eastAsia="仿宋" w:cs="仿宋"/>
          <w:color w:val="auto"/>
          <w:sz w:val="24"/>
          <w:szCs w:val="24"/>
          <w:highlight w:val="none"/>
        </w:rPr>
        <w:t>72</w:t>
      </w:r>
      <w:r>
        <w:rPr>
          <w:rFonts w:hint="eastAsia" w:ascii="仿宋" w:hAnsi="仿宋" w:eastAsia="仿宋" w:cs="仿宋"/>
          <w:color w:val="auto"/>
          <w:sz w:val="24"/>
          <w:szCs w:val="24"/>
          <w:highlight w:val="none"/>
        </w:rPr>
        <w:t>条规定确定变更的工程款；影响工期的，工期应相应调整。但由于下列原因引起的变更，承包人无权要求任何额外或附加的费用，工期不予顺延：</w:t>
      </w:r>
    </w:p>
    <w:p>
      <w:pPr>
        <w:pStyle w:val="2"/>
        <w:numPr>
          <w:ilvl w:val="0"/>
          <w:numId w:val="19"/>
        </w:numPr>
        <w:shd w:val="clear" w:color="000000" w:fill="auto"/>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为了便于组织施工而采取的技术措施变更或临时工程变更；</w:t>
      </w:r>
    </w:p>
    <w:p>
      <w:pPr>
        <w:pStyle w:val="2"/>
        <w:shd w:val="clear" w:color="000000" w:fill="auto"/>
        <w:adjustRightInd w:val="0"/>
        <w:snapToGrid w:val="0"/>
        <w:spacing w:line="360" w:lineRule="auto"/>
        <w:ind w:firstLine="1560" w:firstLineChars="65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）为了施工安全、避免干扰等原因而采取的技术措施变更或临时工程变</w:t>
      </w:r>
    </w:p>
    <w:p>
      <w:pPr>
        <w:pStyle w:val="2"/>
        <w:shd w:val="clear" w:color="000000" w:fill="auto"/>
        <w:adjustRightInd w:val="0"/>
        <w:snapToGrid w:val="0"/>
        <w:spacing w:line="360" w:lineRule="auto"/>
        <w:ind w:left="1619"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更；</w:t>
      </w:r>
    </w:p>
    <w:p>
      <w:pPr>
        <w:pStyle w:val="2"/>
        <w:numPr>
          <w:ilvl w:val="0"/>
          <w:numId w:val="19"/>
        </w:numPr>
        <w:shd w:val="clear" w:color="000000" w:fill="auto"/>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因承包人违约、过错或承包人引起的其他变更。</w:t>
      </w:r>
    </w:p>
    <w:p>
      <w:pPr>
        <w:pStyle w:val="2"/>
        <w:shd w:val="clear" w:color="000000" w:fill="auto"/>
        <w:adjustRightInd w:val="0"/>
        <w:snapToGrid w:val="0"/>
        <w:spacing w:line="360" w:lineRule="auto"/>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296" w:name="_Toc469384040"/>
      <w:bookmarkStart w:id="297" w:name="_Toc10624880"/>
      <w:bookmarkStart w:id="298" w:name="_Toc15583"/>
      <w:r>
        <w:rPr>
          <w:rFonts w:ascii="仿宋" w:hAnsi="仿宋" w:eastAsia="仿宋" w:cs="仿宋"/>
          <w:b/>
          <w:bCs/>
          <w:color w:val="auto"/>
          <w:sz w:val="24"/>
          <w:szCs w:val="24"/>
          <w:highlight w:val="none"/>
        </w:rPr>
        <w:t xml:space="preserve">57  </w:t>
      </w:r>
      <w:r>
        <w:rPr>
          <w:rFonts w:hint="eastAsia" w:ascii="仿宋" w:hAnsi="仿宋" w:eastAsia="仿宋" w:cs="仿宋"/>
          <w:b/>
          <w:bCs/>
          <w:color w:val="auto"/>
          <w:sz w:val="24"/>
          <w:szCs w:val="24"/>
          <w:highlight w:val="none"/>
        </w:rPr>
        <w:t>竣工验收条件</w:t>
      </w:r>
      <w:bookmarkEnd w:id="296"/>
      <w:bookmarkEnd w:id="297"/>
      <w:bookmarkEnd w:id="298"/>
    </w:p>
    <w:p>
      <w:pPr>
        <w:pStyle w:val="13"/>
        <w:shd w:val="clear" w:color="000000" w:fill="auto"/>
        <w:adjustRightInd w:val="0"/>
        <w:snapToGrid w:val="0"/>
        <w:spacing w:line="360" w:lineRule="auto"/>
        <w:ind w:firstLine="0"/>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57.1</w:t>
      </w:r>
    </w:p>
    <w:p>
      <w:pPr>
        <w:shd w:val="clear" w:color="000000" w:fill="auto"/>
        <w:spacing w:line="360" w:lineRule="auto"/>
        <w:ind w:left="1618" w:hanging="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97856"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234" name="文本框 238"/>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w:t>
                            </w:r>
                          </w:p>
                        </w:txbxContent>
                      </wps:txbx>
                      <wps:bodyPr upright="1"/>
                    </wps:wsp>
                  </a:graphicData>
                </a:graphic>
              </wp:anchor>
            </w:drawing>
          </mc:Choice>
          <mc:Fallback>
            <w:pict>
              <v:shape id="文本框 238" o:spid="_x0000_s1026" o:spt="202" type="#_x0000_t202" style="position:absolute;left:0pt;margin-left:-9pt;margin-top:1pt;height:33.3pt;width:72pt;z-index:251897856;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KOh5TdUA&#10;AAAIAQAADwAAAAAAAAABACAAAAAiAAAAZHJzL2Rvd25yZXYueG1sUEsBAhQAFAAAAAgAh07iQMkw&#10;c7WwAQAAUQMAAA4AAAAAAAAAAQAgAAAAJA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w:t>
                      </w:r>
                    </w:p>
                  </w:txbxContent>
                </v:textbox>
              </v:shape>
            </w:pict>
          </mc:Fallback>
        </mc:AlternateContent>
      </w:r>
      <w:r>
        <w:rPr>
          <w:rFonts w:hint="eastAsia" w:ascii="仿宋" w:hAnsi="仿宋" w:eastAsia="仿宋" w:cs="仿宋"/>
          <w:color w:val="auto"/>
          <w:sz w:val="24"/>
          <w:szCs w:val="24"/>
          <w:highlight w:val="none"/>
        </w:rPr>
        <w:t>承包人实施、完成合同工程的全部工作内容，经自检评定并符合下列条件的，则认为合同工程已具备竣工验收条件。</w:t>
      </w:r>
    </w:p>
    <w:p>
      <w:pPr>
        <w:shd w:val="clear" w:color="000000" w:fill="auto"/>
        <w:spacing w:line="360" w:lineRule="auto"/>
        <w:ind w:left="1618" w:hanging="1"/>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）除监理工程师同意列入缺陷责任期内完成的尾工（甩项）工程和缺陷修补工作外，包括合同约定的试验、检验和验收等工作在内的合同范围内全部工作均已完成，并符合施工设计图纸和合同约定的要求；</w:t>
      </w:r>
    </w:p>
    <w:p>
      <w:pPr>
        <w:shd w:val="clear" w:color="000000" w:fill="auto"/>
        <w:spacing w:line="360" w:lineRule="auto"/>
        <w:ind w:left="1680" w:leftChars="8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）已按照合同约定的内容和份数备齐了符合国家或行业、省要求的竣工资料（质量控制资料、竣工结算文件等）；</w:t>
      </w:r>
    </w:p>
    <w:p>
      <w:pPr>
        <w:shd w:val="clear" w:color="000000" w:fill="auto"/>
        <w:spacing w:line="360" w:lineRule="auto"/>
        <w:ind w:left="1618" w:hanging="1"/>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）已按照监理工程师的指令编制了在缺陷责任期内完成的尾工（甩项）工程和缺陷修补工作清单，以及相应的实施计划；</w:t>
      </w:r>
    </w:p>
    <w:p>
      <w:pPr>
        <w:shd w:val="clear" w:color="000000" w:fill="auto"/>
        <w:spacing w:line="360" w:lineRule="auto"/>
        <w:ind w:firstLine="1620" w:firstLineChars="675"/>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）监理工程师要求在竣工验收前应完成的其他工作：</w:t>
      </w:r>
    </w:p>
    <w:p>
      <w:pPr>
        <w:shd w:val="clear" w:color="000000" w:fill="auto"/>
        <w:spacing w:line="360" w:lineRule="auto"/>
        <w:ind w:firstLine="1620" w:firstLineChars="675"/>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）监理工程师要求提交的竣工验收资料清单。</w:t>
      </w:r>
    </w:p>
    <w:p>
      <w:pPr>
        <w:pStyle w:val="13"/>
        <w:shd w:val="clear" w:color="000000" w:fill="auto"/>
        <w:adjustRightInd w:val="0"/>
        <w:snapToGrid w:val="0"/>
        <w:spacing w:line="360" w:lineRule="auto"/>
        <w:ind w:firstLine="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57.2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13"/>
        <w:shd w:val="clear" w:color="000000" w:fill="auto"/>
        <w:adjustRightInd w:val="0"/>
        <w:snapToGrid w:val="0"/>
        <w:spacing w:line="360" w:lineRule="auto"/>
        <w:ind w:left="1619" w:leftChars="771"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承包人</w:t>
      </w:r>
      <w:r>
        <w:rPr>
          <w:color w:val="auto"/>
          <w:highlight w:val="none"/>
        </w:rPr>
        <mc:AlternateContent>
          <mc:Choice Requires="wps">
            <w:drawing>
              <wp:anchor distT="0" distB="0" distL="114300" distR="114300" simplePos="0" relativeHeight="251898880"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235" name="文本框 239"/>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提交竣工验收申请报告</w:t>
                            </w:r>
                          </w:p>
                        </w:txbxContent>
                      </wps:txbx>
                      <wps:bodyPr upright="1"/>
                    </wps:wsp>
                  </a:graphicData>
                </a:graphic>
              </wp:anchor>
            </w:drawing>
          </mc:Choice>
          <mc:Fallback>
            <w:pict>
              <v:shape id="文本框 239" o:spid="_x0000_s1026" o:spt="202" type="#_x0000_t202" style="position:absolute;left:0pt;margin-left:-9pt;margin-top:1pt;height:33.3pt;width:72pt;z-index:251898880;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KOh5TdUA&#10;AAAIAQAADwAAAAAAAAABACAAAAAiAAAAZHJzL2Rvd25yZXYueG1sUEsBAhQAFAAAAAgAh07iQOrJ&#10;DR2wAQAAUQMAAA4AAAAAAAAAAQAgAAAAJAEAAGRycy9lMm9Eb2MueG1sUEsFBgAAAAAGAAYAWQEA&#10;AEYFA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提交竣工验收申请报告</w:t>
                      </w:r>
                    </w:p>
                  </w:txbxContent>
                </v:textbox>
              </v:shape>
            </w:pict>
          </mc:Fallback>
        </mc:AlternateContent>
      </w:r>
      <w:r>
        <w:rPr>
          <w:rFonts w:hint="eastAsia" w:ascii="仿宋" w:hAnsi="仿宋" w:eastAsia="仿宋" w:cs="仿宋"/>
          <w:color w:val="auto"/>
          <w:sz w:val="24"/>
          <w:szCs w:val="24"/>
          <w:highlight w:val="none"/>
        </w:rPr>
        <w:t>认为合同工程具备竣工验收条件的，应按照国家或行业、省规定的工程竣工验收技术资料格式和要求，及时向发包人提交竣工验收申请报告和符合要求的完整竣工资料，合同双方当事人应按照第</w:t>
      </w:r>
      <w:r>
        <w:rPr>
          <w:rFonts w:ascii="仿宋" w:hAnsi="仿宋" w:eastAsia="仿宋" w:cs="仿宋"/>
          <w:color w:val="auto"/>
          <w:sz w:val="24"/>
          <w:szCs w:val="24"/>
          <w:highlight w:val="none"/>
        </w:rPr>
        <w:t>58</w:t>
      </w:r>
      <w:r>
        <w:rPr>
          <w:rFonts w:hint="eastAsia" w:ascii="仿宋" w:hAnsi="仿宋" w:eastAsia="仿宋" w:cs="仿宋"/>
          <w:color w:val="auto"/>
          <w:sz w:val="24"/>
          <w:szCs w:val="24"/>
          <w:highlight w:val="none"/>
        </w:rPr>
        <w:t>条规定进行验收。</w:t>
      </w:r>
    </w:p>
    <w:p>
      <w:pPr>
        <w:pStyle w:val="13"/>
        <w:shd w:val="clear" w:color="000000" w:fill="auto"/>
        <w:adjustRightInd w:val="0"/>
        <w:snapToGrid w:val="0"/>
        <w:spacing w:line="360" w:lineRule="auto"/>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57.3  </w:t>
      </w:r>
      <w:r>
        <w:rPr>
          <w:rFonts w:ascii="仿宋" w:hAnsi="仿宋" w:eastAsia="仿宋" w:cs="仿宋"/>
          <w:b/>
          <w:bCs/>
          <w:color w:val="auto"/>
          <w:sz w:val="24"/>
          <w:szCs w:val="24"/>
          <w:highlight w:val="none"/>
          <w:u w:val="dotted"/>
        </w:rPr>
        <w:t xml:space="preserve">                                                                                                        </w:t>
      </w:r>
    </w:p>
    <w:p>
      <w:pPr>
        <w:pStyle w:val="13"/>
        <w:shd w:val="clear" w:color="000000" w:fill="auto"/>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99904" behindDoc="0" locked="0" layoutInCell="1" allowOverlap="1">
                <wp:simplePos x="0" y="0"/>
                <wp:positionH relativeFrom="column">
                  <wp:posOffset>-114300</wp:posOffset>
                </wp:positionH>
                <wp:positionV relativeFrom="paragraph">
                  <wp:posOffset>38735</wp:posOffset>
                </wp:positionV>
                <wp:extent cx="873760" cy="407035"/>
                <wp:effectExtent l="0" t="0" r="0" b="0"/>
                <wp:wrapNone/>
                <wp:docPr id="236" name="文本框 240"/>
                <wp:cNvGraphicFramePr/>
                <a:graphic xmlns:a="http://schemas.openxmlformats.org/drawingml/2006/main">
                  <a:graphicData uri="http://schemas.microsoft.com/office/word/2010/wordprocessingShape">
                    <wps:wsp>
                      <wps:cNvSpPr txBox="1"/>
                      <wps:spPr>
                        <a:xfrm>
                          <a:off x="0" y="0"/>
                          <a:ext cx="873760" cy="40703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竣工验收条件的限制</w:t>
                            </w:r>
                          </w:p>
                        </w:txbxContent>
                      </wps:txbx>
                      <wps:bodyPr upright="1"/>
                    </wps:wsp>
                  </a:graphicData>
                </a:graphic>
              </wp:anchor>
            </w:drawing>
          </mc:Choice>
          <mc:Fallback>
            <w:pict>
              <v:shape id="文本框 240" o:spid="_x0000_s1026" o:spt="202" type="#_x0000_t202" style="position:absolute;left:0pt;margin-left:-9pt;margin-top:3.05pt;height:32.05pt;width:68.8pt;z-index:251899904;mso-width-relative:page;mso-height-relative:page;" filled="f" stroked="f" coordsize="21600,21600" o:gfxdata="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wfxE3VAAAA&#10;CAEAAA8AAAAAAAAAAQAgAAAAIgAAAGRycy9kb3ducmV2LnhtbFBLAQIUABQAAAAIAIdO4kAjMSoe&#10;rgEAAFEDAAAOAAAAAAAAAAEAIAAAACQBAABkcnMvZTJvRG9jLnhtbFBLBQYAAAAABgAGAFkBAABE&#10;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竣工验收条件的限制</w:t>
                      </w:r>
                    </w:p>
                  </w:txbxContent>
                </v:textbox>
              </v:shape>
            </w:pict>
          </mc:Fallback>
        </mc:AlternateContent>
      </w:r>
      <w:r>
        <w:rPr>
          <w:rFonts w:hint="eastAsia" w:ascii="仿宋" w:hAnsi="仿宋" w:eastAsia="仿宋" w:cs="仿宋"/>
          <w:color w:val="auto"/>
          <w:sz w:val="24"/>
          <w:szCs w:val="24"/>
          <w:highlight w:val="none"/>
        </w:rPr>
        <w:t>如果承包人不按照规定提交竣工资料或提交的资料不符合要求，则认为合同工程尚未具备竣工验收条件。</w:t>
      </w:r>
    </w:p>
    <w:p>
      <w:pPr>
        <w:shd w:val="clear" w:color="000000" w:fill="auto"/>
        <w:adjustRightInd w:val="0"/>
        <w:snapToGrid w:val="0"/>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outlineLvl w:val="2"/>
        <w:rPr>
          <w:rFonts w:ascii="仿宋" w:hAnsi="仿宋" w:eastAsia="仿宋" w:cs="Times New Roman"/>
          <w:b/>
          <w:bCs/>
          <w:color w:val="auto"/>
          <w:sz w:val="24"/>
          <w:szCs w:val="24"/>
          <w:highlight w:val="none"/>
        </w:rPr>
      </w:pPr>
      <w:bookmarkStart w:id="299" w:name="_Toc14181"/>
      <w:bookmarkStart w:id="300" w:name="_Toc10624881"/>
      <w:bookmarkStart w:id="301" w:name="_Toc469384041"/>
      <w:r>
        <w:rPr>
          <w:rFonts w:ascii="仿宋" w:hAnsi="仿宋" w:eastAsia="仿宋" w:cs="仿宋"/>
          <w:b/>
          <w:bCs/>
          <w:color w:val="auto"/>
          <w:sz w:val="24"/>
          <w:szCs w:val="24"/>
          <w:highlight w:val="none"/>
        </w:rPr>
        <w:t xml:space="preserve">58  </w:t>
      </w:r>
      <w:r>
        <w:rPr>
          <w:rFonts w:hint="eastAsia" w:ascii="仿宋" w:hAnsi="仿宋" w:eastAsia="仿宋" w:cs="仿宋"/>
          <w:b/>
          <w:bCs/>
          <w:color w:val="auto"/>
          <w:sz w:val="24"/>
          <w:szCs w:val="24"/>
          <w:highlight w:val="none"/>
        </w:rPr>
        <w:t>竣工验收</w:t>
      </w:r>
      <w:bookmarkEnd w:id="299"/>
      <w:bookmarkEnd w:id="300"/>
      <w:bookmarkEnd w:id="301"/>
    </w:p>
    <w:p>
      <w:pPr>
        <w:shd w:val="clear" w:color="000000" w:fill="auto"/>
        <w:tabs>
          <w:tab w:val="left" w:pos="1620"/>
        </w:tabs>
        <w:adjustRightInd w:val="0"/>
        <w:snapToGrid w:val="0"/>
        <w:spacing w:line="360" w:lineRule="auto"/>
        <w:rPr>
          <w:rFonts w:ascii="仿宋" w:hAnsi="仿宋" w:eastAsia="仿宋" w:cs="Times New Roman"/>
          <w:b/>
          <w:bCs/>
          <w:color w:val="auto"/>
          <w:sz w:val="24"/>
          <w:szCs w:val="24"/>
          <w:highlight w:val="none"/>
        </w:rPr>
      </w:pPr>
      <w:r>
        <w:rPr>
          <w:rFonts w:hint="eastAsia" w:ascii="仿宋" w:hAnsi="仿宋" w:eastAsia="仿宋" w:cs="仿宋"/>
          <w:b/>
          <w:bCs/>
          <w:color w:val="auto"/>
          <w:sz w:val="24"/>
          <w:szCs w:val="24"/>
          <w:highlight w:val="none"/>
        </w:rPr>
        <w:t>★</w:t>
      </w:r>
      <w:r>
        <w:rPr>
          <w:color w:val="auto"/>
          <w:highlight w:val="none"/>
        </w:rPr>
        <mc:AlternateContent>
          <mc:Choice Requires="wps">
            <w:drawing>
              <wp:anchor distT="0" distB="0" distL="114300" distR="114300" simplePos="0" relativeHeight="251900928"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37" name="文本框 241"/>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竣工验收标准</w:t>
                            </w:r>
                          </w:p>
                        </w:txbxContent>
                      </wps:txbx>
                      <wps:bodyPr upright="1"/>
                    </wps:wsp>
                  </a:graphicData>
                </a:graphic>
              </wp:anchor>
            </w:drawing>
          </mc:Choice>
          <mc:Fallback>
            <w:pict>
              <v:shape id="文本框 241" o:spid="_x0000_s1026" o:spt="202" type="#_x0000_t202" style="position:absolute;left:0pt;margin-left:-9pt;margin-top:20.3pt;height:32.1pt;width:68.8pt;z-index:251900928;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AnskQjW&#10;AAAACgEAAA8AAAAAAAAAAQAgAAAAIgAAAGRycy9kb3ducmV2LnhtbFBLAQIUABQAAAAIAIdO4kCi&#10;CrtTsAEAAFEDAAAOAAAAAAAAAAEAIAAAACUBAABkcnMvZTJvRG9jLnhtbFBLBQYAAAAABgAGAFkB&#10;AABH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竣工验收标准</w:t>
                      </w:r>
                    </w:p>
                  </w:txbxContent>
                </v:textbox>
              </v:shape>
            </w:pict>
          </mc:Fallback>
        </mc:AlternateContent>
      </w:r>
      <w:r>
        <w:rPr>
          <w:rFonts w:ascii="仿宋" w:hAnsi="仿宋" w:eastAsia="仿宋" w:cs="仿宋"/>
          <w:b/>
          <w:bCs/>
          <w:color w:val="auto"/>
          <w:sz w:val="24"/>
          <w:szCs w:val="24"/>
          <w:highlight w:val="none"/>
        </w:rPr>
        <w:t>58.1</w:t>
      </w:r>
    </w:p>
    <w:p>
      <w:pPr>
        <w:shd w:val="clear" w:color="000000" w:fill="auto"/>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合同双方当事人应在专用条款中约定合同工程竣工验收标准，但约定的竣工验收标准应符合国家或行业、省的有关规定。</w:t>
      </w:r>
    </w:p>
    <w:p>
      <w:pPr>
        <w:shd w:val="clear" w:color="000000" w:fill="auto"/>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合同工程需要进行国家验收的，竣工验收是国家验收的一部分。</w:t>
      </w:r>
    </w:p>
    <w:p>
      <w:pPr>
        <w:shd w:val="clear" w:color="000000" w:fill="auto"/>
        <w:tabs>
          <w:tab w:val="left" w:pos="1620"/>
        </w:tabs>
        <w:adjustRightInd w:val="0"/>
        <w:snapToGrid w:val="0"/>
        <w:spacing w:line="480" w:lineRule="auto"/>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01952"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38" name="文本框 242"/>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核查竣工验收条件</w:t>
                            </w:r>
                          </w:p>
                        </w:txbxContent>
                      </wps:txbx>
                      <wps:bodyPr upright="1"/>
                    </wps:wsp>
                  </a:graphicData>
                </a:graphic>
              </wp:anchor>
            </w:drawing>
          </mc:Choice>
          <mc:Fallback>
            <w:pict>
              <v:shape id="文本框 242" o:spid="_x0000_s1026" o:spt="202" type="#_x0000_t202" style="position:absolute;left:0pt;margin-left:-9pt;margin-top:20.3pt;height:32.1pt;width:68.8pt;z-index:251901952;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AnskQjW&#10;AAAACgEAAA8AAAAAAAAAAQAgAAAAIgAAAGRycy9kb3ducmV2LnhtbFBLAQIUABQAAAAIAIdO4kDc&#10;jYrMsAEAAFEDAAAOAAAAAAAAAAEAIAAAACUBAABkcnMvZTJvRG9jLnhtbFBLBQYAAAAABgAGAFkB&#10;AABH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核查竣工验收条件</w:t>
                      </w:r>
                    </w:p>
                  </w:txbxContent>
                </v:textbox>
              </v:shape>
            </w:pict>
          </mc:Fallback>
        </mc:AlternateContent>
      </w:r>
      <w:r>
        <w:rPr>
          <w:rFonts w:ascii="仿宋" w:hAnsi="仿宋" w:eastAsia="仿宋" w:cs="仿宋"/>
          <w:b/>
          <w:bCs/>
          <w:color w:val="auto"/>
          <w:sz w:val="24"/>
          <w:szCs w:val="24"/>
          <w:highlight w:val="none"/>
        </w:rPr>
        <w:t>58.2</w:t>
      </w:r>
      <w:r>
        <w:rPr>
          <w:rFonts w:ascii="仿宋" w:hAnsi="仿宋" w:eastAsia="仿宋" w:cs="仿宋"/>
          <w:color w:val="auto"/>
          <w:sz w:val="24"/>
          <w:szCs w:val="24"/>
          <w:highlight w:val="none"/>
          <w:u w:val="dotted"/>
        </w:rPr>
        <w:t xml:space="preserve">                                                                             </w:t>
      </w:r>
    </w:p>
    <w:p>
      <w:pPr>
        <w:shd w:val="clear" w:color="000000" w:fill="auto"/>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发包人收到承包人按照第</w:t>
      </w:r>
      <w:r>
        <w:rPr>
          <w:rFonts w:ascii="仿宋" w:hAnsi="仿宋" w:eastAsia="仿宋" w:cs="仿宋"/>
          <w:color w:val="auto"/>
          <w:sz w:val="24"/>
          <w:szCs w:val="24"/>
          <w:highlight w:val="none"/>
        </w:rPr>
        <w:t xml:space="preserve">57.2 </w:t>
      </w:r>
      <w:r>
        <w:rPr>
          <w:rFonts w:hint="eastAsia" w:ascii="仿宋" w:hAnsi="仿宋" w:eastAsia="仿宋" w:cs="仿宋"/>
          <w:color w:val="auto"/>
          <w:sz w:val="24"/>
          <w:szCs w:val="24"/>
          <w:highlight w:val="none"/>
        </w:rPr>
        <w:t>款规定提交的竣工验收申请报告后，应及时通知监理工程师核查合同工程是否具备竣工验收条件。</w:t>
      </w:r>
    </w:p>
    <w:p>
      <w:pPr>
        <w:shd w:val="clear" w:color="000000" w:fill="auto"/>
        <w:spacing w:line="360" w:lineRule="auto"/>
        <w:ind w:left="1619" w:leftChars="771"/>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）经核查未具备竣工验收条件的，监理工程师应在收到竣工验收申请报告后的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天内通知承包人，指出在颁发接收证书前承包人应进一步完成的工作内容。承包人完成监理工程师通知的全部工作内容后，应再次提交竣工验收申请报告，直至监理工程师同意为止。</w:t>
      </w:r>
    </w:p>
    <w:p>
      <w:pPr>
        <w:shd w:val="clear" w:color="000000" w:fill="auto"/>
        <w:spacing w:line="360" w:lineRule="auto"/>
        <w:ind w:left="1619" w:leftChars="771"/>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）经核查已具备竣工验收条件的，监理工程师应在收到竣工验收申请报告后的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天内书面提请发包人组织合同工程验收。</w:t>
      </w:r>
    </w:p>
    <w:p>
      <w:pPr>
        <w:shd w:val="clear" w:color="000000" w:fill="auto"/>
        <w:tabs>
          <w:tab w:val="left" w:pos="1620"/>
        </w:tabs>
        <w:adjustRightInd w:val="0"/>
        <w:snapToGrid w:val="0"/>
        <w:spacing w:line="48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02976"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39" name="文本框 243"/>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完成验收和确认</w:t>
                            </w:r>
                          </w:p>
                        </w:txbxContent>
                      </wps:txbx>
                      <wps:bodyPr upright="1"/>
                    </wps:wsp>
                  </a:graphicData>
                </a:graphic>
              </wp:anchor>
            </w:drawing>
          </mc:Choice>
          <mc:Fallback>
            <w:pict>
              <v:shape id="文本框 243" o:spid="_x0000_s1026" o:spt="202" type="#_x0000_t202" style="position:absolute;left:0pt;margin-left:-9pt;margin-top:20.3pt;height:32.1pt;width:68.8pt;z-index:251902976;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J7JEI&#10;1gAAAAoBAAAPAAAAAAAAAAEAIAAAACIAAABkcnMvZG93bnJldi54bWxQSwECFAAUAAAACACHTuJA&#10;/3T0ZLEBAABRAwAADgAAAAAAAAABACAAAAAlAQAAZHJzL2Uyb0RvYy54bWxQSwUGAAAAAAYABgBZ&#10;AQAAS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完成验收和确认</w:t>
                      </w:r>
                    </w:p>
                  </w:txbxContent>
                </v:textbox>
              </v:shape>
            </w:pict>
          </mc:Fallback>
        </mc:AlternateContent>
      </w:r>
      <w:r>
        <w:rPr>
          <w:rFonts w:ascii="仿宋" w:hAnsi="仿宋" w:eastAsia="仿宋" w:cs="仿宋"/>
          <w:b/>
          <w:bCs/>
          <w:color w:val="auto"/>
          <w:sz w:val="24"/>
          <w:szCs w:val="24"/>
          <w:highlight w:val="none"/>
        </w:rPr>
        <w:t xml:space="preserve">58.3 </w:t>
      </w:r>
      <w:r>
        <w:rPr>
          <w:rFonts w:ascii="仿宋" w:hAnsi="仿宋" w:eastAsia="仿宋" w:cs="仿宋"/>
          <w:b/>
          <w:bCs/>
          <w:color w:val="auto"/>
          <w:sz w:val="24"/>
          <w:szCs w:val="24"/>
          <w:highlight w:val="none"/>
          <w:u w:val="dotted"/>
        </w:rPr>
        <w:t xml:space="preserve">                                                                             </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经监理工程师按照第</w:t>
      </w:r>
      <w:r>
        <w:rPr>
          <w:rFonts w:ascii="仿宋" w:hAnsi="仿宋" w:eastAsia="仿宋" w:cs="仿宋"/>
          <w:color w:val="auto"/>
          <w:sz w:val="24"/>
          <w:szCs w:val="24"/>
          <w:highlight w:val="none"/>
        </w:rPr>
        <w:t xml:space="preserve">58.2 </w:t>
      </w:r>
      <w:r>
        <w:rPr>
          <w:rFonts w:hint="eastAsia" w:ascii="仿宋" w:hAnsi="仿宋" w:eastAsia="仿宋" w:cs="仿宋"/>
          <w:color w:val="auto"/>
          <w:sz w:val="24"/>
          <w:szCs w:val="24"/>
          <w:highlight w:val="none"/>
        </w:rPr>
        <w:t>款规定核查合同工程已具备竣工验收条件的，发包人应在收到监理工程师书面提请后的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天内，根据合同约定的竣工验收标准和施工设计图纸等文件，按照第</w:t>
      </w:r>
      <w:r>
        <w:rPr>
          <w:rFonts w:ascii="仿宋" w:hAnsi="仿宋" w:eastAsia="仿宋" w:cs="仿宋"/>
          <w:color w:val="auto"/>
          <w:sz w:val="24"/>
          <w:szCs w:val="24"/>
          <w:highlight w:val="none"/>
        </w:rPr>
        <w:t>19.5</w:t>
      </w:r>
      <w:r>
        <w:rPr>
          <w:rFonts w:hint="eastAsia" w:ascii="仿宋" w:hAnsi="仿宋" w:eastAsia="仿宋" w:cs="仿宋"/>
          <w:color w:val="auto"/>
          <w:sz w:val="24"/>
          <w:szCs w:val="24"/>
          <w:highlight w:val="none"/>
        </w:rPr>
        <w:t>款规定组织参加验收各方完成合同工程验收，并在竣工验收后</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天内予以确认或提出修改意见。</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竣工验收完成后，承包人应及时向发包人提交竣工验收记录。竣工验收合格的，发包人及参加验收各方应及时在竣工验收记录上签字，并由监理工程师会同参加验收各方形成合同工程竣工验收报告。</w:t>
      </w:r>
    </w:p>
    <w:p>
      <w:pPr>
        <w:shd w:val="clear" w:color="000000" w:fill="auto"/>
        <w:adjustRightInd w:val="0"/>
        <w:snapToGrid w:val="0"/>
        <w:spacing w:line="480" w:lineRule="auto"/>
        <w:ind w:left="1626" w:leftChars="1" w:hanging="1624" w:hangingChars="674"/>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58.4</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04000" behindDoc="0" locked="0" layoutInCell="1" allowOverlap="1">
                <wp:simplePos x="0" y="0"/>
                <wp:positionH relativeFrom="column">
                  <wp:posOffset>-114300</wp:posOffset>
                </wp:positionH>
                <wp:positionV relativeFrom="paragraph">
                  <wp:posOffset>19685</wp:posOffset>
                </wp:positionV>
                <wp:extent cx="873760" cy="451485"/>
                <wp:effectExtent l="0" t="0" r="0" b="0"/>
                <wp:wrapNone/>
                <wp:docPr id="240" name="文本框 244"/>
                <wp:cNvGraphicFramePr/>
                <a:graphic xmlns:a="http://schemas.openxmlformats.org/drawingml/2006/main">
                  <a:graphicData uri="http://schemas.microsoft.com/office/word/2010/wordprocessingShape">
                    <wps:wsp>
                      <wps:cNvSpPr txBox="1"/>
                      <wps:spPr>
                        <a:xfrm>
                          <a:off x="0" y="0"/>
                          <a:ext cx="873760" cy="45148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组织验收的限制</w:t>
                            </w:r>
                          </w:p>
                        </w:txbxContent>
                      </wps:txbx>
                      <wps:bodyPr upright="1"/>
                    </wps:wsp>
                  </a:graphicData>
                </a:graphic>
              </wp:anchor>
            </w:drawing>
          </mc:Choice>
          <mc:Fallback>
            <w:pict>
              <v:shape id="文本框 244" o:spid="_x0000_s1026" o:spt="202" type="#_x0000_t202" style="position:absolute;left:0pt;margin-left:-9pt;margin-top:1.55pt;height:35.55pt;width:68.8pt;z-index:251904000;mso-width-relative:page;mso-height-relative:page;" filled="f" stroked="f" coordsize="21600,21600" o:gfxdata="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JbWK7dYA&#10;AAAIAQAADwAAAAAAAAABACAAAAAiAAAAZHJzL2Rvd25yZXYueG1sUEsBAhQAFAAAAAgAh07iQAQe&#10;dhevAQAAUQMAAA4AAAAAAAAAAQAgAAAAJQ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组织验收的限制</w:t>
                      </w:r>
                    </w:p>
                  </w:txbxContent>
                </v:textbox>
              </v:shape>
            </w:pict>
          </mc:Fallback>
        </mc:AlternateContent>
      </w:r>
      <w:r>
        <w:rPr>
          <w:rFonts w:hint="eastAsia" w:ascii="仿宋" w:hAnsi="仿宋" w:eastAsia="仿宋" w:cs="仿宋"/>
          <w:color w:val="auto"/>
          <w:sz w:val="24"/>
          <w:szCs w:val="24"/>
          <w:highlight w:val="none"/>
        </w:rPr>
        <w:t>发包人未按照第</w:t>
      </w:r>
      <w:r>
        <w:rPr>
          <w:rFonts w:ascii="仿宋" w:hAnsi="仿宋" w:eastAsia="仿宋" w:cs="仿宋"/>
          <w:color w:val="auto"/>
          <w:sz w:val="24"/>
          <w:szCs w:val="24"/>
          <w:highlight w:val="none"/>
        </w:rPr>
        <w:t>58.3</w:t>
      </w:r>
      <w:r>
        <w:rPr>
          <w:rFonts w:hint="eastAsia" w:ascii="仿宋" w:hAnsi="仿宋" w:eastAsia="仿宋" w:cs="仿宋"/>
          <w:color w:val="auto"/>
          <w:sz w:val="24"/>
          <w:szCs w:val="24"/>
          <w:highlight w:val="none"/>
        </w:rPr>
        <w:t>款规定完成合同工程验收，或验收后</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天内未予确认也未提出修改意见，视为承包人提交的竣工验收申请报告已被认可。</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竣工验收申请报告被认可，则表明已完成合同工程，视为竣工验收合格，但由于不可抗力事件致使发包人不能完成验收的除外。</w:t>
      </w:r>
    </w:p>
    <w:p>
      <w:pPr>
        <w:shd w:val="clear" w:color="000000" w:fill="auto"/>
        <w:tabs>
          <w:tab w:val="left" w:pos="1620"/>
        </w:tabs>
        <w:adjustRightInd w:val="0"/>
        <w:snapToGrid w:val="0"/>
        <w:spacing w:line="48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58.5 </w:t>
      </w:r>
      <w:r>
        <w:rPr>
          <w:rFonts w:ascii="仿宋" w:hAnsi="仿宋" w:eastAsia="仿宋" w:cs="仿宋"/>
          <w:b/>
          <w:bCs/>
          <w:color w:val="auto"/>
          <w:sz w:val="24"/>
          <w:szCs w:val="24"/>
          <w:highlight w:val="none"/>
          <w:u w:val="dotted"/>
        </w:rPr>
        <w:t xml:space="preserve">                                                                                                        </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05024" behindDoc="0" locked="0" layoutInCell="1" allowOverlap="1">
                <wp:simplePos x="0" y="0"/>
                <wp:positionH relativeFrom="column">
                  <wp:posOffset>-114300</wp:posOffset>
                </wp:positionH>
                <wp:positionV relativeFrom="paragraph">
                  <wp:posOffset>19685</wp:posOffset>
                </wp:positionV>
                <wp:extent cx="914400" cy="396240"/>
                <wp:effectExtent l="0" t="0" r="0" b="0"/>
                <wp:wrapNone/>
                <wp:docPr id="241" name="文本框 24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不组织验收的责任</w:t>
                            </w:r>
                          </w:p>
                        </w:txbxContent>
                      </wps:txbx>
                      <wps:bodyPr upright="1"/>
                    </wps:wsp>
                  </a:graphicData>
                </a:graphic>
              </wp:anchor>
            </w:drawing>
          </mc:Choice>
          <mc:Fallback>
            <w:pict>
              <v:shape id="文本框 245" o:spid="_x0000_s1026" o:spt="202" type="#_x0000_t202" style="position:absolute;left:0pt;margin-left:-9pt;margin-top:1.55pt;height:31.2pt;width:72pt;z-index:251905024;mso-width-relative:page;mso-height-relative:page;" filled="f" stroked="f" coordsize="21600,21600" o:gfxdata="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pqv+TdUA&#10;AAAIAQAADwAAAAAAAAABACAAAAAiAAAAZHJzL2Rvd25yZXYueG1sUEsBAhQAFAAAAAgAh07iQOVj&#10;zq2wAQAAUQMAAA4AAAAAAAAAAQAgAAAAJA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不组织验收的责任</w:t>
                      </w:r>
                    </w:p>
                  </w:txbxContent>
                </v:textbox>
              </v:shape>
            </w:pict>
          </mc:Fallback>
        </mc:AlternateContent>
      </w:r>
      <w:r>
        <w:rPr>
          <w:rFonts w:hint="eastAsia" w:ascii="仿宋" w:hAnsi="仿宋" w:eastAsia="仿宋" w:cs="仿宋"/>
          <w:color w:val="auto"/>
          <w:sz w:val="24"/>
          <w:szCs w:val="24"/>
          <w:highlight w:val="none"/>
        </w:rPr>
        <w:t>发包人未按照第</w:t>
      </w:r>
      <w:r>
        <w:rPr>
          <w:rFonts w:ascii="仿宋" w:hAnsi="仿宋" w:eastAsia="仿宋" w:cs="仿宋"/>
          <w:color w:val="auto"/>
          <w:sz w:val="24"/>
          <w:szCs w:val="24"/>
          <w:highlight w:val="none"/>
        </w:rPr>
        <w:t>58.3</w:t>
      </w:r>
      <w:r>
        <w:rPr>
          <w:rFonts w:hint="eastAsia" w:ascii="仿宋" w:hAnsi="仿宋" w:eastAsia="仿宋" w:cs="仿宋"/>
          <w:color w:val="auto"/>
          <w:sz w:val="24"/>
          <w:szCs w:val="24"/>
          <w:highlight w:val="none"/>
        </w:rPr>
        <w:t>款规定完成合同工程验收，从收到监理工程师书面提请后的第</w:t>
      </w:r>
      <w:r>
        <w:rPr>
          <w:rFonts w:ascii="仿宋" w:hAnsi="仿宋" w:eastAsia="仿宋" w:cs="仿宋"/>
          <w:color w:val="auto"/>
          <w:sz w:val="24"/>
          <w:szCs w:val="24"/>
          <w:highlight w:val="none"/>
        </w:rPr>
        <w:t>29</w:t>
      </w:r>
      <w:r>
        <w:rPr>
          <w:rFonts w:hint="eastAsia" w:ascii="仿宋" w:hAnsi="仿宋" w:eastAsia="仿宋" w:cs="仿宋"/>
          <w:color w:val="auto"/>
          <w:sz w:val="24"/>
          <w:szCs w:val="24"/>
          <w:highlight w:val="none"/>
        </w:rPr>
        <w:t>天起承担合同工程照管责任和其他一切意外责任。</w:t>
      </w:r>
    </w:p>
    <w:p>
      <w:pPr>
        <w:shd w:val="clear" w:color="000000" w:fill="auto"/>
        <w:tabs>
          <w:tab w:val="left" w:pos="1620"/>
        </w:tabs>
        <w:adjustRightInd w:val="0"/>
        <w:snapToGrid w:val="0"/>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58.6</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shd w:val="clear" w:color="000000" w:fill="auto"/>
        <w:spacing w:line="360" w:lineRule="auto"/>
        <w:ind w:left="1620" w:leftChars="771" w:hanging="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竣工</w:t>
      </w:r>
      <w:r>
        <w:rPr>
          <w:color w:val="auto"/>
          <w:highlight w:val="none"/>
        </w:rPr>
        <mc:AlternateContent>
          <mc:Choice Requires="wps">
            <w:drawing>
              <wp:anchor distT="0" distB="0" distL="114300" distR="114300" simplePos="0" relativeHeight="251906048"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242" name="文本框 246"/>
                <wp:cNvGraphicFramePr/>
                <a:graphic xmlns:a="http://schemas.openxmlformats.org/drawingml/2006/main">
                  <a:graphicData uri="http://schemas.microsoft.com/office/word/2010/wordprocessingShape">
                    <wps:wsp>
                      <wps:cNvSpPr txBox="1"/>
                      <wps:spPr>
                        <a:xfrm>
                          <a:off x="0" y="0"/>
                          <a:ext cx="914400" cy="39560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接收工程</w:t>
                            </w:r>
                          </w:p>
                        </w:txbxContent>
                      </wps:txbx>
                      <wps:bodyPr upright="1"/>
                    </wps:wsp>
                  </a:graphicData>
                </a:graphic>
              </wp:anchor>
            </w:drawing>
          </mc:Choice>
          <mc:Fallback>
            <w:pict>
              <v:shape id="文本框 246" o:spid="_x0000_s1026" o:spt="202" type="#_x0000_t202" style="position:absolute;left:0pt;margin-left:-9pt;margin-top:0.35pt;height:31.15pt;width:72pt;z-index:251906048;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fgJC/1AAA&#10;AAcBAAAPAAAAAAAAAAEAIAAAACIAAABkcnMvZG93bnJldi54bWxQSwECFAAUAAAACACHTuJAN9jZ&#10;i7ABAABRAwAADgAAAAAAAAABACAAAAAjAQAAZHJzL2Uyb0RvYy54bWxQSwUGAAAAAAYABgBZAQAA&#10;R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接收工程</w:t>
                      </w:r>
                    </w:p>
                  </w:txbxContent>
                </v:textbox>
              </v:shape>
            </w:pict>
          </mc:Fallback>
        </mc:AlternateContent>
      </w:r>
      <w:r>
        <w:rPr>
          <w:rFonts w:hint="eastAsia" w:ascii="仿宋" w:hAnsi="仿宋" w:eastAsia="仿宋" w:cs="仿宋"/>
          <w:color w:val="auto"/>
          <w:sz w:val="24"/>
          <w:szCs w:val="24"/>
          <w:highlight w:val="none"/>
        </w:rPr>
        <w:t>验收合格的，发包人应接收工程，并在收到承包人提交的竣工验收申请报告后的</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天内向承包人颁发工程接收证书。</w:t>
      </w:r>
    </w:p>
    <w:p>
      <w:pPr>
        <w:shd w:val="clear" w:color="000000" w:fill="auto"/>
        <w:spacing w:line="360" w:lineRule="auto"/>
        <w:ind w:left="1620" w:leftChars="771" w:hanging="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竣工验收后，发包人同意接收工程但提出限期整修和完善要求的，发包人应缓发工程接收证书。承包人整修和完善工作完成后，监理工程师核查达到要求的，发包人应向承包人颁发工程接收证书。</w:t>
      </w:r>
    </w:p>
    <w:p>
      <w:pPr>
        <w:shd w:val="clear" w:color="000000" w:fill="auto"/>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竣工验收后，发包人不同意接收工程的，监理工程师应按照竣工验收提出的修改意见发出指令，要求承包人对合同工程不合格部分返工重做或补救处理，并承担由此产生的费用。承包人在完成合同工程不合格部分的返工重做或补救处理后，应再次提交竣工验收申请报告。</w:t>
      </w:r>
    </w:p>
    <w:p>
      <w:pPr>
        <w:shd w:val="clear" w:color="000000" w:fill="auto"/>
        <w:tabs>
          <w:tab w:val="left" w:pos="16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58.7 </w:t>
      </w:r>
      <w:r>
        <w:rPr>
          <w:rFonts w:ascii="仿宋" w:hAnsi="仿宋" w:eastAsia="仿宋" w:cs="仿宋"/>
          <w:b/>
          <w:bCs/>
          <w:color w:val="auto"/>
          <w:sz w:val="24"/>
          <w:szCs w:val="24"/>
          <w:highlight w:val="none"/>
          <w:u w:val="dotted"/>
        </w:rPr>
        <w:t xml:space="preserve">                                                                                                        </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07072"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243" name="文本框 247"/>
                <wp:cNvGraphicFramePr/>
                <a:graphic xmlns:a="http://schemas.openxmlformats.org/drawingml/2006/main">
                  <a:graphicData uri="http://schemas.microsoft.com/office/word/2010/wordprocessingShape">
                    <wps:wsp>
                      <wps:cNvSpPr txBox="1"/>
                      <wps:spPr>
                        <a:xfrm>
                          <a:off x="0" y="0"/>
                          <a:ext cx="914400" cy="395605"/>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竣工日期的写明</w:t>
                            </w:r>
                          </w:p>
                        </w:txbxContent>
                      </wps:txbx>
                      <wps:bodyPr upright="1"/>
                    </wps:wsp>
                  </a:graphicData>
                </a:graphic>
              </wp:anchor>
            </w:drawing>
          </mc:Choice>
          <mc:Fallback>
            <w:pict>
              <v:shape id="文本框 247" o:spid="_x0000_s1026" o:spt="202" type="#_x0000_t202" style="position:absolute;left:0pt;margin-left:-9pt;margin-top:0.35pt;height:31.15pt;width:72pt;z-index:251907072;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fgJC/1AAA&#10;AAcBAAAPAAAAAAAAAAEAIAAAACIAAABkcnMvZG93bnJldi54bWxQSwECFAAUAAAACACHTuJAFCGn&#10;I7ABAABRAwAADgAAAAAAAAABACAAAAAjAQAAZHJzL2Uyb0RvYy54bWxQSwUGAAAAAAYABgBZAQAA&#10;RQU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竣工日期的写明</w:t>
                      </w:r>
                    </w:p>
                  </w:txbxContent>
                </v:textbox>
              </v:shape>
            </w:pict>
          </mc:Fallback>
        </mc:AlternateContent>
      </w:r>
      <w:r>
        <w:rPr>
          <w:rFonts w:hint="eastAsia" w:ascii="仿宋" w:hAnsi="仿宋" w:eastAsia="仿宋" w:cs="仿宋"/>
          <w:color w:val="auto"/>
          <w:sz w:val="24"/>
          <w:szCs w:val="24"/>
          <w:highlight w:val="none"/>
        </w:rPr>
        <w:t>竣工验收合格的合同工程，发包人应按照第</w:t>
      </w:r>
      <w:r>
        <w:rPr>
          <w:rFonts w:ascii="仿宋" w:hAnsi="仿宋" w:eastAsia="仿宋" w:cs="仿宋"/>
          <w:color w:val="auto"/>
          <w:sz w:val="24"/>
          <w:szCs w:val="24"/>
          <w:highlight w:val="none"/>
        </w:rPr>
        <w:t>38.2</w:t>
      </w:r>
      <w:r>
        <w:rPr>
          <w:rFonts w:hint="eastAsia" w:ascii="仿宋" w:hAnsi="仿宋" w:eastAsia="仿宋" w:cs="仿宋"/>
          <w:color w:val="auto"/>
          <w:sz w:val="24"/>
          <w:szCs w:val="24"/>
          <w:highlight w:val="none"/>
        </w:rPr>
        <w:t>款规定在工程接收证书上写明合同工程的实际竣工日期。</w:t>
      </w:r>
    </w:p>
    <w:p>
      <w:pPr>
        <w:shd w:val="clear" w:color="000000" w:fill="auto"/>
        <w:tabs>
          <w:tab w:val="left" w:pos="16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58.8  </w:t>
      </w:r>
      <w:r>
        <w:rPr>
          <w:rFonts w:ascii="仿宋" w:hAnsi="仿宋" w:eastAsia="仿宋" w:cs="仿宋"/>
          <w:b/>
          <w:bCs/>
          <w:color w:val="auto"/>
          <w:sz w:val="24"/>
          <w:szCs w:val="24"/>
          <w:highlight w:val="none"/>
          <w:u w:val="dotted"/>
        </w:rPr>
        <w:t xml:space="preserve">                                                                                                        </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08096" behindDoc="0" locked="0" layoutInCell="1" allowOverlap="1">
                <wp:simplePos x="0" y="0"/>
                <wp:positionH relativeFrom="column">
                  <wp:posOffset>-114300</wp:posOffset>
                </wp:positionH>
                <wp:positionV relativeFrom="paragraph">
                  <wp:posOffset>4445</wp:posOffset>
                </wp:positionV>
                <wp:extent cx="914400" cy="1252855"/>
                <wp:effectExtent l="0" t="0" r="0" b="0"/>
                <wp:wrapNone/>
                <wp:docPr id="244" name="文本框 248"/>
                <wp:cNvGraphicFramePr/>
                <a:graphic xmlns:a="http://schemas.openxmlformats.org/drawingml/2006/main">
                  <a:graphicData uri="http://schemas.microsoft.com/office/word/2010/wordprocessingShape">
                    <wps:wsp>
                      <wps:cNvSpPr txBox="1"/>
                      <wps:spPr>
                        <a:xfrm>
                          <a:off x="0" y="0"/>
                          <a:ext cx="914400" cy="125285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单位工程或工程部位验收</w:t>
                            </w:r>
                          </w:p>
                        </w:txbxContent>
                      </wps:txbx>
                      <wps:bodyPr upright="1"/>
                    </wps:wsp>
                  </a:graphicData>
                </a:graphic>
              </wp:anchor>
            </w:drawing>
          </mc:Choice>
          <mc:Fallback>
            <w:pict>
              <v:shape id="文本框 248" o:spid="_x0000_s1026" o:spt="202" type="#_x0000_t202" style="position:absolute;left:0pt;margin-left:-9pt;margin-top:0.35pt;height:98.65pt;width:72pt;z-index:251908096;mso-width-relative:page;mso-height-relative:page;" filled="f" stroked="f" coordsize="21600,21600" o:gfxdata="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o/crNUA&#10;AAAIAQAADwAAAAAAAAABACAAAAAiAAAAZHJzL2Rvd25yZXYueG1sUEsBAhQAFAAAAAgAh07iQAwN&#10;qEewAQAAUgMAAA4AAAAAAAAAAQAgAAAAJA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单位工程或工程部位验收</w:t>
                      </w:r>
                    </w:p>
                  </w:txbxContent>
                </v:textbox>
              </v:shape>
            </w:pict>
          </mc:Fallback>
        </mc:AlternateContent>
      </w:r>
      <w:r>
        <w:rPr>
          <w:rFonts w:hint="eastAsia" w:ascii="仿宋" w:hAnsi="仿宋" w:eastAsia="仿宋" w:cs="仿宋"/>
          <w:color w:val="auto"/>
          <w:sz w:val="24"/>
          <w:szCs w:val="24"/>
          <w:highlight w:val="none"/>
        </w:rPr>
        <w:t>发包人要求某一单位工程或任一工程部位提前办理竣工验收的，应与承包人签订单位工程或工程部位竣工验收协议，作为本合同的附件。</w:t>
      </w:r>
    </w:p>
    <w:p>
      <w:pPr>
        <w:shd w:val="clear" w:color="000000" w:fill="auto"/>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）发包人根据合同进度计划安排，在全部工程竣工前需要使用已经竣工的单位工程或工程部位时，或承包人提出经发包人同意时，可进行单位工程或工程部位验收。验收的程序可参照第</w:t>
      </w:r>
      <w:r>
        <w:rPr>
          <w:rFonts w:ascii="仿宋" w:hAnsi="仿宋" w:eastAsia="仿宋" w:cs="仿宋"/>
          <w:color w:val="auto"/>
          <w:sz w:val="24"/>
          <w:szCs w:val="24"/>
          <w:highlight w:val="none"/>
        </w:rPr>
        <w:t>57</w:t>
      </w:r>
      <w:r>
        <w:rPr>
          <w:rFonts w:hint="eastAsia" w:ascii="仿宋" w:hAnsi="仿宋" w:eastAsia="仿宋" w:cs="仿宋"/>
          <w:color w:val="auto"/>
          <w:sz w:val="24"/>
          <w:szCs w:val="24"/>
          <w:highlight w:val="none"/>
        </w:rPr>
        <w:t>条和本条上述相关条款规定进行。验收合格后，发包人应向承包人颁发单位工程或工程部位接收证书，并负责照管。单位工程或工程部位的验收成果和结论，作为全部工程竣工验收申请报告的附件。</w:t>
      </w:r>
    </w:p>
    <w:p>
      <w:pPr>
        <w:shd w:val="clear" w:color="000000" w:fill="auto"/>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）发包人在全部工程竣工前，使用已接收的单位工程或工程部位导致承包人费用增加的，发包人应承担由此增加的费用和（或）延误的工期，并向承包人支付合理利润。</w:t>
      </w:r>
    </w:p>
    <w:p>
      <w:pPr>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58.9  </w:t>
      </w:r>
      <w:r>
        <w:rPr>
          <w:rFonts w:ascii="仿宋" w:hAnsi="仿宋" w:eastAsia="仿宋" w:cs="仿宋"/>
          <w:b/>
          <w:bCs/>
          <w:color w:val="auto"/>
          <w:sz w:val="24"/>
          <w:szCs w:val="24"/>
          <w:highlight w:val="none"/>
          <w:u w:val="dotted"/>
        </w:rPr>
        <w:t xml:space="preserve">                                                                                                        </w:t>
      </w:r>
    </w:p>
    <w:p>
      <w:pPr>
        <w:shd w:val="clear" w:color="000000" w:fill="auto"/>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09120"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45" name="文本框 249"/>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施工期运行</w:t>
                            </w:r>
                          </w:p>
                        </w:txbxContent>
                      </wps:txbx>
                      <wps:bodyPr upright="1"/>
                    </wps:wsp>
                  </a:graphicData>
                </a:graphic>
              </wp:anchor>
            </w:drawing>
          </mc:Choice>
          <mc:Fallback>
            <w:pict>
              <v:shape id="文本框 249" o:spid="_x0000_s1026" o:spt="202" type="#_x0000_t202" style="position:absolute;left:0pt;margin-left:-9pt;margin-top:0.3pt;height:46.5pt;width:72pt;z-index:251909120;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30Cn71AAA&#10;AAcBAAAPAAAAAAAAAAEAIAAAACIAAABkcnMvZG93bnJldi54bWxQSwECFAAUAAAACACHTuJADinE&#10;ELABAABRAwAADgAAAAAAAAABACAAAAAjAQAAZHJzL2Uyb0RvYy54bWxQSwUGAAAAAAYABgBZAQAA&#10;RQU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施工期运行</w:t>
                      </w:r>
                    </w:p>
                  </w:txbxContent>
                </v:textbox>
              </v:shape>
            </w:pict>
          </mc:Fallback>
        </mc:AlternateContent>
      </w:r>
      <w:r>
        <w:rPr>
          <w:rFonts w:hint="eastAsia" w:ascii="仿宋" w:hAnsi="仿宋" w:eastAsia="仿宋" w:cs="仿宋"/>
          <w:color w:val="auto"/>
          <w:sz w:val="24"/>
          <w:szCs w:val="24"/>
          <w:highlight w:val="none"/>
        </w:rPr>
        <w:t>合同工程尚未全部竣工（其中某项或某几项单位工程或工程部位已竣工），根据合同约定需要在施工期运行的，应由发包人按照第</w:t>
      </w:r>
      <w:r>
        <w:rPr>
          <w:rFonts w:ascii="仿宋" w:hAnsi="仿宋" w:eastAsia="仿宋" w:cs="仿宋"/>
          <w:color w:val="auto"/>
          <w:sz w:val="24"/>
          <w:szCs w:val="24"/>
          <w:highlight w:val="none"/>
        </w:rPr>
        <w:t>58.8</w:t>
      </w:r>
      <w:r>
        <w:rPr>
          <w:rFonts w:hint="eastAsia" w:ascii="仿宋" w:hAnsi="仿宋" w:eastAsia="仿宋" w:cs="仿宋"/>
          <w:color w:val="auto"/>
          <w:sz w:val="24"/>
          <w:szCs w:val="24"/>
          <w:highlight w:val="none"/>
        </w:rPr>
        <w:t>款规定验收合格，并确保安全后，才能投入施工期运行。</w:t>
      </w:r>
    </w:p>
    <w:p>
      <w:pPr>
        <w:shd w:val="clear" w:color="000000" w:fill="auto"/>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在施工期运行中，发现单位工程或工程部位存在缺陷或损坏的，由承包人按照第</w:t>
      </w:r>
      <w:r>
        <w:rPr>
          <w:rFonts w:ascii="仿宋" w:hAnsi="仿宋" w:eastAsia="仿宋" w:cs="仿宋"/>
          <w:color w:val="auto"/>
          <w:sz w:val="24"/>
          <w:szCs w:val="24"/>
          <w:highlight w:val="none"/>
        </w:rPr>
        <w:t>59.3</w:t>
      </w:r>
      <w:r>
        <w:rPr>
          <w:rFonts w:hint="eastAsia" w:ascii="仿宋" w:hAnsi="仿宋" w:eastAsia="仿宋" w:cs="仿宋"/>
          <w:color w:val="auto"/>
          <w:sz w:val="24"/>
          <w:szCs w:val="24"/>
          <w:highlight w:val="none"/>
        </w:rPr>
        <w:t>款规定进行修复。</w:t>
      </w:r>
    </w:p>
    <w:p>
      <w:pPr>
        <w:shd w:val="clear" w:color="000000" w:fill="auto"/>
        <w:adjustRightInd w:val="0"/>
        <w:snapToGrid w:val="0"/>
        <w:spacing w:line="48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58.10  </w:t>
      </w:r>
      <w:r>
        <w:rPr>
          <w:rFonts w:ascii="仿宋" w:hAnsi="仿宋" w:eastAsia="仿宋" w:cs="仿宋"/>
          <w:b/>
          <w:bCs/>
          <w:color w:val="auto"/>
          <w:sz w:val="24"/>
          <w:szCs w:val="24"/>
          <w:highlight w:val="none"/>
          <w:u w:val="dotted"/>
        </w:rPr>
        <w:t xml:space="preserve">                                                                                                        </w:t>
      </w:r>
    </w:p>
    <w:p>
      <w:pPr>
        <w:shd w:val="clear" w:color="000000" w:fill="auto"/>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10144"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46" name="文本框 250"/>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竣工清场</w:t>
                            </w:r>
                          </w:p>
                        </w:txbxContent>
                      </wps:txbx>
                      <wps:bodyPr upright="1"/>
                    </wps:wsp>
                  </a:graphicData>
                </a:graphic>
              </wp:anchor>
            </w:drawing>
          </mc:Choice>
          <mc:Fallback>
            <w:pict>
              <v:shape id="文本框 250" o:spid="_x0000_s1026" o:spt="202" type="#_x0000_t202" style="position:absolute;left:0pt;margin-left:-9pt;margin-top:0.3pt;height:46.5pt;width:72pt;z-index:251910144;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t9Ap+9QAAAAH&#10;AQAADwAAAAAAAAABACAAAAAiAAAAZHJzL2Rvd25yZXYueG1sUEsBAhQAFAAAAAgAh07iQHnC5xOu&#10;AQAAUQMAAA4AAAAAAAAAAQAgAAAAIwEAAGRycy9lMm9Eb2MueG1sUEsFBgAAAAAGAAYAWQEAAEMF&#10;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竣工清场</w:t>
                      </w:r>
                    </w:p>
                  </w:txbxContent>
                </v:textbox>
              </v:shape>
            </w:pict>
          </mc:Fallback>
        </mc:AlternateContent>
      </w:r>
      <w:r>
        <w:rPr>
          <w:rFonts w:hint="eastAsia" w:ascii="仿宋" w:hAnsi="仿宋" w:eastAsia="仿宋" w:cs="仿宋"/>
          <w:color w:val="auto"/>
          <w:sz w:val="24"/>
          <w:szCs w:val="24"/>
          <w:highlight w:val="none"/>
        </w:rPr>
        <w:t>专用条款没有约定的，工程接收证书颁发后，承包人应按照下列要求对施工场地进行清理，直至监理工程师检验合格为止。竣工清场费用由承包人承担。</w:t>
      </w:r>
    </w:p>
    <w:p>
      <w:pPr>
        <w:shd w:val="clear" w:color="000000" w:fill="auto"/>
        <w:spacing w:line="360" w:lineRule="auto"/>
        <w:ind w:firstLine="1620" w:firstLineChars="67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）施工场地内残留的垃圾已全部清除出场；</w:t>
      </w:r>
    </w:p>
    <w:p>
      <w:pPr>
        <w:shd w:val="clear" w:color="000000" w:fill="auto"/>
        <w:spacing w:line="360" w:lineRule="auto"/>
        <w:ind w:firstLine="1620" w:firstLineChars="67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）临时设施已拆除，场地已按照合同要求进行清理、平整或复原；</w:t>
      </w:r>
    </w:p>
    <w:p>
      <w:pPr>
        <w:shd w:val="clear" w:color="000000" w:fill="auto"/>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）按照合同约定应撤离的承包人设备和剩余的材料，包括废弃的施工设备和材料，已按照计划撤离施工场地；</w:t>
      </w:r>
    </w:p>
    <w:p>
      <w:pPr>
        <w:shd w:val="clear" w:color="000000" w:fill="auto"/>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）建筑物周边及其附近道路、河道的施工堆积物，已按照监理工程师指令全部清理；</w:t>
      </w:r>
    </w:p>
    <w:p>
      <w:pPr>
        <w:shd w:val="clear" w:color="000000" w:fill="auto"/>
        <w:spacing w:line="360" w:lineRule="auto"/>
        <w:ind w:firstLine="1620" w:firstLineChars="67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）监理工程师指令的其他场地清理工作已全部完成。</w:t>
      </w:r>
    </w:p>
    <w:p>
      <w:pPr>
        <w:shd w:val="clear" w:color="000000" w:fill="auto"/>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如承包人未按照监理工程师的要求恢复临时占地，或者场地清理未达到合同约定的，发包人可自行或委托第三方恢复或清理，所发生的费用从应支付或将支付给承包人的款项中扣除。</w:t>
      </w:r>
    </w:p>
    <w:p>
      <w:pPr>
        <w:shd w:val="clear" w:color="000000" w:fill="auto"/>
        <w:adjustRightInd w:val="0"/>
        <w:snapToGrid w:val="0"/>
        <w:spacing w:line="48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58.11 </w:t>
      </w:r>
      <w:r>
        <w:rPr>
          <w:rFonts w:ascii="仿宋" w:hAnsi="仿宋" w:eastAsia="仿宋" w:cs="仿宋"/>
          <w:b/>
          <w:bCs/>
          <w:color w:val="auto"/>
          <w:sz w:val="24"/>
          <w:szCs w:val="24"/>
          <w:highlight w:val="none"/>
          <w:u w:val="dotted"/>
        </w:rPr>
        <w:t xml:space="preserve">                                                                                                        </w:t>
      </w:r>
    </w:p>
    <w:p>
      <w:pPr>
        <w:shd w:val="clear" w:color="000000" w:fill="auto"/>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11168"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47" name="文本框 251"/>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施工队伍的撤离</w:t>
                            </w:r>
                          </w:p>
                        </w:txbxContent>
                      </wps:txbx>
                      <wps:bodyPr upright="1"/>
                    </wps:wsp>
                  </a:graphicData>
                </a:graphic>
              </wp:anchor>
            </w:drawing>
          </mc:Choice>
          <mc:Fallback>
            <w:pict>
              <v:shape id="文本框 251" o:spid="_x0000_s1026" o:spt="202" type="#_x0000_t202" style="position:absolute;left:0pt;margin-left:-9pt;margin-top:0.3pt;height:46.5pt;width:72pt;z-index:251911168;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30Cn71AAA&#10;AAcBAAAPAAAAAAAAAAEAIAAAACIAAABkcnMvZG93bnJldi54bWxQSwECFAAUAAAACACHTuJAWjuZ&#10;u7ABAABRAwAADgAAAAAAAAABACAAAAAjAQAAZHJzL2Uyb0RvYy54bWxQSwUGAAAAAAYABgBZAQAA&#10;R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施工队伍的撤离</w:t>
                      </w:r>
                    </w:p>
                  </w:txbxContent>
                </v:textbox>
              </v:shape>
            </w:pict>
          </mc:Fallback>
        </mc:AlternateContent>
      </w:r>
      <w:r>
        <w:rPr>
          <w:rFonts w:hint="eastAsia" w:ascii="仿宋" w:hAnsi="仿宋" w:eastAsia="仿宋" w:cs="仿宋"/>
          <w:color w:val="auto"/>
          <w:sz w:val="24"/>
          <w:szCs w:val="24"/>
          <w:highlight w:val="none"/>
        </w:rPr>
        <w:t>工程接收证书颁发后的</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天内，除经监理工程师同意需在缺陷责任期内继续工作的人员、使用的施工设备和临时设施外，其余的人员、施工设备和临时设备均应撤离施工场地或拆除。除专用条款另有约定外，缺陷责任期满时，承包人的人员和施工设备应全部撤离施工场地。</w:t>
      </w:r>
    </w:p>
    <w:p>
      <w:pPr>
        <w:shd w:val="clear" w:color="000000" w:fill="auto"/>
        <w:tabs>
          <w:tab w:val="left" w:pos="1620"/>
        </w:tabs>
        <w:adjustRightInd w:val="0"/>
        <w:snapToGrid w:val="0"/>
        <w:spacing w:line="480" w:lineRule="auto"/>
        <w:rPr>
          <w:rFonts w:ascii="仿宋" w:hAnsi="仿宋" w:eastAsia="仿宋" w:cs="仿宋"/>
          <w:color w:val="auto"/>
          <w:sz w:val="24"/>
          <w:szCs w:val="24"/>
          <w:highlight w:val="none"/>
        </w:rPr>
      </w:pPr>
      <w:r>
        <w:rPr>
          <w:color w:val="auto"/>
          <w:highlight w:val="none"/>
        </w:rPr>
        <mc:AlternateContent>
          <mc:Choice Requires="wps">
            <w:drawing>
              <wp:anchor distT="0" distB="0" distL="114300" distR="114300" simplePos="0" relativeHeight="251912192" behindDoc="0" locked="0" layoutInCell="1" allowOverlap="1">
                <wp:simplePos x="0" y="0"/>
                <wp:positionH relativeFrom="column">
                  <wp:posOffset>-66675</wp:posOffset>
                </wp:positionH>
                <wp:positionV relativeFrom="paragraph">
                  <wp:posOffset>299085</wp:posOffset>
                </wp:positionV>
                <wp:extent cx="914400" cy="591185"/>
                <wp:effectExtent l="0" t="0" r="0" b="0"/>
                <wp:wrapNone/>
                <wp:docPr id="248" name="文本框 252"/>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wps:txbx>
                      <wps:bodyPr upright="1"/>
                    </wps:wsp>
                  </a:graphicData>
                </a:graphic>
              </wp:anchor>
            </w:drawing>
          </mc:Choice>
          <mc:Fallback>
            <w:pict>
              <v:shape id="文本框 252" o:spid="_x0000_s1026" o:spt="202" type="#_x0000_t202" style="position:absolute;left:0pt;margin-left:-5.25pt;margin-top:23.55pt;height:46.55pt;width:72pt;z-index:251912192;mso-width-relative:page;mso-height-relative:page;" filled="f" stroked="f" coordsize="21600,21600" o:gfxdata="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FGnFEdcA&#10;AAAKAQAADwAAAAAAAAABACAAAAAiAAAAZHJzL2Rvd25yZXYueG1sUEsBAhQAFAAAAAgAh07iQGPq&#10;mgiuAQAAUQMAAA4AAAAAAAAAAQAgAAAAJg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v:textbox>
              </v:shape>
            </w:pict>
          </mc:Fallback>
        </mc:AlternateContent>
      </w:r>
      <w:r>
        <w:rPr>
          <w:rFonts w:ascii="仿宋" w:hAnsi="仿宋" w:eastAsia="仿宋" w:cs="仿宋"/>
          <w:b/>
          <w:bCs/>
          <w:color w:val="auto"/>
          <w:sz w:val="24"/>
          <w:szCs w:val="24"/>
          <w:highlight w:val="none"/>
        </w:rPr>
        <w:t>58.12</w:t>
      </w:r>
      <w:r>
        <w:rPr>
          <w:rFonts w:ascii="仿宋" w:hAnsi="仿宋" w:eastAsia="仿宋" w:cs="仿宋"/>
          <w:color w:val="auto"/>
          <w:sz w:val="24"/>
          <w:szCs w:val="24"/>
          <w:highlight w:val="none"/>
          <w:u w:val="dotted"/>
        </w:rPr>
        <w:t xml:space="preserve">                                                                                                       </w:t>
      </w:r>
      <w:r>
        <w:rPr>
          <w:rFonts w:ascii="仿宋" w:hAnsi="仿宋" w:eastAsia="仿宋" w:cs="仿宋"/>
          <w:color w:val="auto"/>
          <w:sz w:val="24"/>
          <w:szCs w:val="24"/>
          <w:highlight w:val="none"/>
        </w:rPr>
        <w:t xml:space="preserve"> </w:t>
      </w:r>
    </w:p>
    <w:p>
      <w:pPr>
        <w:pStyle w:val="33"/>
        <w:shd w:val="clear" w:color="000000" w:fill="auto"/>
        <w:adjustRightInd w:val="0"/>
        <w:snapToGrid w:val="0"/>
        <w:ind w:left="1619" w:leftChars="771"/>
        <w:rPr>
          <w:rFonts w:ascii="仿宋" w:hAnsi="仿宋" w:eastAsia="仿宋"/>
          <w:color w:val="auto"/>
          <w:highlight w:val="none"/>
        </w:rPr>
      </w:pPr>
      <w:r>
        <w:rPr>
          <w:rFonts w:hint="eastAsia" w:ascii="仿宋" w:hAnsi="仿宋" w:eastAsia="仿宋" w:cs="仿宋"/>
          <w:color w:val="auto"/>
          <w:highlight w:val="none"/>
        </w:rPr>
        <w:t>合同工程未经竣工验收或竣工验收不合格的，发包人不得使用。发包人强行使用的，由此发生的质量问题及其他问题，由发包人承担责任。</w:t>
      </w:r>
    </w:p>
    <w:p>
      <w:pPr>
        <w:shd w:val="clear" w:color="000000" w:fill="auto"/>
        <w:tabs>
          <w:tab w:val="left" w:pos="1620"/>
        </w:tabs>
        <w:adjustRightInd w:val="0"/>
        <w:snapToGrid w:val="0"/>
        <w:spacing w:line="48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58.13</w:t>
      </w:r>
      <w:r>
        <w:rPr>
          <w:rFonts w:ascii="仿宋" w:hAnsi="仿宋" w:eastAsia="仿宋" w:cs="仿宋"/>
          <w:b/>
          <w:bCs/>
          <w:color w:val="auto"/>
          <w:sz w:val="24"/>
          <w:szCs w:val="24"/>
          <w:highlight w:val="none"/>
          <w:u w:val="dotted"/>
        </w:rPr>
        <w:t xml:space="preserve">                                                                                                       </w:t>
      </w:r>
    </w:p>
    <w:p>
      <w:pPr>
        <w:pStyle w:val="33"/>
        <w:shd w:val="clear" w:color="000000" w:fill="auto"/>
        <w:adjustRightInd w:val="0"/>
        <w:snapToGrid w:val="0"/>
        <w:ind w:left="1619" w:leftChars="771"/>
        <w:rPr>
          <w:rFonts w:ascii="仿宋" w:hAnsi="仿宋" w:eastAsia="仿宋"/>
          <w:color w:val="auto"/>
          <w:highlight w:val="none"/>
        </w:rPr>
      </w:pPr>
      <w:r>
        <w:rPr>
          <w:color w:val="auto"/>
          <w:highlight w:val="none"/>
        </w:rPr>
        <mc:AlternateContent>
          <mc:Choice Requires="wps">
            <w:drawing>
              <wp:anchor distT="0" distB="0" distL="114300" distR="114300" simplePos="0" relativeHeight="251913216" behindDoc="0" locked="0" layoutInCell="1" allowOverlap="1">
                <wp:simplePos x="0" y="0"/>
                <wp:positionH relativeFrom="column">
                  <wp:posOffset>-114300</wp:posOffset>
                </wp:positionH>
                <wp:positionV relativeFrom="paragraph">
                  <wp:posOffset>13335</wp:posOffset>
                </wp:positionV>
                <wp:extent cx="914400" cy="406400"/>
                <wp:effectExtent l="0" t="0" r="0" b="0"/>
                <wp:wrapNone/>
                <wp:docPr id="249" name="文本框 253"/>
                <wp:cNvGraphicFramePr/>
                <a:graphic xmlns:a="http://schemas.openxmlformats.org/drawingml/2006/main">
                  <a:graphicData uri="http://schemas.microsoft.com/office/word/2010/wordprocessingShape">
                    <wps:wsp>
                      <wps:cNvSpPr txBox="1"/>
                      <wps:spPr>
                        <a:xfrm>
                          <a:off x="0" y="0"/>
                          <a:ext cx="914400" cy="4064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工程竣工质量争议的责任</w:t>
                            </w:r>
                          </w:p>
                        </w:txbxContent>
                      </wps:txbx>
                      <wps:bodyPr upright="1"/>
                    </wps:wsp>
                  </a:graphicData>
                </a:graphic>
              </wp:anchor>
            </w:drawing>
          </mc:Choice>
          <mc:Fallback>
            <w:pict>
              <v:shape id="文本框 253" o:spid="_x0000_s1026" o:spt="202" type="#_x0000_t202" style="position:absolute;left:0pt;margin-left:-9pt;margin-top:1.05pt;height:32pt;width:72pt;z-index:251913216;mso-width-relative:page;mso-height-relative:page;" filled="f" stroked="f" coordsize="21600,21600" o:gfxdata="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H8z4vVAAAA&#10;CAEAAA8AAAAAAAAAAQAgAAAAIgAAAGRycy9kb3ducmV2LnhtbFBLAQIUABQAAAAIAIdO4kBAcjNc&#10;rgEAAFEDAAAOAAAAAAAAAAEAIAAAACQBAABkcnMvZTJvRG9jLnhtbFBLBQYAAAAABgAGAFkBAABE&#10;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工程竣工质量争议的责任</w:t>
                      </w:r>
                    </w:p>
                  </w:txbxContent>
                </v:textbox>
              </v:shape>
            </w:pict>
          </mc:Fallback>
        </mc:AlternateContent>
      </w:r>
      <w:r>
        <w:rPr>
          <w:rFonts w:hint="eastAsia" w:ascii="仿宋" w:hAnsi="仿宋" w:eastAsia="仿宋" w:cs="仿宋"/>
          <w:color w:val="auto"/>
          <w:highlight w:val="none"/>
        </w:rPr>
        <w:t>合同工程竣工验收时发生工程质量争议，经第</w:t>
      </w:r>
      <w:r>
        <w:rPr>
          <w:rFonts w:ascii="仿宋" w:hAnsi="仿宋" w:eastAsia="仿宋" w:cs="仿宋"/>
          <w:color w:val="auto"/>
          <w:highlight w:val="none"/>
        </w:rPr>
        <w:t>86.4</w:t>
      </w:r>
      <w:r>
        <w:rPr>
          <w:rFonts w:hint="eastAsia" w:ascii="仿宋" w:hAnsi="仿宋" w:eastAsia="仿宋" w:cs="仿宋"/>
          <w:color w:val="auto"/>
          <w:highlight w:val="none"/>
        </w:rPr>
        <w:t>款规定调解或认定工程质量符合合同要求的，由发包人承担由此增加的费用和（或）延误的工期。</w:t>
      </w:r>
    </w:p>
    <w:p>
      <w:pPr>
        <w:shd w:val="clear" w:color="000000" w:fill="auto"/>
        <w:adjustRightInd w:val="0"/>
        <w:snapToGrid w:val="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360" w:beforeLines="150" w:line="360" w:lineRule="auto"/>
        <w:outlineLvl w:val="2"/>
        <w:rPr>
          <w:rFonts w:ascii="仿宋" w:hAnsi="仿宋" w:eastAsia="仿宋" w:cs="Times New Roman"/>
          <w:b/>
          <w:bCs/>
          <w:color w:val="auto"/>
          <w:sz w:val="24"/>
          <w:szCs w:val="24"/>
          <w:highlight w:val="none"/>
        </w:rPr>
      </w:pPr>
      <w:bookmarkStart w:id="302" w:name="_Toc469384042"/>
      <w:bookmarkStart w:id="303" w:name="_Toc15282"/>
      <w:bookmarkStart w:id="304" w:name="_Toc10624882"/>
      <w:r>
        <w:rPr>
          <w:rFonts w:ascii="仿宋" w:hAnsi="仿宋" w:eastAsia="仿宋" w:cs="仿宋"/>
          <w:b/>
          <w:bCs/>
          <w:color w:val="auto"/>
          <w:sz w:val="24"/>
          <w:szCs w:val="24"/>
          <w:highlight w:val="none"/>
        </w:rPr>
        <w:t xml:space="preserve">59  </w:t>
      </w:r>
      <w:r>
        <w:rPr>
          <w:rFonts w:hint="eastAsia" w:ascii="仿宋" w:hAnsi="仿宋" w:eastAsia="仿宋" w:cs="仿宋"/>
          <w:b/>
          <w:bCs/>
          <w:color w:val="auto"/>
          <w:sz w:val="24"/>
          <w:szCs w:val="24"/>
          <w:highlight w:val="none"/>
        </w:rPr>
        <w:t>缺陷责任与质量保修</w:t>
      </w:r>
      <w:bookmarkEnd w:id="302"/>
      <w:bookmarkEnd w:id="303"/>
      <w:bookmarkEnd w:id="304"/>
    </w:p>
    <w:p>
      <w:pPr>
        <w:shd w:val="clear" w:color="000000" w:fill="auto"/>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1424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0" name="文本框 254"/>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计算</w:t>
                            </w:r>
                          </w:p>
                        </w:txbxContent>
                      </wps:txbx>
                      <wps:bodyPr upright="1"/>
                    </wps:wsp>
                  </a:graphicData>
                </a:graphic>
              </wp:anchor>
            </w:drawing>
          </mc:Choice>
          <mc:Fallback>
            <w:pict>
              <v:shape id="文本框 254" o:spid="_x0000_s1026" o:spt="202" type="#_x0000_t202" style="position:absolute;left:0pt;margin-left:-9pt;margin-top:22.6pt;height:33.85pt;width:76.2pt;z-index:25191424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xZv6d&#10;2AAAAAoBAAAPAAAAAAAAAAEAIAAAACIAAABkcnMvZG93bnJldi54bWxQSwECFAAUAAAACACHTuJA&#10;e0tOwa8BAABRAwAADgAAAAAAAAABACAAAAAnAQAAZHJzL2Uyb0RvYy54bWxQSwUGAAAAAAYABgBZ&#10;AQAAS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计算</w:t>
                      </w:r>
                    </w:p>
                  </w:txbxContent>
                </v:textbox>
              </v:shape>
            </w:pict>
          </mc:Fallback>
        </mc:AlternateContent>
      </w:r>
      <w:r>
        <w:rPr>
          <w:rFonts w:ascii="仿宋" w:hAnsi="仿宋" w:eastAsia="仿宋" w:cs="仿宋"/>
          <w:b/>
          <w:bCs/>
          <w:color w:val="auto"/>
          <w:sz w:val="24"/>
          <w:szCs w:val="24"/>
          <w:highlight w:val="none"/>
        </w:rPr>
        <w:t xml:space="preserve">59.1  </w:t>
      </w:r>
    </w:p>
    <w:p>
      <w:pPr>
        <w:shd w:val="clear" w:color="000000" w:fill="auto"/>
        <w:spacing w:line="360" w:lineRule="auto"/>
        <w:ind w:firstLine="1574" w:firstLineChars="656"/>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合同双方当事人应在专用条款中约定缺陷责任期。</w:t>
      </w:r>
    </w:p>
    <w:p>
      <w:pPr>
        <w:shd w:val="clear" w:color="000000" w:fill="auto"/>
        <w:adjustRightInd w:val="0"/>
        <w:snapToGrid w:val="0"/>
        <w:spacing w:line="360" w:lineRule="auto"/>
        <w:ind w:left="1575" w:leftChars="750"/>
        <w:rPr>
          <w:rFonts w:ascii="仿宋" w:hAnsi="仿宋" w:eastAsia="仿宋" w:cs="Times New Roman"/>
          <w:b/>
          <w:bCs/>
          <w:color w:val="auto"/>
          <w:sz w:val="24"/>
          <w:szCs w:val="24"/>
          <w:highlight w:val="none"/>
        </w:rPr>
      </w:pPr>
      <w:r>
        <w:rPr>
          <w:rFonts w:hint="eastAsia" w:ascii="仿宋" w:hAnsi="仿宋" w:eastAsia="仿宋" w:cs="仿宋"/>
          <w:color w:val="auto"/>
          <w:sz w:val="24"/>
          <w:szCs w:val="24"/>
          <w:highlight w:val="none"/>
        </w:rPr>
        <w:t>缺陷责任期自实际竣工之日起计算。在全部工程竣工验收前，已经发包人提前验收的单位工程，其缺陷责任期的起算日期相应提前。</w:t>
      </w:r>
    </w:p>
    <w:p>
      <w:pPr>
        <w:shd w:val="clear" w:color="000000" w:fill="auto"/>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1526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1" name="文本框 255"/>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延长</w:t>
                            </w:r>
                          </w:p>
                        </w:txbxContent>
                      </wps:txbx>
                      <wps:bodyPr upright="1"/>
                    </wps:wsp>
                  </a:graphicData>
                </a:graphic>
              </wp:anchor>
            </w:drawing>
          </mc:Choice>
          <mc:Fallback>
            <w:pict>
              <v:shape id="文本框 255" o:spid="_x0000_s1026" o:spt="202" type="#_x0000_t202" style="position:absolute;left:0pt;margin-left:-9pt;margin-top:22.6pt;height:33.85pt;width:76.2pt;z-index:25191526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cWb+&#10;ndgAAAAKAQAADwAAAAAAAAABACAAAAAiAAAAZHJzL2Rvd25yZXYueG1sUEsBAhQAFAAAAAgAh07i&#10;QFiyMGmwAQAAUQMAAA4AAAAAAAAAAQAgAAAAJwEAAGRycy9lMm9Eb2MueG1sUEsFBgAAAAAGAAYA&#10;WQEAAEk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延长</w:t>
                      </w:r>
                    </w:p>
                  </w:txbxContent>
                </v:textbox>
              </v:shape>
            </w:pict>
          </mc:Fallback>
        </mc:AlternateContent>
      </w:r>
      <w:r>
        <w:rPr>
          <w:rFonts w:ascii="仿宋" w:hAnsi="仿宋" w:eastAsia="仿宋" w:cs="仿宋"/>
          <w:b/>
          <w:bCs/>
          <w:color w:val="auto"/>
          <w:sz w:val="24"/>
          <w:szCs w:val="24"/>
          <w:highlight w:val="none"/>
        </w:rPr>
        <w:t xml:space="preserve">59.2  </w:t>
      </w:r>
      <w:r>
        <w:rPr>
          <w:rFonts w:ascii="仿宋" w:hAnsi="仿宋" w:eastAsia="仿宋" w:cs="仿宋"/>
          <w:b/>
          <w:bCs/>
          <w:color w:val="auto"/>
          <w:sz w:val="24"/>
          <w:szCs w:val="24"/>
          <w:highlight w:val="none"/>
          <w:u w:val="dotted"/>
        </w:rPr>
        <w:t xml:space="preserve">                                                                              </w:t>
      </w:r>
    </w:p>
    <w:p>
      <w:pPr>
        <w:shd w:val="clear" w:color="000000" w:fill="auto"/>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由于承包人原因造成某项缺陷或损坏使某项工程或工程设备不能按照原定目标使用而需要再次检查、检验和修复的，发包人有权要求承包人相应延长缺陷责任期，但缺陷责任期最长不超过</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年。</w:t>
      </w:r>
    </w:p>
    <w:p>
      <w:pPr>
        <w:shd w:val="clear" w:color="000000" w:fill="auto"/>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1628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2" name="文本框 256"/>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w:t>
                            </w:r>
                          </w:p>
                        </w:txbxContent>
                      </wps:txbx>
                      <wps:bodyPr upright="1"/>
                    </wps:wsp>
                  </a:graphicData>
                </a:graphic>
              </wp:anchor>
            </w:drawing>
          </mc:Choice>
          <mc:Fallback>
            <w:pict>
              <v:shape id="文本框 256" o:spid="_x0000_s1026" o:spt="202" type="#_x0000_t202" style="position:absolute;left:0pt;margin-left:-9pt;margin-top:22.6pt;height:33.85pt;width:76.2pt;z-index:25191628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cWb+&#10;ndgAAAAKAQAADwAAAAAAAAABACAAAAAiAAAAZHJzL2Rvd25yZXYueG1sUEsBAhQAFAAAAAgAh07i&#10;QHy/wkqwAQAAUQMAAA4AAAAAAAAAAQAgAAAAJwEAAGRycy9lMm9Eb2MueG1sUEsFBgAAAAAGAAYA&#10;WQEAAEk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w:t>
                      </w:r>
                    </w:p>
                  </w:txbxContent>
                </v:textbox>
              </v:shape>
            </w:pict>
          </mc:Fallback>
        </mc:AlternateContent>
      </w:r>
      <w:r>
        <w:rPr>
          <w:rFonts w:ascii="仿宋" w:hAnsi="仿宋" w:eastAsia="仿宋" w:cs="仿宋"/>
          <w:b/>
          <w:bCs/>
          <w:color w:val="auto"/>
          <w:sz w:val="24"/>
          <w:szCs w:val="24"/>
          <w:highlight w:val="none"/>
        </w:rPr>
        <w:t xml:space="preserve">59.3  </w:t>
      </w:r>
      <w:r>
        <w:rPr>
          <w:rFonts w:ascii="仿宋" w:hAnsi="仿宋" w:eastAsia="仿宋" w:cs="仿宋"/>
          <w:b/>
          <w:bCs/>
          <w:color w:val="auto"/>
          <w:sz w:val="24"/>
          <w:szCs w:val="24"/>
          <w:highlight w:val="none"/>
          <w:u w:val="dotted"/>
        </w:rPr>
        <w:t xml:space="preserve">                                                                              </w:t>
      </w:r>
    </w:p>
    <w:p>
      <w:pPr>
        <w:shd w:val="clear" w:color="000000" w:fill="auto"/>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合同工程存在某项缺陷或损坏的，合同双方当事人应按照下列规定承担缺陷责任以及由此产生的费用。</w:t>
      </w:r>
    </w:p>
    <w:p>
      <w:pPr>
        <w:pStyle w:val="33"/>
        <w:shd w:val="clear" w:color="000000" w:fill="auto"/>
        <w:adjustRightInd w:val="0"/>
        <w:snapToGrid w:val="0"/>
        <w:ind w:left="0" w:leftChars="0" w:firstLine="1574" w:firstLineChars="656"/>
        <w:rPr>
          <w:rFonts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1</w:t>
      </w:r>
      <w:r>
        <w:rPr>
          <w:rFonts w:hint="eastAsia" w:ascii="仿宋" w:hAnsi="仿宋" w:eastAsia="仿宋" w:cs="仿宋"/>
          <w:color w:val="auto"/>
          <w:highlight w:val="none"/>
        </w:rPr>
        <w:t>）承包人应在缺陷责任期内对已交付使用的工程承担缺陷责任。</w:t>
      </w:r>
    </w:p>
    <w:p>
      <w:pPr>
        <w:shd w:val="clear" w:color="000000" w:fill="auto"/>
        <w:spacing w:line="360" w:lineRule="auto"/>
        <w:ind w:left="1575" w:leftChars="75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）缺陷责任期内，发包人对已接收使用的工程负责日常维护工作。发包人在使用过程中，发现已接收的工程存在新的缺陷或已修复的缺陷部位或部件又遭损坏的，应及时通知承包人修复，承包人应在收到通知后的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天内派人修复，直至检验合格为止。承包人未能在规定时间内修复的，发包人可自行或委托第三方修复，所需费用和利润按照本款第（</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）点规定办理。</w:t>
      </w:r>
    </w:p>
    <w:p>
      <w:pPr>
        <w:shd w:val="clear" w:color="000000" w:fill="auto"/>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监理工程师应会同承包人共同查清缺陷和（或）损坏的原因，并由造价工程师提出或核实由此发生的费用。经查明，因承包人原因造成的，由承包人承担修复和查验的费用；因发包人的原因造成的，发包人承担修复和查验的费用，并向承包人支付合理利润。</w:t>
      </w:r>
    </w:p>
    <w:p>
      <w:pPr>
        <w:shd w:val="clear" w:color="000000" w:fill="auto"/>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17312"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3" name="文本框 257"/>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重新检（试）验</w:t>
                            </w:r>
                          </w:p>
                        </w:txbxContent>
                      </wps:txbx>
                      <wps:bodyPr upright="1"/>
                    </wps:wsp>
                  </a:graphicData>
                </a:graphic>
              </wp:anchor>
            </w:drawing>
          </mc:Choice>
          <mc:Fallback>
            <w:pict>
              <v:shape id="文本框 257" o:spid="_x0000_s1026" o:spt="202" type="#_x0000_t202" style="position:absolute;left:0pt;margin-left:-9pt;margin-top:22.6pt;height:33.85pt;width:76.2pt;z-index:251917312;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cWb+&#10;ndgAAAAKAQAADwAAAAAAAAABACAAAAAiAAAAZHJzL2Rvd25yZXYueG1sUEsBAhQAFAAAAAgAh07i&#10;QF9GvOKwAQAAUQMAAA4AAAAAAAAAAQAgAAAAJwEAAGRycy9lMm9Eb2MueG1sUEsFBgAAAAAGAAYA&#10;WQEAAEk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重新检（试）验</w:t>
                      </w:r>
                    </w:p>
                  </w:txbxContent>
                </v:textbox>
              </v:shape>
            </w:pict>
          </mc:Fallback>
        </mc:AlternateContent>
      </w:r>
      <w:r>
        <w:rPr>
          <w:rFonts w:ascii="仿宋" w:hAnsi="仿宋" w:eastAsia="仿宋" w:cs="仿宋"/>
          <w:b/>
          <w:bCs/>
          <w:color w:val="auto"/>
          <w:sz w:val="24"/>
          <w:szCs w:val="24"/>
          <w:highlight w:val="none"/>
        </w:rPr>
        <w:t xml:space="preserve">59.4  </w:t>
      </w:r>
      <w:r>
        <w:rPr>
          <w:rFonts w:ascii="仿宋" w:hAnsi="仿宋" w:eastAsia="仿宋" w:cs="仿宋"/>
          <w:b/>
          <w:bCs/>
          <w:color w:val="auto"/>
          <w:sz w:val="24"/>
          <w:szCs w:val="24"/>
          <w:highlight w:val="none"/>
          <w:u w:val="dotted"/>
        </w:rPr>
        <w:t xml:space="preserve">                                                                            </w:t>
      </w:r>
    </w:p>
    <w:p>
      <w:pPr>
        <w:shd w:val="clear" w:color="000000" w:fill="auto"/>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任何一项缺陷或损坏修复后，经检查证明其影响了工程或工程设备的使用性能，承包人应按照第</w:t>
      </w:r>
      <w:r>
        <w:rPr>
          <w:rFonts w:ascii="仿宋" w:hAnsi="仿宋" w:eastAsia="仿宋" w:cs="仿宋"/>
          <w:color w:val="auto"/>
          <w:sz w:val="24"/>
          <w:szCs w:val="24"/>
          <w:highlight w:val="none"/>
        </w:rPr>
        <w:t>54</w:t>
      </w:r>
      <w:r>
        <w:rPr>
          <w:rFonts w:hint="eastAsia" w:ascii="仿宋" w:hAnsi="仿宋" w:eastAsia="仿宋" w:cs="仿宋"/>
          <w:color w:val="auto"/>
          <w:sz w:val="24"/>
          <w:szCs w:val="24"/>
          <w:highlight w:val="none"/>
        </w:rPr>
        <w:t>条规定重新检（试）验，重新检（试）验的费用由责任方承担。</w:t>
      </w:r>
    </w:p>
    <w:p>
      <w:pPr>
        <w:shd w:val="clear" w:color="000000" w:fill="auto"/>
        <w:adjustRightInd w:val="0"/>
        <w:snapToGrid w:val="0"/>
        <w:spacing w:line="48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18336"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4" name="文本框 258"/>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承包人的进入权</w:t>
                            </w:r>
                          </w:p>
                        </w:txbxContent>
                      </wps:txbx>
                      <wps:bodyPr upright="1"/>
                    </wps:wsp>
                  </a:graphicData>
                </a:graphic>
              </wp:anchor>
            </w:drawing>
          </mc:Choice>
          <mc:Fallback>
            <w:pict>
              <v:shape id="文本框 258" o:spid="_x0000_s1026" o:spt="202" type="#_x0000_t202" style="position:absolute;left:0pt;margin-left:-9pt;margin-top:22.6pt;height:33.85pt;width:76.2pt;z-index:251918336;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cWb+&#10;ndgAAAAKAQAADwAAAAAAAAABACAAAAAiAAAAZHJzL2Rvd25yZXYueG1sUEsBAhQAFAAAAAgAh07i&#10;QIdz+5mwAQAAUQMAAA4AAAAAAAAAAQAgAAAAJwEAAGRycy9lMm9Eb2MueG1sUEsFBgAAAAAGAAYA&#10;WQEAAEk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承包人的进入权</w:t>
                      </w:r>
                    </w:p>
                  </w:txbxContent>
                </v:textbox>
              </v:shape>
            </w:pict>
          </mc:Fallback>
        </mc:AlternateContent>
      </w:r>
      <w:r>
        <w:rPr>
          <w:rFonts w:ascii="仿宋" w:hAnsi="仿宋" w:eastAsia="仿宋" w:cs="仿宋"/>
          <w:b/>
          <w:bCs/>
          <w:color w:val="auto"/>
          <w:sz w:val="24"/>
          <w:szCs w:val="24"/>
          <w:highlight w:val="none"/>
        </w:rPr>
        <w:t xml:space="preserve">59.5  </w:t>
      </w:r>
      <w:r>
        <w:rPr>
          <w:rFonts w:ascii="仿宋" w:hAnsi="仿宋" w:eastAsia="仿宋" w:cs="仿宋"/>
          <w:b/>
          <w:bCs/>
          <w:color w:val="auto"/>
          <w:sz w:val="24"/>
          <w:szCs w:val="24"/>
          <w:highlight w:val="none"/>
          <w:u w:val="dotted"/>
        </w:rPr>
        <w:t xml:space="preserve">                                                                            </w:t>
      </w:r>
    </w:p>
    <w:p>
      <w:pPr>
        <w:shd w:val="clear" w:color="000000" w:fill="auto"/>
        <w:spacing w:line="360" w:lineRule="auto"/>
        <w:ind w:left="1619" w:leftChars="771"/>
        <w:rPr>
          <w:rFonts w:ascii="仿宋" w:hAnsi="仿宋" w:eastAsia="仿宋" w:cs="Times New Roman"/>
          <w:b/>
          <w:bCs/>
          <w:color w:val="auto"/>
          <w:sz w:val="24"/>
          <w:szCs w:val="24"/>
          <w:highlight w:val="none"/>
        </w:rPr>
      </w:pPr>
      <w:r>
        <w:rPr>
          <w:rFonts w:hint="eastAsia" w:ascii="仿宋" w:hAnsi="仿宋" w:eastAsia="仿宋" w:cs="仿宋"/>
          <w:color w:val="auto"/>
          <w:sz w:val="24"/>
          <w:szCs w:val="24"/>
          <w:highlight w:val="none"/>
        </w:rPr>
        <w:t>缺陷责任期内承包人为缺陷修复工作需要，有权进入工程现场，但应遵守发包人的保安和保密等规定。</w:t>
      </w:r>
    </w:p>
    <w:p>
      <w:pPr>
        <w:shd w:val="clear" w:color="000000" w:fill="auto"/>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1936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5" name="文本框 259"/>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颁发缺陷责任期终止证书</w:t>
                            </w:r>
                          </w:p>
                        </w:txbxContent>
                      </wps:txbx>
                      <wps:bodyPr upright="1"/>
                    </wps:wsp>
                  </a:graphicData>
                </a:graphic>
              </wp:anchor>
            </w:drawing>
          </mc:Choice>
          <mc:Fallback>
            <w:pict>
              <v:shape id="文本框 259" o:spid="_x0000_s1026" o:spt="202" type="#_x0000_t202" style="position:absolute;left:0pt;margin-left:-9pt;margin-top:22.6pt;height:33.85pt;width:76.2pt;z-index:25191936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cWb+&#10;ndgAAAAKAQAADwAAAAAAAAABACAAAAAiAAAAZHJzL2Rvd25yZXYueG1sUEsBAhQAFAAAAAgAh07i&#10;QKSKhTGwAQAAUQMAAA4AAAAAAAAAAQAgAAAAJwEAAGRycy9lMm9Eb2MueG1sUEsFBgAAAAAGAAYA&#10;WQEAAEk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颁发缺陷责任期终止证书</w:t>
                      </w:r>
                    </w:p>
                  </w:txbxContent>
                </v:textbox>
              </v:shape>
            </w:pict>
          </mc:Fallback>
        </mc:AlternateContent>
      </w:r>
      <w:r>
        <w:rPr>
          <w:rFonts w:ascii="仿宋" w:hAnsi="仿宋" w:eastAsia="仿宋" w:cs="仿宋"/>
          <w:b/>
          <w:bCs/>
          <w:color w:val="auto"/>
          <w:sz w:val="24"/>
          <w:szCs w:val="24"/>
          <w:highlight w:val="none"/>
        </w:rPr>
        <w:t xml:space="preserve">59.6  </w:t>
      </w:r>
      <w:r>
        <w:rPr>
          <w:rFonts w:ascii="仿宋" w:hAnsi="仿宋" w:eastAsia="仿宋" w:cs="仿宋"/>
          <w:b/>
          <w:bCs/>
          <w:color w:val="auto"/>
          <w:sz w:val="24"/>
          <w:szCs w:val="24"/>
          <w:highlight w:val="none"/>
          <w:u w:val="dotted"/>
        </w:rPr>
        <w:t xml:space="preserve">                                                                            </w:t>
      </w:r>
    </w:p>
    <w:p>
      <w:pPr>
        <w:shd w:val="clear" w:color="000000" w:fill="auto"/>
        <w:spacing w:line="360" w:lineRule="auto"/>
        <w:ind w:left="1619" w:leftChars="771"/>
        <w:rPr>
          <w:rFonts w:ascii="仿宋" w:hAnsi="仿宋" w:eastAsia="仿宋" w:cs="Times New Roman"/>
          <w:b/>
          <w:bCs/>
          <w:color w:val="auto"/>
          <w:sz w:val="24"/>
          <w:szCs w:val="24"/>
          <w:highlight w:val="none"/>
        </w:rPr>
      </w:pPr>
      <w:r>
        <w:rPr>
          <w:rFonts w:hint="eastAsia" w:ascii="仿宋" w:hAnsi="仿宋" w:eastAsia="仿宋" w:cs="仿宋"/>
          <w:color w:val="auto"/>
          <w:sz w:val="24"/>
          <w:szCs w:val="24"/>
          <w:highlight w:val="none"/>
        </w:rPr>
        <w:t>在专用条款约定的缺陷责任期（包括第</w:t>
      </w:r>
      <w:r>
        <w:rPr>
          <w:rFonts w:ascii="仿宋" w:hAnsi="仿宋" w:eastAsia="仿宋" w:cs="仿宋"/>
          <w:color w:val="auto"/>
          <w:sz w:val="24"/>
          <w:szCs w:val="24"/>
          <w:highlight w:val="none"/>
        </w:rPr>
        <w:t>59.2</w:t>
      </w:r>
      <w:r>
        <w:rPr>
          <w:rFonts w:hint="eastAsia" w:ascii="仿宋" w:hAnsi="仿宋" w:eastAsia="仿宋" w:cs="仿宋"/>
          <w:color w:val="auto"/>
          <w:sz w:val="24"/>
          <w:szCs w:val="24"/>
          <w:highlight w:val="none"/>
        </w:rPr>
        <w:t>款延长的期限）终止后的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天内，发包人应向承包人颁发缺陷责任期终止证书。</w:t>
      </w:r>
    </w:p>
    <w:p>
      <w:pPr>
        <w:shd w:val="clear" w:color="000000" w:fill="auto"/>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2038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6" name="文本框 260"/>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签订工程质量保修书</w:t>
                            </w:r>
                          </w:p>
                        </w:txbxContent>
                      </wps:txbx>
                      <wps:bodyPr upright="1"/>
                    </wps:wsp>
                  </a:graphicData>
                </a:graphic>
              </wp:anchor>
            </w:drawing>
          </mc:Choice>
          <mc:Fallback>
            <w:pict>
              <v:shape id="文本框 260" o:spid="_x0000_s1026" o:spt="202" type="#_x0000_t202" style="position:absolute;left:0pt;margin-left:-9pt;margin-top:22.6pt;height:33.85pt;width:76.2pt;z-index:25192038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xZv6d&#10;2AAAAAoBAAAPAAAAAAAAAAEAIAAAACIAAABkcnMvZG93bnJldi54bWxQSwECFAAUAAAACACHTuJA&#10;K24ZJq8BAABRAwAADgAAAAAAAAABACAAAAAnAQAAZHJzL2Uyb0RvYy54bWxQSwUGAAAAAAYABgBZ&#10;AQAAS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签订工程质量保修书</w:t>
                      </w:r>
                    </w:p>
                  </w:txbxContent>
                </v:textbox>
              </v:shape>
            </w:pict>
          </mc:Fallback>
        </mc:AlternateContent>
      </w:r>
      <w:r>
        <w:rPr>
          <w:rFonts w:ascii="仿宋" w:hAnsi="仿宋" w:eastAsia="仿宋" w:cs="仿宋"/>
          <w:b/>
          <w:bCs/>
          <w:color w:val="auto"/>
          <w:sz w:val="24"/>
          <w:szCs w:val="24"/>
          <w:highlight w:val="none"/>
        </w:rPr>
        <w:t xml:space="preserve">59.7  </w:t>
      </w:r>
      <w:r>
        <w:rPr>
          <w:rFonts w:ascii="仿宋" w:hAnsi="仿宋" w:eastAsia="仿宋" w:cs="仿宋"/>
          <w:b/>
          <w:bCs/>
          <w:color w:val="auto"/>
          <w:sz w:val="24"/>
          <w:szCs w:val="24"/>
          <w:highlight w:val="none"/>
          <w:u w:val="dotted"/>
        </w:rPr>
        <w:t xml:space="preserve">                                                                            </w:t>
      </w:r>
    </w:p>
    <w:p>
      <w:pPr>
        <w:pStyle w:val="33"/>
        <w:shd w:val="clear" w:color="000000" w:fill="auto"/>
        <w:adjustRightInd w:val="0"/>
        <w:snapToGrid w:val="0"/>
        <w:ind w:left="1619" w:leftChars="771"/>
        <w:rPr>
          <w:rFonts w:ascii="仿宋" w:hAnsi="仿宋" w:eastAsia="仿宋"/>
          <w:color w:val="auto"/>
          <w:highlight w:val="none"/>
        </w:rPr>
      </w:pPr>
      <w:r>
        <w:rPr>
          <w:rFonts w:hint="eastAsia" w:ascii="仿宋" w:hAnsi="仿宋" w:eastAsia="仿宋" w:cs="仿宋"/>
          <w:color w:val="auto"/>
          <w:highlight w:val="none"/>
        </w:rPr>
        <w:t>合同双方当事人应根据法律的有关规定，在承包人向发包人提交竣工验收申请报告前，共同签署合同工程质量保修书，作为本合同的附件。工程质量保修书应具体明确质量保修范围、期限、责任和费用等事项。</w:t>
      </w:r>
    </w:p>
    <w:p>
      <w:pPr>
        <w:shd w:val="clear" w:color="000000" w:fill="auto"/>
        <w:adjustRightInd w:val="0"/>
        <w:snapToGrid w:val="0"/>
        <w:spacing w:line="480" w:lineRule="auto"/>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2140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7" name="文本框 261"/>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质量保修期计算</w:t>
                            </w:r>
                          </w:p>
                        </w:txbxContent>
                      </wps:txbx>
                      <wps:bodyPr upright="1"/>
                    </wps:wsp>
                  </a:graphicData>
                </a:graphic>
              </wp:anchor>
            </w:drawing>
          </mc:Choice>
          <mc:Fallback>
            <w:pict>
              <v:shape id="文本框 261" o:spid="_x0000_s1026" o:spt="202" type="#_x0000_t202" style="position:absolute;left:0pt;margin-left:-9pt;margin-top:22.6pt;height:33.85pt;width:76.2pt;z-index:25192140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cWb+&#10;ndgAAAAKAQAADwAAAAAAAAABACAAAAAiAAAAZHJzL2Rvd25yZXYueG1sUEsBAhQAFAAAAAgAh07i&#10;QAiXZ46wAQAAUQMAAA4AAAAAAAAAAQAgAAAAJwEAAGRycy9lMm9Eb2MueG1sUEsFBgAAAAAGAAYA&#10;WQEAAEk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质量保修期计算</w:t>
                      </w:r>
                    </w:p>
                  </w:txbxContent>
                </v:textbox>
              </v:shape>
            </w:pict>
          </mc:Fallback>
        </mc:AlternateContent>
      </w:r>
      <w:r>
        <w:rPr>
          <w:rFonts w:ascii="仿宋" w:hAnsi="仿宋" w:eastAsia="仿宋" w:cs="仿宋"/>
          <w:b/>
          <w:bCs/>
          <w:color w:val="auto"/>
          <w:sz w:val="24"/>
          <w:szCs w:val="24"/>
          <w:highlight w:val="none"/>
        </w:rPr>
        <w:t xml:space="preserve">59.8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shd w:val="clear" w:color="000000" w:fill="auto"/>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合同双方当事人应在专用条款和合同工程质量保修书中约定质量保修期。</w:t>
      </w:r>
    </w:p>
    <w:p>
      <w:pPr>
        <w:shd w:val="clear" w:color="000000" w:fill="auto"/>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质量保修期自实际竣工之日起计算。在全部工程竣工验收前，已经发包人提前验收的单位工程，其质量保修期的起算日期相应提前。</w:t>
      </w:r>
    </w:p>
    <w:p>
      <w:pPr>
        <w:shd w:val="clear" w:color="000000" w:fill="auto"/>
        <w:tabs>
          <w:tab w:val="left" w:pos="360"/>
          <w:tab w:val="left" w:pos="900"/>
        </w:tabs>
        <w:adjustRightInd w:val="0"/>
        <w:snapToGrid w:val="0"/>
        <w:spacing w:line="48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59.9  </w:t>
      </w:r>
      <w:r>
        <w:rPr>
          <w:rFonts w:ascii="仿宋" w:hAnsi="仿宋" w:eastAsia="仿宋" w:cs="仿宋"/>
          <w:b/>
          <w:bCs/>
          <w:color w:val="auto"/>
          <w:sz w:val="24"/>
          <w:szCs w:val="24"/>
          <w:highlight w:val="none"/>
          <w:u w:val="dotted"/>
        </w:rPr>
        <w:t xml:space="preserve">                                                                                                        </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22432" behindDoc="0" locked="0" layoutInCell="1" allowOverlap="1">
                <wp:simplePos x="0" y="0"/>
                <wp:positionH relativeFrom="column">
                  <wp:posOffset>-73660</wp:posOffset>
                </wp:positionH>
                <wp:positionV relativeFrom="paragraph">
                  <wp:posOffset>15240</wp:posOffset>
                </wp:positionV>
                <wp:extent cx="988060" cy="365760"/>
                <wp:effectExtent l="0" t="0" r="0" b="0"/>
                <wp:wrapNone/>
                <wp:docPr id="258" name="文本框 262"/>
                <wp:cNvGraphicFramePr/>
                <a:graphic xmlns:a="http://schemas.openxmlformats.org/drawingml/2006/main">
                  <a:graphicData uri="http://schemas.microsoft.com/office/word/2010/wordprocessingShape">
                    <wps:wsp>
                      <wps:cNvSpPr txBox="1"/>
                      <wps:spPr>
                        <a:xfrm>
                          <a:off x="0" y="0"/>
                          <a:ext cx="988060" cy="36576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工程质量保修</w:t>
                            </w:r>
                          </w:p>
                        </w:txbxContent>
                      </wps:txbx>
                      <wps:bodyPr upright="1"/>
                    </wps:wsp>
                  </a:graphicData>
                </a:graphic>
              </wp:anchor>
            </w:drawing>
          </mc:Choice>
          <mc:Fallback>
            <w:pict>
              <v:shape id="文本框 262" o:spid="_x0000_s1026" o:spt="202" type="#_x0000_t202" style="position:absolute;left:0pt;margin-left:-5.8pt;margin-top:1.2pt;height:28.8pt;width:77.8pt;z-index:251922432;mso-width-relative:page;mso-height-relative:page;" filled="f" stroked="f" coordsize="21600,21600" o:gfxdata="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ViiUO1QAA&#10;AAgBAAAPAAAAAAAAAAEAIAAAACIAAABkcnMvZG93bnJldi54bWxQSwECFAAUAAAACACHTuJAOQGg&#10;Sa8BAABRAwAADgAAAAAAAAABACAAAAAkAQAAZHJzL2Uyb0RvYy54bWxQSwUGAAAAAAYABgBZAQAA&#10;RQU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工程质量保修</w:t>
                      </w:r>
                    </w:p>
                  </w:txbxContent>
                </v:textbox>
              </v:shape>
            </w:pict>
          </mc:Fallback>
        </mc:AlternateContent>
      </w:r>
      <w:r>
        <w:rPr>
          <w:rFonts w:hint="eastAsia" w:ascii="仿宋" w:hAnsi="仿宋" w:eastAsia="仿宋" w:cs="仿宋"/>
          <w:color w:val="auto"/>
          <w:sz w:val="24"/>
          <w:szCs w:val="24"/>
          <w:highlight w:val="none"/>
        </w:rPr>
        <w:t>承包人应在质量保修期内对交付发包人使用的合同工程承担质量保修责任。合同工程出现质量问题的，承包人应立即实施保修；承包人保修工作完成后，发包人应及时组织验收。发生紧急抢修事故的，承包人应在接到通知后立即到达事故现场抢修。</w:t>
      </w:r>
    </w:p>
    <w:p>
      <w:pPr>
        <w:shd w:val="clear" w:color="000000" w:fill="auto"/>
        <w:adjustRightInd w:val="0"/>
        <w:snapToGrid w:val="0"/>
        <w:spacing w:line="480" w:lineRule="auto"/>
        <w:rPr>
          <w:rFonts w:ascii="仿宋" w:hAnsi="仿宋" w:eastAsia="仿宋" w:cs="仿宋"/>
          <w:color w:val="auto"/>
          <w:sz w:val="24"/>
          <w:szCs w:val="24"/>
          <w:highlight w:val="none"/>
          <w:u w:val="dotted"/>
        </w:rPr>
      </w:pPr>
      <w:r>
        <w:rPr>
          <w:color w:val="auto"/>
          <w:highlight w:val="none"/>
        </w:rPr>
        <mc:AlternateContent>
          <mc:Choice Requires="wps">
            <w:drawing>
              <wp:anchor distT="0" distB="0" distL="114300" distR="114300" simplePos="0" relativeHeight="251923456" behindDoc="0" locked="0" layoutInCell="1" allowOverlap="1">
                <wp:simplePos x="0" y="0"/>
                <wp:positionH relativeFrom="column">
                  <wp:posOffset>-66675</wp:posOffset>
                </wp:positionH>
                <wp:positionV relativeFrom="paragraph">
                  <wp:posOffset>259080</wp:posOffset>
                </wp:positionV>
                <wp:extent cx="959485" cy="452120"/>
                <wp:effectExtent l="0" t="0" r="0" b="0"/>
                <wp:wrapNone/>
                <wp:docPr id="259" name="文本框 263"/>
                <wp:cNvGraphicFramePr/>
                <a:graphic xmlns:a="http://schemas.openxmlformats.org/drawingml/2006/main">
                  <a:graphicData uri="http://schemas.microsoft.com/office/word/2010/wordprocessingShape">
                    <wps:wsp>
                      <wps:cNvSpPr txBox="1"/>
                      <wps:spPr>
                        <a:xfrm>
                          <a:off x="0" y="0"/>
                          <a:ext cx="959485" cy="45212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修复质量缺陷以外的费用</w:t>
                            </w:r>
                          </w:p>
                        </w:txbxContent>
                      </wps:txbx>
                      <wps:bodyPr upright="1"/>
                    </wps:wsp>
                  </a:graphicData>
                </a:graphic>
              </wp:anchor>
            </w:drawing>
          </mc:Choice>
          <mc:Fallback>
            <w:pict>
              <v:shape id="文本框 263" o:spid="_x0000_s1026" o:spt="202" type="#_x0000_t202" style="position:absolute;left:0pt;margin-left:-5.25pt;margin-top:20.4pt;height:35.6pt;width:75.55pt;z-index:251923456;mso-width-relative:page;mso-height-relative:page;" filled="f" stroked="f" coordsize="21600,21600" o:gfxdata="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yHGZ6&#10;1gAAAAoBAAAPAAAAAAAAAAEAIAAAACIAAABkcnMvZG93bnJldi54bWxQSwECFAAUAAAACACHTuJA&#10;elqRS7EBAABRAwAADgAAAAAAAAABACAAAAAlAQAAZHJzL2Uyb0RvYy54bWxQSwUGAAAAAAYABgBZ&#10;AQAASA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修复质量缺陷以外的费用</w:t>
                      </w:r>
                    </w:p>
                  </w:txbxContent>
                </v:textbox>
              </v:shape>
            </w:pict>
          </mc:Fallback>
        </mc:AlternateContent>
      </w:r>
      <w:r>
        <w:rPr>
          <w:rFonts w:ascii="仿宋" w:hAnsi="仿宋" w:eastAsia="仿宋" w:cs="仿宋"/>
          <w:b/>
          <w:bCs/>
          <w:color w:val="auto"/>
          <w:sz w:val="24"/>
          <w:szCs w:val="24"/>
          <w:highlight w:val="none"/>
        </w:rPr>
        <w:t xml:space="preserve">59.10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shd w:val="clear" w:color="000000" w:fill="auto"/>
        <w:adjustRightInd w:val="0"/>
        <w:snapToGrid w:val="0"/>
        <w:spacing w:line="360" w:lineRule="auto"/>
        <w:ind w:firstLine="1574" w:firstLineChars="656"/>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承包人修复属于质量缺陷以外的费用，由责任方承担。</w:t>
      </w:r>
    </w:p>
    <w:p>
      <w:pPr>
        <w:shd w:val="clear" w:color="000000" w:fill="auto"/>
        <w:adjustRightInd w:val="0"/>
        <w:snapToGrid w:val="0"/>
        <w:spacing w:line="360" w:lineRule="auto"/>
        <w:rPr>
          <w:rFonts w:ascii="仿宋" w:hAnsi="仿宋" w:eastAsia="仿宋" w:cs="仿宋"/>
          <w:color w:val="auto"/>
          <w:sz w:val="24"/>
          <w:szCs w:val="24"/>
          <w:highlight w:val="none"/>
          <w:u w:val="single"/>
        </w:rPr>
      </w:pPr>
      <w:r>
        <w:rPr>
          <w:rFonts w:ascii="仿宋" w:hAnsi="仿宋" w:eastAsia="仿宋" w:cs="仿宋"/>
          <w:b/>
          <w:bCs/>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p>
    <w:p>
      <w:pPr>
        <w:shd w:val="clear" w:color="000000" w:fill="auto"/>
        <w:tabs>
          <w:tab w:val="left" w:pos="1620"/>
        </w:tabs>
        <w:adjustRightInd w:val="0"/>
        <w:snapToGrid w:val="0"/>
        <w:spacing w:line="360" w:lineRule="auto"/>
        <w:outlineLvl w:val="1"/>
        <w:rPr>
          <w:rFonts w:ascii="仿宋" w:hAnsi="仿宋" w:eastAsia="仿宋" w:cs="Times New Roman"/>
          <w:b/>
          <w:bCs/>
          <w:color w:val="auto"/>
          <w:sz w:val="24"/>
          <w:szCs w:val="24"/>
          <w:highlight w:val="none"/>
        </w:rPr>
      </w:pPr>
      <w:r>
        <w:rPr>
          <w:rFonts w:ascii="仿宋" w:hAnsi="仿宋" w:eastAsia="仿宋" w:cs="仿宋"/>
          <w:color w:val="auto"/>
          <w:sz w:val="24"/>
          <w:szCs w:val="24"/>
          <w:highlight w:val="none"/>
        </w:rPr>
        <w:t xml:space="preserve">                                 </w:t>
      </w:r>
      <w:bookmarkStart w:id="305" w:name="_Toc2529"/>
      <w:bookmarkStart w:id="306" w:name="_Toc18179"/>
      <w:bookmarkStart w:id="307" w:name="_Toc469384043"/>
      <w:bookmarkStart w:id="308" w:name="_Toc10624883"/>
      <w:r>
        <w:rPr>
          <w:rFonts w:hint="eastAsia" w:ascii="仿宋" w:hAnsi="仿宋" w:eastAsia="仿宋" w:cs="仿宋"/>
          <w:b/>
          <w:bCs/>
          <w:color w:val="auto"/>
          <w:sz w:val="24"/>
          <w:szCs w:val="24"/>
          <w:highlight w:val="none"/>
        </w:rPr>
        <w:t>六、造</w:t>
      </w:r>
      <w:r>
        <w:rPr>
          <w:rFonts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rPr>
        <w:t>价</w:t>
      </w:r>
      <w:bookmarkEnd w:id="305"/>
      <w:bookmarkEnd w:id="306"/>
      <w:bookmarkEnd w:id="307"/>
      <w:bookmarkEnd w:id="308"/>
    </w:p>
    <w:p>
      <w:pPr>
        <w:pStyle w:val="5"/>
        <w:numPr>
          <w:ilvl w:val="0"/>
          <w:numId w:val="0"/>
        </w:numPr>
        <w:shd w:val="clear" w:color="000000" w:fill="auto"/>
        <w:tabs>
          <w:tab w:val="left" w:pos="420"/>
        </w:tabs>
        <w:rPr>
          <w:rFonts w:ascii="仿宋" w:hAnsi="仿宋" w:eastAsia="仿宋"/>
          <w:color w:val="auto"/>
          <w:sz w:val="24"/>
          <w:szCs w:val="24"/>
          <w:highlight w:val="none"/>
        </w:rPr>
      </w:pPr>
      <w:bookmarkStart w:id="309" w:name="_Toc469384044"/>
      <w:bookmarkStart w:id="310" w:name="_Toc10624884"/>
      <w:bookmarkStart w:id="311" w:name="_Toc10752"/>
      <w:r>
        <w:rPr>
          <w:rFonts w:ascii="仿宋" w:hAnsi="仿宋" w:eastAsia="仿宋" w:cs="仿宋"/>
          <w:color w:val="auto"/>
          <w:sz w:val="24"/>
          <w:szCs w:val="24"/>
          <w:highlight w:val="none"/>
        </w:rPr>
        <w:t xml:space="preserve">60  </w:t>
      </w:r>
      <w:r>
        <w:rPr>
          <w:rFonts w:hint="eastAsia" w:ascii="仿宋" w:hAnsi="仿宋" w:eastAsia="仿宋" w:cs="仿宋"/>
          <w:color w:val="auto"/>
          <w:sz w:val="24"/>
          <w:szCs w:val="24"/>
          <w:highlight w:val="none"/>
        </w:rPr>
        <w:t>资金计划和安排</w:t>
      </w:r>
      <w:bookmarkEnd w:id="309"/>
      <w:bookmarkEnd w:id="310"/>
      <w:bookmarkEnd w:id="311"/>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60.1</w:t>
      </w:r>
    </w:p>
    <w:p>
      <w:pPr>
        <w:pStyle w:val="2"/>
        <w:shd w:val="clear" w:color="000000" w:fill="auto"/>
        <w:adjustRightInd w:val="0"/>
        <w:snapToGrid w:val="0"/>
        <w:spacing w:line="360" w:lineRule="auto"/>
        <w:ind w:left="1579" w:leftChars="752"/>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24480" behindDoc="0" locked="0" layoutInCell="1" allowOverlap="1">
                <wp:simplePos x="0" y="0"/>
                <wp:positionH relativeFrom="column">
                  <wp:posOffset>-133350</wp:posOffset>
                </wp:positionH>
                <wp:positionV relativeFrom="paragraph">
                  <wp:posOffset>68580</wp:posOffset>
                </wp:positionV>
                <wp:extent cx="914400" cy="431800"/>
                <wp:effectExtent l="0" t="0" r="0" b="0"/>
                <wp:wrapNone/>
                <wp:docPr id="260" name="文本框 264"/>
                <wp:cNvGraphicFramePr/>
                <a:graphic xmlns:a="http://schemas.openxmlformats.org/drawingml/2006/main">
                  <a:graphicData uri="http://schemas.microsoft.com/office/word/2010/wordprocessingShape">
                    <wps:wsp>
                      <wps:cNvSpPr txBox="1"/>
                      <wps:spPr>
                        <a:xfrm>
                          <a:off x="0" y="0"/>
                          <a:ext cx="914400" cy="431800"/>
                        </a:xfrm>
                        <a:prstGeom prst="rect">
                          <a:avLst/>
                        </a:prstGeom>
                        <a:noFill/>
                        <a:ln>
                          <a:noFill/>
                        </a:ln>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承包人提交资金需求计划书</w:t>
                            </w:r>
                          </w:p>
                        </w:txbxContent>
                      </wps:txbx>
                      <wps:bodyPr upright="1"/>
                    </wps:wsp>
                  </a:graphicData>
                </a:graphic>
              </wp:anchor>
            </w:drawing>
          </mc:Choice>
          <mc:Fallback>
            <w:pict>
              <v:shape id="文本框 264" o:spid="_x0000_s1026" o:spt="202" type="#_x0000_t202" style="position:absolute;left:0pt;margin-left:-10.5pt;margin-top:5.4pt;height:34pt;width:72pt;z-index:251924480;mso-width-relative:page;mso-height-relative:page;" filled="f" stroked="f" coordsize="21600,21600" o:gfxdata="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ZC/3P1gAA&#10;AAkBAAAPAAAAAAAAAAEAIAAAACIAAABkcnMvZG93bnJldi54bWxQSwECFAAUAAAACACHTuJAsY2h&#10;WK4BAABRAwAADgAAAAAAAAABACAAAAAlAQAAZHJzL2Uyb0RvYy54bWxQSwUGAAAAAAYABgBZAQAA&#10;RQU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承包人提交资金需求计划书</w:t>
                      </w:r>
                    </w:p>
                  </w:txbxContent>
                </v:textbox>
              </v:shape>
            </w:pict>
          </mc:Fallback>
        </mc:AlternateContent>
      </w:r>
      <w:r>
        <w:rPr>
          <w:rFonts w:hint="eastAsia" w:ascii="仿宋" w:hAnsi="仿宋" w:eastAsia="仿宋" w:cs="仿宋"/>
          <w:color w:val="auto"/>
          <w:sz w:val="24"/>
          <w:szCs w:val="24"/>
          <w:highlight w:val="none"/>
        </w:rPr>
        <w:t>工程进度计划被批准后，承包人应向发包人提交一份合同工程资金需求计划书；工程进度计划更新后，承包人应及时向发包人提交一份更新后的工程资金需求计划书。</w:t>
      </w:r>
    </w:p>
    <w:p>
      <w:pPr>
        <w:pStyle w:val="2"/>
        <w:shd w:val="clear" w:color="000000" w:fill="auto"/>
        <w:adjustRightInd w:val="0"/>
        <w:snapToGrid w:val="0"/>
        <w:ind w:left="1619" w:leftChars="1" w:hanging="1617" w:hangingChars="671"/>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60.2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25504" behindDoc="0" locked="0" layoutInCell="1" allowOverlap="1">
                <wp:simplePos x="0" y="0"/>
                <wp:positionH relativeFrom="column">
                  <wp:posOffset>-114300</wp:posOffset>
                </wp:positionH>
                <wp:positionV relativeFrom="paragraph">
                  <wp:posOffset>34290</wp:posOffset>
                </wp:positionV>
                <wp:extent cx="914400" cy="464820"/>
                <wp:effectExtent l="0" t="0" r="0" b="0"/>
                <wp:wrapNone/>
                <wp:docPr id="261" name="文本框 265"/>
                <wp:cNvGraphicFramePr/>
                <a:graphic xmlns:a="http://schemas.openxmlformats.org/drawingml/2006/main">
                  <a:graphicData uri="http://schemas.microsoft.com/office/word/2010/wordprocessingShape">
                    <wps:wsp>
                      <wps:cNvSpPr txBox="1"/>
                      <wps:spPr>
                        <a:xfrm>
                          <a:off x="0" y="0"/>
                          <a:ext cx="914400" cy="464820"/>
                        </a:xfrm>
                        <a:prstGeom prst="rect">
                          <a:avLst/>
                        </a:prstGeom>
                        <a:noFill/>
                        <a:ln>
                          <a:noFill/>
                        </a:ln>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发包人提供资金安排证据</w:t>
                            </w:r>
                          </w:p>
                        </w:txbxContent>
                      </wps:txbx>
                      <wps:bodyPr upright="1"/>
                    </wps:wsp>
                  </a:graphicData>
                </a:graphic>
              </wp:anchor>
            </w:drawing>
          </mc:Choice>
          <mc:Fallback>
            <w:pict>
              <v:shape id="文本框 265" o:spid="_x0000_s1026" o:spt="202" type="#_x0000_t202" style="position:absolute;left:0pt;margin-left:-9pt;margin-top:2.7pt;height:36.6pt;width:72pt;z-index:251925504;mso-width-relative:page;mso-height-relative:page;" filled="f" stroked="f" coordsize="21600,21600" o:gfxdata="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WsHe1QAA&#10;AAgBAAAPAAAAAAAAAAEAIAAAACIAAABkcnMvZG93bnJldi54bWxQSwECFAAUAAAACACHTuJA+sli&#10;w68BAABRAwAADgAAAAAAAAABACAAAAAkAQAAZHJzL2Uyb0RvYy54bWxQSwUGAAAAAAYABgBZAQAA&#10;RQU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发包人提供资金安排证据</w:t>
                      </w:r>
                    </w:p>
                  </w:txbxContent>
                </v:textbox>
              </v:shape>
            </w:pict>
          </mc:Fallback>
        </mc:AlternateContent>
      </w:r>
      <w:r>
        <w:rPr>
          <w:rFonts w:hint="eastAsia" w:ascii="仿宋" w:hAnsi="仿宋" w:eastAsia="仿宋" w:cs="仿宋"/>
          <w:color w:val="auto"/>
          <w:sz w:val="24"/>
          <w:szCs w:val="24"/>
          <w:highlight w:val="none"/>
        </w:rPr>
        <w:t>发包人在收到承包人提交的工程资金需求计划书后</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天内，应根据合同约定提供已做出资金安排的合理证据，表明自己有能力按照第</w:t>
      </w:r>
      <w:r>
        <w:rPr>
          <w:rFonts w:ascii="仿宋" w:hAnsi="仿宋" w:eastAsia="仿宋" w:cs="仿宋"/>
          <w:color w:val="auto"/>
          <w:sz w:val="24"/>
          <w:szCs w:val="24"/>
          <w:highlight w:val="none"/>
        </w:rPr>
        <w:t>78</w:t>
      </w:r>
      <w:r>
        <w:rPr>
          <w:rFonts w:hint="eastAsia" w:ascii="仿宋" w:hAnsi="仿宋" w:eastAsia="仿宋" w:cs="仿宋"/>
          <w:color w:val="auto"/>
          <w:sz w:val="24"/>
          <w:szCs w:val="24"/>
          <w:highlight w:val="none"/>
        </w:rPr>
        <w:t>条规定支付合同价款。如果发包人对资金安排作出任何变更时，应及时将变更的详情通知承包人。</w:t>
      </w:r>
    </w:p>
    <w:p>
      <w:pPr>
        <w:pStyle w:val="2"/>
        <w:shd w:val="clear" w:color="000000" w:fill="auto"/>
        <w:tabs>
          <w:tab w:val="left" w:pos="1800"/>
        </w:tabs>
        <w:adjustRightInd w:val="0"/>
        <w:snapToGrid w:val="0"/>
        <w:spacing w:line="240" w:lineRule="exact"/>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outlineLvl w:val="2"/>
        <w:rPr>
          <w:rFonts w:ascii="仿宋" w:hAnsi="仿宋" w:eastAsia="仿宋" w:cs="Times New Roman"/>
          <w:b/>
          <w:bCs/>
          <w:color w:val="auto"/>
          <w:sz w:val="24"/>
          <w:szCs w:val="24"/>
          <w:highlight w:val="none"/>
        </w:rPr>
      </w:pPr>
      <w:bookmarkStart w:id="312" w:name="_Toc10624885"/>
      <w:bookmarkStart w:id="313" w:name="_Toc469384045"/>
      <w:bookmarkStart w:id="314" w:name="_Toc5579"/>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61  </w:t>
      </w:r>
      <w:r>
        <w:rPr>
          <w:rFonts w:hint="eastAsia" w:ascii="仿宋" w:hAnsi="仿宋" w:eastAsia="仿宋" w:cs="仿宋"/>
          <w:b/>
          <w:bCs/>
          <w:color w:val="auto"/>
          <w:sz w:val="24"/>
          <w:szCs w:val="24"/>
          <w:highlight w:val="none"/>
        </w:rPr>
        <w:t>工程量</w:t>
      </w:r>
      <w:bookmarkEnd w:id="312"/>
      <w:bookmarkEnd w:id="313"/>
      <w:bookmarkEnd w:id="314"/>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61.1</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除专用条款另有约定外，</w:t>
      </w:r>
      <w:r>
        <w:rPr>
          <w:color w:val="auto"/>
          <w:highlight w:val="none"/>
        </w:rPr>
        <mc:AlternateContent>
          <mc:Choice Requires="wps">
            <w:drawing>
              <wp:anchor distT="0" distB="0" distL="114300" distR="114300" simplePos="0" relativeHeight="251926528" behindDoc="0" locked="0" layoutInCell="1" allowOverlap="1">
                <wp:simplePos x="0" y="0"/>
                <wp:positionH relativeFrom="column">
                  <wp:posOffset>-114300</wp:posOffset>
                </wp:positionH>
                <wp:positionV relativeFrom="paragraph">
                  <wp:posOffset>11430</wp:posOffset>
                </wp:positionV>
                <wp:extent cx="914400" cy="476250"/>
                <wp:effectExtent l="0" t="0" r="0" b="0"/>
                <wp:wrapNone/>
                <wp:docPr id="262" name="文本框 266"/>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a:noFill/>
                        </a:ln>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清单工程量包括的工作内容</w:t>
                            </w:r>
                          </w:p>
                        </w:txbxContent>
                      </wps:txbx>
                      <wps:bodyPr upright="1"/>
                    </wps:wsp>
                  </a:graphicData>
                </a:graphic>
              </wp:anchor>
            </w:drawing>
          </mc:Choice>
          <mc:Fallback>
            <w:pict>
              <v:shape id="文本框 266" o:spid="_x0000_s1026" o:spt="202" type="#_x0000_t202" style="position:absolute;left:0pt;margin-left:-9pt;margin-top:0.9pt;height:37.5pt;width:72pt;z-index:251926528;mso-width-relative:page;mso-height-relative:page;" filled="f" stroked="f" coordsize="21600,21600" o:gfxdata="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JuOd11AAA&#10;AAgBAAAPAAAAAAAAAAEAIAAAACIAAABkcnMvZG93bnJldi54bWxQSwECFAAUAAAACACHTuJAWIb8&#10;zLABAABRAwAADgAAAAAAAAABACAAAAAjAQAAZHJzL2Uyb0RvYy54bWxQSwUGAAAAAAYABgBZAQAA&#10;RQU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清单工程量包括的工作内容</w:t>
                      </w:r>
                    </w:p>
                  </w:txbxContent>
                </v:textbox>
              </v:shape>
            </w:pict>
          </mc:Fallback>
        </mc:AlternateContent>
      </w:r>
      <w:r>
        <w:rPr>
          <w:rFonts w:hint="eastAsia" w:ascii="仿宋" w:hAnsi="仿宋" w:eastAsia="仿宋" w:cs="仿宋"/>
          <w:color w:val="auto"/>
          <w:sz w:val="24"/>
          <w:szCs w:val="24"/>
          <w:highlight w:val="none"/>
        </w:rPr>
        <w:t>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应根据第</w:t>
      </w:r>
      <w:r>
        <w:rPr>
          <w:rFonts w:ascii="仿宋" w:hAnsi="仿宋" w:eastAsia="仿宋" w:cs="仿宋"/>
          <w:color w:val="auto"/>
          <w:sz w:val="24"/>
          <w:szCs w:val="24"/>
          <w:highlight w:val="none"/>
        </w:rPr>
        <w:t>72</w:t>
      </w:r>
      <w:r>
        <w:rPr>
          <w:rFonts w:hint="eastAsia" w:ascii="仿宋" w:hAnsi="仿宋" w:eastAsia="仿宋" w:cs="仿宋"/>
          <w:color w:val="auto"/>
          <w:sz w:val="24"/>
          <w:szCs w:val="24"/>
          <w:highlight w:val="none"/>
        </w:rPr>
        <w:t>条规定确定合同价款的增加额。</w:t>
      </w:r>
    </w:p>
    <w:p>
      <w:pPr>
        <w:pStyle w:val="2"/>
        <w:shd w:val="clear" w:color="000000" w:fill="auto"/>
        <w:adjustRightInd w:val="0"/>
        <w:snapToGrid w:val="0"/>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61.2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27552" behindDoc="0" locked="0" layoutInCell="1" allowOverlap="1">
                <wp:simplePos x="0" y="0"/>
                <wp:positionH relativeFrom="column">
                  <wp:posOffset>-114300</wp:posOffset>
                </wp:positionH>
                <wp:positionV relativeFrom="paragraph">
                  <wp:posOffset>11430</wp:posOffset>
                </wp:positionV>
                <wp:extent cx="1028700" cy="361950"/>
                <wp:effectExtent l="0" t="0" r="0" b="0"/>
                <wp:wrapNone/>
                <wp:docPr id="263" name="文本框 267"/>
                <wp:cNvGraphicFramePr/>
                <a:graphic xmlns:a="http://schemas.openxmlformats.org/drawingml/2006/main">
                  <a:graphicData uri="http://schemas.microsoft.com/office/word/2010/wordprocessingShape">
                    <wps:wsp>
                      <wps:cNvSpPr txBox="1"/>
                      <wps:spPr>
                        <a:xfrm>
                          <a:off x="0" y="0"/>
                          <a:ext cx="1028700" cy="361950"/>
                        </a:xfrm>
                        <a:prstGeom prst="rect">
                          <a:avLst/>
                        </a:prstGeom>
                        <a:noFill/>
                        <a:ln>
                          <a:noFill/>
                        </a:ln>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wps:txbx>
                      <wps:bodyPr upright="1"/>
                    </wps:wsp>
                  </a:graphicData>
                </a:graphic>
              </wp:anchor>
            </w:drawing>
          </mc:Choice>
          <mc:Fallback>
            <w:pict>
              <v:shape id="文本框 267" o:spid="_x0000_s1026" o:spt="202" type="#_x0000_t202" style="position:absolute;left:0pt;margin-left:-9pt;margin-top:0.9pt;height:28.5pt;width:81pt;z-index:251927552;mso-width-relative:page;mso-height-relative:page;" filled="f" stroked="f" coordsize="21600,21600" o:gfxdata="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w2NEa1AAA&#10;AAgBAAAPAAAAAAAAAAEAIAAAACIAAABkcnMvZG93bnJldi54bWxQSwECFAAUAAAACACHTuJABRGA&#10;iLABAABSAwAADgAAAAAAAAABACAAAAAjAQAAZHJzL2Uyb0RvYy54bWxQSwUGAAAAAAYABgBZAQAA&#10;RQU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v:textbox>
              </v:shape>
            </w:pict>
          </mc:Fallback>
        </mc:AlternateContent>
      </w:r>
      <w:r>
        <w:rPr>
          <w:rFonts w:hint="eastAsia" w:ascii="仿宋" w:hAnsi="仿宋" w:eastAsia="仿宋" w:cs="仿宋"/>
          <w:color w:val="auto"/>
          <w:sz w:val="24"/>
          <w:szCs w:val="24"/>
          <w:highlight w:val="none"/>
        </w:rPr>
        <w:t>工程量清单中开列的工程量是根据合同工程施工设计图纸提供的预计工程量，不能作为承包人履行合同义务中应予完成合同工程的实际和准确工程量。</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发包人应按照承包人实际完成的应予计量的工程量与其在工程量清单中填报的单价或合价的乘积向承包人支付工程款。</w:t>
      </w:r>
    </w:p>
    <w:p>
      <w:pPr>
        <w:pStyle w:val="2"/>
        <w:shd w:val="clear" w:color="000000" w:fill="auto"/>
        <w:adjustRightInd w:val="0"/>
        <w:snapToGrid w:val="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315" w:name="_Toc10624886"/>
      <w:bookmarkStart w:id="316" w:name="_Toc469384046"/>
      <w:bookmarkStart w:id="317" w:name="_Toc26980"/>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62  </w:t>
      </w:r>
      <w:r>
        <w:rPr>
          <w:rFonts w:hint="eastAsia" w:ascii="仿宋" w:hAnsi="仿宋" w:eastAsia="仿宋" w:cs="仿宋"/>
          <w:b/>
          <w:bCs/>
          <w:color w:val="auto"/>
          <w:sz w:val="24"/>
          <w:szCs w:val="24"/>
          <w:highlight w:val="none"/>
        </w:rPr>
        <w:t>工程计量和计价</w:t>
      </w:r>
      <w:bookmarkEnd w:id="315"/>
      <w:bookmarkEnd w:id="316"/>
      <w:bookmarkEnd w:id="317"/>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62.1</w:t>
      </w:r>
    </w:p>
    <w:p>
      <w:pPr>
        <w:pStyle w:val="2"/>
        <w:shd w:val="clear" w:color="000000" w:fill="auto"/>
        <w:adjustRightInd w:val="0"/>
        <w:snapToGrid w:val="0"/>
        <w:spacing w:line="360" w:lineRule="auto"/>
        <w:ind w:left="1619" w:leftChars="771"/>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28576" behindDoc="0" locked="0" layoutInCell="1" allowOverlap="1">
                <wp:simplePos x="0" y="0"/>
                <wp:positionH relativeFrom="column">
                  <wp:posOffset>-114300</wp:posOffset>
                </wp:positionH>
                <wp:positionV relativeFrom="paragraph">
                  <wp:posOffset>12700</wp:posOffset>
                </wp:positionV>
                <wp:extent cx="914400" cy="415925"/>
                <wp:effectExtent l="0" t="0" r="0" b="0"/>
                <wp:wrapNone/>
                <wp:docPr id="264" name="文本框 268"/>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wps:txbx>
                      <wps:bodyPr upright="1"/>
                    </wps:wsp>
                  </a:graphicData>
                </a:graphic>
              </wp:anchor>
            </w:drawing>
          </mc:Choice>
          <mc:Fallback>
            <w:pict>
              <v:shape id="文本框 268" o:spid="_x0000_s1026" o:spt="202" type="#_x0000_t202" style="position:absolute;left:0pt;margin-left:-9pt;margin-top:1pt;height:32.75pt;width:72pt;z-index:251928576;mso-width-relative:page;mso-height-relative:page;" filled="f" stroked="f" coordsize="21600,21600" o:gfxdata="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oB6wktYA&#10;AAAIAQAADwAAAAAAAAABACAAAAAiAAAAZHJzL2Rvd25yZXYueG1sUEsBAhQAFAAAAAgAh07iQCgn&#10;wm+vAQAAUQMAAA4AAAAAAAAAAQAgAAAAJQEAAGRycy9lMm9Eb2MueG1sUEsFBgAAAAAGAAYAWQEA&#10;AEYFA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v:textbox>
              </v:shape>
            </w:pict>
          </mc:Fallback>
        </mc:AlternateContent>
      </w:r>
      <w:r>
        <w:rPr>
          <w:rFonts w:hint="eastAsia" w:ascii="仿宋" w:hAnsi="仿宋" w:eastAsia="仿宋" w:cs="仿宋"/>
          <w:color w:val="auto"/>
          <w:sz w:val="24"/>
          <w:szCs w:val="24"/>
          <w:highlight w:val="none"/>
        </w:rPr>
        <w:t>工程的计量规则和计价办法，以国家标准《建设工程工程量清单计价规范》为准；《建设工程工程量清单计价规范》没有规定的，以广东省统一工程计价依据为准；广东省统一工程计价依据没有规定的，可参照专业部门颁发的工程计价依据。</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62.2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29600" behindDoc="0" locked="0" layoutInCell="1" allowOverlap="1">
                <wp:simplePos x="0" y="0"/>
                <wp:positionH relativeFrom="column">
                  <wp:posOffset>-114300</wp:posOffset>
                </wp:positionH>
                <wp:positionV relativeFrom="paragraph">
                  <wp:posOffset>50800</wp:posOffset>
                </wp:positionV>
                <wp:extent cx="914400" cy="415925"/>
                <wp:effectExtent l="0" t="0" r="0" b="0"/>
                <wp:wrapNone/>
                <wp:docPr id="265" name="文本框 269"/>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wps:txbx>
                      <wps:bodyPr upright="1"/>
                    </wps:wsp>
                  </a:graphicData>
                </a:graphic>
              </wp:anchor>
            </w:drawing>
          </mc:Choice>
          <mc:Fallback>
            <w:pict>
              <v:shape id="文本框 269" o:spid="_x0000_s1026" o:spt="202" type="#_x0000_t202" style="position:absolute;left:0pt;margin-left:-9pt;margin-top:4pt;height:32.75pt;width:72pt;z-index:251929600;mso-width-relative:page;mso-height-relative:page;" filled="f" stroked="f" coordsize="21600,21600" o:gfxdata="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vOwRdYA&#10;AAAIAQAADwAAAAAAAAABACAAAAAiAAAAZHJzL2Rvd25yZXYueG1sUEsBAhQAFAAAAAgAh07iQAve&#10;vMevAQAAUQMAAA4AAAAAAAAAAQAgAAAAJQEAAGRycy9lMm9Eb2MueG1sUEsFBgAAAAAGAAYAWQEA&#10;AEYFA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v:textbox>
              </v:shape>
            </w:pict>
          </mc:Fallback>
        </mc:AlternateContent>
      </w:r>
      <w:r>
        <w:rPr>
          <w:rFonts w:hint="eastAsia" w:ascii="仿宋" w:hAnsi="仿宋" w:eastAsia="仿宋" w:cs="仿宋"/>
          <w:color w:val="auto"/>
          <w:sz w:val="24"/>
          <w:szCs w:val="24"/>
          <w:highlight w:val="none"/>
        </w:rPr>
        <w:t>合同双方当事人应按照合同约定，依据国家标准《建设工程工程量清单计价规范》、广东省统一工程计价依据或专业部门的工程计价依据以及工程造价管理机构制订的有关计价规定进行工程计量和计价。</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造价工程师负责工程计量和计价的核实工作。</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62.3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30624" behindDoc="0" locked="0" layoutInCell="1" allowOverlap="1">
                <wp:simplePos x="0" y="0"/>
                <wp:positionH relativeFrom="column">
                  <wp:posOffset>-114300</wp:posOffset>
                </wp:positionH>
                <wp:positionV relativeFrom="paragraph">
                  <wp:posOffset>-1905</wp:posOffset>
                </wp:positionV>
                <wp:extent cx="914400" cy="548005"/>
                <wp:effectExtent l="0" t="0" r="0" b="0"/>
                <wp:wrapNone/>
                <wp:docPr id="266" name="文本框 270"/>
                <wp:cNvGraphicFramePr/>
                <a:graphic xmlns:a="http://schemas.openxmlformats.org/drawingml/2006/main">
                  <a:graphicData uri="http://schemas.microsoft.com/office/word/2010/wordprocessingShape">
                    <wps:wsp>
                      <wps:cNvSpPr txBox="1"/>
                      <wps:spPr>
                        <a:xfrm>
                          <a:off x="0" y="0"/>
                          <a:ext cx="914400" cy="54800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已完工程款额报告的提交和核实</w:t>
                            </w:r>
                          </w:p>
                        </w:txbxContent>
                      </wps:txbx>
                      <wps:bodyPr upright="1"/>
                    </wps:wsp>
                  </a:graphicData>
                </a:graphic>
              </wp:anchor>
            </w:drawing>
          </mc:Choice>
          <mc:Fallback>
            <w:pict>
              <v:shape id="文本框 270" o:spid="_x0000_s1026" o:spt="202" type="#_x0000_t202" style="position:absolute;left:0pt;margin-left:-9pt;margin-top:-0.15pt;height:43.15pt;width:72pt;z-index:251930624;mso-width-relative:page;mso-height-relative:page;" filled="f" stroked="f" coordsize="21600,21600" o:gfxdata="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Dkfa9NQAAAAI&#10;AQAADwAAAAAAAAABACAAAAAiAAAAZHJzL2Rvd25yZXYueG1sUEsBAhQAFAAAAAgAh07iQB2rARGu&#10;AQAAUQMAAA4AAAAAAAAAAQAgAAAAIwEAAGRycy9lMm9Eb2MueG1sUEsFBgAAAAAGAAYAWQEAAEMF&#10;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已完工程款额报告的提交和核实</w:t>
                      </w:r>
                    </w:p>
                  </w:txbxContent>
                </v:textbox>
              </v:shape>
            </w:pict>
          </mc:Fallback>
        </mc:AlternateContent>
      </w:r>
      <w:r>
        <w:rPr>
          <w:rFonts w:hint="eastAsia" w:ascii="仿宋" w:hAnsi="仿宋" w:eastAsia="仿宋" w:cs="仿宋"/>
          <w:color w:val="auto"/>
          <w:sz w:val="24"/>
          <w:szCs w:val="24"/>
          <w:highlight w:val="none"/>
        </w:rPr>
        <w:t>承包人应按照第</w:t>
      </w:r>
      <w:r>
        <w:rPr>
          <w:rFonts w:ascii="仿宋" w:hAnsi="仿宋" w:eastAsia="仿宋" w:cs="仿宋"/>
          <w:color w:val="auto"/>
          <w:sz w:val="24"/>
          <w:szCs w:val="24"/>
          <w:highlight w:val="none"/>
        </w:rPr>
        <w:t>81.1</w:t>
      </w:r>
      <w:r>
        <w:rPr>
          <w:rFonts w:hint="eastAsia" w:ascii="仿宋" w:hAnsi="仿宋" w:eastAsia="仿宋" w:cs="仿宋"/>
          <w:color w:val="auto"/>
          <w:sz w:val="24"/>
          <w:szCs w:val="24"/>
          <w:highlight w:val="none"/>
        </w:rPr>
        <w:t>款规定向造价工程师提交已完工程款额报告。造价工程师应在收到报告后的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天内核实工程量，并将核实结果通知承包人、抄报发包人，作为工程计价和工程款支付的依据。</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62.4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31648" behindDoc="0" locked="0" layoutInCell="1" allowOverlap="1">
                <wp:simplePos x="0" y="0"/>
                <wp:positionH relativeFrom="column">
                  <wp:posOffset>-114300</wp:posOffset>
                </wp:positionH>
                <wp:positionV relativeFrom="paragraph">
                  <wp:posOffset>50165</wp:posOffset>
                </wp:positionV>
                <wp:extent cx="800100" cy="354330"/>
                <wp:effectExtent l="0" t="0" r="0" b="0"/>
                <wp:wrapNone/>
                <wp:docPr id="267" name="文本框 271"/>
                <wp:cNvGraphicFramePr/>
                <a:graphic xmlns:a="http://schemas.openxmlformats.org/drawingml/2006/main">
                  <a:graphicData uri="http://schemas.microsoft.com/office/word/2010/wordprocessingShape">
                    <wps:wsp>
                      <wps:cNvSpPr txBox="1"/>
                      <wps:spPr>
                        <a:xfrm>
                          <a:off x="0" y="0"/>
                          <a:ext cx="800100" cy="354330"/>
                        </a:xfrm>
                        <a:prstGeom prst="rect">
                          <a:avLst/>
                        </a:prstGeom>
                        <a:noFill/>
                        <a:ln>
                          <a:noFill/>
                        </a:ln>
                      </wps:spPr>
                      <wps:txbx>
                        <w:txbxContent>
                          <w:p>
                            <w:pPr>
                              <w:rPr>
                                <w:rFonts w:ascii="宋体" w:cs="Times New Roman"/>
                                <w:sz w:val="18"/>
                                <w:szCs w:val="18"/>
                              </w:rPr>
                            </w:pPr>
                            <w:r>
                              <w:rPr>
                                <w:rFonts w:hint="eastAsia" w:hAnsi="宋体"/>
                                <w:b/>
                                <w:bCs/>
                                <w:color w:val="000000"/>
                                <w:sz w:val="18"/>
                                <w:szCs w:val="18"/>
                              </w:rPr>
                              <w:t>现场计量</w:t>
                            </w:r>
                          </w:p>
                        </w:txbxContent>
                      </wps:txbx>
                      <wps:bodyPr upright="1"/>
                    </wps:wsp>
                  </a:graphicData>
                </a:graphic>
              </wp:anchor>
            </w:drawing>
          </mc:Choice>
          <mc:Fallback>
            <w:pict>
              <v:shape id="文本框 271" o:spid="_x0000_s1026" o:spt="202" type="#_x0000_t202" style="position:absolute;left:0pt;margin-left:-9pt;margin-top:3.95pt;height:27.9pt;width:63pt;z-index:251931648;mso-width-relative:page;mso-height-relative:page;" filled="f" stroked="f" coordsize="21600,21600" o:gfxdata="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YOGbdUA&#10;AAAIAQAADwAAAAAAAAABACAAAAAiAAAAZHJzL2Rvd25yZXYueG1sUEsBAhQAFAAAAAgAh07iQEPS&#10;eZqwAQAAUQMAAA4AAAAAAAAAAQAgAAAAJAEAAGRycy9lMm9Eb2MueG1sUEsFBgAAAAAGAAYAWQEA&#10;AEYFAAAAAA==&#10;">
                <v:fill on="f" focussize="0,0"/>
                <v:stroke on="f"/>
                <v:imagedata o:title=""/>
                <o:lock v:ext="edit" aspectratio="f"/>
                <v:textbox>
                  <w:txbxContent>
                    <w:p>
                      <w:pPr>
                        <w:rPr>
                          <w:rFonts w:ascii="宋体" w:cs="Times New Roman"/>
                          <w:sz w:val="18"/>
                          <w:szCs w:val="18"/>
                        </w:rPr>
                      </w:pPr>
                      <w:r>
                        <w:rPr>
                          <w:rFonts w:hint="eastAsia" w:hAnsi="宋体"/>
                          <w:b/>
                          <w:bCs/>
                          <w:color w:val="000000"/>
                          <w:sz w:val="18"/>
                          <w:szCs w:val="18"/>
                        </w:rPr>
                        <w:t>现场计量</w:t>
                      </w:r>
                    </w:p>
                  </w:txbxContent>
                </v:textbox>
              </v:shape>
            </w:pict>
          </mc:Fallback>
        </mc:AlternateContent>
      </w:r>
      <w:r>
        <w:rPr>
          <w:rFonts w:hint="eastAsia" w:ascii="仿宋" w:hAnsi="仿宋" w:eastAsia="仿宋" w:cs="仿宋"/>
          <w:color w:val="auto"/>
          <w:sz w:val="24"/>
          <w:szCs w:val="24"/>
          <w:highlight w:val="none"/>
        </w:rPr>
        <w:t>当造价工程师进行现场计量时，应在计量前</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小时通知承包人，承包人应为计量提供便利条件并派人参加。承包人收到通知后不派人参加计量，视为认可计量结果。造价工程师不按照约定时间通知承包人，致使承包人未能派人参加计量，计量结果无效。</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62.5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32672" behindDoc="0" locked="0" layoutInCell="1" allowOverlap="1">
                <wp:simplePos x="0" y="0"/>
                <wp:positionH relativeFrom="column">
                  <wp:posOffset>-114300</wp:posOffset>
                </wp:positionH>
                <wp:positionV relativeFrom="paragraph">
                  <wp:posOffset>44450</wp:posOffset>
                </wp:positionV>
                <wp:extent cx="914400" cy="603250"/>
                <wp:effectExtent l="0" t="0" r="0" b="0"/>
                <wp:wrapNone/>
                <wp:docPr id="268" name="文本框 272"/>
                <wp:cNvGraphicFramePr/>
                <a:graphic xmlns:a="http://schemas.openxmlformats.org/drawingml/2006/main">
                  <a:graphicData uri="http://schemas.microsoft.com/office/word/2010/wordprocessingShape">
                    <wps:wsp>
                      <wps:cNvSpPr txBox="1"/>
                      <wps:spPr>
                        <a:xfrm>
                          <a:off x="0" y="0"/>
                          <a:ext cx="914400" cy="60325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收到已完工程款额报告的限制</w:t>
                            </w:r>
                          </w:p>
                        </w:txbxContent>
                      </wps:txbx>
                      <wps:bodyPr upright="1"/>
                    </wps:wsp>
                  </a:graphicData>
                </a:graphic>
              </wp:anchor>
            </w:drawing>
          </mc:Choice>
          <mc:Fallback>
            <w:pict>
              <v:shape id="文本框 272" o:spid="_x0000_s1026" o:spt="202" type="#_x0000_t202" style="position:absolute;left:0pt;margin-left:-9pt;margin-top:3.5pt;height:47.5pt;width:72pt;z-index:251932672;mso-width-relative:page;mso-height-relative:page;" filled="f" stroked="f" coordsize="21600,21600" o:gfxdata="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W/1n11QAA&#10;AAkBAAAPAAAAAAAAAAEAIAAAACIAAABkcnMvZG93bnJldi54bWxQSwECFAAUAAAACACHTuJAvBJf&#10;yq8BAABRAwAADgAAAAAAAAABACAAAAAkAQAAZHJzL2Uyb0RvYy54bWxQSwUGAAAAAAYABgBZAQAA&#10;RQ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收到已完工程款额报告的限制</w:t>
                      </w:r>
                    </w:p>
                  </w:txbxContent>
                </v:textbox>
              </v:shape>
            </w:pict>
          </mc:Fallback>
        </mc:AlternateContent>
      </w:r>
      <w:r>
        <w:rPr>
          <w:rFonts w:hint="eastAsia" w:ascii="仿宋" w:hAnsi="仿宋" w:eastAsia="仿宋" w:cs="仿宋"/>
          <w:color w:val="auto"/>
          <w:sz w:val="24"/>
          <w:szCs w:val="24"/>
          <w:highlight w:val="none"/>
        </w:rPr>
        <w:t>造价工程师收到承包人按照第</w:t>
      </w:r>
      <w:r>
        <w:rPr>
          <w:rFonts w:ascii="仿宋" w:hAnsi="仿宋" w:eastAsia="仿宋" w:cs="仿宋"/>
          <w:color w:val="auto"/>
          <w:sz w:val="24"/>
          <w:szCs w:val="24"/>
          <w:highlight w:val="none"/>
        </w:rPr>
        <w:t>81.1</w:t>
      </w:r>
      <w:r>
        <w:rPr>
          <w:rFonts w:hint="eastAsia" w:ascii="仿宋" w:hAnsi="仿宋" w:eastAsia="仿宋" w:cs="仿宋"/>
          <w:color w:val="auto"/>
          <w:sz w:val="24"/>
          <w:szCs w:val="24"/>
          <w:highlight w:val="none"/>
        </w:rPr>
        <w:t>款规定提交的已完工程款额报告后</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天内，未进行计量或未向承包人通知计量结果的，从第</w:t>
      </w:r>
      <w:r>
        <w:rPr>
          <w:rFonts w:ascii="仿宋" w:hAnsi="仿宋" w:eastAsia="仿宋" w:cs="仿宋"/>
          <w:color w:val="auto"/>
          <w:sz w:val="24"/>
          <w:szCs w:val="24"/>
          <w:highlight w:val="none"/>
        </w:rPr>
        <w:t>15</w:t>
      </w:r>
      <w:r>
        <w:rPr>
          <w:rFonts w:hint="eastAsia" w:ascii="仿宋" w:hAnsi="仿宋" w:eastAsia="仿宋" w:cs="仿宋"/>
          <w:color w:val="auto"/>
          <w:sz w:val="24"/>
          <w:szCs w:val="24"/>
          <w:highlight w:val="none"/>
        </w:rPr>
        <w:t>天起，承包人报告中开列的工程量即视为被确认，作为工程计价和工程款支付的依据。</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62.6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33696" behindDoc="0" locked="0" layoutInCell="1" allowOverlap="1">
                <wp:simplePos x="0" y="0"/>
                <wp:positionH relativeFrom="column">
                  <wp:posOffset>-114300</wp:posOffset>
                </wp:positionH>
                <wp:positionV relativeFrom="paragraph">
                  <wp:posOffset>45720</wp:posOffset>
                </wp:positionV>
                <wp:extent cx="914400" cy="297180"/>
                <wp:effectExtent l="0" t="0" r="0" b="0"/>
                <wp:wrapNone/>
                <wp:docPr id="269" name="文本框 273"/>
                <wp:cNvGraphicFramePr/>
                <a:graphic xmlns:a="http://schemas.openxmlformats.org/drawingml/2006/main">
                  <a:graphicData uri="http://schemas.microsoft.com/office/word/2010/wordprocessingShape">
                    <wps:wsp>
                      <wps:cNvSpPr txBox="1"/>
                      <wps:spPr>
                        <a:xfrm>
                          <a:off x="0" y="0"/>
                          <a:ext cx="914400" cy="29718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复核计量结果</w:t>
                            </w:r>
                          </w:p>
                        </w:txbxContent>
                      </wps:txbx>
                      <wps:bodyPr upright="1"/>
                    </wps:wsp>
                  </a:graphicData>
                </a:graphic>
              </wp:anchor>
            </w:drawing>
          </mc:Choice>
          <mc:Fallback>
            <w:pict>
              <v:shape id="文本框 273" o:spid="_x0000_s1026" o:spt="202" type="#_x0000_t202" style="position:absolute;left:0pt;margin-left:-9pt;margin-top:3.6pt;height:23.4pt;width:72pt;z-index:251933696;mso-width-relative:page;mso-height-relative:page;" filled="f" stroked="f" coordsize="21600,21600" o:gfxdata="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PiyvmfV&#10;AAAACAEAAA8AAAAAAAAAAQAgAAAAIgAAAGRycy9kb3ducmV2LnhtbFBLAQIUABQAAAAIAIdO4kA9&#10;NmeYsQEAAFEDAAAOAAAAAAAAAAEAIAAAACQBAABkcnMvZTJvRG9jLnhtbFBLBQYAAAAABgAGAFkB&#10;AABH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复核计量结果</w:t>
                      </w:r>
                    </w:p>
                  </w:txbxContent>
                </v:textbox>
              </v:shape>
            </w:pict>
          </mc:Fallback>
        </mc:AlternateContent>
      </w:r>
      <w:r>
        <w:rPr>
          <w:rFonts w:hint="eastAsia" w:ascii="仿宋" w:hAnsi="仿宋" w:eastAsia="仿宋" w:cs="仿宋"/>
          <w:color w:val="auto"/>
          <w:sz w:val="24"/>
          <w:szCs w:val="24"/>
          <w:highlight w:val="none"/>
        </w:rPr>
        <w:t>如果承包人认为造价工程师的计量结果有误，应在收到计量结果通知后的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条规定处理。</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62.7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34720" behindDoc="0" locked="0" layoutInCell="1" allowOverlap="1">
                <wp:simplePos x="0" y="0"/>
                <wp:positionH relativeFrom="column">
                  <wp:posOffset>-114300</wp:posOffset>
                </wp:positionH>
                <wp:positionV relativeFrom="paragraph">
                  <wp:posOffset>36195</wp:posOffset>
                </wp:positionV>
                <wp:extent cx="800100" cy="297180"/>
                <wp:effectExtent l="0" t="0" r="0" b="0"/>
                <wp:wrapNone/>
                <wp:docPr id="270" name="文本框 274"/>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txbxContent>
                      </wps:txbx>
                      <wps:bodyPr upright="1"/>
                    </wps:wsp>
                  </a:graphicData>
                </a:graphic>
              </wp:anchor>
            </w:drawing>
          </mc:Choice>
          <mc:Fallback>
            <w:pict>
              <v:shape id="文本框 274" o:spid="_x0000_s1026" o:spt="202" type="#_x0000_t202" style="position:absolute;left:0pt;margin-left:-9pt;margin-top:2.85pt;height:23.4pt;width:63pt;z-index:251934720;mso-width-relative:page;mso-height-relative:page;" filled="f" stroked="f" coordsize="21600,21600" o:gfxdata="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BFK6ZNQAAAAI&#10;AQAADwAAAAAAAAABACAAAAAiAAAAZHJzL2Rvd25yZXYueG1sUEsBAhQAFAAAAAgAh07iQCEe+12u&#10;AQAAUQMAAA4AAAAAAAAAAQAgAAAAIwEAAGRycy9lMm9Eb2MueG1sUEsFBgAAAAAGAAYAWQEAAEMF&#10;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txbxContent>
                </v:textbox>
              </v:shape>
            </w:pict>
          </mc:Fallback>
        </mc:AlternateContent>
      </w:r>
      <w:r>
        <w:rPr>
          <w:rFonts w:hint="eastAsia" w:ascii="仿宋" w:hAnsi="仿宋" w:eastAsia="仿宋" w:cs="仿宋"/>
          <w:color w:val="auto"/>
          <w:sz w:val="24"/>
          <w:szCs w:val="24"/>
          <w:highlight w:val="none"/>
        </w:rPr>
        <w:t>对承包人超出施工设计图纸范围或因承包人的原因造成返工的工程量，造价工程师均不予计量。</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62.8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35744" behindDoc="0" locked="0" layoutInCell="1" allowOverlap="1">
                <wp:simplePos x="0" y="0"/>
                <wp:positionH relativeFrom="column">
                  <wp:posOffset>-114300</wp:posOffset>
                </wp:positionH>
                <wp:positionV relativeFrom="paragraph">
                  <wp:posOffset>24130</wp:posOffset>
                </wp:positionV>
                <wp:extent cx="914400" cy="494030"/>
                <wp:effectExtent l="0" t="0" r="0" b="0"/>
                <wp:wrapNone/>
                <wp:docPr id="271" name="文本框 275"/>
                <wp:cNvGraphicFramePr/>
                <a:graphic xmlns:a="http://schemas.openxmlformats.org/drawingml/2006/main">
                  <a:graphicData uri="http://schemas.microsoft.com/office/word/2010/wordprocessingShape">
                    <wps:wsp>
                      <wps:cNvSpPr txBox="1"/>
                      <wps:spPr>
                        <a:xfrm>
                          <a:off x="0" y="0"/>
                          <a:ext cx="914400" cy="49403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各项工作价款的计算</w:t>
                            </w:r>
                          </w:p>
                        </w:txbxContent>
                      </wps:txbx>
                      <wps:bodyPr upright="1"/>
                    </wps:wsp>
                  </a:graphicData>
                </a:graphic>
              </wp:anchor>
            </w:drawing>
          </mc:Choice>
          <mc:Fallback>
            <w:pict>
              <v:shape id="文本框 275" o:spid="_x0000_s1026" o:spt="202" type="#_x0000_t202" style="position:absolute;left:0pt;margin-left:-9pt;margin-top:1.9pt;height:38.9pt;width:72pt;z-index:251935744;mso-width-relative:page;mso-height-relative:page;" filled="f" stroked="f" coordsize="21600,21600" o:gfxdata="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Xa9altQA&#10;AAAIAQAADwAAAAAAAAABACAAAAAiAAAAZHJzL2Rvd25yZXYueG1sUEsBAhQAFAAAAAgAh07iQDcC&#10;bqaxAQAAUQMAAA4AAAAAAAAAAQAgAAAAIwEAAGRycy9lMm9Eb2MueG1sUEsFBgAAAAAGAAYAWQEA&#10;AEY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各项工作价款的计算</w:t>
                      </w:r>
                    </w:p>
                  </w:txbxContent>
                </v:textbox>
              </v:shape>
            </w:pict>
          </mc:Fallback>
        </mc:AlternateContent>
      </w:r>
      <w:r>
        <w:rPr>
          <w:rFonts w:hint="eastAsia" w:ascii="仿宋" w:hAnsi="仿宋" w:eastAsia="仿宋" w:cs="仿宋"/>
          <w:color w:val="auto"/>
          <w:sz w:val="24"/>
          <w:szCs w:val="24"/>
          <w:highlight w:val="none"/>
        </w:rPr>
        <w:t>除按照第</w:t>
      </w:r>
      <w:r>
        <w:rPr>
          <w:rFonts w:ascii="仿宋" w:hAnsi="仿宋" w:eastAsia="仿宋" w:cs="仿宋"/>
          <w:color w:val="auto"/>
          <w:sz w:val="24"/>
          <w:szCs w:val="24"/>
          <w:highlight w:val="none"/>
        </w:rPr>
        <w:t>69</w:t>
      </w:r>
      <w:r>
        <w:rPr>
          <w:rFonts w:hint="eastAsia" w:ascii="仿宋" w:hAnsi="仿宋" w:eastAsia="仿宋" w:cs="仿宋"/>
          <w:color w:val="auto"/>
          <w:sz w:val="24"/>
          <w:szCs w:val="24"/>
          <w:highlight w:val="none"/>
        </w:rPr>
        <w:t>条至第</w:t>
      </w:r>
      <w:r>
        <w:rPr>
          <w:rFonts w:ascii="仿宋" w:hAnsi="仿宋" w:eastAsia="仿宋" w:cs="仿宋"/>
          <w:color w:val="auto"/>
          <w:sz w:val="24"/>
          <w:szCs w:val="24"/>
          <w:highlight w:val="none"/>
        </w:rPr>
        <w:t>73</w:t>
      </w:r>
      <w:r>
        <w:rPr>
          <w:rFonts w:hint="eastAsia" w:ascii="仿宋" w:hAnsi="仿宋" w:eastAsia="仿宋" w:cs="仿宋"/>
          <w:color w:val="auto"/>
          <w:sz w:val="24"/>
          <w:szCs w:val="24"/>
          <w:highlight w:val="none"/>
        </w:rPr>
        <w:t>条、第</w:t>
      </w:r>
      <w:r>
        <w:rPr>
          <w:rFonts w:ascii="仿宋" w:hAnsi="仿宋" w:eastAsia="仿宋" w:cs="仿宋"/>
          <w:color w:val="auto"/>
          <w:sz w:val="24"/>
          <w:szCs w:val="24"/>
          <w:highlight w:val="none"/>
        </w:rPr>
        <w:t>76</w:t>
      </w:r>
      <w:r>
        <w:rPr>
          <w:rFonts w:hint="eastAsia" w:ascii="仿宋" w:hAnsi="仿宋" w:eastAsia="仿宋" w:cs="仿宋"/>
          <w:color w:val="auto"/>
          <w:sz w:val="24"/>
          <w:szCs w:val="24"/>
          <w:highlight w:val="none"/>
        </w:rPr>
        <w:t>条规定所做的调整外，每项工作所适用的单价</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费率</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或合价应按照合同约定的该项工作的单价（费率）或合价，并按照本条规定计量得到的工程量与适用的单价（费率）或合价的乘积确定该项工作的价款。造价工程师根据各个支付期所有各项工作的价款计算该支付期工程款，并将各支付期的价款汇总计算合同价款。</w:t>
      </w:r>
    </w:p>
    <w:p>
      <w:pPr>
        <w:pStyle w:val="2"/>
        <w:shd w:val="clear" w:color="000000" w:fill="auto"/>
        <w:tabs>
          <w:tab w:val="left" w:pos="1620"/>
        </w:tabs>
        <w:adjustRightInd w:val="0"/>
        <w:snapToGrid w:val="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dstrike/>
          <w:color w:val="auto"/>
          <w:sz w:val="24"/>
          <w:szCs w:val="24"/>
          <w:highlight w:val="none"/>
        </w:rPr>
      </w:pPr>
      <w:bookmarkStart w:id="318" w:name="_Toc469384047"/>
      <w:bookmarkStart w:id="319" w:name="_Toc10624887"/>
      <w:bookmarkStart w:id="320" w:name="_Toc30561"/>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63  </w:t>
      </w:r>
      <w:r>
        <w:rPr>
          <w:rFonts w:hint="eastAsia" w:ascii="仿宋" w:hAnsi="仿宋" w:eastAsia="仿宋" w:cs="仿宋"/>
          <w:b/>
          <w:bCs/>
          <w:color w:val="auto"/>
          <w:sz w:val="24"/>
          <w:szCs w:val="24"/>
          <w:highlight w:val="none"/>
        </w:rPr>
        <w:t>暂列金额</w:t>
      </w:r>
      <w:bookmarkEnd w:id="318"/>
      <w:bookmarkEnd w:id="319"/>
      <w:bookmarkEnd w:id="320"/>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63.1</w:t>
      </w:r>
    </w:p>
    <w:p>
      <w:pPr>
        <w:shd w:val="clear" w:color="000000" w:fill="auto"/>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36768" behindDoc="0" locked="0" layoutInCell="1" allowOverlap="1">
                <wp:simplePos x="0" y="0"/>
                <wp:positionH relativeFrom="column">
                  <wp:posOffset>-228600</wp:posOffset>
                </wp:positionH>
                <wp:positionV relativeFrom="paragraph">
                  <wp:posOffset>95250</wp:posOffset>
                </wp:positionV>
                <wp:extent cx="1143000" cy="688340"/>
                <wp:effectExtent l="0" t="0" r="0" b="0"/>
                <wp:wrapNone/>
                <wp:docPr id="272" name="文本框 276"/>
                <wp:cNvGraphicFramePr/>
                <a:graphic xmlns:a="http://schemas.openxmlformats.org/drawingml/2006/main">
                  <a:graphicData uri="http://schemas.microsoft.com/office/word/2010/wordprocessingShape">
                    <wps:wsp>
                      <wps:cNvSpPr txBox="1"/>
                      <wps:spPr>
                        <a:xfrm>
                          <a:off x="0" y="0"/>
                          <a:ext cx="1143000" cy="6883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暂列金额的用</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wps:txbx>
                      <wps:bodyPr upright="1"/>
                    </wps:wsp>
                  </a:graphicData>
                </a:graphic>
              </wp:anchor>
            </w:drawing>
          </mc:Choice>
          <mc:Fallback>
            <w:pict>
              <v:shape id="文本框 276" o:spid="_x0000_s1026" o:spt="202" type="#_x0000_t202" style="position:absolute;left:0pt;margin-left:-18pt;margin-top:7.5pt;height:54.2pt;width:90pt;z-index:251936768;mso-width-relative:page;mso-height-relative:page;" filled="f" stroked="f" coordsize="21600,21600" o:gfxdata="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AjDPV&#10;AAAACgEAAA8AAAAAAAAAAQAgAAAAIgAAAGRycy9kb3ducmV2LnhtbFBLAQIUABQAAAAIAIdO4kD3&#10;7/rVsQEAAFIDAAAOAAAAAAAAAAEAIAAAACQBAABkcnMvZTJvRG9jLnhtbFBLBQYAAAAABgAGAFkB&#10;AABH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暂列金额的用</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v:textbox>
              </v:shape>
            </w:pict>
          </mc:Fallback>
        </mc:AlternateContent>
      </w:r>
      <w:r>
        <w:rPr>
          <w:rFonts w:hint="eastAsia" w:ascii="仿宋" w:hAnsi="仿宋" w:eastAsia="仿宋" w:cs="仿宋"/>
          <w:color w:val="auto"/>
          <w:sz w:val="24"/>
          <w:szCs w:val="24"/>
          <w:highlight w:val="none"/>
        </w:rPr>
        <w:t>合同双方当事人应在专用条款中明确工程量清单中开列的已标价的暂列金额。</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暂列金额是用于实施合同工程的任一增加部分，或用于提供不可预见的货物、材料和工程设备，或用于工程变更等因素发生的工程款调增，以及经确认的索赔、现场签证，或用于提供相关服务或意外事件的一笔款项。</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63.2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575" w:leftChars="750"/>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37792" behindDoc="0" locked="0" layoutInCell="1" allowOverlap="1">
                <wp:simplePos x="0" y="0"/>
                <wp:positionH relativeFrom="column">
                  <wp:posOffset>-133350</wp:posOffset>
                </wp:positionH>
                <wp:positionV relativeFrom="paragraph">
                  <wp:posOffset>99695</wp:posOffset>
                </wp:positionV>
                <wp:extent cx="1028700" cy="553085"/>
                <wp:effectExtent l="0" t="0" r="0" b="0"/>
                <wp:wrapNone/>
                <wp:docPr id="273" name="文本框 277"/>
                <wp:cNvGraphicFramePr/>
                <a:graphic xmlns:a="http://schemas.openxmlformats.org/drawingml/2006/main">
                  <a:graphicData uri="http://schemas.microsoft.com/office/word/2010/wordprocessingShape">
                    <wps:wsp>
                      <wps:cNvSpPr txBox="1"/>
                      <wps:spPr>
                        <a:xfrm>
                          <a:off x="0" y="0"/>
                          <a:ext cx="1028700" cy="55308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暂列金额的支</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wps:txbx>
                      <wps:bodyPr upright="1"/>
                    </wps:wsp>
                  </a:graphicData>
                </a:graphic>
              </wp:anchor>
            </w:drawing>
          </mc:Choice>
          <mc:Fallback>
            <w:pict>
              <v:shape id="文本框 277" o:spid="_x0000_s1026" o:spt="202" type="#_x0000_t202" style="position:absolute;left:0pt;margin-left:-10.5pt;margin-top:7.85pt;height:43.55pt;width:81pt;z-index:251937792;mso-width-relative:page;mso-height-relative:page;" filled="f" stroked="f" coordsize="21600,21600" o:gfxdata="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xLfJn9YA&#10;AAAKAQAADwAAAAAAAAABACAAAAAiAAAAZHJzL2Rvd25yZXYueG1sUEsBAhQAFAAAAAgAh07iQM1h&#10;DE2vAQAAUgMAAA4AAAAAAAAAAQAgAAAAJQEAAGRycy9lMm9Eb2MueG1sUEsFBgAAAAAGAAYAWQEA&#10;AEY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暂列金额的支</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v:textbox>
              </v:shape>
            </w:pict>
          </mc:Fallback>
        </mc:AlternateContent>
      </w:r>
      <w:r>
        <w:rPr>
          <w:rFonts w:hint="eastAsia" w:ascii="仿宋" w:hAnsi="仿宋" w:eastAsia="仿宋" w:cs="仿宋"/>
          <w:color w:val="auto"/>
          <w:sz w:val="24"/>
          <w:szCs w:val="24"/>
          <w:highlight w:val="none"/>
        </w:rPr>
        <w:t>经发包人批准后，监理工程师应就承包人实施第</w:t>
      </w:r>
      <w:r>
        <w:rPr>
          <w:rFonts w:ascii="仿宋" w:hAnsi="仿宋" w:eastAsia="仿宋" w:cs="仿宋"/>
          <w:color w:val="auto"/>
          <w:sz w:val="24"/>
          <w:szCs w:val="24"/>
          <w:highlight w:val="none"/>
        </w:rPr>
        <w:t>63.1</w:t>
      </w:r>
      <w:r>
        <w:rPr>
          <w:rFonts w:hint="eastAsia" w:ascii="仿宋" w:hAnsi="仿宋" w:eastAsia="仿宋" w:cs="仿宋"/>
          <w:color w:val="auto"/>
          <w:sz w:val="24"/>
          <w:szCs w:val="24"/>
          <w:highlight w:val="none"/>
        </w:rPr>
        <w:t>款规定的工作发出书面指令。承包人应就此项指令提出所需价款，经造价工程师核实并由其报发包人确认后，向承包人支付相关款项。</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63.3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3881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274" name="文本框 27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提供暂列金额支付票据</w:t>
                            </w:r>
                          </w:p>
                        </w:txbxContent>
                      </wps:txbx>
                      <wps:bodyPr upright="1"/>
                    </wps:wsp>
                  </a:graphicData>
                </a:graphic>
              </wp:anchor>
            </w:drawing>
          </mc:Choice>
          <mc:Fallback>
            <w:pict>
              <v:shape id="文本框 278" o:spid="_x0000_s1026" o:spt="202" type="#_x0000_t202" style="position:absolute;left:0pt;margin-left:-9pt;margin-top:1.25pt;height:31.2pt;width:72pt;z-index:25193881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8/wcNUA&#10;AAAIAQAADwAAAAAAAAABACAAAAAiAAAAZHJzL2Rvd25yZXYueG1sUEsBAhQAFAAAAAgAh07iQOa0&#10;JWGwAQAAUQMAAA4AAAAAAAAAAQAgAAAAJAEAAGRycy9lMm9Eb2MueG1sUEsFBgAAAAAGAAYAWQEA&#10;AEY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提供暂列金额支付票据</w:t>
                      </w:r>
                    </w:p>
                  </w:txbxContent>
                </v:textbox>
              </v:shape>
            </w:pict>
          </mc:Fallback>
        </mc:AlternateContent>
      </w:r>
      <w:r>
        <w:rPr>
          <w:rFonts w:hint="eastAsia" w:ascii="仿宋" w:hAnsi="仿宋" w:eastAsia="仿宋" w:cs="仿宋"/>
          <w:color w:val="auto"/>
          <w:sz w:val="24"/>
          <w:szCs w:val="24"/>
          <w:highlight w:val="none"/>
        </w:rPr>
        <w:t>造价工程师有要求时，承包人应提供使用暂列金额支付项目的所有报价单、发票、账单或收据。</w:t>
      </w:r>
    </w:p>
    <w:p>
      <w:pPr>
        <w:pStyle w:val="2"/>
        <w:shd w:val="clear" w:color="000000" w:fill="auto"/>
        <w:adjustRightInd w:val="0"/>
        <w:snapToGrid w:val="0"/>
        <w:spacing w:line="240" w:lineRule="exact"/>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dstrike/>
          <w:color w:val="auto"/>
          <w:sz w:val="24"/>
          <w:szCs w:val="24"/>
          <w:highlight w:val="none"/>
        </w:rPr>
      </w:pPr>
      <w:bookmarkStart w:id="321" w:name="_Toc10624888"/>
      <w:bookmarkStart w:id="322" w:name="_Toc2559"/>
      <w:bookmarkStart w:id="323" w:name="_Toc469384048"/>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64  </w:t>
      </w:r>
      <w:r>
        <w:rPr>
          <w:rFonts w:hint="eastAsia" w:ascii="仿宋" w:hAnsi="仿宋" w:eastAsia="仿宋" w:cs="仿宋"/>
          <w:b/>
          <w:bCs/>
          <w:color w:val="auto"/>
          <w:sz w:val="24"/>
          <w:szCs w:val="24"/>
          <w:highlight w:val="none"/>
        </w:rPr>
        <w:t>计日工</w:t>
      </w:r>
      <w:bookmarkEnd w:id="321"/>
      <w:bookmarkEnd w:id="322"/>
      <w:bookmarkEnd w:id="323"/>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64.1</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39840" behindDoc="0" locked="0" layoutInCell="1" allowOverlap="1">
                <wp:simplePos x="0" y="0"/>
                <wp:positionH relativeFrom="column">
                  <wp:posOffset>-114300</wp:posOffset>
                </wp:positionH>
                <wp:positionV relativeFrom="paragraph">
                  <wp:posOffset>15875</wp:posOffset>
                </wp:positionV>
                <wp:extent cx="914400" cy="387985"/>
                <wp:effectExtent l="0" t="0" r="0" b="0"/>
                <wp:wrapNone/>
                <wp:docPr id="275" name="文本框 279"/>
                <wp:cNvGraphicFramePr/>
                <a:graphic xmlns:a="http://schemas.openxmlformats.org/drawingml/2006/main">
                  <a:graphicData uri="http://schemas.microsoft.com/office/word/2010/wordprocessingShape">
                    <wps:wsp>
                      <wps:cNvSpPr txBox="1"/>
                      <wps:spPr>
                        <a:xfrm>
                          <a:off x="0" y="0"/>
                          <a:ext cx="914400" cy="38798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计日工单价的用途</w:t>
                            </w:r>
                          </w:p>
                        </w:txbxContent>
                      </wps:txbx>
                      <wps:bodyPr upright="1"/>
                    </wps:wsp>
                  </a:graphicData>
                </a:graphic>
              </wp:anchor>
            </w:drawing>
          </mc:Choice>
          <mc:Fallback>
            <w:pict>
              <v:shape id="文本框 279" o:spid="_x0000_s1026" o:spt="202" type="#_x0000_t202" style="position:absolute;left:0pt;margin-left:-9pt;margin-top:1.25pt;height:30.55pt;width:72pt;z-index:251939840;mso-width-relative:page;mso-height-relative:page;" filled="f" stroked="f" coordsize="21600,21600" o:gfxdata="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Uv8r0tUA&#10;AAAIAQAADwAAAAAAAAABACAAAAAiAAAAZHJzL2Rvd25yZXYueG1sUEsBAhQAFAAAAAgAh07iQK5a&#10;rbWwAQAAUQMAAA4AAAAAAAAAAQAgAAAAJAEAAGRycy9lMm9Eb2MueG1sUEsFBgAAAAAGAAYAWQEA&#10;AEY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计日工单价的用途</w:t>
                      </w:r>
                    </w:p>
                  </w:txbxContent>
                </v:textbox>
              </v:shape>
            </w:pict>
          </mc:Fallback>
        </mc:AlternateContent>
      </w:r>
      <w:r>
        <w:rPr>
          <w:rFonts w:hint="eastAsia" w:ascii="仿宋" w:hAnsi="仿宋" w:eastAsia="仿宋" w:cs="仿宋"/>
          <w:color w:val="auto"/>
          <w:sz w:val="24"/>
          <w:szCs w:val="24"/>
          <w:highlight w:val="none"/>
        </w:rPr>
        <w:t>承包人投标文件中填报的计日工单价或价格是用于实施发包人要求的合同以外零星工作项目所需的人工单价、材料、工程设备价格和施工设备机械台班单价。</w:t>
      </w:r>
    </w:p>
    <w:p>
      <w:pPr>
        <w:pStyle w:val="2"/>
        <w:shd w:val="clear" w:color="000000" w:fill="auto"/>
        <w:adjustRightInd w:val="0"/>
        <w:snapToGrid w:val="0"/>
        <w:spacing w:line="48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64.2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经发包人批准后，监理工程师应就使用计日工项目发出书面指令。</w:t>
      </w:r>
      <w:r>
        <w:rPr>
          <w:color w:val="auto"/>
          <w:highlight w:val="none"/>
        </w:rPr>
        <mc:AlternateContent>
          <mc:Choice Requires="wps">
            <w:drawing>
              <wp:anchor distT="0" distB="0" distL="114300" distR="114300" simplePos="0" relativeHeight="251940864" behindDoc="0" locked="0" layoutInCell="1" allowOverlap="1">
                <wp:simplePos x="0" y="0"/>
                <wp:positionH relativeFrom="column">
                  <wp:posOffset>-114300</wp:posOffset>
                </wp:positionH>
                <wp:positionV relativeFrom="paragraph">
                  <wp:posOffset>14605</wp:posOffset>
                </wp:positionV>
                <wp:extent cx="914400" cy="412750"/>
                <wp:effectExtent l="0" t="0" r="0" b="0"/>
                <wp:wrapNone/>
                <wp:docPr id="276" name="文本框 280"/>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计日工的确认</w:t>
                            </w:r>
                          </w:p>
                        </w:txbxContent>
                      </wps:txbx>
                      <wps:bodyPr upright="1"/>
                    </wps:wsp>
                  </a:graphicData>
                </a:graphic>
              </wp:anchor>
            </w:drawing>
          </mc:Choice>
          <mc:Fallback>
            <w:pict>
              <v:shape id="文本框 280" o:spid="_x0000_s1026" o:spt="202" type="#_x0000_t202" style="position:absolute;left:0pt;margin-left:-9pt;margin-top:1.15pt;height:32.5pt;width:72pt;z-index:251940864;mso-width-relative:page;mso-height-relative:page;" filled="f" stroked="f" coordsize="21600,21600" o:gfxdata="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TW6Ma9YA&#10;AAAIAQAADwAAAAAAAAABACAAAAAiAAAAZHJzL2Rvd25yZXYueG1sUEsBAhQAFAAAAAgAh07iQIzg&#10;MZCvAQAAUQMAAA4AAAAAAAAAAQAgAAAAJQEAAGRycy9lMm9Eb2MueG1sUEsFBgAAAAAGAAYAWQEA&#10;AEY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计日工的确认</w:t>
                      </w:r>
                    </w:p>
                  </w:txbxContent>
                </v:textbox>
              </v:shape>
            </w:pict>
          </mc:Fallback>
        </mc:AlternateContent>
      </w:r>
      <w:r>
        <w:rPr>
          <w:rFonts w:hint="eastAsia" w:ascii="仿宋" w:hAnsi="仿宋" w:eastAsia="仿宋" w:cs="仿宋"/>
          <w:color w:val="auto"/>
          <w:sz w:val="24"/>
          <w:szCs w:val="24"/>
          <w:highlight w:val="none"/>
        </w:rPr>
        <w:t>任一按照计日工方式计价的工作，承包人应在该项工作实施结束后的</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小时内，向监理工程师提交有计日工记录的现场签证报告一式两份。</w:t>
      </w:r>
    </w:p>
    <w:p>
      <w:pPr>
        <w:pStyle w:val="2"/>
        <w:shd w:val="clear" w:color="000000" w:fill="auto"/>
        <w:adjustRightInd w:val="0"/>
        <w:snapToGrid w:val="0"/>
        <w:spacing w:line="360" w:lineRule="auto"/>
        <w:ind w:left="1575" w:leftChars="75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当此工作持续进行时，承包人应每天向监理工程师提交当天计日工记录完毕的现场签证报告。监理工程师在收到承包人提交现场签证报告后的</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天内予以确认并由其报发包人批准后，将其中一份返还给承包人，作为计日工计价和支付的依据。监理工程师逾期未确认也未提出修改意见的，视为承包人提交的现场签证报告已被认可。</w:t>
      </w:r>
    </w:p>
    <w:p>
      <w:pPr>
        <w:pStyle w:val="2"/>
        <w:shd w:val="clear" w:color="000000" w:fill="auto"/>
        <w:adjustRightInd w:val="0"/>
        <w:snapToGrid w:val="0"/>
        <w:spacing w:line="48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64.3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41888" behindDoc="0" locked="0" layoutInCell="1" allowOverlap="1">
                <wp:simplePos x="0" y="0"/>
                <wp:positionH relativeFrom="column">
                  <wp:posOffset>-114300</wp:posOffset>
                </wp:positionH>
                <wp:positionV relativeFrom="paragraph">
                  <wp:posOffset>5080</wp:posOffset>
                </wp:positionV>
                <wp:extent cx="914400" cy="396240"/>
                <wp:effectExtent l="0" t="0" r="0" b="0"/>
                <wp:wrapNone/>
                <wp:docPr id="277" name="文本框 28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计日工的支付</w:t>
                            </w:r>
                          </w:p>
                        </w:txbxContent>
                      </wps:txbx>
                      <wps:bodyPr upright="1"/>
                    </wps:wsp>
                  </a:graphicData>
                </a:graphic>
              </wp:anchor>
            </w:drawing>
          </mc:Choice>
          <mc:Fallback>
            <w:pict>
              <v:shape id="文本框 281" o:spid="_x0000_s1026" o:spt="202" type="#_x0000_t202" style="position:absolute;left:0pt;margin-left:-9pt;margin-top:0.4pt;height:31.2pt;width:72pt;z-index:251941888;mso-width-relative:page;mso-height-relative:page;" filled="f" stroked="f" coordsize="21600,21600" o:gfxdata="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pFDTn1AAA&#10;AAcBAAAPAAAAAAAAAAEAIAAAACIAAABkcnMvZG93bnJldi54bWxQSwECFAAUAAAACACHTuJAeXA7&#10;DbABAABRAwAADgAAAAAAAAABACAAAAAjAQAAZHJzL2Uyb0RvYy54bWxQSwUGAAAAAAYABgBZAQAA&#10;RQ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计日工的支付</w:t>
                      </w:r>
                    </w:p>
                  </w:txbxContent>
                </v:textbox>
              </v:shape>
            </w:pict>
          </mc:Fallback>
        </mc:AlternateContent>
      </w:r>
      <w:r>
        <w:rPr>
          <w:rFonts w:hint="eastAsia" w:ascii="仿宋" w:hAnsi="仿宋" w:eastAsia="仿宋" w:cs="仿宋"/>
          <w:color w:val="auto"/>
          <w:sz w:val="24"/>
          <w:szCs w:val="24"/>
          <w:highlight w:val="none"/>
        </w:rPr>
        <w:t>计日工工作，应从暂列金额中支付。造价工程师应按照监理工程师确认的现场签证报告核实该类项目的工程数量，并根据核实的工程数量和承包人投标文件中填报的计日工子目单价或价格的乘积计算、提出应付价款，经合同双方当事人确认后，与工程进度款同期支付。</w:t>
      </w:r>
    </w:p>
    <w:p>
      <w:pPr>
        <w:pStyle w:val="2"/>
        <w:shd w:val="clear" w:color="000000" w:fill="auto"/>
        <w:adjustRightInd w:val="0"/>
        <w:snapToGrid w:val="0"/>
        <w:spacing w:line="360" w:lineRule="auto"/>
        <w:ind w:left="1619" w:leftChars="77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每个支付期末，承包人应按照第</w:t>
      </w:r>
      <w:r>
        <w:rPr>
          <w:rFonts w:ascii="仿宋" w:hAnsi="仿宋" w:eastAsia="仿宋" w:cs="仿宋"/>
          <w:color w:val="auto"/>
          <w:sz w:val="24"/>
          <w:szCs w:val="24"/>
          <w:highlight w:val="none"/>
        </w:rPr>
        <w:t>81.1</w:t>
      </w:r>
      <w:r>
        <w:rPr>
          <w:rFonts w:hint="eastAsia" w:ascii="仿宋" w:hAnsi="仿宋" w:eastAsia="仿宋" w:cs="仿宋"/>
          <w:color w:val="auto"/>
          <w:sz w:val="24"/>
          <w:szCs w:val="24"/>
          <w:highlight w:val="none"/>
        </w:rPr>
        <w:t>款规定向发包人提交本期间所有计日工记录的签证汇总表，以说明本期间自己认为有权得到的计日工费用。</w:t>
      </w:r>
      <w:r>
        <w:rPr>
          <w:rFonts w:ascii="仿宋" w:hAnsi="仿宋" w:eastAsia="仿宋" w:cs="仿宋"/>
          <w:color w:val="auto"/>
          <w:sz w:val="24"/>
          <w:szCs w:val="24"/>
          <w:highlight w:val="none"/>
        </w:rPr>
        <w:t xml:space="preserve"> </w:t>
      </w:r>
    </w:p>
    <w:p>
      <w:pPr>
        <w:pStyle w:val="2"/>
        <w:shd w:val="clear" w:color="000000" w:fill="auto"/>
        <w:tabs>
          <w:tab w:val="left" w:pos="540"/>
        </w:tabs>
        <w:adjustRightInd w:val="0"/>
        <w:snapToGrid w:val="0"/>
        <w:spacing w:before="240" w:beforeLines="100"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dstrike/>
          <w:color w:val="auto"/>
          <w:sz w:val="24"/>
          <w:szCs w:val="24"/>
          <w:highlight w:val="none"/>
        </w:rPr>
      </w:pPr>
      <w:bookmarkStart w:id="324" w:name="_Toc10624889"/>
      <w:bookmarkStart w:id="325" w:name="_Toc469384049"/>
      <w:bookmarkStart w:id="326" w:name="_Toc22423"/>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65  </w:t>
      </w:r>
      <w:r>
        <w:rPr>
          <w:rFonts w:hint="eastAsia" w:ascii="仿宋" w:hAnsi="仿宋" w:eastAsia="仿宋" w:cs="仿宋"/>
          <w:b/>
          <w:bCs/>
          <w:color w:val="auto"/>
          <w:sz w:val="24"/>
          <w:szCs w:val="24"/>
          <w:highlight w:val="none"/>
        </w:rPr>
        <w:t>暂估价</w:t>
      </w:r>
      <w:bookmarkEnd w:id="324"/>
      <w:bookmarkEnd w:id="325"/>
      <w:bookmarkEnd w:id="326"/>
    </w:p>
    <w:p>
      <w:pPr>
        <w:pStyle w:val="2"/>
        <w:shd w:val="clear" w:color="000000" w:fill="auto"/>
        <w:adjustRightInd w:val="0"/>
        <w:snapToGrid w:val="0"/>
        <w:spacing w:line="360" w:lineRule="auto"/>
        <w:ind w:left="1470" w:hanging="1470" w:hangingChars="700"/>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42912" behindDoc="0" locked="0" layoutInCell="1" allowOverlap="1">
                <wp:simplePos x="0" y="0"/>
                <wp:positionH relativeFrom="column">
                  <wp:posOffset>-133350</wp:posOffset>
                </wp:positionH>
                <wp:positionV relativeFrom="paragraph">
                  <wp:posOffset>320040</wp:posOffset>
                </wp:positionV>
                <wp:extent cx="1047750" cy="483870"/>
                <wp:effectExtent l="0" t="0" r="0" b="0"/>
                <wp:wrapNone/>
                <wp:docPr id="278" name="文本框 282"/>
                <wp:cNvGraphicFramePr/>
                <a:graphic xmlns:a="http://schemas.openxmlformats.org/drawingml/2006/main">
                  <a:graphicData uri="http://schemas.microsoft.com/office/word/2010/wordprocessingShape">
                    <wps:wsp>
                      <wps:cNvSpPr txBox="1"/>
                      <wps:spPr>
                        <a:xfrm>
                          <a:off x="0" y="0"/>
                          <a:ext cx="1047750" cy="48387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招标暂估价项</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pPr>
                              <w:rPr>
                                <w:rFonts w:ascii="楷体_GB2312" w:hAnsi="宋体" w:eastAsia="楷体_GB2312" w:cs="Times New Roman"/>
                                <w:b/>
                                <w:bCs/>
                                <w:color w:val="000000"/>
                                <w:sz w:val="18"/>
                                <w:szCs w:val="18"/>
                              </w:rPr>
                            </w:pPr>
                          </w:p>
                          <w:p>
                            <w:pPr>
                              <w:rPr>
                                <w:rFonts w:cs="Times New Roman"/>
                                <w:sz w:val="18"/>
                                <w:szCs w:val="18"/>
                              </w:rPr>
                            </w:pPr>
                          </w:p>
                        </w:txbxContent>
                      </wps:txbx>
                      <wps:bodyPr upright="1"/>
                    </wps:wsp>
                  </a:graphicData>
                </a:graphic>
              </wp:anchor>
            </w:drawing>
          </mc:Choice>
          <mc:Fallback>
            <w:pict>
              <v:shape id="文本框 282" o:spid="_x0000_s1026" o:spt="202" type="#_x0000_t202" style="position:absolute;left:0pt;margin-left:-10.5pt;margin-top:25.2pt;height:38.1pt;width:82.5pt;z-index:251942912;mso-width-relative:page;mso-height-relative:page;" filled="f" stroked="f" coordsize="21600,21600" o:gfxdata="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v5/j4&#10;1wAAAAoBAAAPAAAAAAAAAAEAIAAAACIAAABkcnMvZG93bnJldi54bWxQSwECFAAUAAAACACHTuJA&#10;/xvSLrABAABSAwAADgAAAAAAAAABACAAAAAmAQAAZHJzL2Uyb0RvYy54bWxQSwUGAAAAAAYABgBZ&#10;AQAASA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招标暂估价项</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pPr>
                        <w:rPr>
                          <w:rFonts w:ascii="楷体_GB2312" w:hAnsi="宋体" w:eastAsia="楷体_GB2312" w:cs="Times New Roman"/>
                          <w:b/>
                          <w:bCs/>
                          <w:color w:val="000000"/>
                          <w:sz w:val="18"/>
                          <w:szCs w:val="18"/>
                        </w:rPr>
                      </w:pPr>
                    </w:p>
                    <w:p>
                      <w:pPr>
                        <w:rPr>
                          <w:rFonts w:cs="Times New Roman"/>
                          <w:sz w:val="18"/>
                          <w:szCs w:val="18"/>
                        </w:rPr>
                      </w:pPr>
                    </w:p>
                  </w:txbxContent>
                </v:textbox>
              </v:shape>
            </w:pict>
          </mc:Fallback>
        </mc:AlternateContent>
      </w:r>
      <w:r>
        <w:rPr>
          <w:rFonts w:ascii="仿宋" w:hAnsi="仿宋" w:eastAsia="仿宋" w:cs="仿宋"/>
          <w:b/>
          <w:bCs/>
          <w:color w:val="auto"/>
          <w:sz w:val="24"/>
          <w:szCs w:val="24"/>
          <w:highlight w:val="none"/>
        </w:rPr>
        <w:t>65.1</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发包人在工程量清单中给定暂估价的材料、工程设备和专业工程，达到依法必须招标的规模、标准的，由承包人作为招标主体会同发包人共同选择供应商或分包人。合同双方当事人应在专用条款中约定各自的权利和义务。供应商或分包人的中标价格与工程量清单中所列的暂估价的差额以及相应的规费、税金等其他费用，应列入合同价款。</w:t>
      </w:r>
    </w:p>
    <w:p>
      <w:pPr>
        <w:pStyle w:val="2"/>
        <w:shd w:val="clear" w:color="000000" w:fill="auto"/>
        <w:adjustRightInd w:val="0"/>
        <w:snapToGrid w:val="0"/>
        <w:spacing w:line="48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43936" behindDoc="0" locked="0" layoutInCell="1" allowOverlap="1">
                <wp:simplePos x="0" y="0"/>
                <wp:positionH relativeFrom="column">
                  <wp:posOffset>-114300</wp:posOffset>
                </wp:positionH>
                <wp:positionV relativeFrom="paragraph">
                  <wp:posOffset>248285</wp:posOffset>
                </wp:positionV>
                <wp:extent cx="1028700" cy="956310"/>
                <wp:effectExtent l="0" t="0" r="0" b="0"/>
                <wp:wrapNone/>
                <wp:docPr id="279" name="文本框 283"/>
                <wp:cNvGraphicFramePr/>
                <a:graphic xmlns:a="http://schemas.openxmlformats.org/drawingml/2006/main">
                  <a:graphicData uri="http://schemas.microsoft.com/office/word/2010/wordprocessingShape">
                    <wps:wsp>
                      <wps:cNvSpPr txBox="1"/>
                      <wps:spPr>
                        <a:xfrm>
                          <a:off x="0" y="0"/>
                          <a:ext cx="1028700" cy="95631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非招标材料和</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pPr>
                              <w:rPr>
                                <w:rFonts w:cs="Times New Roman"/>
                                <w:sz w:val="18"/>
                                <w:szCs w:val="18"/>
                              </w:rPr>
                            </w:pPr>
                          </w:p>
                        </w:txbxContent>
                      </wps:txbx>
                      <wps:bodyPr upright="1"/>
                    </wps:wsp>
                  </a:graphicData>
                </a:graphic>
              </wp:anchor>
            </w:drawing>
          </mc:Choice>
          <mc:Fallback>
            <w:pict>
              <v:shape id="文本框 283" o:spid="_x0000_s1026" o:spt="202" type="#_x0000_t202" style="position:absolute;left:0pt;margin-left:-9pt;margin-top:19.55pt;height:75.3pt;width:81pt;z-index:251943936;mso-width-relative:page;mso-height-relative:page;" filled="f" stroked="f" coordsize="21600,21600" o:gfxdata="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mDBS&#10;ttcAAAAKAQAADwAAAAAAAAABACAAAAAiAAAAZHJzL2Rvd25yZXYueG1sUEsBAhQAFAAAAAgAh07i&#10;QIEKdd2xAQAAUgMAAA4AAAAAAAAAAQAgAAAAJgEAAGRycy9lMm9Eb2MueG1sUEsFBgAAAAAGAAYA&#10;WQEAAEk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非招标材料和</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pPr>
                        <w:rPr>
                          <w:rFonts w:cs="Times New Roman"/>
                          <w:sz w:val="18"/>
                          <w:szCs w:val="18"/>
                        </w:rPr>
                      </w:pPr>
                    </w:p>
                  </w:txbxContent>
                </v:textbox>
              </v:shape>
            </w:pict>
          </mc:Fallback>
        </mc:AlternateContent>
      </w:r>
      <w:r>
        <w:rPr>
          <w:rFonts w:ascii="仿宋" w:hAnsi="仿宋" w:eastAsia="仿宋" w:cs="仿宋"/>
          <w:b/>
          <w:bCs/>
          <w:color w:val="auto"/>
          <w:sz w:val="24"/>
          <w:szCs w:val="24"/>
          <w:highlight w:val="none"/>
        </w:rPr>
        <w:t xml:space="preserve">65.2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发包人在工程量清单中给定暂估价的材料和工程设备，未达到依法必须招标的规模、标准的，由承包人按照第</w:t>
      </w:r>
      <w:r>
        <w:rPr>
          <w:rFonts w:ascii="仿宋" w:hAnsi="仿宋" w:eastAsia="仿宋" w:cs="仿宋"/>
          <w:color w:val="auto"/>
          <w:sz w:val="24"/>
          <w:szCs w:val="24"/>
          <w:highlight w:val="none"/>
        </w:rPr>
        <w:t>49</w:t>
      </w:r>
      <w:r>
        <w:rPr>
          <w:rFonts w:hint="eastAsia" w:ascii="仿宋" w:hAnsi="仿宋" w:eastAsia="仿宋" w:cs="仿宋"/>
          <w:color w:val="auto"/>
          <w:sz w:val="24"/>
          <w:szCs w:val="24"/>
          <w:highlight w:val="none"/>
        </w:rPr>
        <w:t>条规定采购。经造价工程师确认的材料和工程设备价格与工程量清单中所列的暂估价的差额以及相应的规费、税金等其他费用，应列入合同价款。</w:t>
      </w:r>
    </w:p>
    <w:p>
      <w:pPr>
        <w:pStyle w:val="2"/>
        <w:shd w:val="clear" w:color="000000" w:fill="auto"/>
        <w:adjustRightInd w:val="0"/>
        <w:snapToGrid w:val="0"/>
        <w:spacing w:line="48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65.3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仿宋"/>
          <w:color w:val="auto"/>
          <w:sz w:val="24"/>
          <w:szCs w:val="24"/>
          <w:highlight w:val="none"/>
        </w:rPr>
      </w:pPr>
      <w:r>
        <w:rPr>
          <w:color w:val="auto"/>
          <w:highlight w:val="none"/>
        </w:rPr>
        <mc:AlternateContent>
          <mc:Choice Requires="wps">
            <w:drawing>
              <wp:anchor distT="0" distB="0" distL="114300" distR="114300" simplePos="0" relativeHeight="251944960" behindDoc="0" locked="0" layoutInCell="1" allowOverlap="1">
                <wp:simplePos x="0" y="0"/>
                <wp:positionH relativeFrom="column">
                  <wp:posOffset>-228600</wp:posOffset>
                </wp:positionH>
                <wp:positionV relativeFrom="paragraph">
                  <wp:posOffset>71755</wp:posOffset>
                </wp:positionV>
                <wp:extent cx="1028700" cy="863600"/>
                <wp:effectExtent l="0" t="0" r="0" b="0"/>
                <wp:wrapNone/>
                <wp:docPr id="280" name="文本框 284"/>
                <wp:cNvGraphicFramePr/>
                <a:graphic xmlns:a="http://schemas.openxmlformats.org/drawingml/2006/main">
                  <a:graphicData uri="http://schemas.microsoft.com/office/word/2010/wordprocessingShape">
                    <wps:wsp>
                      <wps:cNvSpPr txBox="1"/>
                      <wps:spPr>
                        <a:xfrm>
                          <a:off x="0" y="0"/>
                          <a:ext cx="1028700" cy="86360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非招标专业工</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wps:txbx>
                      <wps:bodyPr upright="1"/>
                    </wps:wsp>
                  </a:graphicData>
                </a:graphic>
              </wp:anchor>
            </w:drawing>
          </mc:Choice>
          <mc:Fallback>
            <w:pict>
              <v:shape id="文本框 284" o:spid="_x0000_s1026" o:spt="202" type="#_x0000_t202" style="position:absolute;left:0pt;margin-left:-18pt;margin-top:5.65pt;height:68pt;width:81pt;z-index:251944960;mso-width-relative:page;mso-height-relative:page;" filled="f" stroked="f" coordsize="21600,21600" o:gfxdata="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6N/+j9cA&#10;AAAKAQAADwAAAAAAAAABACAAAAAiAAAAZHJzL2Rvd25yZXYueG1sUEsBAhQAFAAAAAgAh07iQIr4&#10;rNiuAQAAUgMAAA4AAAAAAAAAAQAgAAAAJgEAAGRycy9lMm9Eb2MueG1sUEsFBgAAAAAGAAYAWQEA&#10;AEY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非招标专业工</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hint="eastAsia" w:ascii="仿宋" w:hAnsi="仿宋" w:eastAsia="仿宋" w:cs="仿宋"/>
          <w:color w:val="auto"/>
          <w:sz w:val="24"/>
          <w:szCs w:val="24"/>
          <w:highlight w:val="none"/>
        </w:rPr>
        <w:t>发包人在工程量清单中给定暂估价的专业工程，未达到依法必须招标的规模及标准的，除专用条款另有约定外，在合同双方当事人同意下，由造价工程师与分包人按照第</w:t>
      </w:r>
      <w:r>
        <w:rPr>
          <w:rFonts w:ascii="仿宋" w:hAnsi="仿宋" w:eastAsia="仿宋" w:cs="仿宋"/>
          <w:color w:val="auto"/>
          <w:sz w:val="24"/>
          <w:szCs w:val="24"/>
          <w:highlight w:val="none"/>
        </w:rPr>
        <w:t>72.2</w:t>
      </w:r>
      <w:r>
        <w:rPr>
          <w:rFonts w:hint="eastAsia" w:ascii="仿宋" w:hAnsi="仿宋" w:eastAsia="仿宋" w:cs="仿宋"/>
          <w:color w:val="auto"/>
          <w:sz w:val="24"/>
          <w:szCs w:val="24"/>
          <w:highlight w:val="none"/>
        </w:rPr>
        <w:t>款规定确定专业工程款。经确认的专业工程款与工程量清单中所列的暂估价的差额以及相应的规费、税金等其他费用，应列入合同价款。</w:t>
      </w:r>
      <w:r>
        <w:rPr>
          <w:rFonts w:ascii="仿宋" w:hAnsi="仿宋" w:eastAsia="仿宋" w:cs="仿宋"/>
          <w:color w:val="auto"/>
          <w:sz w:val="24"/>
          <w:szCs w:val="24"/>
          <w:highlight w:val="none"/>
        </w:rPr>
        <w:t xml:space="preserve"> </w:t>
      </w:r>
    </w:p>
    <w:p>
      <w:pPr>
        <w:pStyle w:val="2"/>
        <w:shd w:val="clear" w:color="000000" w:fill="auto"/>
        <w:tabs>
          <w:tab w:val="left" w:pos="3038"/>
        </w:tabs>
        <w:adjustRightInd w:val="0"/>
        <w:snapToGrid w:val="0"/>
        <w:spacing w:line="240" w:lineRule="exact"/>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327" w:name="_Toc27884"/>
      <w:bookmarkStart w:id="328" w:name="_Toc10624890"/>
      <w:bookmarkStart w:id="329" w:name="_Toc469384050"/>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66  </w:t>
      </w:r>
      <w:r>
        <w:rPr>
          <w:rFonts w:hint="eastAsia" w:ascii="仿宋" w:hAnsi="仿宋" w:eastAsia="仿宋" w:cs="仿宋"/>
          <w:b/>
          <w:bCs/>
          <w:color w:val="auto"/>
          <w:sz w:val="24"/>
          <w:szCs w:val="24"/>
          <w:highlight w:val="none"/>
        </w:rPr>
        <w:t>提前竣工奖与误期赔偿费</w:t>
      </w:r>
      <w:bookmarkEnd w:id="327"/>
      <w:bookmarkEnd w:id="328"/>
      <w:bookmarkEnd w:id="329"/>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66.1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45984" behindDoc="0" locked="0" layoutInCell="1" allowOverlap="1">
                <wp:simplePos x="0" y="0"/>
                <wp:positionH relativeFrom="column">
                  <wp:posOffset>-114300</wp:posOffset>
                </wp:positionH>
                <wp:positionV relativeFrom="paragraph">
                  <wp:posOffset>30480</wp:posOffset>
                </wp:positionV>
                <wp:extent cx="1028700" cy="405130"/>
                <wp:effectExtent l="0" t="0" r="0" b="0"/>
                <wp:wrapNone/>
                <wp:docPr id="281" name="文本框 285"/>
                <wp:cNvGraphicFramePr/>
                <a:graphic xmlns:a="http://schemas.openxmlformats.org/drawingml/2006/main">
                  <a:graphicData uri="http://schemas.microsoft.com/office/word/2010/wordprocessingShape">
                    <wps:wsp>
                      <wps:cNvSpPr txBox="1"/>
                      <wps:spPr>
                        <a:xfrm>
                          <a:off x="0" y="0"/>
                          <a:ext cx="1028700" cy="40513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txbxContent>
                      </wps:txbx>
                      <wps:bodyPr upright="1"/>
                    </wps:wsp>
                  </a:graphicData>
                </a:graphic>
              </wp:anchor>
            </w:drawing>
          </mc:Choice>
          <mc:Fallback>
            <w:pict>
              <v:shape id="文本框 285" o:spid="_x0000_s1026" o:spt="202" type="#_x0000_t202" style="position:absolute;left:0pt;margin-left:-9pt;margin-top:2.4pt;height:31.9pt;width:81pt;z-index:251945984;mso-width-relative:page;mso-height-relative:page;" filled="f" stroked="f" coordsize="21600,21600" o:gfxdata="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0RG9UA&#10;AAAIAQAADwAAAAAAAAABACAAAAAiAAAAZHJzL2Rvd25yZXYueG1sUEsBAhQAFAAAAAgAh07iQJCb&#10;4pywAQAAUgMAAA4AAAAAAAAAAQAgAAAAJAEAAGRycy9lMm9Eb2MueG1sUEsFBgAAAAAGAAYAWQEA&#10;AEY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txbxContent>
                </v:textbox>
              </v:shape>
            </w:pict>
          </mc:Fallback>
        </mc:AlternateContent>
      </w:r>
      <w:r>
        <w:rPr>
          <w:rFonts w:hint="eastAsia" w:ascii="仿宋" w:hAnsi="仿宋" w:eastAsia="仿宋" w:cs="仿宋"/>
          <w:color w:val="auto"/>
          <w:sz w:val="24"/>
          <w:szCs w:val="24"/>
          <w:highlight w:val="none"/>
        </w:rPr>
        <w:t>合同双方当事人可在专用条款中约定提前竣工奖，明确每日历天应奖额度。约定提前竣工奖的，如果承包人的实际竣工日期早于计划竣工日期，承包人有权向发包人提出并得到提前竣工天数和专用条款约定的每日历天应奖额度的乘积计算的提前竣工奖。除专用条款另有约定外，提前竣工奖的最高限额为合同价款的</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。提前竣工奖列入竣工结算文件中，与结算款一并支付。</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66.2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460" w:lineRule="exact"/>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47008" behindDoc="0" locked="0" layoutInCell="1" allowOverlap="1">
                <wp:simplePos x="0" y="0"/>
                <wp:positionH relativeFrom="column">
                  <wp:posOffset>-114300</wp:posOffset>
                </wp:positionH>
                <wp:positionV relativeFrom="paragraph">
                  <wp:posOffset>16510</wp:posOffset>
                </wp:positionV>
                <wp:extent cx="914400" cy="377825"/>
                <wp:effectExtent l="0" t="0" r="0" b="0"/>
                <wp:wrapNone/>
                <wp:docPr id="282" name="文本框 286"/>
                <wp:cNvGraphicFramePr/>
                <a:graphic xmlns:a="http://schemas.openxmlformats.org/drawingml/2006/main">
                  <a:graphicData uri="http://schemas.microsoft.com/office/word/2010/wordprocessingShape">
                    <wps:wsp>
                      <wps:cNvSpPr txBox="1"/>
                      <wps:spPr>
                        <a:xfrm>
                          <a:off x="0" y="0"/>
                          <a:ext cx="914400" cy="37782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txbxContent>
                      </wps:txbx>
                      <wps:bodyPr upright="1"/>
                    </wps:wsp>
                  </a:graphicData>
                </a:graphic>
              </wp:anchor>
            </w:drawing>
          </mc:Choice>
          <mc:Fallback>
            <w:pict>
              <v:shape id="文本框 286" o:spid="_x0000_s1026" o:spt="202" type="#_x0000_t202" style="position:absolute;left:0pt;margin-left:-9pt;margin-top:1.3pt;height:29.75pt;width:72pt;z-index:251947008;mso-width-relative:page;mso-height-relative:page;" filled="f" stroked="f" coordsize="21600,21600" o:gfxdata="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hNJKZ1AAA&#10;AAgBAAAPAAAAAAAAAAEAIAAAACIAAABkcnMvZG93bnJldi54bWxQSwECFAAUAAAACACHTuJAhtmQ&#10;lbABAABRAwAADgAAAAAAAAABACAAAAAjAQAAZHJzL2Uyb0RvYy54bWxQSwUGAAAAAAYABgBZAQAA&#10;RQ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txbxContent>
                </v:textbox>
              </v:shape>
            </w:pict>
          </mc:Fallback>
        </mc:AlternateContent>
      </w:r>
      <w:r>
        <w:rPr>
          <w:rFonts w:hint="eastAsia" w:ascii="仿宋" w:hAnsi="仿宋" w:eastAsia="仿宋" w:cs="仿宋"/>
          <w:color w:val="auto"/>
          <w:sz w:val="24"/>
          <w:szCs w:val="24"/>
          <w:highlight w:val="none"/>
        </w:rPr>
        <w:t>合同双方当事人应在专用条款中约定误期赔偿费，明确每日历天应赔额度。如果承包人的实际进度迟于计划进度，发包人有权向承包人索取并得到实际延误天数和专用条款约定的每日历天应赔额度的乘积计算的误期赔偿费。除专用条款另有约定外，误期赔偿费的最高限额为合同价款的</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。误期赔偿费列入进度支付文件或竣工结算文件中，在进度款或结算款中扣除。</w:t>
      </w:r>
      <w:r>
        <w:rPr>
          <w:rFonts w:ascii="仿宋" w:hAnsi="仿宋" w:eastAsia="仿宋" w:cs="Times New Roman"/>
          <w:color w:val="auto"/>
          <w:sz w:val="24"/>
          <w:szCs w:val="24"/>
          <w:highlight w:val="none"/>
        </w:rPr>
        <w:br w:type="textWrapping"/>
      </w:r>
      <w:r>
        <w:rPr>
          <w:rFonts w:hint="eastAsia" w:ascii="仿宋" w:hAnsi="仿宋" w:eastAsia="仿宋" w:cs="仿宋"/>
          <w:color w:val="auto"/>
          <w:sz w:val="24"/>
          <w:szCs w:val="24"/>
          <w:highlight w:val="none"/>
        </w:rPr>
        <w:t>如果在工程竣工之前，合同工程内的某单位工程已通过了竣工验收，且该单位工程接收证书中表明的竣工日期并未延误，而是合同工程的其他部分产生了工期延误，则误期赔偿费应按照已颁发工程接收证书的单位工程造价占合同价款的比例幅度予以扣减。</w:t>
      </w:r>
    </w:p>
    <w:p>
      <w:pPr>
        <w:pStyle w:val="2"/>
        <w:shd w:val="clear" w:color="000000" w:fill="auto"/>
        <w:adjustRightInd w:val="0"/>
        <w:snapToGrid w:val="0"/>
        <w:spacing w:line="360" w:lineRule="auto"/>
        <w:ind w:right="-238"/>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outlineLvl w:val="2"/>
        <w:rPr>
          <w:rFonts w:ascii="仿宋" w:hAnsi="仿宋" w:eastAsia="仿宋" w:cs="Times New Roman"/>
          <w:b/>
          <w:bCs/>
          <w:color w:val="auto"/>
          <w:sz w:val="24"/>
          <w:szCs w:val="24"/>
          <w:highlight w:val="none"/>
        </w:rPr>
      </w:pPr>
      <w:bookmarkStart w:id="330" w:name="_Toc10624891"/>
      <w:bookmarkStart w:id="331" w:name="_Toc469384051"/>
      <w:bookmarkStart w:id="332" w:name="_Toc18245"/>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67  </w:t>
      </w:r>
      <w:r>
        <w:rPr>
          <w:rFonts w:hint="eastAsia" w:ascii="仿宋" w:hAnsi="仿宋" w:eastAsia="仿宋" w:cs="仿宋"/>
          <w:b/>
          <w:bCs/>
          <w:color w:val="auto"/>
          <w:sz w:val="24"/>
          <w:szCs w:val="24"/>
          <w:highlight w:val="none"/>
        </w:rPr>
        <w:t>工程优质费</w:t>
      </w:r>
      <w:bookmarkEnd w:id="330"/>
      <w:bookmarkEnd w:id="331"/>
      <w:bookmarkEnd w:id="332"/>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67.1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48032" behindDoc="0" locked="0" layoutInCell="1" allowOverlap="1">
                <wp:simplePos x="0" y="0"/>
                <wp:positionH relativeFrom="column">
                  <wp:posOffset>-114300</wp:posOffset>
                </wp:positionH>
                <wp:positionV relativeFrom="paragraph">
                  <wp:posOffset>30480</wp:posOffset>
                </wp:positionV>
                <wp:extent cx="1028700" cy="524510"/>
                <wp:effectExtent l="0" t="0" r="0" b="0"/>
                <wp:wrapNone/>
                <wp:docPr id="283" name="文本框 287"/>
                <wp:cNvGraphicFramePr/>
                <a:graphic xmlns:a="http://schemas.openxmlformats.org/drawingml/2006/main">
                  <a:graphicData uri="http://schemas.microsoft.com/office/word/2010/wordprocessingShape">
                    <wps:wsp>
                      <wps:cNvSpPr txBox="1"/>
                      <wps:spPr>
                        <a:xfrm>
                          <a:off x="0" y="0"/>
                          <a:ext cx="1028700" cy="52451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工程优质费的</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wps:txbx>
                      <wps:bodyPr upright="1"/>
                    </wps:wsp>
                  </a:graphicData>
                </a:graphic>
              </wp:anchor>
            </w:drawing>
          </mc:Choice>
          <mc:Fallback>
            <w:pict>
              <v:shape id="文本框 287" o:spid="_x0000_s1026" o:spt="202" type="#_x0000_t202" style="position:absolute;left:0pt;margin-left:-9pt;margin-top:2.4pt;height:41.3pt;width:81pt;z-index:251948032;mso-width-relative:page;mso-height-relative:page;" filled="f" stroked="f" coordsize="21600,21600" o:gfxdata="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V39cDUAAAA&#10;CAEAAA8AAAAAAAAAAQAgAAAAIgAAAGRycy9kb3ducmV2LnhtbFBLAQIUABQAAAAIAIdO4kDj1Ac7&#10;rwEAAFIDAAAOAAAAAAAAAAEAIAAAACMBAABkcnMvZTJvRG9jLnhtbFBLBQYAAAAABgAGAFkBAABE&#10;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工程优质费的</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v:textbox>
              </v:shape>
            </w:pict>
          </mc:Fallback>
        </mc:AlternateContent>
      </w:r>
      <w:r>
        <w:rPr>
          <w:rFonts w:hint="eastAsia" w:ascii="仿宋" w:hAnsi="仿宋" w:eastAsia="仿宋" w:cs="仿宋"/>
          <w:color w:val="auto"/>
          <w:sz w:val="24"/>
          <w:szCs w:val="24"/>
          <w:highlight w:val="none"/>
        </w:rPr>
        <w:t>合同双方当事人可在专用条款中约定工程优质费，明确合同工程优质费用的计算方法。约定工程优质费的，如果承包人实施、完成合同工程质量标准高于国家规定或合同约定的质量验收合格标准的，承包人有权向发包人提出并得到专用条款约定的工程优质费。</w:t>
      </w:r>
    </w:p>
    <w:p>
      <w:pPr>
        <w:pStyle w:val="2"/>
        <w:shd w:val="clear" w:color="000000" w:fill="auto"/>
        <w:adjustRightInd w:val="0"/>
        <w:snapToGrid w:val="0"/>
        <w:spacing w:line="48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49056" behindDoc="0" locked="0" layoutInCell="1" allowOverlap="1">
                <wp:simplePos x="0" y="0"/>
                <wp:positionH relativeFrom="column">
                  <wp:posOffset>-114300</wp:posOffset>
                </wp:positionH>
                <wp:positionV relativeFrom="paragraph">
                  <wp:posOffset>234315</wp:posOffset>
                </wp:positionV>
                <wp:extent cx="914400" cy="621030"/>
                <wp:effectExtent l="0" t="0" r="0" b="0"/>
                <wp:wrapNone/>
                <wp:docPr id="284" name="文本框 288"/>
                <wp:cNvGraphicFramePr/>
                <a:graphic xmlns:a="http://schemas.openxmlformats.org/drawingml/2006/main">
                  <a:graphicData uri="http://schemas.microsoft.com/office/word/2010/wordprocessingShape">
                    <wps:wsp>
                      <wps:cNvSpPr txBox="1"/>
                      <wps:spPr>
                        <a:xfrm>
                          <a:off x="0" y="0"/>
                          <a:ext cx="914400" cy="62103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工程优质费计</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wps:txbx>
                      <wps:bodyPr upright="1"/>
                    </wps:wsp>
                  </a:graphicData>
                </a:graphic>
              </wp:anchor>
            </w:drawing>
          </mc:Choice>
          <mc:Fallback>
            <w:pict>
              <v:shape id="文本框 288" o:spid="_x0000_s1026" o:spt="202" type="#_x0000_t202" style="position:absolute;left:0pt;margin-left:-9pt;margin-top:18.45pt;height:48.9pt;width:72pt;z-index:251949056;mso-width-relative:page;mso-height-relative:page;" filled="f" stroked="f" coordsize="21600,21600" o:gfxdata="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c7z1s&#10;2AAAAAoBAAAPAAAAAAAAAAEAIAAAACIAAABkcnMvZG93bnJldi54bWxQSwECFAAUAAAACACHTuJA&#10;IaF/EK8BAABRAwAADgAAAAAAAAABACAAAAAnAQAAZHJzL2Uyb0RvYy54bWxQSwUGAAAAAAYABgBZ&#10;AQAASA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工程优质费计</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v:textbox>
              </v:shape>
            </w:pict>
          </mc:Fallback>
        </mc:AlternateContent>
      </w:r>
      <w:r>
        <w:rPr>
          <w:rFonts w:ascii="仿宋" w:hAnsi="仿宋" w:eastAsia="仿宋" w:cs="仿宋"/>
          <w:b/>
          <w:bCs/>
          <w:color w:val="auto"/>
          <w:sz w:val="24"/>
          <w:szCs w:val="24"/>
          <w:highlight w:val="none"/>
        </w:rPr>
        <w:t xml:space="preserve">67.2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除专用条款另有约定外，国家级质量奖、省级质量奖、市级质量奖、其他质量奖项的工程优质费，按照招标工程中标通知书日期（非招标工程的根据合同签订日期）同时期执行的广东省建设工程计价依据工程优质费、广州市住房和城乡建设局发布的工程优质费、广州市建设工程造价管理站发布的工程优质费等各种标准计算。当合同工程同时获得上述多个奖项的，工程优质费只按最高奖项的额度计算。工程优质费列入竣工结算文件中，与竣工结算款一并支付。在竣工结算后获得优质奖项的，发包人应在获得奖项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天内支付。</w:t>
      </w:r>
    </w:p>
    <w:p>
      <w:pPr>
        <w:pStyle w:val="2"/>
        <w:shd w:val="clear" w:color="000000" w:fill="auto"/>
        <w:adjustRightInd w:val="0"/>
        <w:snapToGrid w:val="0"/>
        <w:spacing w:line="240" w:lineRule="exact"/>
        <w:jc w:val="left"/>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333" w:name="_Toc10624892"/>
      <w:bookmarkStart w:id="334" w:name="_Toc27426"/>
      <w:bookmarkStart w:id="335" w:name="_Toc469384052"/>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68  </w:t>
      </w:r>
      <w:r>
        <w:rPr>
          <w:rFonts w:hint="eastAsia" w:ascii="仿宋" w:hAnsi="仿宋" w:eastAsia="仿宋" w:cs="仿宋"/>
          <w:b/>
          <w:bCs/>
          <w:color w:val="auto"/>
          <w:sz w:val="24"/>
          <w:szCs w:val="24"/>
          <w:highlight w:val="none"/>
        </w:rPr>
        <w:t>合同价款的约定与调整</w:t>
      </w:r>
      <w:bookmarkEnd w:id="333"/>
      <w:bookmarkEnd w:id="334"/>
      <w:bookmarkEnd w:id="335"/>
    </w:p>
    <w:p>
      <w:pPr>
        <w:pStyle w:val="2"/>
        <w:shd w:val="clear" w:color="000000" w:fill="auto"/>
        <w:adjustRightInd w:val="0"/>
        <w:snapToGrid w:val="0"/>
        <w:spacing w:line="360" w:lineRule="auto"/>
        <w:ind w:left="1446" w:hanging="1446" w:hangingChars="600"/>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68.1       </w:t>
      </w:r>
    </w:p>
    <w:p>
      <w:pPr>
        <w:pStyle w:val="2"/>
        <w:shd w:val="clear" w:color="000000" w:fill="auto"/>
        <w:adjustRightInd w:val="0"/>
        <w:snapToGrid w:val="0"/>
        <w:spacing w:line="480" w:lineRule="auto"/>
        <w:ind w:left="1438" w:leftChars="685" w:firstLine="25" w:firstLineChars="12"/>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50080" behindDoc="0" locked="0" layoutInCell="1" allowOverlap="1">
                <wp:simplePos x="0" y="0"/>
                <wp:positionH relativeFrom="column">
                  <wp:posOffset>-114300</wp:posOffset>
                </wp:positionH>
                <wp:positionV relativeFrom="paragraph">
                  <wp:posOffset>57150</wp:posOffset>
                </wp:positionV>
                <wp:extent cx="1009650" cy="313055"/>
                <wp:effectExtent l="0" t="0" r="0" b="0"/>
                <wp:wrapNone/>
                <wp:docPr id="285" name="文本框 289"/>
                <wp:cNvGraphicFramePr/>
                <a:graphic xmlns:a="http://schemas.openxmlformats.org/drawingml/2006/main">
                  <a:graphicData uri="http://schemas.microsoft.com/office/word/2010/wordprocessingShape">
                    <wps:wsp>
                      <wps:cNvSpPr txBox="1"/>
                      <wps:spPr>
                        <a:xfrm>
                          <a:off x="0" y="0"/>
                          <a:ext cx="1009650" cy="31305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约定合同价款</w:t>
                            </w:r>
                          </w:p>
                        </w:txbxContent>
                      </wps:txbx>
                      <wps:bodyPr upright="1"/>
                    </wps:wsp>
                  </a:graphicData>
                </a:graphic>
              </wp:anchor>
            </w:drawing>
          </mc:Choice>
          <mc:Fallback>
            <w:pict>
              <v:shape id="文本框 289" o:spid="_x0000_s1026" o:spt="202" type="#_x0000_t202" style="position:absolute;left:0pt;margin-left:-9pt;margin-top:4.5pt;height:24.65pt;width:79.5pt;z-index:251950080;mso-width-relative:page;mso-height-relative:page;" filled="f" stroked="f" coordsize="21600,21600" o:gfxdata="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pVZCG9UA&#10;AAAIAQAADwAAAAAAAAABACAAAAAiAAAAZHJzL2Rvd25yZXYueG1sUEsBAhQAFAAAAAgAh07iQFCX&#10;wbywAQAAUgMAAA4AAAAAAAAAAQAgAAAAJAEAAGRycy9lMm9Eb2MueG1sUEsFBgAAAAAGAAYAWQEA&#10;AEY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约定合同价款</w:t>
                      </w:r>
                    </w:p>
                  </w:txbxContent>
                </v:textbox>
              </v:shape>
            </w:pict>
          </mc:Fallback>
        </mc:AlternateContent>
      </w:r>
      <w:r>
        <w:rPr>
          <w:rFonts w:hint="eastAsia" w:ascii="仿宋" w:hAnsi="仿宋" w:eastAsia="仿宋" w:cs="仿宋"/>
          <w:color w:val="auto"/>
          <w:sz w:val="24"/>
          <w:szCs w:val="24"/>
          <w:highlight w:val="none"/>
        </w:rPr>
        <w:t>合同双方当事人应在本合同协议书中约定合同价款。招标工程的合同价款由合同双方当事人依据中标通知书的中标价款在本合同协议书中约定。非招标工程的合同价款由合同双方当事人依据双方确定施工图预算的总造价在本合同协议书中约定。</w:t>
      </w:r>
    </w:p>
    <w:p>
      <w:pPr>
        <w:pStyle w:val="2"/>
        <w:shd w:val="clear" w:color="000000" w:fill="auto"/>
        <w:adjustRightInd w:val="0"/>
        <w:snapToGrid w:val="0"/>
        <w:spacing w:line="480" w:lineRule="auto"/>
        <w:rPr>
          <w:rFonts w:ascii="仿宋" w:hAnsi="仿宋" w:eastAsia="仿宋" w:cs="仿宋"/>
          <w:color w:val="auto"/>
          <w:sz w:val="24"/>
          <w:szCs w:val="24"/>
          <w:highlight w:val="none"/>
          <w:u w:val="dotted"/>
        </w:rPr>
      </w:pPr>
      <w:r>
        <w:rPr>
          <w:color w:val="auto"/>
          <w:highlight w:val="none"/>
        </w:rPr>
        <mc:AlternateContent>
          <mc:Choice Requires="wps">
            <w:drawing>
              <wp:anchor distT="0" distB="0" distL="114300" distR="114300" simplePos="0" relativeHeight="251951104" behindDoc="0" locked="0" layoutInCell="1" allowOverlap="1">
                <wp:simplePos x="0" y="0"/>
                <wp:positionH relativeFrom="column">
                  <wp:posOffset>-178435</wp:posOffset>
                </wp:positionH>
                <wp:positionV relativeFrom="paragraph">
                  <wp:posOffset>219710</wp:posOffset>
                </wp:positionV>
                <wp:extent cx="726440" cy="483235"/>
                <wp:effectExtent l="0" t="0" r="0" b="0"/>
                <wp:wrapNone/>
                <wp:docPr id="286" name="文本框 290"/>
                <wp:cNvGraphicFramePr/>
                <a:graphic xmlns:a="http://schemas.openxmlformats.org/drawingml/2006/main">
                  <a:graphicData uri="http://schemas.microsoft.com/office/word/2010/wordprocessingShape">
                    <wps:wsp>
                      <wps:cNvSpPr txBox="1"/>
                      <wps:spPr>
                        <a:xfrm>
                          <a:off x="0" y="0"/>
                          <a:ext cx="726440" cy="483235"/>
                        </a:xfrm>
                        <a:prstGeom prst="rect">
                          <a:avLst/>
                        </a:prstGeom>
                        <a:noFill/>
                        <a:ln>
                          <a:noFill/>
                        </a:ln>
                      </wps:spPr>
                      <wps:txbx>
                        <w:txbxContent>
                          <w:p>
                            <w:pPr>
                              <w:pStyle w:val="17"/>
                              <w:spacing w:line="200" w:lineRule="exact"/>
                              <w:rPr>
                                <w:rFonts w:ascii="楷体_GB2312" w:hAnsi="宋体" w:eastAsia="楷体_GB2312"/>
                                <w:b/>
                                <w:bCs/>
                                <w:sz w:val="18"/>
                                <w:szCs w:val="18"/>
                              </w:rPr>
                            </w:pPr>
                            <w:r>
                              <w:rPr>
                                <w:rFonts w:hint="eastAsia" w:ascii="楷体_GB2312" w:hAnsi="宋体" w:eastAsia="楷体_GB2312" w:cs="楷体_GB2312"/>
                                <w:b/>
                                <w:bCs/>
                                <w:sz w:val="18"/>
                                <w:szCs w:val="18"/>
                              </w:rPr>
                              <w:t>合同价款的方式</w:t>
                            </w:r>
                          </w:p>
                        </w:txbxContent>
                      </wps:txbx>
                      <wps:bodyPr upright="1"/>
                    </wps:wsp>
                  </a:graphicData>
                </a:graphic>
              </wp:anchor>
            </w:drawing>
          </mc:Choice>
          <mc:Fallback>
            <w:pict>
              <v:shape id="文本框 290" o:spid="_x0000_s1026" o:spt="202" type="#_x0000_t202" style="position:absolute;left:0pt;margin-left:-14.05pt;margin-top:17.3pt;height:38.05pt;width:57.2pt;z-index:251951104;mso-width-relative:page;mso-height-relative:page;" filled="f" stroked="f" coordsize="21600,21600" o:gfxdata="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iLF1tcA&#10;AAAJAQAADwAAAAAAAAABACAAAAAiAAAAZHJzL2Rvd25yZXYueG1sUEsBAhQAFAAAAAgAh07iQHky&#10;8v2uAQAAUQMAAA4AAAAAAAAAAQAgAAAAJgEAAGRycy9lMm9Eb2MueG1sUEsFBgAAAAAGAAYAWQEA&#10;AEYFAAAAAA==&#10;">
                <v:fill on="f" focussize="0,0"/>
                <v:stroke on="f"/>
                <v:imagedata o:title=""/>
                <o:lock v:ext="edit" aspectratio="f"/>
                <v:textbox>
                  <w:txbxContent>
                    <w:p>
                      <w:pPr>
                        <w:pStyle w:val="17"/>
                        <w:spacing w:line="200" w:lineRule="exact"/>
                        <w:rPr>
                          <w:rFonts w:ascii="楷体_GB2312" w:hAnsi="宋体" w:eastAsia="楷体_GB2312"/>
                          <w:b/>
                          <w:bCs/>
                          <w:sz w:val="18"/>
                          <w:szCs w:val="18"/>
                        </w:rPr>
                      </w:pPr>
                      <w:r>
                        <w:rPr>
                          <w:rFonts w:hint="eastAsia" w:ascii="楷体_GB2312" w:hAnsi="宋体" w:eastAsia="楷体_GB2312" w:cs="楷体_GB2312"/>
                          <w:b/>
                          <w:bCs/>
                          <w:sz w:val="18"/>
                          <w:szCs w:val="18"/>
                        </w:rPr>
                        <w:t>合同价款的方式</w:t>
                      </w:r>
                    </w:p>
                  </w:txbxContent>
                </v:textbox>
              </v:shape>
            </w:pict>
          </mc:Fallback>
        </mc:AlternateContent>
      </w:r>
      <w:r>
        <w:rPr>
          <w:rFonts w:ascii="仿宋" w:hAnsi="仿宋" w:eastAsia="仿宋" w:cs="仿宋"/>
          <w:color w:val="auto"/>
          <w:sz w:val="24"/>
          <w:szCs w:val="24"/>
          <w:highlight w:val="none"/>
        </w:rPr>
        <w:t xml:space="preserve">68.2  </w:t>
      </w:r>
      <w:r>
        <w:rPr>
          <w:rFonts w:ascii="仿宋" w:hAnsi="仿宋" w:eastAsia="仿宋" w:cs="仿宋"/>
          <w:color w:val="auto"/>
          <w:sz w:val="24"/>
          <w:szCs w:val="24"/>
          <w:highlight w:val="none"/>
          <w:u w:val="dotted"/>
        </w:rPr>
        <w:t xml:space="preserve">                                                                                 </w:t>
      </w:r>
    </w:p>
    <w:p>
      <w:pPr>
        <w:pStyle w:val="2"/>
        <w:shd w:val="clear" w:color="000000" w:fill="auto"/>
        <w:adjustRightInd w:val="0"/>
        <w:snapToGrid w:val="0"/>
        <w:spacing w:line="480" w:lineRule="auto"/>
        <w:ind w:firstLine="1446" w:firstLineChars="600"/>
        <w:rPr>
          <w:rFonts w:ascii="仿宋" w:hAnsi="仿宋" w:eastAsia="仿宋" w:cs="Times New Roman"/>
          <w:b/>
          <w:bCs/>
          <w:color w:val="auto"/>
          <w:sz w:val="24"/>
          <w:szCs w:val="24"/>
          <w:highlight w:val="none"/>
        </w:rPr>
      </w:pPr>
      <w:r>
        <w:rPr>
          <w:rFonts w:hint="eastAsia" w:ascii="仿宋" w:hAnsi="仿宋" w:eastAsia="仿宋" w:cs="仿宋"/>
          <w:b/>
          <w:bCs/>
          <w:color w:val="auto"/>
          <w:sz w:val="24"/>
          <w:szCs w:val="24"/>
          <w:highlight w:val="none"/>
        </w:rPr>
        <w:t>下列各种确定合同价款的方式，双方可在专用条款内约定采用其中一种：</w:t>
      </w:r>
    </w:p>
    <w:p>
      <w:pPr>
        <w:pStyle w:val="2"/>
        <w:shd w:val="clear" w:color="000000" w:fill="auto"/>
        <w:adjustRightInd w:val="0"/>
        <w:snapToGrid w:val="0"/>
        <w:spacing w:line="480" w:lineRule="auto"/>
        <w:ind w:left="1535" w:hanging="1535" w:hangingChars="637"/>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总价合同</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w:t>
      </w:r>
      <w:r>
        <w:rPr>
          <w:rFonts w:hint="eastAsia" w:ascii="仿宋" w:hAnsi="仿宋" w:eastAsia="仿宋" w:cs="仿宋"/>
          <w:color w:val="auto"/>
          <w:sz w:val="24"/>
          <w:szCs w:val="24"/>
          <w:highlight w:val="none"/>
        </w:rPr>
        <w:t>。</w:t>
      </w:r>
    </w:p>
    <w:p>
      <w:pPr>
        <w:pStyle w:val="2"/>
        <w:shd w:val="clear" w:color="000000" w:fill="auto"/>
        <w:adjustRightInd w:val="0"/>
        <w:snapToGrid w:val="0"/>
        <w:spacing w:line="480" w:lineRule="auto"/>
        <w:ind w:left="1401" w:leftChars="667"/>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单价合同</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w:t>
      </w:r>
      <w:r>
        <w:rPr>
          <w:rFonts w:hint="eastAsia" w:ascii="仿宋" w:hAnsi="仿宋" w:eastAsia="仿宋" w:cs="仿宋"/>
          <w:color w:val="auto"/>
          <w:sz w:val="24"/>
          <w:szCs w:val="24"/>
          <w:highlight w:val="none"/>
        </w:rPr>
        <w:t>。</w:t>
      </w:r>
    </w:p>
    <w:p>
      <w:pPr>
        <w:shd w:val="clear" w:color="000000" w:fill="auto"/>
        <w:spacing w:line="480" w:lineRule="auto"/>
        <w:ind w:left="1535" w:leftChars="674" w:hanging="120" w:hangingChars="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（3）按实结算</w:t>
      </w:r>
      <w:r>
        <w:rPr>
          <w:rFonts w:ascii="仿宋" w:hAnsi="仿宋" w:eastAsia="仿宋" w:cs="仿宋"/>
          <w:color w:val="auto"/>
          <w:sz w:val="24"/>
          <w:szCs w:val="24"/>
          <w:highlight w:val="none"/>
        </w:rPr>
        <w:t>合同</w:t>
      </w:r>
      <w:r>
        <w:rPr>
          <w:rFonts w:hint="eastAsia" w:ascii="仿宋" w:hAnsi="仿宋" w:eastAsia="仿宋" w:cs="仿宋"/>
          <w:color w:val="auto"/>
          <w:sz w:val="24"/>
          <w:szCs w:val="24"/>
          <w:highlight w:val="none"/>
        </w:rPr>
        <w:t>。承包方根据相关资料编制预算，合同价款是暂定价，双方在专用条款内</w:t>
      </w:r>
      <w:r>
        <w:rPr>
          <w:rFonts w:ascii="仿宋" w:hAnsi="仿宋" w:eastAsia="仿宋" w:cs="仿宋"/>
          <w:color w:val="auto"/>
          <w:sz w:val="24"/>
          <w:szCs w:val="24"/>
          <w:highlight w:val="none"/>
        </w:rPr>
        <w:t>约定</w:t>
      </w:r>
      <w:r>
        <w:rPr>
          <w:rFonts w:hint="eastAsia" w:ascii="仿宋" w:hAnsi="仿宋" w:eastAsia="仿宋" w:cs="仿宋"/>
          <w:color w:val="auto"/>
          <w:sz w:val="24"/>
          <w:szCs w:val="24"/>
          <w:highlight w:val="none"/>
        </w:rPr>
        <w:t>合同价款调整方法</w:t>
      </w:r>
      <w:r>
        <w:rPr>
          <w:rFonts w:ascii="仿宋" w:hAnsi="仿宋" w:eastAsia="仿宋" w:cs="仿宋"/>
          <w:color w:val="auto"/>
          <w:sz w:val="24"/>
          <w:szCs w:val="24"/>
          <w:highlight w:val="none"/>
        </w:rPr>
        <w:t>。</w:t>
      </w:r>
    </w:p>
    <w:p>
      <w:pPr>
        <w:pStyle w:val="2"/>
        <w:shd w:val="clear" w:color="000000" w:fill="auto"/>
        <w:adjustRightInd w:val="0"/>
        <w:snapToGrid w:val="0"/>
        <w:spacing w:line="480" w:lineRule="auto"/>
        <w:ind w:left="1401" w:leftChars="667"/>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ascii="仿宋" w:hAnsi="仿宋" w:eastAsia="仿宋" w:cs="仿宋"/>
          <w:color w:val="auto"/>
          <w:sz w:val="24"/>
          <w:szCs w:val="24"/>
          <w:highlight w:val="none"/>
        </w:rPr>
        <w:t>其它价格形式</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合同当事人可在专用条款中约定其他合同价格形式。</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68.3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52128"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287" name="文本框 291"/>
                <wp:cNvGraphicFramePr/>
                <a:graphic xmlns:a="http://schemas.openxmlformats.org/drawingml/2006/main">
                  <a:graphicData uri="http://schemas.microsoft.com/office/word/2010/wordprocessingShape">
                    <wps:wsp>
                      <wps:cNvSpPr txBox="1"/>
                      <wps:spPr>
                        <a:xfrm>
                          <a:off x="0" y="0"/>
                          <a:ext cx="914400" cy="52133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合同价款的调整事件</w:t>
                            </w:r>
                          </w:p>
                        </w:txbxContent>
                      </wps:txbx>
                      <wps:bodyPr upright="1"/>
                    </wps:wsp>
                  </a:graphicData>
                </a:graphic>
              </wp:anchor>
            </w:drawing>
          </mc:Choice>
          <mc:Fallback>
            <w:pict>
              <v:shape id="文本框 291" o:spid="_x0000_s1026" o:spt="202" type="#_x0000_t202" style="position:absolute;left:0pt;margin-left:-9pt;margin-top:0.4pt;height:41.05pt;width:72pt;z-index:251952128;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O4a/vTAAAA&#10;BwEAAA8AAAAAAAAAAQAgAAAAIgAAAGRycy9kb3ducmV2LnhtbFBLAQIUABQAAAAIAIdO4kBwzSXG&#10;sAEAAFEDAAAOAAAAAAAAAAEAIAAAACIBAABkcnMvZTJvRG9jLnhtbFBLBQYAAAAABgAGAFkBAABE&#10;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合同价款的调整事件</w:t>
                      </w:r>
                    </w:p>
                  </w:txbxContent>
                </v:textbox>
              </v:shape>
            </w:pict>
          </mc:Fallback>
        </mc:AlternateContent>
      </w:r>
      <w:r>
        <w:rPr>
          <w:rFonts w:hint="eastAsia" w:ascii="仿宋" w:hAnsi="仿宋" w:eastAsia="仿宋" w:cs="仿宋"/>
          <w:b/>
          <w:bCs/>
          <w:color w:val="auto"/>
          <w:sz w:val="24"/>
          <w:szCs w:val="24"/>
          <w:highlight w:val="none"/>
        </w:rPr>
        <w:t>合同双方当事人应明确合同价款的调整事件。除专用条款另有约定外，调整事件应包括：</w:t>
      </w:r>
    </w:p>
    <w:p>
      <w:pPr>
        <w:pStyle w:val="2"/>
        <w:numPr>
          <w:ilvl w:val="0"/>
          <w:numId w:val="20"/>
        </w:numPr>
        <w:shd w:val="clear" w:color="000000" w:fill="auto"/>
        <w:adjustRightInd w:val="0"/>
        <w:snapToGrid w:val="0"/>
        <w:spacing w:line="360" w:lineRule="auto"/>
        <w:ind w:firstLine="42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后继法律变化事件；</w:t>
      </w:r>
    </w:p>
    <w:p>
      <w:pPr>
        <w:pStyle w:val="2"/>
        <w:numPr>
          <w:ilvl w:val="0"/>
          <w:numId w:val="20"/>
        </w:numPr>
        <w:shd w:val="clear" w:color="000000" w:fill="auto"/>
        <w:adjustRightInd w:val="0"/>
        <w:snapToGrid w:val="0"/>
        <w:spacing w:line="360" w:lineRule="auto"/>
        <w:ind w:firstLine="42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项目特征描述不符事件；</w:t>
      </w:r>
    </w:p>
    <w:p>
      <w:pPr>
        <w:pStyle w:val="2"/>
        <w:numPr>
          <w:ilvl w:val="0"/>
          <w:numId w:val="20"/>
        </w:numPr>
        <w:shd w:val="clear" w:color="000000" w:fill="auto"/>
        <w:adjustRightInd w:val="0"/>
        <w:snapToGrid w:val="0"/>
        <w:spacing w:line="360" w:lineRule="auto"/>
        <w:ind w:firstLine="42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分部分项工程量清单缺项漏项事件；</w:t>
      </w:r>
    </w:p>
    <w:p>
      <w:pPr>
        <w:pStyle w:val="2"/>
        <w:numPr>
          <w:ilvl w:val="0"/>
          <w:numId w:val="20"/>
        </w:numPr>
        <w:shd w:val="clear" w:color="000000" w:fill="auto"/>
        <w:adjustRightInd w:val="0"/>
        <w:snapToGrid w:val="0"/>
        <w:spacing w:line="360" w:lineRule="auto"/>
        <w:ind w:firstLine="42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工程变更事件；</w:t>
      </w:r>
    </w:p>
    <w:p>
      <w:pPr>
        <w:pStyle w:val="2"/>
        <w:numPr>
          <w:ilvl w:val="0"/>
          <w:numId w:val="20"/>
        </w:numPr>
        <w:shd w:val="clear" w:color="000000" w:fill="auto"/>
        <w:adjustRightInd w:val="0"/>
        <w:snapToGrid w:val="0"/>
        <w:spacing w:line="360" w:lineRule="auto"/>
        <w:ind w:firstLine="42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工程量偏差事件；</w:t>
      </w:r>
    </w:p>
    <w:p>
      <w:pPr>
        <w:pStyle w:val="2"/>
        <w:numPr>
          <w:ilvl w:val="0"/>
          <w:numId w:val="20"/>
        </w:numPr>
        <w:shd w:val="clear" w:color="000000" w:fill="auto"/>
        <w:adjustRightInd w:val="0"/>
        <w:snapToGrid w:val="0"/>
        <w:spacing w:line="360" w:lineRule="auto"/>
        <w:ind w:firstLine="42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费用索赔事件；</w:t>
      </w:r>
    </w:p>
    <w:p>
      <w:pPr>
        <w:pStyle w:val="2"/>
        <w:numPr>
          <w:ilvl w:val="0"/>
          <w:numId w:val="20"/>
        </w:numPr>
        <w:shd w:val="clear" w:color="000000" w:fill="auto"/>
        <w:adjustRightInd w:val="0"/>
        <w:snapToGrid w:val="0"/>
        <w:spacing w:line="360" w:lineRule="auto"/>
        <w:ind w:firstLine="42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现场签证事件；</w:t>
      </w:r>
    </w:p>
    <w:p>
      <w:pPr>
        <w:pStyle w:val="2"/>
        <w:numPr>
          <w:ilvl w:val="0"/>
          <w:numId w:val="20"/>
        </w:numPr>
        <w:shd w:val="clear" w:color="000000" w:fill="auto"/>
        <w:adjustRightInd w:val="0"/>
        <w:snapToGrid w:val="0"/>
        <w:spacing w:line="360" w:lineRule="auto"/>
        <w:ind w:firstLine="42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物价涨落事件；</w:t>
      </w:r>
    </w:p>
    <w:p>
      <w:pPr>
        <w:pStyle w:val="2"/>
        <w:numPr>
          <w:ilvl w:val="0"/>
          <w:numId w:val="20"/>
        </w:numPr>
        <w:shd w:val="clear" w:color="000000" w:fill="auto"/>
        <w:adjustRightInd w:val="0"/>
        <w:snapToGrid w:val="0"/>
        <w:spacing w:line="360" w:lineRule="auto"/>
        <w:ind w:firstLine="42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专用条款约定的其他事件。</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本款</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至</w:t>
      </w:r>
      <w:r>
        <w:rPr>
          <w:rFonts w:ascii="仿宋" w:hAnsi="仿宋" w:eastAsia="仿宋" w:cs="仿宋"/>
          <w:color w:val="auto"/>
          <w:sz w:val="24"/>
          <w:szCs w:val="24"/>
          <w:highlight w:val="none"/>
        </w:rPr>
        <w:t>(9)</w:t>
      </w:r>
      <w:r>
        <w:rPr>
          <w:rFonts w:hint="eastAsia" w:ascii="仿宋" w:hAnsi="仿宋" w:eastAsia="仿宋" w:cs="仿宋"/>
          <w:color w:val="auto"/>
          <w:sz w:val="24"/>
          <w:szCs w:val="24"/>
          <w:highlight w:val="none"/>
        </w:rPr>
        <w:t>调整事件应分别按照第</w:t>
      </w:r>
      <w:r>
        <w:rPr>
          <w:rFonts w:ascii="仿宋" w:hAnsi="仿宋" w:eastAsia="仿宋" w:cs="仿宋"/>
          <w:color w:val="auto"/>
          <w:sz w:val="24"/>
          <w:szCs w:val="24"/>
          <w:highlight w:val="none"/>
        </w:rPr>
        <w:t>69</w:t>
      </w:r>
      <w:r>
        <w:rPr>
          <w:rFonts w:hint="eastAsia" w:ascii="仿宋" w:hAnsi="仿宋" w:eastAsia="仿宋" w:cs="仿宋"/>
          <w:color w:val="auto"/>
          <w:sz w:val="24"/>
          <w:szCs w:val="24"/>
          <w:highlight w:val="none"/>
        </w:rPr>
        <w:t>条至第</w:t>
      </w:r>
      <w:r>
        <w:rPr>
          <w:rFonts w:ascii="仿宋" w:hAnsi="仿宋" w:eastAsia="仿宋" w:cs="仿宋"/>
          <w:color w:val="auto"/>
          <w:sz w:val="24"/>
          <w:szCs w:val="24"/>
          <w:highlight w:val="none"/>
        </w:rPr>
        <w:t>76</w:t>
      </w:r>
      <w:r>
        <w:rPr>
          <w:rFonts w:hint="eastAsia" w:ascii="仿宋" w:hAnsi="仿宋" w:eastAsia="仿宋" w:cs="仿宋"/>
          <w:color w:val="auto"/>
          <w:sz w:val="24"/>
          <w:szCs w:val="24"/>
          <w:highlight w:val="none"/>
        </w:rPr>
        <w:t>条的规定调整合同价款。</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68.4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53152"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288" name="文本框 292"/>
                <wp:cNvGraphicFramePr/>
                <a:graphic xmlns:a="http://schemas.openxmlformats.org/drawingml/2006/main">
                  <a:graphicData uri="http://schemas.microsoft.com/office/word/2010/wordprocessingShape">
                    <wps:wsp>
                      <wps:cNvSpPr txBox="1"/>
                      <wps:spPr>
                        <a:xfrm>
                          <a:off x="0" y="0"/>
                          <a:ext cx="914400" cy="521335"/>
                        </a:xfrm>
                        <a:prstGeom prst="rect">
                          <a:avLst/>
                        </a:prstGeom>
                        <a:noFill/>
                        <a:ln>
                          <a:noFill/>
                        </a:ln>
                      </wps:spPr>
                      <wps:txbx>
                        <w:txbxContent>
                          <w:p>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调整合同价款</w:t>
                            </w:r>
                          </w:p>
                        </w:txbxContent>
                      </wps:txbx>
                      <wps:bodyPr upright="1"/>
                    </wps:wsp>
                  </a:graphicData>
                </a:graphic>
              </wp:anchor>
            </w:drawing>
          </mc:Choice>
          <mc:Fallback>
            <w:pict>
              <v:shape id="文本框 292" o:spid="_x0000_s1026" o:spt="202" type="#_x0000_t202" style="position:absolute;left:0pt;margin-left:-9pt;margin-top:0.4pt;height:41.05pt;width:72pt;z-index:251953152;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O4a/vTAAAA&#10;BwEAAA8AAAAAAAAAAQAgAAAAIgAAAGRycy9kb3ducmV2LnhtbFBLAQIUABQAAAAIAIdO4kAOShRZ&#10;sAEAAFEDAAAOAAAAAAAAAAEAIAAAACIBAABkcnMvZTJvRG9jLnhtbFBLBQYAAAAABgAGAFkBAABE&#10;BQAAAAA=&#10;">
                <v:fill on="f" focussize="0,0"/>
                <v:stroke on="f"/>
                <v:imagedata o:title=""/>
                <o:lock v:ext="edit" aspectratio="f"/>
                <v:textbox>
                  <w:txbxContent>
                    <w:p>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调整合同价款</w:t>
                      </w:r>
                    </w:p>
                  </w:txbxContent>
                </v:textbox>
              </v:shape>
            </w:pict>
          </mc:Fallback>
        </mc:AlternateContent>
      </w:r>
      <w:r>
        <w:rPr>
          <w:rFonts w:hint="eastAsia" w:ascii="仿宋" w:hAnsi="仿宋" w:eastAsia="仿宋" w:cs="仿宋"/>
          <w:color w:val="auto"/>
          <w:sz w:val="24"/>
          <w:szCs w:val="24"/>
          <w:highlight w:val="none"/>
        </w:rPr>
        <w:t>出现第</w:t>
      </w:r>
      <w:r>
        <w:rPr>
          <w:rFonts w:ascii="仿宋" w:hAnsi="仿宋" w:eastAsia="仿宋" w:cs="仿宋"/>
          <w:color w:val="auto"/>
          <w:sz w:val="24"/>
          <w:szCs w:val="24"/>
          <w:highlight w:val="none"/>
        </w:rPr>
        <w:t>68.2</w:t>
      </w:r>
      <w:r>
        <w:rPr>
          <w:rFonts w:hint="eastAsia" w:ascii="仿宋" w:hAnsi="仿宋" w:eastAsia="仿宋" w:cs="仿宋"/>
          <w:color w:val="auto"/>
          <w:sz w:val="24"/>
          <w:szCs w:val="24"/>
          <w:highlight w:val="none"/>
        </w:rPr>
        <w:t>款规定调整合同价款事件的，合同双方当事人应调整合同价款。除费用索赔、现场签证事件分别按照第</w:t>
      </w:r>
      <w:r>
        <w:rPr>
          <w:rFonts w:ascii="仿宋" w:hAnsi="仿宋" w:eastAsia="仿宋" w:cs="仿宋"/>
          <w:color w:val="auto"/>
          <w:sz w:val="24"/>
          <w:szCs w:val="24"/>
          <w:highlight w:val="none"/>
        </w:rPr>
        <w:t>74</w:t>
      </w:r>
      <w:r>
        <w:rPr>
          <w:rFonts w:hint="eastAsia" w:ascii="仿宋" w:hAnsi="仿宋" w:eastAsia="仿宋" w:cs="仿宋"/>
          <w:color w:val="auto"/>
          <w:sz w:val="24"/>
          <w:szCs w:val="24"/>
          <w:highlight w:val="none"/>
        </w:rPr>
        <w:t>条、第</w:t>
      </w:r>
      <w:r>
        <w:rPr>
          <w:rFonts w:ascii="仿宋" w:hAnsi="仿宋" w:eastAsia="仿宋" w:cs="仿宋"/>
          <w:color w:val="auto"/>
          <w:sz w:val="24"/>
          <w:szCs w:val="24"/>
          <w:highlight w:val="none"/>
        </w:rPr>
        <w:t>75</w:t>
      </w:r>
      <w:r>
        <w:rPr>
          <w:rFonts w:hint="eastAsia" w:ascii="仿宋" w:hAnsi="仿宋" w:eastAsia="仿宋" w:cs="仿宋"/>
          <w:color w:val="auto"/>
          <w:sz w:val="24"/>
          <w:szCs w:val="24"/>
          <w:highlight w:val="none"/>
        </w:rPr>
        <w:t>条规定外，调整合同价款的提出、核实、确认与支付等事项，由合同双方当事人按照第</w:t>
      </w:r>
      <w:r>
        <w:rPr>
          <w:rFonts w:ascii="仿宋" w:hAnsi="仿宋" w:eastAsia="仿宋" w:cs="仿宋"/>
          <w:color w:val="auto"/>
          <w:sz w:val="24"/>
          <w:szCs w:val="24"/>
          <w:highlight w:val="none"/>
        </w:rPr>
        <w:t>77</w:t>
      </w:r>
      <w:r>
        <w:rPr>
          <w:rFonts w:hint="eastAsia" w:ascii="仿宋" w:hAnsi="仿宋" w:eastAsia="仿宋" w:cs="仿宋"/>
          <w:color w:val="auto"/>
          <w:sz w:val="24"/>
          <w:szCs w:val="24"/>
          <w:highlight w:val="none"/>
        </w:rPr>
        <w:t>条规定办理。</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68.2</w:t>
      </w:r>
      <w:r>
        <w:rPr>
          <w:rFonts w:hint="eastAsia" w:ascii="仿宋" w:hAnsi="仿宋" w:eastAsia="仿宋" w:cs="仿宋"/>
          <w:color w:val="auto"/>
          <w:sz w:val="24"/>
          <w:szCs w:val="24"/>
          <w:highlight w:val="none"/>
        </w:rPr>
        <w:t>款规定事件调整合同价款，如果是按照第</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条规定由发包人自行供应或发包人招标、承包人采购材料和工程设备的，均不应考虑第</w:t>
      </w:r>
      <w:r>
        <w:rPr>
          <w:rFonts w:ascii="仿宋" w:hAnsi="仿宋" w:eastAsia="仿宋" w:cs="仿宋"/>
          <w:color w:val="auto"/>
          <w:sz w:val="24"/>
          <w:szCs w:val="24"/>
          <w:highlight w:val="none"/>
        </w:rPr>
        <w:t>72.2</w:t>
      </w:r>
      <w:r>
        <w:rPr>
          <w:rFonts w:hint="eastAsia" w:ascii="仿宋" w:hAnsi="仿宋" w:eastAsia="仿宋" w:cs="仿宋"/>
          <w:color w:val="auto"/>
          <w:sz w:val="24"/>
          <w:szCs w:val="24"/>
          <w:highlight w:val="none"/>
        </w:rPr>
        <w:t>款规定的承包人报价下浮率因素。</w:t>
      </w:r>
    </w:p>
    <w:p>
      <w:pPr>
        <w:pStyle w:val="2"/>
        <w:shd w:val="clear" w:color="000000" w:fill="auto"/>
        <w:tabs>
          <w:tab w:val="left" w:pos="3480"/>
        </w:tabs>
        <w:adjustRightInd w:val="0"/>
        <w:snapToGrid w:val="0"/>
        <w:spacing w:line="360" w:lineRule="exact"/>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numPr>
          <w:ilvl w:val="0"/>
          <w:numId w:val="0"/>
        </w:numPr>
        <w:shd w:val="clear" w:color="000000" w:fill="auto"/>
        <w:tabs>
          <w:tab w:val="left" w:pos="420"/>
        </w:tabs>
        <w:rPr>
          <w:rFonts w:ascii="仿宋" w:hAnsi="仿宋" w:eastAsia="仿宋"/>
          <w:color w:val="auto"/>
          <w:sz w:val="24"/>
          <w:szCs w:val="24"/>
          <w:highlight w:val="none"/>
        </w:rPr>
      </w:pPr>
      <w:bookmarkStart w:id="336" w:name="_Toc469384053"/>
      <w:bookmarkStart w:id="337" w:name="_Toc8448"/>
      <w:bookmarkStart w:id="338" w:name="_Toc10624893"/>
      <w:r>
        <w:rPr>
          <w:rFonts w:hint="eastAsia" w:ascii="仿宋" w:hAnsi="仿宋" w:eastAsia="仿宋" w:cs="仿宋"/>
          <w:b w:val="0"/>
          <w:bCs w:val="0"/>
          <w:color w:val="auto"/>
          <w:sz w:val="24"/>
          <w:szCs w:val="24"/>
          <w:highlight w:val="none"/>
        </w:rPr>
        <w:t>★</w:t>
      </w:r>
      <w:r>
        <w:rPr>
          <w:rFonts w:ascii="仿宋" w:hAnsi="仿宋" w:eastAsia="仿宋" w:cs="仿宋"/>
          <w:color w:val="auto"/>
          <w:sz w:val="24"/>
          <w:szCs w:val="24"/>
          <w:highlight w:val="none"/>
        </w:rPr>
        <w:t xml:space="preserve">69  </w:t>
      </w:r>
      <w:r>
        <w:rPr>
          <w:rFonts w:hint="eastAsia" w:ascii="仿宋" w:hAnsi="仿宋" w:eastAsia="仿宋" w:cs="仿宋"/>
          <w:color w:val="auto"/>
          <w:sz w:val="24"/>
          <w:szCs w:val="24"/>
          <w:highlight w:val="none"/>
        </w:rPr>
        <w:t>后继法律变化事件</w:t>
      </w:r>
      <w:bookmarkEnd w:id="336"/>
      <w:bookmarkEnd w:id="337"/>
      <w:bookmarkEnd w:id="338"/>
    </w:p>
    <w:p>
      <w:pPr>
        <w:pStyle w:val="2"/>
        <w:shd w:val="clear" w:color="000000" w:fill="auto"/>
        <w:adjustRightInd w:val="0"/>
        <w:snapToGrid w:val="0"/>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954176" behindDoc="0" locked="0" layoutInCell="1" allowOverlap="1">
                <wp:simplePos x="0" y="0"/>
                <wp:positionH relativeFrom="column">
                  <wp:posOffset>-133350</wp:posOffset>
                </wp:positionH>
                <wp:positionV relativeFrom="paragraph">
                  <wp:posOffset>273685</wp:posOffset>
                </wp:positionV>
                <wp:extent cx="914400" cy="619125"/>
                <wp:effectExtent l="0" t="0" r="0" b="0"/>
                <wp:wrapNone/>
                <wp:docPr id="289" name="文本框 293"/>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后继法律变化的价款调整</w:t>
                            </w:r>
                          </w:p>
                        </w:txbxContent>
                      </wps:txbx>
                      <wps:bodyPr upright="1"/>
                    </wps:wsp>
                  </a:graphicData>
                </a:graphic>
              </wp:anchor>
            </w:drawing>
          </mc:Choice>
          <mc:Fallback>
            <w:pict>
              <v:shape id="文本框 293" o:spid="_x0000_s1026" o:spt="202" type="#_x0000_t202" style="position:absolute;left:0pt;margin-left:-10.5pt;margin-top:21.55pt;height:48.75pt;width:72pt;z-index:251954176;mso-width-relative:page;mso-height-relative:page;" filled="f" stroked="f" coordsize="21600,21600" o:gfxdata="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92ABzX&#10;AAAACgEAAA8AAAAAAAAAAQAgAAAAIgAAAGRycy9kb3ducmV2LnhtbFBLAQIUABQAAAAIAIdO4kAt&#10;9MB7rwEAAFEDAAAOAAAAAAAAAAEAIAAAACYBAABkcnMvZTJvRG9jLnhtbFBLBQYAAAAABgAGAFkB&#10;AABH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后继法律变化的价款调整</w:t>
                      </w:r>
                    </w:p>
                  </w:txbxContent>
                </v:textbox>
              </v:shape>
            </w:pict>
          </mc:Fallback>
        </mc:AlternateContent>
      </w:r>
      <w:r>
        <w:rPr>
          <w:rFonts w:ascii="仿宋" w:hAnsi="仿宋" w:eastAsia="仿宋" w:cs="仿宋"/>
          <w:b/>
          <w:bCs/>
          <w:color w:val="auto"/>
          <w:sz w:val="24"/>
          <w:szCs w:val="24"/>
          <w:highlight w:val="none"/>
        </w:rPr>
        <w:t xml:space="preserve">69.1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合同履行期间，出现国家或省颁布的法律和政策在合同工程基准日期后发生变化，且因执行上述法律和政策引起除第</w:t>
      </w:r>
      <w:r>
        <w:rPr>
          <w:rFonts w:ascii="仿宋" w:hAnsi="仿宋" w:eastAsia="仿宋" w:cs="仿宋"/>
          <w:color w:val="auto"/>
          <w:sz w:val="24"/>
          <w:szCs w:val="24"/>
          <w:highlight w:val="none"/>
        </w:rPr>
        <w:t>76</w:t>
      </w:r>
      <w:r>
        <w:rPr>
          <w:rFonts w:hint="eastAsia" w:ascii="仿宋" w:hAnsi="仿宋" w:eastAsia="仿宋" w:cs="仿宋"/>
          <w:color w:val="auto"/>
          <w:sz w:val="24"/>
          <w:szCs w:val="24"/>
          <w:highlight w:val="none"/>
        </w:rPr>
        <w:t>条规定以外的工程造价增减事件的，合同双方当事人应调整合同价款。</w:t>
      </w:r>
    </w:p>
    <w:p>
      <w:pPr>
        <w:pStyle w:val="2"/>
        <w:shd w:val="clear" w:color="000000" w:fill="auto"/>
        <w:tabs>
          <w:tab w:val="left" w:pos="540"/>
        </w:tabs>
        <w:adjustRightInd w:val="0"/>
        <w:snapToGrid w:val="0"/>
        <w:spacing w:line="48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69.2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55200"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290" name="文本框 294"/>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调整价款的方法</w:t>
                            </w:r>
                          </w:p>
                        </w:txbxContent>
                      </wps:txbx>
                      <wps:bodyPr upright="1"/>
                    </wps:wsp>
                  </a:graphicData>
                </a:graphic>
              </wp:anchor>
            </w:drawing>
          </mc:Choice>
          <mc:Fallback>
            <w:pict>
              <v:shape id="文本框 294" o:spid="_x0000_s1026" o:spt="202" type="#_x0000_t202" style="position:absolute;left:0pt;margin-left:-9pt;margin-top:1.25pt;height:48.75pt;width:72pt;z-index:251955200;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PIDAfVAAAA&#10;CQEAAA8AAAAAAAAAAQAgAAAAIgAAAGRycy9kb3ducmV2LnhtbFBLAQIUABQAAAAIAIdO4kBwVta1&#10;rgEAAFEDAAAOAAAAAAAAAAEAIAAAACQBAABkcnMvZTJvRG9jLnhtbFBLBQYAAAAABgAGAFkBAABE&#10;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调整价款的方法</w:t>
                      </w:r>
                    </w:p>
                  </w:txbxContent>
                </v:textbox>
              </v:shape>
            </w:pict>
          </mc:Fallback>
        </mc:AlternateContent>
      </w:r>
      <w:r>
        <w:rPr>
          <w:rFonts w:hint="eastAsia" w:ascii="仿宋" w:hAnsi="仿宋" w:eastAsia="仿宋" w:cs="仿宋"/>
          <w:color w:val="auto"/>
          <w:sz w:val="24"/>
          <w:szCs w:val="24"/>
          <w:highlight w:val="none"/>
        </w:rPr>
        <w:t>发生第</w:t>
      </w:r>
      <w:r>
        <w:rPr>
          <w:rFonts w:ascii="仿宋" w:hAnsi="仿宋" w:eastAsia="仿宋" w:cs="仿宋"/>
          <w:color w:val="auto"/>
          <w:sz w:val="24"/>
          <w:szCs w:val="24"/>
          <w:highlight w:val="none"/>
        </w:rPr>
        <w:t>69.1</w:t>
      </w:r>
      <w:r>
        <w:rPr>
          <w:rFonts w:hint="eastAsia" w:ascii="仿宋" w:hAnsi="仿宋" w:eastAsia="仿宋" w:cs="仿宋"/>
          <w:color w:val="auto"/>
          <w:sz w:val="24"/>
          <w:szCs w:val="24"/>
          <w:highlight w:val="none"/>
        </w:rPr>
        <w:t>款情况的，应根据合同工程实际情况，按照上述法律和政策规定计算调整的合同价款。</w:t>
      </w:r>
    </w:p>
    <w:p>
      <w:pPr>
        <w:shd w:val="clear" w:color="000000" w:fill="auto"/>
        <w:tabs>
          <w:tab w:val="left" w:pos="1620"/>
        </w:tabs>
        <w:spacing w:line="360" w:lineRule="auto"/>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numPr>
          <w:ilvl w:val="0"/>
          <w:numId w:val="0"/>
        </w:numPr>
        <w:shd w:val="clear" w:color="000000" w:fill="auto"/>
        <w:tabs>
          <w:tab w:val="left" w:pos="420"/>
        </w:tabs>
        <w:rPr>
          <w:rFonts w:ascii="仿宋" w:hAnsi="仿宋" w:eastAsia="仿宋"/>
          <w:b w:val="0"/>
          <w:bCs w:val="0"/>
          <w:color w:val="auto"/>
          <w:sz w:val="24"/>
          <w:szCs w:val="24"/>
          <w:highlight w:val="none"/>
        </w:rPr>
      </w:pPr>
      <w:bookmarkStart w:id="339" w:name="_Toc469384054"/>
      <w:bookmarkStart w:id="340" w:name="_Toc10624894"/>
      <w:bookmarkStart w:id="341" w:name="_Toc11382"/>
      <w:r>
        <w:rPr>
          <w:rFonts w:hint="eastAsia" w:ascii="仿宋" w:hAnsi="仿宋" w:eastAsia="仿宋" w:cs="仿宋"/>
          <w:b w:val="0"/>
          <w:bCs w:val="0"/>
          <w:color w:val="auto"/>
          <w:sz w:val="24"/>
          <w:szCs w:val="24"/>
          <w:highlight w:val="none"/>
        </w:rPr>
        <w:t>★</w:t>
      </w:r>
      <w:r>
        <w:rPr>
          <w:rFonts w:ascii="仿宋" w:hAnsi="仿宋" w:eastAsia="仿宋" w:cs="仿宋"/>
          <w:bCs w:val="0"/>
          <w:color w:val="auto"/>
          <w:sz w:val="24"/>
          <w:szCs w:val="24"/>
          <w:highlight w:val="none"/>
        </w:rPr>
        <w:t xml:space="preserve">70  </w:t>
      </w:r>
      <w:r>
        <w:rPr>
          <w:rFonts w:hint="eastAsia" w:ascii="仿宋" w:hAnsi="仿宋" w:eastAsia="仿宋" w:cs="仿宋"/>
          <w:bCs w:val="0"/>
          <w:color w:val="auto"/>
          <w:sz w:val="24"/>
          <w:szCs w:val="24"/>
          <w:highlight w:val="none"/>
        </w:rPr>
        <w:t>项目特征描述不符事件</w:t>
      </w:r>
      <w:bookmarkEnd w:id="339"/>
      <w:bookmarkEnd w:id="340"/>
      <w:bookmarkEnd w:id="341"/>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70.1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56224" behindDoc="0" locked="0" layoutInCell="1" allowOverlap="1">
                <wp:simplePos x="0" y="0"/>
                <wp:positionH relativeFrom="column">
                  <wp:posOffset>-114300</wp:posOffset>
                </wp:positionH>
                <wp:positionV relativeFrom="paragraph">
                  <wp:posOffset>34290</wp:posOffset>
                </wp:positionV>
                <wp:extent cx="914400" cy="619125"/>
                <wp:effectExtent l="0" t="0" r="0" b="0"/>
                <wp:wrapNone/>
                <wp:docPr id="291" name="文本框 295"/>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项目特征的准确性</w:t>
                            </w:r>
                          </w:p>
                        </w:txbxContent>
                      </wps:txbx>
                      <wps:bodyPr upright="1"/>
                    </wps:wsp>
                  </a:graphicData>
                </a:graphic>
              </wp:anchor>
            </w:drawing>
          </mc:Choice>
          <mc:Fallback>
            <w:pict>
              <v:shape id="文本框 295" o:spid="_x0000_s1026" o:spt="202" type="#_x0000_t202" style="position:absolute;left:0pt;margin-left:-9pt;margin-top:2.7pt;height:48.75pt;width:72pt;z-index:251956224;mso-width-relative:page;mso-height-relative:page;" filled="f" stroked="f" coordsize="21600,21600" o:gfxdata="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sckphdYA&#10;AAAJAQAADwAAAAAAAAABACAAAAAiAAAAZHJzL2Rvd25yZXYueG1sUEsBAhQAFAAAAAgAh07iQFOv&#10;qB2vAQAAUQMAAA4AAAAAAAAAAQAgAAAAJQEAAGRycy9lMm9Eb2MueG1sUEsFBgAAAAAGAAYAWQEA&#10;AEY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项目特征的准确性</w:t>
                      </w:r>
                    </w:p>
                  </w:txbxContent>
                </v:textbox>
              </v:shape>
            </w:pict>
          </mc:Fallback>
        </mc:AlternateContent>
      </w:r>
      <w:r>
        <w:rPr>
          <w:rFonts w:hint="eastAsia" w:ascii="仿宋" w:hAnsi="仿宋" w:eastAsia="仿宋" w:cs="仿宋"/>
          <w:color w:val="auto"/>
          <w:sz w:val="24"/>
          <w:szCs w:val="24"/>
          <w:highlight w:val="none"/>
        </w:rPr>
        <w:t>发包人在工程量清单中对项目特征的描述，应被认为是准确的和全面的，并且与实际施工要求相符合。承包人应按照发包人提供的工程量清单，根据其项目特征描述的内容及有关要求实施合同工程，直到其被改变为止。</w:t>
      </w:r>
    </w:p>
    <w:p>
      <w:pPr>
        <w:pStyle w:val="2"/>
        <w:shd w:val="clear" w:color="000000" w:fill="auto"/>
        <w:adjustRightInd w:val="0"/>
        <w:snapToGrid w:val="0"/>
        <w:spacing w:line="48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70.2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57248"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292" name="文本框 296"/>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项目特征描述不符的价款调整</w:t>
                            </w:r>
                          </w:p>
                          <w:p>
                            <w:pPr>
                              <w:pStyle w:val="36"/>
                              <w:spacing w:line="200" w:lineRule="exact"/>
                              <w:rPr>
                                <w:sz w:val="18"/>
                                <w:szCs w:val="18"/>
                              </w:rPr>
                            </w:pPr>
                          </w:p>
                        </w:txbxContent>
                      </wps:txbx>
                      <wps:bodyPr upright="1"/>
                    </wps:wsp>
                  </a:graphicData>
                </a:graphic>
              </wp:anchor>
            </w:drawing>
          </mc:Choice>
          <mc:Fallback>
            <w:pict>
              <v:shape id="文本框 296" o:spid="_x0000_s1026" o:spt="202" type="#_x0000_t202" style="position:absolute;left:0pt;margin-left:-9pt;margin-top:0.45pt;height:48.75pt;width:72pt;z-index:251957248;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ed//kdQAAAAH&#10;AQAADwAAAAAAAAABACAAAAAiAAAAZHJzL2Rvd25yZXYueG1sUEsBAhQAFAAAAAgAh07iQHeiWj6u&#10;AQAAUQMAAA4AAAAAAAAAAQAgAAAAIwEAAGRycy9lMm9Eb2MueG1sUEsFBgAAAAAGAAYAWQEAAEMF&#10;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项目特征描述不符的价款调整</w:t>
                      </w:r>
                    </w:p>
                    <w:p>
                      <w:pPr>
                        <w:pStyle w:val="36"/>
                        <w:spacing w:line="200" w:lineRule="exact"/>
                        <w:rPr>
                          <w:sz w:val="18"/>
                          <w:szCs w:val="18"/>
                        </w:rPr>
                      </w:pPr>
                    </w:p>
                  </w:txbxContent>
                </v:textbox>
              </v:shape>
            </w:pict>
          </mc:Fallback>
        </mc:AlternateContent>
      </w:r>
      <w:r>
        <w:rPr>
          <w:rFonts w:hint="eastAsia" w:ascii="仿宋" w:hAnsi="仿宋" w:eastAsia="仿宋" w:cs="仿宋"/>
          <w:color w:val="auto"/>
          <w:sz w:val="24"/>
          <w:szCs w:val="24"/>
          <w:highlight w:val="none"/>
        </w:rPr>
        <w:t>合同履行期间，出现实际施工设计图纸（含设计变更）与招标文件提供的工程量清单任一项目特征描述不符，且该变化引起工程造价增减事件的，合同双方当事人应调整合同价款。</w:t>
      </w:r>
    </w:p>
    <w:p>
      <w:pPr>
        <w:pStyle w:val="2"/>
        <w:shd w:val="clear" w:color="000000" w:fill="auto"/>
        <w:adjustRightInd w:val="0"/>
        <w:snapToGrid w:val="0"/>
        <w:spacing w:line="48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70.3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58272"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293" name="文本框 297"/>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7"/>
                              <w:spacing w:line="200" w:lineRule="exact"/>
                              <w:rPr>
                                <w:rFonts w:ascii="宋体"/>
                                <w:color w:val="FF0000"/>
                                <w:sz w:val="24"/>
                                <w:szCs w:val="24"/>
                              </w:rPr>
                            </w:pPr>
                            <w:r>
                              <w:rPr>
                                <w:rFonts w:hint="eastAsia" w:ascii="楷体_GB2312" w:hAnsi="宋体" w:eastAsia="楷体_GB2312" w:cs="楷体_GB2312"/>
                                <w:b/>
                                <w:bCs/>
                                <w:color w:val="000000"/>
                                <w:sz w:val="18"/>
                                <w:szCs w:val="18"/>
                              </w:rPr>
                              <w:t>调整价款的方法</w:t>
                            </w:r>
                          </w:p>
                          <w:p>
                            <w:pPr>
                              <w:pStyle w:val="36"/>
                              <w:spacing w:line="200" w:lineRule="exact"/>
                              <w:rPr>
                                <w:sz w:val="18"/>
                                <w:szCs w:val="18"/>
                              </w:rPr>
                            </w:pPr>
                          </w:p>
                        </w:txbxContent>
                      </wps:txbx>
                      <wps:bodyPr upright="1"/>
                    </wps:wsp>
                  </a:graphicData>
                </a:graphic>
              </wp:anchor>
            </w:drawing>
          </mc:Choice>
          <mc:Fallback>
            <w:pict>
              <v:shape id="文本框 297" o:spid="_x0000_s1026" o:spt="202" type="#_x0000_t202" style="position:absolute;left:0pt;margin-left:-9pt;margin-top:0.45pt;height:48.75pt;width:72pt;z-index:251958272;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nf/5HUAAAA&#10;BwEAAA8AAAAAAAAAAQAgAAAAIgAAAGRycy9kb3ducmV2LnhtbFBLAQIUABQAAAAIAIdO4kBUWySW&#10;rwEAAFEDAAAOAAAAAAAAAAEAIAAAACMBAABkcnMvZTJvRG9jLnhtbFBLBQYAAAAABgAGAFkBAABE&#10;BQAAAAA=&#10;">
                <v:fill on="f" focussize="0,0"/>
                <v:stroke on="f"/>
                <v:imagedata o:title=""/>
                <o:lock v:ext="edit" aspectratio="f"/>
                <v:textbox>
                  <w:txbxContent>
                    <w:p>
                      <w:pPr>
                        <w:pStyle w:val="17"/>
                        <w:spacing w:line="200" w:lineRule="exact"/>
                        <w:rPr>
                          <w:rFonts w:ascii="宋体"/>
                          <w:color w:val="FF0000"/>
                          <w:sz w:val="24"/>
                          <w:szCs w:val="24"/>
                        </w:rPr>
                      </w:pPr>
                      <w:r>
                        <w:rPr>
                          <w:rFonts w:hint="eastAsia" w:ascii="楷体_GB2312" w:hAnsi="宋体" w:eastAsia="楷体_GB2312" w:cs="楷体_GB2312"/>
                          <w:b/>
                          <w:bCs/>
                          <w:color w:val="000000"/>
                          <w:sz w:val="18"/>
                          <w:szCs w:val="18"/>
                        </w:rPr>
                        <w:t>调整价款的方法</w:t>
                      </w:r>
                    </w:p>
                    <w:p>
                      <w:pPr>
                        <w:pStyle w:val="36"/>
                        <w:spacing w:line="200" w:lineRule="exact"/>
                        <w:rPr>
                          <w:sz w:val="18"/>
                          <w:szCs w:val="18"/>
                        </w:rPr>
                      </w:pPr>
                    </w:p>
                  </w:txbxContent>
                </v:textbox>
              </v:shape>
            </w:pict>
          </mc:Fallback>
        </mc:AlternateContent>
      </w:r>
      <w:r>
        <w:rPr>
          <w:rFonts w:hint="eastAsia" w:ascii="仿宋" w:hAnsi="仿宋" w:eastAsia="仿宋" w:cs="仿宋"/>
          <w:color w:val="auto"/>
          <w:sz w:val="24"/>
          <w:szCs w:val="24"/>
          <w:highlight w:val="none"/>
        </w:rPr>
        <w:t>发生第</w:t>
      </w:r>
      <w:r>
        <w:rPr>
          <w:rFonts w:ascii="仿宋" w:hAnsi="仿宋" w:eastAsia="仿宋" w:cs="仿宋"/>
          <w:color w:val="auto"/>
          <w:sz w:val="24"/>
          <w:szCs w:val="24"/>
          <w:highlight w:val="none"/>
        </w:rPr>
        <w:t>70.2</w:t>
      </w:r>
      <w:r>
        <w:rPr>
          <w:rFonts w:hint="eastAsia" w:ascii="仿宋" w:hAnsi="仿宋" w:eastAsia="仿宋" w:cs="仿宋"/>
          <w:color w:val="auto"/>
          <w:sz w:val="24"/>
          <w:szCs w:val="24"/>
          <w:highlight w:val="none"/>
        </w:rPr>
        <w:t>款情况的，应按照实际施工的项目特征重新确定相应工程量清单项目的综合单价，计算调整的合同价款。</w:t>
      </w:r>
    </w:p>
    <w:p>
      <w:pPr>
        <w:pStyle w:val="2"/>
        <w:shd w:val="clear" w:color="000000" w:fill="auto"/>
        <w:adjustRightInd w:val="0"/>
        <w:snapToGrid w:val="0"/>
        <w:spacing w:line="360" w:lineRule="auto"/>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adjustRightInd w:val="0"/>
        <w:snapToGrid w:val="0"/>
        <w:spacing w:line="360" w:lineRule="auto"/>
        <w:outlineLvl w:val="2"/>
        <w:rPr>
          <w:rFonts w:ascii="仿宋" w:hAnsi="仿宋" w:eastAsia="仿宋" w:cs="Times New Roman"/>
          <w:color w:val="auto"/>
          <w:sz w:val="24"/>
          <w:szCs w:val="24"/>
          <w:highlight w:val="none"/>
        </w:rPr>
      </w:pPr>
      <w:bookmarkStart w:id="342" w:name="_Toc469384055"/>
      <w:bookmarkStart w:id="343" w:name="_Toc3735"/>
      <w:bookmarkStart w:id="344" w:name="_Toc10624895"/>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71  </w:t>
      </w:r>
      <w:r>
        <w:rPr>
          <w:rFonts w:hint="eastAsia" w:ascii="仿宋" w:hAnsi="仿宋" w:eastAsia="仿宋" w:cs="仿宋"/>
          <w:b/>
          <w:bCs/>
          <w:color w:val="auto"/>
          <w:sz w:val="24"/>
          <w:szCs w:val="24"/>
          <w:highlight w:val="none"/>
        </w:rPr>
        <w:t>分部分项工程量清单缺项漏项事件</w:t>
      </w:r>
      <w:bookmarkEnd w:id="342"/>
      <w:bookmarkEnd w:id="343"/>
      <w:bookmarkEnd w:id="344"/>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71.1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59296" behindDoc="0" locked="0" layoutInCell="1" allowOverlap="1">
                <wp:simplePos x="0" y="0"/>
                <wp:positionH relativeFrom="column">
                  <wp:posOffset>-133350</wp:posOffset>
                </wp:positionH>
                <wp:positionV relativeFrom="paragraph">
                  <wp:posOffset>6350</wp:posOffset>
                </wp:positionV>
                <wp:extent cx="914400" cy="692150"/>
                <wp:effectExtent l="0" t="0" r="0" b="0"/>
                <wp:wrapNone/>
                <wp:docPr id="294" name="文本框 298"/>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清单缺项漏项的价款调整</w:t>
                            </w:r>
                          </w:p>
                        </w:txbxContent>
                      </wps:txbx>
                      <wps:bodyPr upright="1"/>
                    </wps:wsp>
                  </a:graphicData>
                </a:graphic>
              </wp:anchor>
            </w:drawing>
          </mc:Choice>
          <mc:Fallback>
            <w:pict>
              <v:shape id="文本框 298" o:spid="_x0000_s1026" o:spt="202" type="#_x0000_t202" style="position:absolute;left:0pt;margin-left:-10.5pt;margin-top:0.5pt;height:54.5pt;width:72pt;z-index:251959296;mso-width-relative:page;mso-height-relative:page;" filled="f" stroked="f" coordsize="21600,21600" o:gfxdata="UEsDBAoAAAAAAIdO4kAAAAAAAAAAAAAAAAAEAAAAZHJzL1BLAwQUAAAACACHTuJAIWTeM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hZN4w1AAA&#10;AAkBAAAPAAAAAAAAAAEAIAAAACIAAABkcnMvZG93bnJldi54bWxQSwECFAAUAAAACACHTuJAo26z&#10;4LABAABRAwAADgAAAAAAAAABACAAAAAjAQAAZHJzL2Uyb0RvYy54bWxQSwUGAAAAAAYABgBZAQAA&#10;RQ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清单缺项漏项的价款调整</w:t>
                      </w:r>
                    </w:p>
                  </w:txbxContent>
                </v:textbox>
              </v:shape>
            </w:pict>
          </mc:Fallback>
        </mc:AlternateContent>
      </w:r>
      <w:r>
        <w:rPr>
          <w:color w:val="auto"/>
          <w:highlight w:val="none"/>
        </w:rPr>
        <mc:AlternateContent>
          <mc:Choice Requires="wps">
            <w:drawing>
              <wp:anchor distT="0" distB="0" distL="114300" distR="114300" simplePos="0" relativeHeight="251960320" behindDoc="0" locked="0" layoutInCell="1" allowOverlap="1">
                <wp:simplePos x="0" y="0"/>
                <wp:positionH relativeFrom="column">
                  <wp:posOffset>-133350</wp:posOffset>
                </wp:positionH>
                <wp:positionV relativeFrom="paragraph">
                  <wp:posOffset>6350</wp:posOffset>
                </wp:positionV>
                <wp:extent cx="914400" cy="693420"/>
                <wp:effectExtent l="0" t="0" r="0" b="0"/>
                <wp:wrapNone/>
                <wp:docPr id="295" name="文本框 299"/>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rPr>
                                <w:rFonts w:cs="Times New Roman"/>
                              </w:rPr>
                            </w:pPr>
                          </w:p>
                        </w:txbxContent>
                      </wps:txbx>
                      <wps:bodyPr upright="1"/>
                    </wps:wsp>
                  </a:graphicData>
                </a:graphic>
              </wp:anchor>
            </w:drawing>
          </mc:Choice>
          <mc:Fallback>
            <w:pict>
              <v:shape id="文本框 299" o:spid="_x0000_s1026" o:spt="202" type="#_x0000_t202" style="position:absolute;left:0pt;margin-left:-10.5pt;margin-top:0.5pt;height:54.6pt;width:72pt;z-index:251960320;mso-width-relative:page;mso-height-relative:page;" filled="f" stroked="f" coordsize="21600,21600" o:gfxdata="UEsDBAoAAAAAAIdO4kAAAAAAAAAAAAAAAAAEAAAAZHJzL1BLAwQUAAAACACHTuJA0GJqR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QYmpE1AAA&#10;AAkBAAAPAAAAAAAAAAEAIAAAACIAAABkcnMvZG93bnJldi54bWxQSwECFAAUAAAACACHTuJAczXr&#10;GrABAABRAwAADgAAAAAAAAABACAAAAAjAQAAZHJzL2Uyb0RvYy54bWxQSwUGAAAAAAYABgBZAQAA&#10;RQUAAAAA&#10;">
                <v:fill on="f" focussize="0,0"/>
                <v:stroke on="f"/>
                <v:imagedata o:title=""/>
                <o:lock v:ext="edit" aspectratio="f"/>
                <v:textbox>
                  <w:txbxContent>
                    <w:p>
                      <w:pPr>
                        <w:rPr>
                          <w:rFonts w:cs="Times New Roman"/>
                        </w:rPr>
                      </w:pPr>
                    </w:p>
                  </w:txbxContent>
                </v:textbox>
              </v:shape>
            </w:pict>
          </mc:Fallback>
        </mc:AlternateContent>
      </w:r>
      <w:r>
        <w:rPr>
          <w:rFonts w:hint="eastAsia" w:ascii="仿宋" w:hAnsi="仿宋" w:eastAsia="仿宋" w:cs="仿宋"/>
          <w:color w:val="auto"/>
          <w:sz w:val="24"/>
          <w:szCs w:val="24"/>
          <w:highlight w:val="none"/>
        </w:rPr>
        <w:t>合同履行期间，出现工程量清单中分部分项工程缺项漏项事件的，合同双方当事人应调整合同价款。</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71.2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firstLine="1"/>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61344" behindDoc="0" locked="0" layoutInCell="1" allowOverlap="1">
                <wp:simplePos x="0" y="0"/>
                <wp:positionH relativeFrom="column">
                  <wp:posOffset>-66675</wp:posOffset>
                </wp:positionH>
                <wp:positionV relativeFrom="paragraph">
                  <wp:posOffset>8890</wp:posOffset>
                </wp:positionV>
                <wp:extent cx="914400" cy="692150"/>
                <wp:effectExtent l="0" t="0" r="0" b="0"/>
                <wp:wrapNone/>
                <wp:docPr id="296" name="文本框 300"/>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pPr>
                              <w:spacing w:line="240" w:lineRule="exact"/>
                              <w:rPr>
                                <w:rFonts w:cs="Times New Roman"/>
                                <w:sz w:val="18"/>
                                <w:szCs w:val="18"/>
                              </w:rPr>
                            </w:pPr>
                          </w:p>
                        </w:txbxContent>
                      </wps:txbx>
                      <wps:bodyPr upright="1"/>
                    </wps:wsp>
                  </a:graphicData>
                </a:graphic>
              </wp:anchor>
            </w:drawing>
          </mc:Choice>
          <mc:Fallback>
            <w:pict>
              <v:shape id="文本框 300" o:spid="_x0000_s1026" o:spt="202" type="#_x0000_t202" style="position:absolute;left:0pt;margin-left:-5.25pt;margin-top:0.7pt;height:54.5pt;width:72pt;z-index:251961344;mso-width-relative:page;mso-height-relative:page;" filled="f" stroked="f" coordsize="21600,21600" o:gfxdata="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DoijLdQAAAAJ&#10;AQAADwAAAAAAAAABACAAAAAiAAAAZHJzL2Rvd25yZXYueG1sUEsBAhQAFAAAAAgAh07iQKeiE62u&#10;AQAAUQMAAA4AAAAAAAAAAQAgAAAAIwEAAGRycy9lMm9Eb2MueG1sUEsFBgAAAAAGAAYAWQEAAEMF&#10;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pPr>
                        <w:spacing w:line="240" w:lineRule="exact"/>
                        <w:rPr>
                          <w:rFonts w:cs="Times New Roman"/>
                          <w:sz w:val="18"/>
                          <w:szCs w:val="18"/>
                        </w:rPr>
                      </w:pPr>
                    </w:p>
                  </w:txbxContent>
                </v:textbox>
              </v:shape>
            </w:pict>
          </mc:Fallback>
        </mc:AlternateContent>
      </w:r>
      <w:r>
        <w:rPr>
          <w:rFonts w:hint="eastAsia" w:ascii="仿宋" w:hAnsi="仿宋" w:eastAsia="仿宋" w:cs="仿宋"/>
          <w:color w:val="auto"/>
          <w:sz w:val="24"/>
          <w:szCs w:val="24"/>
          <w:highlight w:val="none"/>
        </w:rPr>
        <w:t>工程量清单中分部分项工程出现缺项漏项，造成新增工程量清单项目的，应按照第</w:t>
      </w:r>
      <w:r>
        <w:rPr>
          <w:rFonts w:ascii="仿宋" w:hAnsi="仿宋" w:eastAsia="仿宋" w:cs="仿宋"/>
          <w:color w:val="auto"/>
          <w:sz w:val="24"/>
          <w:szCs w:val="24"/>
          <w:highlight w:val="none"/>
        </w:rPr>
        <w:t>72.2</w:t>
      </w:r>
      <w:r>
        <w:rPr>
          <w:rFonts w:hint="eastAsia" w:ascii="仿宋" w:hAnsi="仿宋" w:eastAsia="仿宋" w:cs="仿宋"/>
          <w:color w:val="auto"/>
          <w:sz w:val="24"/>
          <w:szCs w:val="24"/>
          <w:highlight w:val="none"/>
        </w:rPr>
        <w:t>款规定计算调整的分部分项工程费。</w:t>
      </w:r>
    </w:p>
    <w:p>
      <w:pPr>
        <w:pStyle w:val="2"/>
        <w:shd w:val="clear" w:color="000000" w:fill="auto"/>
        <w:tabs>
          <w:tab w:val="left" w:pos="540"/>
        </w:tabs>
        <w:adjustRightInd w:val="0"/>
        <w:snapToGrid w:val="0"/>
        <w:spacing w:before="240" w:beforeLines="100"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71.3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
        <w:shd w:val="clear" w:color="000000" w:fill="auto"/>
        <w:adjustRightInd w:val="0"/>
        <w:snapToGrid w:val="0"/>
        <w:spacing w:line="360" w:lineRule="auto"/>
        <w:ind w:left="1619" w:leftChars="771" w:firstLine="2"/>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62368" behindDoc="0" locked="0" layoutInCell="1" allowOverlap="1">
                <wp:simplePos x="0" y="0"/>
                <wp:positionH relativeFrom="column">
                  <wp:posOffset>-133350</wp:posOffset>
                </wp:positionH>
                <wp:positionV relativeFrom="paragraph">
                  <wp:posOffset>5080</wp:posOffset>
                </wp:positionV>
                <wp:extent cx="914400" cy="692150"/>
                <wp:effectExtent l="0" t="0" r="0" b="0"/>
                <wp:wrapNone/>
                <wp:docPr id="297" name="文本框 301"/>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pPr>
                              <w:spacing w:line="240" w:lineRule="exact"/>
                              <w:rPr>
                                <w:rFonts w:cs="Times New Roman"/>
                                <w:sz w:val="18"/>
                                <w:szCs w:val="18"/>
                              </w:rPr>
                            </w:pPr>
                          </w:p>
                        </w:txbxContent>
                      </wps:txbx>
                      <wps:bodyPr upright="1"/>
                    </wps:wsp>
                  </a:graphicData>
                </a:graphic>
              </wp:anchor>
            </w:drawing>
          </mc:Choice>
          <mc:Fallback>
            <w:pict>
              <v:shape id="文本框 301" o:spid="_x0000_s1026" o:spt="202" type="#_x0000_t202" style="position:absolute;left:0pt;margin-left:-10.5pt;margin-top:0.4pt;height:54.5pt;width:72pt;z-index:251962368;mso-width-relative:page;mso-height-relative:page;" filled="f" stroked="f" coordsize="21600,21600" o:gfxdata="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198cOdUA&#10;AAAIAQAADwAAAAAAAAABACAAAAAiAAAAZHJzL2Rvd25yZXYueG1sUEsBAhQAFAAAAAgAh07iQIRb&#10;bQWwAQAAUQMAAA4AAAAAAAAAAQAgAAAAJAEAAGRycy9lMm9Eb2MueG1sUEsFBgAAAAAGAAYAWQEA&#10;AEY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pPr>
                        <w:spacing w:line="240" w:lineRule="exact"/>
                        <w:rPr>
                          <w:rFonts w:cs="Times New Roman"/>
                          <w:sz w:val="18"/>
                          <w:szCs w:val="18"/>
                        </w:rPr>
                      </w:pPr>
                    </w:p>
                  </w:txbxContent>
                </v:textbox>
              </v:shape>
            </w:pict>
          </mc:Fallback>
        </mc:AlternateContent>
      </w:r>
      <w:r>
        <w:rPr>
          <w:rFonts w:hint="eastAsia" w:ascii="仿宋" w:hAnsi="仿宋" w:eastAsia="仿宋" w:cs="仿宋"/>
          <w:color w:val="auto"/>
          <w:sz w:val="24"/>
          <w:szCs w:val="24"/>
          <w:highlight w:val="none"/>
        </w:rPr>
        <w:t>工程量清单中分部分项工程出现缺项漏项，引起增加措施项目的，应按照第</w:t>
      </w:r>
      <w:r>
        <w:rPr>
          <w:rFonts w:ascii="仿宋" w:hAnsi="仿宋" w:eastAsia="仿宋" w:cs="仿宋"/>
          <w:color w:val="auto"/>
          <w:sz w:val="24"/>
          <w:szCs w:val="24"/>
          <w:highlight w:val="none"/>
        </w:rPr>
        <w:t>72.3</w:t>
      </w:r>
      <w:r>
        <w:rPr>
          <w:rFonts w:hint="eastAsia" w:ascii="仿宋" w:hAnsi="仿宋" w:eastAsia="仿宋" w:cs="仿宋"/>
          <w:color w:val="auto"/>
          <w:sz w:val="24"/>
          <w:szCs w:val="24"/>
          <w:highlight w:val="none"/>
        </w:rPr>
        <w:t>款规定在提交的实施方案被批准后计算调整的措施项目费。</w:t>
      </w:r>
    </w:p>
    <w:p>
      <w:pPr>
        <w:pStyle w:val="2"/>
        <w:shd w:val="clear" w:color="000000" w:fill="auto"/>
        <w:adjustRightInd w:val="0"/>
        <w:snapToGrid w:val="0"/>
        <w:spacing w:line="380" w:lineRule="exact"/>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345" w:name="_Toc30621"/>
      <w:bookmarkStart w:id="346" w:name="_Toc10624896"/>
      <w:bookmarkStart w:id="347" w:name="_Toc469384056"/>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72  </w:t>
      </w:r>
      <w:r>
        <w:rPr>
          <w:rFonts w:hint="eastAsia" w:ascii="仿宋" w:hAnsi="仿宋" w:eastAsia="仿宋" w:cs="仿宋"/>
          <w:b/>
          <w:bCs/>
          <w:color w:val="auto"/>
          <w:sz w:val="24"/>
          <w:szCs w:val="24"/>
          <w:highlight w:val="none"/>
        </w:rPr>
        <w:t>工程变更事件</w:t>
      </w:r>
      <w:bookmarkEnd w:id="345"/>
      <w:bookmarkEnd w:id="346"/>
      <w:bookmarkEnd w:id="347"/>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963392" behindDoc="0" locked="0" layoutInCell="1" allowOverlap="1">
                <wp:simplePos x="0" y="0"/>
                <wp:positionH relativeFrom="column">
                  <wp:posOffset>-114300</wp:posOffset>
                </wp:positionH>
                <wp:positionV relativeFrom="paragraph">
                  <wp:posOffset>185420</wp:posOffset>
                </wp:positionV>
                <wp:extent cx="1028700" cy="396240"/>
                <wp:effectExtent l="0" t="0" r="0" b="0"/>
                <wp:wrapNone/>
                <wp:docPr id="298" name="文本框 302"/>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工程变更的价</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upright="1"/>
                    </wps:wsp>
                  </a:graphicData>
                </a:graphic>
              </wp:anchor>
            </w:drawing>
          </mc:Choice>
          <mc:Fallback>
            <w:pict>
              <v:shape id="文本框 302" o:spid="_x0000_s1026" o:spt="202" type="#_x0000_t202" style="position:absolute;left:0pt;margin-left:-9pt;margin-top:14.6pt;height:31.2pt;width:81pt;z-index:251963392;mso-width-relative:page;mso-height-relative:page;" filled="f" stroked="f" coordsize="21600,21600" o:gfxdata="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crj9K&#10;1wAAAAkBAAAPAAAAAAAAAAEAIAAAACIAAABkcnMvZG93bnJldi54bWxQSwECFAAUAAAACACHTuJA&#10;nmfWBrABAABSAwAADgAAAAAAAAABACAAAAAmAQAAZHJzL2Uyb0RvYy54bWxQSwUGAAAAAAYABgBZ&#10;AQAASA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工程变更的价</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shape>
            </w:pict>
          </mc:Fallback>
        </mc:AlternateContent>
      </w:r>
      <w:r>
        <w:rPr>
          <w:rFonts w:ascii="仿宋" w:hAnsi="仿宋" w:eastAsia="仿宋" w:cs="仿宋"/>
          <w:b/>
          <w:bCs/>
          <w:color w:val="auto"/>
          <w:sz w:val="24"/>
          <w:szCs w:val="24"/>
          <w:highlight w:val="none"/>
        </w:rPr>
        <w:t xml:space="preserve">72.1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合同履行期间，出现第</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条工程变更事件的，合同双方当事人应调整合同价款。</w:t>
      </w:r>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72.2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pPr>
        <w:pStyle w:val="2"/>
        <w:shd w:val="clear" w:color="000000" w:fill="auto"/>
        <w:adjustRightInd w:val="0"/>
        <w:snapToGrid w:val="0"/>
        <w:spacing w:line="360" w:lineRule="auto"/>
        <w:ind w:left="1620"/>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64416" behindDoc="0" locked="0" layoutInCell="1" allowOverlap="1">
                <wp:simplePos x="0" y="0"/>
                <wp:positionH relativeFrom="column">
                  <wp:posOffset>-114300</wp:posOffset>
                </wp:positionH>
                <wp:positionV relativeFrom="paragraph">
                  <wp:posOffset>6350</wp:posOffset>
                </wp:positionV>
                <wp:extent cx="914400" cy="593090"/>
                <wp:effectExtent l="0" t="0" r="0" b="0"/>
                <wp:wrapNone/>
                <wp:docPr id="299" name="文本框 303"/>
                <wp:cNvGraphicFramePr/>
                <a:graphic xmlns:a="http://schemas.openxmlformats.org/drawingml/2006/main">
                  <a:graphicData uri="http://schemas.microsoft.com/office/word/2010/wordprocessingShape">
                    <wps:wsp>
                      <wps:cNvSpPr txBox="1"/>
                      <wps:spPr>
                        <a:xfrm>
                          <a:off x="0" y="0"/>
                          <a:ext cx="914400" cy="59309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txbxContent>
                      </wps:txbx>
                      <wps:bodyPr upright="1"/>
                    </wps:wsp>
                  </a:graphicData>
                </a:graphic>
              </wp:anchor>
            </w:drawing>
          </mc:Choice>
          <mc:Fallback>
            <w:pict>
              <v:shape id="文本框 303" o:spid="_x0000_s1026" o:spt="202" type="#_x0000_t202" style="position:absolute;left:0pt;margin-left:-9pt;margin-top:0.5pt;height:46.7pt;width:72pt;z-index:251964416;mso-width-relative:page;mso-height-relative:page;" filled="f" stroked="f" coordsize="21600,21600" o:gfxdata="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fGOP/NUA&#10;AAAIAQAADwAAAAAAAAABACAAAAAiAAAAZHJzL2Rvd25yZXYueG1sUEsBAhQAFAAAAAgAh07iQAKl&#10;eoywAQAAUQMAAA4AAAAAAAAAAQAgAAAAJAEAAGRycy9lMm9Eb2MueG1sUEsFBgAAAAAGAAYAWQEA&#10;AEY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txbxContent>
                </v:textbox>
              </v:shape>
            </w:pict>
          </mc:Fallback>
        </mc:AlternateContent>
      </w:r>
      <w:r>
        <w:rPr>
          <w:rFonts w:hint="eastAsia" w:ascii="仿宋" w:hAnsi="仿宋" w:eastAsia="仿宋" w:cs="仿宋"/>
          <w:color w:val="auto"/>
          <w:sz w:val="24"/>
          <w:szCs w:val="24"/>
          <w:highlight w:val="none"/>
        </w:rPr>
        <w:t>工程变更引起分部分项工程项目发生变化，属于第</w:t>
      </w:r>
      <w:r>
        <w:rPr>
          <w:rFonts w:ascii="仿宋" w:hAnsi="仿宋" w:eastAsia="仿宋" w:cs="仿宋"/>
          <w:color w:val="auto"/>
          <w:sz w:val="24"/>
          <w:szCs w:val="24"/>
          <w:highlight w:val="none"/>
        </w:rPr>
        <w:t>73.2</w:t>
      </w:r>
      <w:r>
        <w:rPr>
          <w:rFonts w:hint="eastAsia" w:ascii="仿宋" w:hAnsi="仿宋" w:eastAsia="仿宋" w:cs="仿宋"/>
          <w:color w:val="auto"/>
          <w:sz w:val="24"/>
          <w:szCs w:val="24"/>
          <w:highlight w:val="none"/>
        </w:rPr>
        <w:t>款规定情况的，按照其规定调整；否则按照下列规定调整分部分项工程费：</w:t>
      </w:r>
    </w:p>
    <w:p>
      <w:pPr>
        <w:pStyle w:val="2"/>
        <w:shd w:val="clear" w:color="000000" w:fill="auto"/>
        <w:tabs>
          <w:tab w:val="left" w:pos="1380"/>
          <w:tab w:val="left" w:pos="2160"/>
        </w:tabs>
        <w:adjustRightInd w:val="0"/>
        <w:snapToGrid w:val="0"/>
        <w:spacing w:line="360" w:lineRule="auto"/>
        <w:ind w:left="1380" w:leftChars="657" w:firstLine="240" w:firstLineChars="100"/>
        <w:rPr>
          <w:rFonts w:ascii="仿宋" w:hAnsi="仿宋" w:eastAsia="仿宋" w:cs="仿宋"/>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合同中有适用于变更工程项目的，按照该项目的单价或合价调整</w:t>
      </w:r>
      <w:r>
        <w:rPr>
          <w:rFonts w:ascii="仿宋" w:hAnsi="仿宋" w:eastAsia="仿宋" w:cs="仿宋"/>
          <w:color w:val="auto"/>
          <w:sz w:val="24"/>
          <w:szCs w:val="24"/>
          <w:highlight w:val="none"/>
        </w:rPr>
        <w:t>;</w:t>
      </w:r>
    </w:p>
    <w:p>
      <w:pPr>
        <w:pStyle w:val="2"/>
        <w:shd w:val="clear" w:color="000000" w:fill="auto"/>
        <w:tabs>
          <w:tab w:val="left" w:pos="1620"/>
          <w:tab w:val="left" w:pos="2160"/>
        </w:tabs>
        <w:adjustRightInd w:val="0"/>
        <w:snapToGrid w:val="0"/>
        <w:spacing w:line="360" w:lineRule="auto"/>
        <w:ind w:left="1619" w:leftChars="771"/>
        <w:rPr>
          <w:rFonts w:ascii="仿宋" w:hAnsi="仿宋" w:eastAsia="仿宋" w:cs="仿宋"/>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合同中没有适用、只有类似于变更工程项目的，可在合理范围内参照类似项目的单价或合价调整</w:t>
      </w:r>
      <w:r>
        <w:rPr>
          <w:rFonts w:ascii="仿宋" w:hAnsi="仿宋" w:eastAsia="仿宋" w:cs="仿宋"/>
          <w:color w:val="auto"/>
          <w:sz w:val="24"/>
          <w:szCs w:val="24"/>
          <w:highlight w:val="none"/>
        </w:rPr>
        <w:t>;</w:t>
      </w:r>
    </w:p>
    <w:p>
      <w:pPr>
        <w:pStyle w:val="2"/>
        <w:shd w:val="clear" w:color="000000" w:fill="auto"/>
        <w:tabs>
          <w:tab w:val="left" w:pos="1380"/>
          <w:tab w:val="left" w:pos="2160"/>
        </w:tabs>
        <w:adjustRightInd w:val="0"/>
        <w:snapToGrid w:val="0"/>
        <w:spacing w:line="360" w:lineRule="auto"/>
        <w:ind w:left="1619"/>
        <w:rPr>
          <w:rFonts w:ascii="仿宋" w:hAnsi="仿宋" w:eastAsia="仿宋" w:cs="仿宋"/>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合同中没有适用也没有类似于变更工程项目的，根据变更工程资料、计量规则和计价办法、施工相应时期工程造价管理机构发布的价格信息和承包人报价浮动率提出变更工程项目的单价或合价，经合同双方当事人确认后调整</w:t>
      </w:r>
      <w:r>
        <w:rPr>
          <w:rFonts w:ascii="仿宋" w:hAnsi="仿宋" w:eastAsia="仿宋" w:cs="仿宋"/>
          <w:color w:val="auto"/>
          <w:sz w:val="24"/>
          <w:szCs w:val="24"/>
          <w:highlight w:val="none"/>
        </w:rPr>
        <w:t>;</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其中，招标工程：承包人报价浮动率</w:t>
      </w:r>
      <w:r>
        <w:rPr>
          <w:rFonts w:ascii="仿宋" w:hAnsi="仿宋" w:eastAsia="仿宋" w:cs="仿宋"/>
          <w:color w:val="auto"/>
          <w:sz w:val="24"/>
          <w:szCs w:val="24"/>
          <w:highlight w:val="none"/>
        </w:rPr>
        <w:t>L=</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中标价格</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招标控制价）×</w:t>
      </w:r>
      <w:r>
        <w:rPr>
          <w:rFonts w:ascii="仿宋" w:hAnsi="仿宋" w:eastAsia="仿宋" w:cs="仿宋"/>
          <w:color w:val="auto"/>
          <w:sz w:val="24"/>
          <w:szCs w:val="24"/>
          <w:highlight w:val="none"/>
        </w:rPr>
        <w:t>100%</w:t>
      </w:r>
      <w:r>
        <w:rPr>
          <w:rFonts w:hint="eastAsia" w:ascii="仿宋" w:hAnsi="仿宋" w:eastAsia="仿宋" w:cs="仿宋"/>
          <w:color w:val="auto"/>
          <w:sz w:val="24"/>
          <w:szCs w:val="24"/>
          <w:highlight w:val="none"/>
        </w:rPr>
        <w:t>；</w:t>
      </w:r>
    </w:p>
    <w:p>
      <w:pPr>
        <w:pStyle w:val="2"/>
        <w:shd w:val="clear" w:color="000000" w:fill="auto"/>
        <w:adjustRightInd w:val="0"/>
        <w:snapToGrid w:val="0"/>
        <w:spacing w:line="360" w:lineRule="auto"/>
        <w:ind w:firstLine="2160" w:firstLineChars="9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非招标工程：承包人报价浮动率</w:t>
      </w:r>
      <w:r>
        <w:rPr>
          <w:rFonts w:ascii="仿宋" w:hAnsi="仿宋" w:eastAsia="仿宋" w:cs="仿宋"/>
          <w:color w:val="auto"/>
          <w:sz w:val="24"/>
          <w:szCs w:val="24"/>
          <w:highlight w:val="none"/>
        </w:rPr>
        <w:t>L=</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报价值</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施工图预算）×</w:t>
      </w:r>
      <w:r>
        <w:rPr>
          <w:rFonts w:ascii="仿宋" w:hAnsi="仿宋" w:eastAsia="仿宋" w:cs="仿宋"/>
          <w:color w:val="auto"/>
          <w:sz w:val="24"/>
          <w:szCs w:val="24"/>
          <w:highlight w:val="none"/>
        </w:rPr>
        <w:t>100%</w:t>
      </w:r>
      <w:r>
        <w:rPr>
          <w:rFonts w:hint="eastAsia" w:ascii="仿宋" w:hAnsi="仿宋" w:eastAsia="仿宋" w:cs="仿宋"/>
          <w:color w:val="auto"/>
          <w:sz w:val="24"/>
          <w:szCs w:val="24"/>
          <w:highlight w:val="none"/>
        </w:rPr>
        <w:t>。</w:t>
      </w:r>
    </w:p>
    <w:p>
      <w:pPr>
        <w:pStyle w:val="2"/>
        <w:shd w:val="clear" w:color="000000" w:fill="auto"/>
        <w:adjustRightInd w:val="0"/>
        <w:snapToGrid w:val="0"/>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式中：中标价格、招标控制价或报价值、施工图预算，均不含绿色施工安全防护费。</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(4) </w:t>
      </w:r>
      <w:r>
        <w:rPr>
          <w:rFonts w:hint="eastAsia" w:ascii="仿宋" w:hAnsi="仿宋" w:eastAsia="仿宋" w:cs="仿宋"/>
          <w:color w:val="auto"/>
          <w:sz w:val="24"/>
          <w:szCs w:val="24"/>
          <w:highlight w:val="none"/>
        </w:rPr>
        <w:t>合同中没有适用也没有类似于变更工程项目，且施工相应时期工程造价管理机构发布的价格信息缺项的，根据变更工程资料、计量规则、计价办法和通过市场调查等的有合法依据的市场价格提出变更工程项目的单价或合价，经合同双方当事人确认后调整。</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72.3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65440"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300" name="文本框 30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wps:txbx>
                      <wps:bodyPr upright="1"/>
                    </wps:wsp>
                  </a:graphicData>
                </a:graphic>
              </wp:anchor>
            </w:drawing>
          </mc:Choice>
          <mc:Fallback>
            <w:pict>
              <v:shape id="文本框 304" o:spid="_x0000_s1026" o:spt="202" type="#_x0000_t202" style="position:absolute;left:0pt;margin-left:-9pt;margin-top:3.6pt;height:31.2pt;width:72pt;z-index:251965440;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lPS031QAA&#10;AAgBAAAPAAAAAAAAAAEAIAAAACIAAABkcnMvZG93bnJldi54bWxQSwECFAAUAAAACACHTuJAjjvX&#10;ma8BAABRAwAADgAAAAAAAAABACAAAAAkAQAAZHJzL2Uyb0RvYy54bWxQSwUGAAAAAAYABgBZAQAA&#10;RQ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v:textbox>
              </v:shape>
            </w:pict>
          </mc:Fallback>
        </mc:AlternateContent>
      </w:r>
      <w:r>
        <w:rPr>
          <w:rFonts w:hint="eastAsia" w:ascii="仿宋" w:hAnsi="仿宋" w:eastAsia="仿宋" w:cs="仿宋"/>
          <w:color w:val="auto"/>
          <w:sz w:val="24"/>
          <w:szCs w:val="24"/>
          <w:highlight w:val="none"/>
        </w:rPr>
        <w:t>工程变更引起措施项目发生变化的，合同双方当事人不利一方当事人有权提出调整措施项目费。提出调整措施项目费的，应事先将拟实施的方案提交另一方当事人确认，并详细说明与原方案措施项目相比的变化情况。拟实施的方案，经合同双方当事人确认后执行。该情况下，应按照下列规定调整措施项目费：</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rPr>
        <w:t>绿色施工安全防护费，按照实际发生变化的措施项目调整，不得浮动。</w:t>
      </w:r>
    </w:p>
    <w:p>
      <w:pPr>
        <w:pStyle w:val="2"/>
        <w:shd w:val="clear" w:color="000000" w:fill="auto"/>
        <w:adjustRightInd w:val="0"/>
        <w:snapToGrid w:val="0"/>
        <w:spacing w:line="360" w:lineRule="auto"/>
        <w:ind w:left="1630" w:leftChars="776"/>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凡可计算工程量的措施项目费，按照实际发生变化的措施项目的工程量乘以第</w:t>
      </w:r>
      <w:r>
        <w:rPr>
          <w:rFonts w:ascii="仿宋" w:hAnsi="仿宋" w:eastAsia="仿宋" w:cs="仿宋"/>
          <w:color w:val="auto"/>
          <w:sz w:val="24"/>
          <w:szCs w:val="24"/>
          <w:highlight w:val="none"/>
        </w:rPr>
        <w:t>72.2</w:t>
      </w:r>
      <w:r>
        <w:rPr>
          <w:rFonts w:hint="eastAsia" w:ascii="仿宋" w:hAnsi="仿宋" w:eastAsia="仿宋" w:cs="仿宋"/>
          <w:color w:val="auto"/>
          <w:sz w:val="24"/>
          <w:szCs w:val="24"/>
          <w:highlight w:val="none"/>
        </w:rPr>
        <w:t>款规定的单价或合价调整。</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凡按系数计算的措施项目费，除本款第</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点情形外，按照实际发生变化的措施项目调整，但应考虑承包人报价浮动因素，即调整金额按照实际调整金额乘以第</w:t>
      </w:r>
      <w:r>
        <w:rPr>
          <w:rFonts w:ascii="仿宋" w:hAnsi="仿宋" w:eastAsia="仿宋" w:cs="仿宋"/>
          <w:color w:val="auto"/>
          <w:sz w:val="24"/>
          <w:szCs w:val="24"/>
          <w:highlight w:val="none"/>
        </w:rPr>
        <w:t>72.2</w:t>
      </w:r>
      <w:r>
        <w:rPr>
          <w:rFonts w:hint="eastAsia" w:ascii="仿宋" w:hAnsi="仿宋" w:eastAsia="仿宋" w:cs="仿宋"/>
          <w:color w:val="auto"/>
          <w:sz w:val="24"/>
          <w:szCs w:val="24"/>
          <w:highlight w:val="none"/>
        </w:rPr>
        <w:t>款规定的承包人报价浮动率计算。</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如果不利一方当事人未按本款规定事先将拟实施的方案提交给另一方当事人，则认为工程变更不引起措施项目费的调整或不利一方当事人放弃调整措施项目费的权利。</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72.4  </w:t>
      </w:r>
      <w:r>
        <w:rPr>
          <w:rFonts w:ascii="仿宋" w:hAnsi="仿宋" w:eastAsia="仿宋" w:cs="仿宋"/>
          <w:b/>
          <w:bCs/>
          <w:color w:val="auto"/>
          <w:sz w:val="24"/>
          <w:szCs w:val="24"/>
          <w:highlight w:val="none"/>
          <w:u w:val="dotted"/>
        </w:rPr>
        <w:t xml:space="preserve">                                                                                                       </w:t>
      </w:r>
    </w:p>
    <w:p>
      <w:pPr>
        <w:shd w:val="clear" w:color="000000" w:fill="auto"/>
        <w:spacing w:line="360" w:lineRule="auto"/>
        <w:ind w:left="1676" w:leftChars="798"/>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66464" behindDoc="0" locked="0" layoutInCell="1" allowOverlap="1">
                <wp:simplePos x="0" y="0"/>
                <wp:positionH relativeFrom="column">
                  <wp:posOffset>-114300</wp:posOffset>
                </wp:positionH>
                <wp:positionV relativeFrom="paragraph">
                  <wp:posOffset>13335</wp:posOffset>
                </wp:positionV>
                <wp:extent cx="1028700" cy="766445"/>
                <wp:effectExtent l="0" t="0" r="0" b="0"/>
                <wp:wrapNone/>
                <wp:docPr id="301" name="文本框 305"/>
                <wp:cNvGraphicFramePr/>
                <a:graphic xmlns:a="http://schemas.openxmlformats.org/drawingml/2006/main">
                  <a:graphicData uri="http://schemas.microsoft.com/office/word/2010/wordprocessingShape">
                    <wps:wsp>
                      <wps:cNvSpPr txBox="1"/>
                      <wps:spPr>
                        <a:xfrm>
                          <a:off x="0" y="0"/>
                          <a:ext cx="1028700" cy="76644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调整承包人报</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txbxContent>
                      </wps:txbx>
                      <wps:bodyPr upright="1"/>
                    </wps:wsp>
                  </a:graphicData>
                </a:graphic>
              </wp:anchor>
            </w:drawing>
          </mc:Choice>
          <mc:Fallback>
            <w:pict>
              <v:shape id="文本框 305" o:spid="_x0000_s1026" o:spt="202" type="#_x0000_t202" style="position:absolute;left:0pt;margin-left:-9pt;margin-top:1.05pt;height:60.35pt;width:81pt;z-index:251966464;mso-width-relative:page;mso-height-relative:page;" filled="f" stroked="f" coordsize="21600,21600" o:gfxdata="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gDLkB&#10;1gAAAAkBAAAPAAAAAAAAAAEAIAAAACIAAABkcnMvZG93bnJldi54bWxQSwECFAAUAAAACACHTuJA&#10;q9aeaLEBAABSAwAADgAAAAAAAAABACAAAAAlAQAAZHJzL2Uyb0RvYy54bWxQSwUGAAAAAAYABgBZ&#10;AQAASA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调整承包人报</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txbxContent>
                </v:textbox>
              </v:shape>
            </w:pict>
          </mc:Fallback>
        </mc:AlternateContent>
      </w:r>
      <w:r>
        <w:rPr>
          <w:rFonts w:hint="eastAsia" w:ascii="仿宋" w:hAnsi="仿宋" w:eastAsia="仿宋" w:cs="仿宋"/>
          <w:color w:val="auto"/>
          <w:sz w:val="24"/>
          <w:szCs w:val="24"/>
          <w:highlight w:val="none"/>
        </w:rPr>
        <w:t>工程量发生变化的分部分项工程项目，如承包人投标价分部分项清单项目填报的综合单价与发包人招标控制价或预算价相应清单项目的综合单价偏差超过一定幅度时，合同双方当事人应调整合同价款。调整工程价款时，合同双方当事人不利一方应事先向另一方提出，经合同双方当事人确认后执行。除专用条款另有约定外，应按照下列规定调整分部分项工程费：</w:t>
      </w:r>
    </w:p>
    <w:p>
      <w:pPr>
        <w:pStyle w:val="2"/>
        <w:shd w:val="clear" w:color="000000" w:fill="auto"/>
        <w:adjustRightInd w:val="0"/>
        <w:snapToGrid w:val="0"/>
        <w:spacing w:line="360" w:lineRule="auto"/>
        <w:ind w:left="1619" w:leftChars="771"/>
        <w:rPr>
          <w:rFonts w:ascii="仿宋" w:hAnsi="仿宋" w:eastAsia="仿宋" w:cs="仿宋"/>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当</w:t>
      </w: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 xml:space="preserve">0 </w:t>
      </w:r>
      <w:r>
        <w:rPr>
          <w:rFonts w:ascii="仿宋" w:hAnsi="仿宋" w:eastAsia="仿宋" w:cs="仿宋"/>
          <w:color w:val="auto"/>
          <w:sz w:val="24"/>
          <w:szCs w:val="24"/>
          <w:highlight w:val="none"/>
        </w:rPr>
        <w:t>&lt;P</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(1-L)</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(1-15%)</w:t>
      </w:r>
      <w:r>
        <w:rPr>
          <w:rFonts w:hint="eastAsia" w:ascii="仿宋" w:hAnsi="仿宋" w:eastAsia="仿宋" w:cs="仿宋"/>
          <w:color w:val="auto"/>
          <w:sz w:val="24"/>
          <w:szCs w:val="24"/>
          <w:highlight w:val="none"/>
        </w:rPr>
        <w:t>时，该类项目的综合单价按照</w:t>
      </w: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(1-L)</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(1-15%)</w:t>
      </w:r>
      <w:r>
        <w:rPr>
          <w:rFonts w:hint="eastAsia" w:ascii="仿宋" w:hAnsi="仿宋" w:eastAsia="仿宋" w:cs="仿宋"/>
          <w:color w:val="auto"/>
          <w:sz w:val="24"/>
          <w:szCs w:val="24"/>
          <w:highlight w:val="none"/>
        </w:rPr>
        <w:t>调整。</w:t>
      </w:r>
      <w:r>
        <w:rPr>
          <w:rFonts w:ascii="仿宋" w:hAnsi="仿宋" w:eastAsia="仿宋" w:cs="仿宋"/>
          <w:color w:val="auto"/>
          <w:sz w:val="24"/>
          <w:szCs w:val="24"/>
          <w:highlight w:val="none"/>
        </w:rPr>
        <w:t xml:space="preserve"> </w:t>
      </w:r>
    </w:p>
    <w:p>
      <w:pPr>
        <w:pStyle w:val="2"/>
        <w:shd w:val="clear" w:color="000000" w:fill="auto"/>
        <w:adjustRightInd w:val="0"/>
        <w:snapToGrid w:val="0"/>
        <w:spacing w:line="360" w:lineRule="auto"/>
        <w:ind w:left="1619" w:leftChars="771"/>
        <w:rPr>
          <w:rFonts w:ascii="仿宋" w:hAnsi="仿宋" w:eastAsia="仿宋" w:cs="仿宋"/>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当</w:t>
      </w: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 xml:space="preserve">0 </w:t>
      </w:r>
      <w:r>
        <w:rPr>
          <w:rFonts w:ascii="仿宋" w:hAnsi="仿宋" w:eastAsia="仿宋" w:cs="仿宋"/>
          <w:color w:val="auto"/>
          <w:sz w:val="24"/>
          <w:szCs w:val="24"/>
          <w:highlight w:val="none"/>
        </w:rPr>
        <w:t>&gt;P</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(1+15%)</w:t>
      </w:r>
      <w:r>
        <w:rPr>
          <w:rFonts w:hint="eastAsia" w:ascii="仿宋" w:hAnsi="仿宋" w:eastAsia="仿宋" w:cs="仿宋"/>
          <w:color w:val="auto"/>
          <w:sz w:val="24"/>
          <w:szCs w:val="24"/>
          <w:highlight w:val="none"/>
        </w:rPr>
        <w:t>时，该类项目的综合单价按照</w:t>
      </w: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1+15%)</w:t>
      </w:r>
      <w:r>
        <w:rPr>
          <w:rFonts w:hint="eastAsia" w:ascii="仿宋" w:hAnsi="仿宋" w:eastAsia="仿宋" w:cs="仿宋"/>
          <w:color w:val="auto"/>
          <w:sz w:val="24"/>
          <w:szCs w:val="24"/>
          <w:highlight w:val="none"/>
        </w:rPr>
        <w:t>调整。</w:t>
      </w:r>
      <w:r>
        <w:rPr>
          <w:rFonts w:ascii="仿宋" w:hAnsi="仿宋" w:eastAsia="仿宋" w:cs="仿宋"/>
          <w:color w:val="auto"/>
          <w:sz w:val="24"/>
          <w:szCs w:val="24"/>
          <w:highlight w:val="none"/>
        </w:rPr>
        <w:t xml:space="preserve"> </w:t>
      </w:r>
    </w:p>
    <w:p>
      <w:pPr>
        <w:pStyle w:val="2"/>
        <w:shd w:val="clear" w:color="000000" w:fill="auto"/>
        <w:adjustRightInd w:val="0"/>
        <w:snapToGrid w:val="0"/>
        <w:spacing w:line="360" w:lineRule="auto"/>
        <w:ind w:firstLine="1620" w:firstLineChars="67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式中：</w:t>
      </w: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0</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承包人在工程量清单中填报的综合单价。</w:t>
      </w:r>
    </w:p>
    <w:p>
      <w:pPr>
        <w:pStyle w:val="2"/>
        <w:shd w:val="clear" w:color="000000" w:fill="auto"/>
        <w:adjustRightInd w:val="0"/>
        <w:snapToGrid w:val="0"/>
        <w:spacing w:line="360" w:lineRule="auto"/>
        <w:ind w:firstLine="2340" w:firstLineChars="975"/>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发包人招标控制价或施工预算相应清单项目的综合单价。</w:t>
      </w:r>
    </w:p>
    <w:p>
      <w:pPr>
        <w:pStyle w:val="2"/>
        <w:shd w:val="clear" w:color="000000" w:fill="auto"/>
        <w:adjustRightInd w:val="0"/>
        <w:snapToGrid w:val="0"/>
        <w:spacing w:line="360" w:lineRule="auto"/>
        <w:ind w:firstLine="2340" w:firstLineChars="975"/>
        <w:rPr>
          <w:rFonts w:ascii="仿宋" w:hAnsi="仿宋" w:eastAsia="仿宋" w:cs="Times New Roman"/>
          <w:b/>
          <w:bCs/>
          <w:color w:val="auto"/>
          <w:sz w:val="24"/>
          <w:szCs w:val="24"/>
          <w:highlight w:val="none"/>
        </w:rPr>
      </w:pPr>
      <w:r>
        <w:rPr>
          <w:rFonts w:ascii="仿宋" w:hAnsi="仿宋" w:eastAsia="仿宋" w:cs="仿宋"/>
          <w:color w:val="auto"/>
          <w:sz w:val="24"/>
          <w:szCs w:val="24"/>
          <w:highlight w:val="none"/>
        </w:rPr>
        <w:t>L——</w:t>
      </w:r>
      <w:r>
        <w:rPr>
          <w:rFonts w:hint="eastAsia" w:ascii="仿宋" w:hAnsi="仿宋" w:eastAsia="仿宋" w:cs="仿宋"/>
          <w:color w:val="auto"/>
          <w:sz w:val="24"/>
          <w:szCs w:val="24"/>
          <w:highlight w:val="none"/>
        </w:rPr>
        <w:t>第</w:t>
      </w:r>
      <w:r>
        <w:rPr>
          <w:rFonts w:ascii="仿宋" w:hAnsi="仿宋" w:eastAsia="仿宋" w:cs="仿宋"/>
          <w:color w:val="auto"/>
          <w:sz w:val="24"/>
          <w:szCs w:val="24"/>
          <w:highlight w:val="none"/>
        </w:rPr>
        <w:t>72.2</w:t>
      </w:r>
      <w:r>
        <w:rPr>
          <w:rFonts w:hint="eastAsia" w:ascii="仿宋" w:hAnsi="仿宋" w:eastAsia="仿宋" w:cs="仿宋"/>
          <w:color w:val="auto"/>
          <w:sz w:val="24"/>
          <w:szCs w:val="24"/>
          <w:highlight w:val="none"/>
        </w:rPr>
        <w:t>款规定的承包人报价浮动率。</w:t>
      </w:r>
    </w:p>
    <w:p>
      <w:pPr>
        <w:pStyle w:val="2"/>
        <w:shd w:val="clear" w:color="000000" w:fill="auto"/>
        <w:adjustRightInd w:val="0"/>
        <w:snapToGrid w:val="0"/>
        <w:spacing w:line="48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72.5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67488"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302" name="文本框 30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删减工作或工程的补偿</w:t>
                            </w:r>
                          </w:p>
                        </w:txbxContent>
                      </wps:txbx>
                      <wps:bodyPr upright="1"/>
                    </wps:wsp>
                  </a:graphicData>
                </a:graphic>
              </wp:anchor>
            </w:drawing>
          </mc:Choice>
          <mc:Fallback>
            <w:pict>
              <v:shape id="文本框 306" o:spid="_x0000_s1026" o:spt="202" type="#_x0000_t202" style="position:absolute;left:0pt;margin-left:-9pt;margin-top:3.6pt;height:31.2pt;width:72pt;z-index:251967488;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pT0tN9UA&#10;AAAIAQAADwAAAAAAAAABACAAAAAiAAAAZHJzL2Rvd25yZXYueG1sUEsBAhQAFAAAAAgAh07iQInP&#10;WxKwAQAAUQMAAA4AAAAAAAAAAQAgAAAAJAEAAGRycy9lMm9Eb2MueG1sUEsFBgAAAAAGAAYAWQEA&#10;AEY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删减工作或工程的补偿</w:t>
                      </w:r>
                    </w:p>
                  </w:txbxContent>
                </v:textbox>
              </v:shape>
            </w:pict>
          </mc:Fallback>
        </mc:AlternateContent>
      </w:r>
      <w:r>
        <w:rPr>
          <w:rFonts w:hint="eastAsia" w:ascii="仿宋" w:hAnsi="仿宋" w:eastAsia="仿宋" w:cs="仿宋"/>
          <w:color w:val="auto"/>
          <w:sz w:val="24"/>
          <w:szCs w:val="24"/>
          <w:highlight w:val="none"/>
        </w:rPr>
        <w:t>如果因为非承包人原因删减了合同中的某项原定工作或工程，致使承包人发生的费用或</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和</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得到的收益不能被包括在其他已支付或应支付的项目中，也未被包含在任何替代的工作或工程中，则承包人有权按照本条规定提出并得到补偿。</w:t>
      </w:r>
    </w:p>
    <w:p>
      <w:pPr>
        <w:pStyle w:val="2"/>
        <w:shd w:val="clear" w:color="000000" w:fill="auto"/>
        <w:adjustRightInd w:val="0"/>
        <w:snapToGrid w:val="0"/>
        <w:ind w:right="-238"/>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348" w:name="_Toc30592"/>
      <w:bookmarkStart w:id="349" w:name="_Toc469384057"/>
      <w:bookmarkStart w:id="350" w:name="_Toc10624897"/>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73  </w:t>
      </w:r>
      <w:r>
        <w:rPr>
          <w:rFonts w:hint="eastAsia" w:ascii="仿宋" w:hAnsi="仿宋" w:eastAsia="仿宋" w:cs="仿宋"/>
          <w:b/>
          <w:bCs/>
          <w:color w:val="auto"/>
          <w:sz w:val="24"/>
          <w:szCs w:val="24"/>
          <w:highlight w:val="none"/>
        </w:rPr>
        <w:t>工程量偏差事件</w:t>
      </w:r>
      <w:bookmarkEnd w:id="348"/>
      <w:bookmarkEnd w:id="349"/>
      <w:bookmarkEnd w:id="350"/>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73.1</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68512" behindDoc="0" locked="0" layoutInCell="1" allowOverlap="1">
                <wp:simplePos x="0" y="0"/>
                <wp:positionH relativeFrom="column">
                  <wp:posOffset>-114300</wp:posOffset>
                </wp:positionH>
                <wp:positionV relativeFrom="paragraph">
                  <wp:posOffset>1905</wp:posOffset>
                </wp:positionV>
                <wp:extent cx="1028700" cy="760095"/>
                <wp:effectExtent l="0" t="0" r="0" b="0"/>
                <wp:wrapNone/>
                <wp:docPr id="303" name="文本框 307"/>
                <wp:cNvGraphicFramePr/>
                <a:graphic xmlns:a="http://schemas.openxmlformats.org/drawingml/2006/main">
                  <a:graphicData uri="http://schemas.microsoft.com/office/word/2010/wordprocessingShape">
                    <wps:wsp>
                      <wps:cNvSpPr txBox="1"/>
                      <wps:spPr>
                        <a:xfrm>
                          <a:off x="0" y="0"/>
                          <a:ext cx="1028700" cy="76009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工程量偏差价</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upright="1"/>
                    </wps:wsp>
                  </a:graphicData>
                </a:graphic>
              </wp:anchor>
            </w:drawing>
          </mc:Choice>
          <mc:Fallback>
            <w:pict>
              <v:shape id="文本框 307" o:spid="_x0000_s1026" o:spt="202" type="#_x0000_t202" style="position:absolute;left:0pt;margin-left:-9pt;margin-top:0.15pt;height:59.85pt;width:81pt;z-index:251968512;mso-width-relative:page;mso-height-relative:page;" filled="f" stroked="f" coordsize="21600,21600" o:gfxdata="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O589U7UAAAA&#10;CAEAAA8AAAAAAAAAAQAgAAAAIgAAAGRycy9kb3ducmV2LnhtbFBLAQIUABQAAAAIAIdO4kDITRJH&#10;rwEAAFIDAAAOAAAAAAAAAAEAIAAAACMBAABkcnMvZTJvRG9jLnhtbFBLBQYAAAAABgAGAFkBAABE&#10;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工程量偏差价</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shape>
            </w:pict>
          </mc:Fallback>
        </mc:AlternateContent>
      </w:r>
      <w:r>
        <w:rPr>
          <w:rFonts w:hint="eastAsia" w:ascii="仿宋" w:hAnsi="仿宋" w:eastAsia="仿宋" w:cs="仿宋"/>
          <w:color w:val="auto"/>
          <w:sz w:val="24"/>
          <w:szCs w:val="24"/>
          <w:highlight w:val="none"/>
        </w:rPr>
        <w:t>工程量偏差是指承包人按照合同签订时的图纸（含经发包人批准由承包人提供的施工设计图纸和履行本合同的相关大样合同履行期间，出现工程量偏差，且符合第</w:t>
      </w:r>
      <w:r>
        <w:rPr>
          <w:rFonts w:ascii="仿宋" w:hAnsi="仿宋" w:eastAsia="仿宋" w:cs="仿宋"/>
          <w:color w:val="auto"/>
          <w:sz w:val="24"/>
          <w:szCs w:val="24"/>
          <w:highlight w:val="none"/>
        </w:rPr>
        <w:t>73.2</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73.3</w:t>
      </w:r>
      <w:r>
        <w:rPr>
          <w:rFonts w:hint="eastAsia" w:ascii="仿宋" w:hAnsi="仿宋" w:eastAsia="仿宋" w:cs="仿宋"/>
          <w:color w:val="auto"/>
          <w:sz w:val="24"/>
          <w:szCs w:val="24"/>
          <w:highlight w:val="none"/>
        </w:rPr>
        <w:t>款规定事件的，合同双方当事人应调整合同价款。调整合同价款时，出现第</w:t>
      </w:r>
      <w:r>
        <w:rPr>
          <w:rFonts w:ascii="仿宋" w:hAnsi="仿宋" w:eastAsia="仿宋" w:cs="仿宋"/>
          <w:color w:val="auto"/>
          <w:sz w:val="24"/>
          <w:szCs w:val="24"/>
          <w:highlight w:val="none"/>
        </w:rPr>
        <w:t>72.4</w:t>
      </w:r>
      <w:r>
        <w:rPr>
          <w:rFonts w:hint="eastAsia" w:ascii="仿宋" w:hAnsi="仿宋" w:eastAsia="仿宋" w:cs="仿宋"/>
          <w:color w:val="auto"/>
          <w:sz w:val="24"/>
          <w:szCs w:val="24"/>
          <w:highlight w:val="none"/>
        </w:rPr>
        <w:t>款情形的，应先按照其规定调整，再按照本条规定调整。</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图等）实施、完成合同工程的应予计量的实际工程量与工程量清单开列的工程量之间的偏差。</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73.2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69536" behindDoc="0" locked="0" layoutInCell="1" allowOverlap="1">
                <wp:simplePos x="0" y="0"/>
                <wp:positionH relativeFrom="column">
                  <wp:posOffset>-114300</wp:posOffset>
                </wp:positionH>
                <wp:positionV relativeFrom="paragraph">
                  <wp:posOffset>26670</wp:posOffset>
                </wp:positionV>
                <wp:extent cx="914400" cy="444500"/>
                <wp:effectExtent l="0" t="0" r="0" b="0"/>
                <wp:wrapNone/>
                <wp:docPr id="304" name="文本框 308"/>
                <wp:cNvGraphicFramePr/>
                <a:graphic xmlns:a="http://schemas.openxmlformats.org/drawingml/2006/main">
                  <a:graphicData uri="http://schemas.microsoft.com/office/word/2010/wordprocessingShape">
                    <wps:wsp>
                      <wps:cNvSpPr txBox="1"/>
                      <wps:spPr>
                        <a:xfrm>
                          <a:off x="0" y="0"/>
                          <a:ext cx="914400" cy="444500"/>
                        </a:xfrm>
                        <a:prstGeom prst="rect">
                          <a:avLst/>
                        </a:prstGeom>
                        <a:noFill/>
                        <a:ln>
                          <a:noFill/>
                        </a:ln>
                      </wps:spPr>
                      <wps:txbx>
                        <w:txbxContent>
                          <w:p>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调整分部分项工程费的方法</w:t>
                            </w:r>
                          </w:p>
                        </w:txbxContent>
                      </wps:txbx>
                      <wps:bodyPr upright="1"/>
                    </wps:wsp>
                  </a:graphicData>
                </a:graphic>
              </wp:anchor>
            </w:drawing>
          </mc:Choice>
          <mc:Fallback>
            <w:pict>
              <v:shape id="文本框 308" o:spid="_x0000_s1026" o:spt="202" type="#_x0000_t202" style="position:absolute;left:0pt;margin-left:-9pt;margin-top:2.1pt;height:35pt;width:72pt;z-index:251969536;mso-width-relative:page;mso-height-relative:page;" filled="f" stroked="f" coordsize="21600,21600" o:gfxdata="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Uiq+t1QAA&#10;AAgBAAAPAAAAAAAAAAEAIAAAACIAAABkcnMvZG93bnJldi54bWxQSwECFAAUAAAACACHTuJAm0gW&#10;y68BAABRAwAADgAAAAAAAAABACAAAAAkAQAAZHJzL2Uyb0RvYy54bWxQSwUGAAAAAAYABgBZAQAA&#10;RQUAAAAA&#10;">
                <v:fill on="f" focussize="0,0"/>
                <v:stroke on="f"/>
                <v:imagedata o:title=""/>
                <o:lock v:ext="edit" aspectratio="f"/>
                <v:textbox>
                  <w:txbxContent>
                    <w:p>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调整分部分项工程费的方法</w:t>
                      </w:r>
                    </w:p>
                  </w:txbxContent>
                </v:textbox>
              </v:shape>
            </w:pict>
          </mc:Fallback>
        </mc:AlternateContent>
      </w:r>
      <w:r>
        <w:rPr>
          <w:rFonts w:hint="eastAsia" w:ascii="仿宋" w:hAnsi="仿宋" w:eastAsia="仿宋" w:cs="仿宋"/>
          <w:color w:val="auto"/>
          <w:sz w:val="24"/>
          <w:szCs w:val="24"/>
          <w:highlight w:val="none"/>
        </w:rPr>
        <w:t>对于某一分部分项工程项目，如果因本条规定工程量偏差和第</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条规定工程变更等原因导致工程量偏差超过</w:t>
      </w:r>
      <w:r>
        <w:rPr>
          <w:rFonts w:ascii="仿宋" w:hAnsi="仿宋" w:eastAsia="仿宋" w:cs="仿宋"/>
          <w:color w:val="auto"/>
          <w:sz w:val="24"/>
          <w:szCs w:val="24"/>
          <w:highlight w:val="none"/>
        </w:rPr>
        <w:t>10%</w:t>
      </w:r>
      <w:r>
        <w:rPr>
          <w:rFonts w:hint="eastAsia" w:ascii="仿宋" w:hAnsi="仿宋" w:eastAsia="仿宋" w:cs="仿宋"/>
          <w:color w:val="auto"/>
          <w:sz w:val="24"/>
          <w:szCs w:val="24"/>
          <w:highlight w:val="none"/>
        </w:rPr>
        <w:t>，且该变化使其分部分项工程费变化超过</w:t>
      </w:r>
      <w:r>
        <w:rPr>
          <w:rFonts w:ascii="仿宋" w:hAnsi="仿宋" w:eastAsia="仿宋" w:cs="仿宋"/>
          <w:color w:val="auto"/>
          <w:sz w:val="24"/>
          <w:szCs w:val="24"/>
          <w:highlight w:val="none"/>
        </w:rPr>
        <w:t>0.1%</w:t>
      </w:r>
      <w:r>
        <w:rPr>
          <w:rFonts w:hint="eastAsia" w:ascii="仿宋" w:hAnsi="仿宋" w:eastAsia="仿宋" w:cs="仿宋"/>
          <w:color w:val="auto"/>
          <w:sz w:val="24"/>
          <w:szCs w:val="24"/>
          <w:highlight w:val="none"/>
        </w:rPr>
        <w:t>，则超过</w:t>
      </w:r>
      <w:r>
        <w:rPr>
          <w:rFonts w:ascii="仿宋" w:hAnsi="仿宋" w:eastAsia="仿宋" w:cs="仿宋"/>
          <w:color w:val="auto"/>
          <w:sz w:val="24"/>
          <w:szCs w:val="24"/>
          <w:highlight w:val="none"/>
        </w:rPr>
        <w:t>10%</w:t>
      </w:r>
      <w:r>
        <w:rPr>
          <w:rFonts w:hint="eastAsia" w:ascii="仿宋" w:hAnsi="仿宋" w:eastAsia="仿宋" w:cs="仿宋"/>
          <w:color w:val="auto"/>
          <w:sz w:val="24"/>
          <w:szCs w:val="24"/>
          <w:highlight w:val="none"/>
        </w:rPr>
        <w:t>部分的综合单价应予调整。除专用条款另有约定外，应按照下列规定调整该分部分项工程费结算价：</w:t>
      </w:r>
    </w:p>
    <w:p>
      <w:pPr>
        <w:pStyle w:val="2"/>
        <w:shd w:val="clear" w:color="000000" w:fill="auto"/>
        <w:adjustRightInd w:val="0"/>
        <w:snapToGrid w:val="0"/>
        <w:spacing w:line="360" w:lineRule="auto"/>
        <w:ind w:left="2145" w:leftChars="707" w:hanging="660" w:hangingChars="27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）当</w:t>
      </w:r>
      <w:r>
        <w:rPr>
          <w:rFonts w:ascii="仿宋" w:hAnsi="仿宋" w:eastAsia="仿宋" w:cs="仿宋"/>
          <w:color w:val="auto"/>
          <w:sz w:val="24"/>
          <w:szCs w:val="24"/>
          <w:highlight w:val="none"/>
        </w:rPr>
        <w:t>Q</w:t>
      </w:r>
      <w:r>
        <w:rPr>
          <w:rFonts w:ascii="仿宋" w:hAnsi="仿宋" w:eastAsia="仿宋" w:cs="仿宋"/>
          <w:color w:val="auto"/>
          <w:sz w:val="24"/>
          <w:szCs w:val="24"/>
          <w:highlight w:val="none"/>
          <w:vertAlign w:val="subscript"/>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1.1Q</w:t>
      </w:r>
      <w:r>
        <w:rPr>
          <w:rFonts w:ascii="仿宋" w:hAnsi="仿宋" w:eastAsia="仿宋" w:cs="仿宋"/>
          <w:color w:val="auto"/>
          <w:sz w:val="24"/>
          <w:szCs w:val="24"/>
          <w:highlight w:val="none"/>
          <w:vertAlign w:val="subscript"/>
        </w:rPr>
        <w:t>0</w:t>
      </w:r>
      <w:r>
        <w:rPr>
          <w:rFonts w:hint="eastAsia" w:ascii="仿宋" w:hAnsi="仿宋" w:eastAsia="仿宋" w:cs="仿宋"/>
          <w:color w:val="auto"/>
          <w:sz w:val="24"/>
          <w:szCs w:val="24"/>
          <w:highlight w:val="none"/>
        </w:rPr>
        <w:t>时，</w:t>
      </w:r>
      <w:r>
        <w:rPr>
          <w:rFonts w:ascii="仿宋" w:hAnsi="仿宋" w:eastAsia="仿宋" w:cs="仿宋"/>
          <w:color w:val="auto"/>
          <w:sz w:val="24"/>
          <w:szCs w:val="24"/>
          <w:highlight w:val="none"/>
        </w:rPr>
        <w:t>S=1.1Q</w:t>
      </w:r>
      <w:r>
        <w:rPr>
          <w:rFonts w:ascii="仿宋" w:hAnsi="仿宋" w:eastAsia="仿宋" w:cs="仿宋"/>
          <w:color w:val="auto"/>
          <w:sz w:val="24"/>
          <w:szCs w:val="24"/>
          <w:highlight w:val="none"/>
          <w:vertAlign w:val="subscript"/>
        </w:rPr>
        <w:t>0</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0</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Q</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-1.1Q</w:t>
      </w:r>
      <w:r>
        <w:rPr>
          <w:rFonts w:ascii="仿宋" w:hAnsi="仿宋" w:eastAsia="仿宋" w:cs="仿宋"/>
          <w:color w:val="auto"/>
          <w:sz w:val="24"/>
          <w:szCs w:val="24"/>
          <w:highlight w:val="none"/>
          <w:vertAlign w:val="subscript"/>
        </w:rPr>
        <w:t>0</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1</w:t>
      </w:r>
    </w:p>
    <w:p>
      <w:pPr>
        <w:pStyle w:val="2"/>
        <w:shd w:val="clear" w:color="000000" w:fill="auto"/>
        <w:adjustRightInd w:val="0"/>
        <w:snapToGrid w:val="0"/>
        <w:spacing w:line="360" w:lineRule="auto"/>
        <w:ind w:left="2057" w:leftChars="694" w:hanging="600" w:hangingChars="250"/>
        <w:rPr>
          <w:rFonts w:ascii="仿宋" w:hAnsi="仿宋" w:eastAsia="仿宋" w:cs="仿宋"/>
          <w:color w:val="auto"/>
          <w:sz w:val="24"/>
          <w:szCs w:val="24"/>
          <w:highlight w:val="none"/>
          <w:vertAlign w:val="subscript"/>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）当</w:t>
      </w:r>
      <w:r>
        <w:rPr>
          <w:rFonts w:ascii="仿宋" w:hAnsi="仿宋" w:eastAsia="仿宋" w:cs="仿宋"/>
          <w:color w:val="auto"/>
          <w:sz w:val="24"/>
          <w:szCs w:val="24"/>
          <w:highlight w:val="none"/>
        </w:rPr>
        <w:t>Q</w:t>
      </w:r>
      <w:r>
        <w:rPr>
          <w:rFonts w:ascii="仿宋" w:hAnsi="仿宋" w:eastAsia="仿宋" w:cs="仿宋"/>
          <w:color w:val="auto"/>
          <w:sz w:val="24"/>
          <w:szCs w:val="24"/>
          <w:highlight w:val="none"/>
          <w:vertAlign w:val="subscript"/>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0.9Q</w:t>
      </w:r>
      <w:r>
        <w:rPr>
          <w:rFonts w:ascii="仿宋" w:hAnsi="仿宋" w:eastAsia="仿宋" w:cs="仿宋"/>
          <w:color w:val="auto"/>
          <w:sz w:val="24"/>
          <w:szCs w:val="24"/>
          <w:highlight w:val="none"/>
          <w:vertAlign w:val="subscript"/>
        </w:rPr>
        <w:t>0</w:t>
      </w:r>
      <w:r>
        <w:rPr>
          <w:rFonts w:hint="eastAsia" w:ascii="仿宋" w:hAnsi="仿宋" w:eastAsia="仿宋" w:cs="仿宋"/>
          <w:color w:val="auto"/>
          <w:sz w:val="24"/>
          <w:szCs w:val="24"/>
          <w:highlight w:val="none"/>
        </w:rPr>
        <w:t>时，</w:t>
      </w:r>
      <w:r>
        <w:rPr>
          <w:rFonts w:ascii="仿宋" w:hAnsi="仿宋" w:eastAsia="仿宋" w:cs="仿宋"/>
          <w:color w:val="auto"/>
          <w:sz w:val="24"/>
          <w:szCs w:val="24"/>
          <w:highlight w:val="none"/>
        </w:rPr>
        <w:t>S=0.9Q</w:t>
      </w:r>
      <w:r>
        <w:rPr>
          <w:rFonts w:ascii="仿宋" w:hAnsi="仿宋" w:eastAsia="仿宋" w:cs="仿宋"/>
          <w:color w:val="auto"/>
          <w:sz w:val="24"/>
          <w:szCs w:val="24"/>
          <w:highlight w:val="none"/>
          <w:vertAlign w:val="subscript"/>
        </w:rPr>
        <w:t>0</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0</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0.9Q</w:t>
      </w:r>
      <w:r>
        <w:rPr>
          <w:rFonts w:ascii="仿宋" w:hAnsi="仿宋" w:eastAsia="仿宋" w:cs="仿宋"/>
          <w:color w:val="auto"/>
          <w:sz w:val="24"/>
          <w:szCs w:val="24"/>
          <w:highlight w:val="none"/>
          <w:vertAlign w:val="subscript"/>
        </w:rPr>
        <w:t>0</w:t>
      </w:r>
      <w:r>
        <w:rPr>
          <w:rFonts w:ascii="仿宋" w:hAnsi="仿宋" w:eastAsia="仿宋" w:cs="仿宋"/>
          <w:color w:val="auto"/>
          <w:sz w:val="24"/>
          <w:szCs w:val="24"/>
          <w:highlight w:val="none"/>
        </w:rPr>
        <w:t>-Q</w:t>
      </w:r>
      <w:r>
        <w:rPr>
          <w:rFonts w:ascii="仿宋" w:hAnsi="仿宋" w:eastAsia="仿宋" w:cs="仿宋"/>
          <w:color w:val="auto"/>
          <w:sz w:val="24"/>
          <w:szCs w:val="24"/>
          <w:highlight w:val="none"/>
          <w:vertAlign w:val="subscript"/>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1</w:t>
      </w:r>
    </w:p>
    <w:p>
      <w:pPr>
        <w:pStyle w:val="2"/>
        <w:shd w:val="clear" w:color="000000" w:fill="auto"/>
        <w:adjustRightInd w:val="0"/>
        <w:snapToGrid w:val="0"/>
        <w:spacing w:line="360" w:lineRule="auto"/>
        <w:ind w:firstLine="1620" w:firstLineChars="67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式中</w:t>
      </w:r>
      <w:r>
        <w:rPr>
          <w:rFonts w:ascii="仿宋" w:hAnsi="仿宋" w:eastAsia="仿宋" w:cs="仿宋"/>
          <w:color w:val="auto"/>
          <w:sz w:val="24"/>
          <w:szCs w:val="24"/>
          <w:highlight w:val="none"/>
        </w:rPr>
        <w:t>S——</w:t>
      </w:r>
      <w:r>
        <w:rPr>
          <w:rFonts w:hint="eastAsia" w:ascii="仿宋" w:hAnsi="仿宋" w:eastAsia="仿宋" w:cs="仿宋"/>
          <w:color w:val="auto"/>
          <w:sz w:val="24"/>
          <w:szCs w:val="24"/>
          <w:highlight w:val="none"/>
        </w:rPr>
        <w:t>调整后的某一分部分项工程费结算价；</w:t>
      </w:r>
    </w:p>
    <w:p>
      <w:pPr>
        <w:pStyle w:val="2"/>
        <w:shd w:val="clear" w:color="000000" w:fill="auto"/>
        <w:adjustRightInd w:val="0"/>
        <w:snapToGrid w:val="0"/>
        <w:spacing w:line="360" w:lineRule="auto"/>
        <w:ind w:firstLine="2160" w:firstLineChars="9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Q</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最终完成的工程量；</w:t>
      </w:r>
    </w:p>
    <w:p>
      <w:pPr>
        <w:pStyle w:val="2"/>
        <w:shd w:val="clear" w:color="000000" w:fill="auto"/>
        <w:adjustRightInd w:val="0"/>
        <w:snapToGrid w:val="0"/>
        <w:spacing w:line="360" w:lineRule="auto"/>
        <w:ind w:firstLine="2160" w:firstLineChars="9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Q</w:t>
      </w:r>
      <w:r>
        <w:rPr>
          <w:rFonts w:ascii="仿宋" w:hAnsi="仿宋" w:eastAsia="仿宋" w:cs="仿宋"/>
          <w:color w:val="auto"/>
          <w:sz w:val="24"/>
          <w:szCs w:val="24"/>
          <w:highlight w:val="none"/>
          <w:vertAlign w:val="subscript"/>
        </w:rPr>
        <w:t>0</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工程量清单中开列的工程量；</w:t>
      </w:r>
    </w:p>
    <w:p>
      <w:pPr>
        <w:pStyle w:val="2"/>
        <w:shd w:val="clear" w:color="000000" w:fill="auto"/>
        <w:adjustRightInd w:val="0"/>
        <w:snapToGrid w:val="0"/>
        <w:spacing w:line="360" w:lineRule="auto"/>
        <w:ind w:firstLine="2160" w:firstLineChars="9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按照最终完成工程量重新调整后的综合单价；</w:t>
      </w:r>
    </w:p>
    <w:p>
      <w:pPr>
        <w:pStyle w:val="2"/>
        <w:shd w:val="clear" w:color="000000" w:fill="auto"/>
        <w:adjustRightInd w:val="0"/>
        <w:snapToGrid w:val="0"/>
        <w:spacing w:line="360" w:lineRule="auto"/>
        <w:ind w:firstLine="2160" w:firstLineChars="900"/>
        <w:rPr>
          <w:rFonts w:ascii="仿宋" w:hAnsi="仿宋" w:eastAsia="仿宋" w:cs="Times New Roman"/>
          <w:b/>
          <w:bCs/>
          <w:color w:val="auto"/>
          <w:sz w:val="24"/>
          <w:szCs w:val="24"/>
          <w:highlight w:val="none"/>
        </w:rPr>
      </w:pP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0</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承包人在工程量清单中填报的综合单价。</w:t>
      </w:r>
    </w:p>
    <w:p>
      <w:pPr>
        <w:pStyle w:val="2"/>
        <w:shd w:val="clear" w:color="000000" w:fill="auto"/>
        <w:adjustRightInd w:val="0"/>
        <w:snapToGrid w:val="0"/>
        <w:spacing w:line="48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73.3</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70560" behindDoc="0" locked="0" layoutInCell="1" allowOverlap="1">
                <wp:simplePos x="0" y="0"/>
                <wp:positionH relativeFrom="column">
                  <wp:posOffset>-114300</wp:posOffset>
                </wp:positionH>
                <wp:positionV relativeFrom="paragraph">
                  <wp:posOffset>51435</wp:posOffset>
                </wp:positionV>
                <wp:extent cx="914400" cy="505460"/>
                <wp:effectExtent l="0" t="0" r="0" b="0"/>
                <wp:wrapNone/>
                <wp:docPr id="305" name="文本框 309"/>
                <wp:cNvGraphicFramePr/>
                <a:graphic xmlns:a="http://schemas.openxmlformats.org/drawingml/2006/main">
                  <a:graphicData uri="http://schemas.microsoft.com/office/word/2010/wordprocessingShape">
                    <wps:wsp>
                      <wps:cNvSpPr txBox="1"/>
                      <wps:spPr>
                        <a:xfrm>
                          <a:off x="0" y="0"/>
                          <a:ext cx="914400" cy="50546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wps:txbx>
                      <wps:bodyPr upright="1"/>
                    </wps:wsp>
                  </a:graphicData>
                </a:graphic>
              </wp:anchor>
            </w:drawing>
          </mc:Choice>
          <mc:Fallback>
            <w:pict>
              <v:shape id="文本框 309" o:spid="_x0000_s1026" o:spt="202" type="#_x0000_t202" style="position:absolute;left:0pt;margin-left:-9pt;margin-top:4.05pt;height:39.8pt;width:72pt;z-index:251970560;mso-width-relative:page;mso-height-relative:page;" filled="f" stroked="f" coordsize="21600,21600" o:gfxdata="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UWMptQA&#10;AAAIAQAADwAAAAAAAAABACAAAAAiAAAAZHJzL2Rvd25yZXYueG1sUEsBAhQAFAAAAAgAh07iQLaZ&#10;GqKxAQAAUQMAAA4AAAAAAAAAAQAgAAAAIwEAAGRycy9lMm9Eb2MueG1sUEsFBgAAAAAGAAYAWQEA&#10;AEY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v:textbox>
              </v:shape>
            </w:pict>
          </mc:Fallback>
        </mc:AlternateContent>
      </w:r>
      <w:r>
        <w:rPr>
          <w:rFonts w:hint="eastAsia" w:ascii="仿宋" w:hAnsi="仿宋" w:eastAsia="仿宋" w:cs="仿宋"/>
          <w:color w:val="auto"/>
          <w:sz w:val="24"/>
          <w:szCs w:val="24"/>
          <w:highlight w:val="none"/>
        </w:rPr>
        <w:t>如果因本条规定工程量偏差使某一分部分项工程费的变化超过</w:t>
      </w:r>
      <w:r>
        <w:rPr>
          <w:rFonts w:ascii="仿宋" w:hAnsi="仿宋" w:eastAsia="仿宋" w:cs="仿宋"/>
          <w:color w:val="auto"/>
          <w:sz w:val="24"/>
          <w:szCs w:val="24"/>
          <w:highlight w:val="none"/>
        </w:rPr>
        <w:t>10%</w:t>
      </w:r>
      <w:r>
        <w:rPr>
          <w:rFonts w:hint="eastAsia" w:ascii="仿宋" w:hAnsi="仿宋" w:eastAsia="仿宋" w:cs="仿宋"/>
          <w:color w:val="auto"/>
          <w:sz w:val="24"/>
          <w:szCs w:val="24"/>
          <w:highlight w:val="none"/>
        </w:rPr>
        <w:t>，且该变化引起措施项目相应发生变化，则发生变化部分的措施项目费应按照第</w:t>
      </w:r>
      <w:r>
        <w:rPr>
          <w:rFonts w:ascii="仿宋" w:hAnsi="仿宋" w:eastAsia="仿宋" w:cs="仿宋"/>
          <w:color w:val="auto"/>
          <w:sz w:val="24"/>
          <w:szCs w:val="24"/>
          <w:highlight w:val="none"/>
        </w:rPr>
        <w:t>72.3</w:t>
      </w:r>
      <w:r>
        <w:rPr>
          <w:rFonts w:hint="eastAsia" w:ascii="仿宋" w:hAnsi="仿宋" w:eastAsia="仿宋" w:cs="仿宋"/>
          <w:color w:val="auto"/>
          <w:sz w:val="24"/>
          <w:szCs w:val="24"/>
          <w:highlight w:val="none"/>
        </w:rPr>
        <w:t>款规定调整。除专用条款另有约定外，应按照下列规定调整发生变化的措施项目费结算价：</w:t>
      </w:r>
    </w:p>
    <w:p>
      <w:pPr>
        <w:pStyle w:val="2"/>
        <w:shd w:val="clear" w:color="000000" w:fill="auto"/>
        <w:tabs>
          <w:tab w:val="left" w:pos="900"/>
        </w:tabs>
        <w:adjustRightInd w:val="0"/>
        <w:snapToGrid w:val="0"/>
        <w:spacing w:line="360" w:lineRule="auto"/>
        <w:ind w:left="2240" w:leftChars="781" w:hanging="600" w:hangingChars="2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）当</w:t>
      </w:r>
      <w:r>
        <w:rPr>
          <w:rFonts w:ascii="仿宋" w:hAnsi="仿宋" w:eastAsia="仿宋" w:cs="仿宋"/>
          <w:color w:val="auto"/>
          <w:sz w:val="24"/>
          <w:szCs w:val="24"/>
          <w:highlight w:val="none"/>
        </w:rPr>
        <w:t>S</w:t>
      </w:r>
      <w:r>
        <w:rPr>
          <w:rFonts w:ascii="仿宋" w:hAnsi="仿宋" w:eastAsia="仿宋" w:cs="仿宋"/>
          <w:color w:val="auto"/>
          <w:sz w:val="24"/>
          <w:szCs w:val="24"/>
          <w:highlight w:val="none"/>
          <w:vertAlign w:val="subscript"/>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1.1S</w:t>
      </w:r>
      <w:r>
        <w:rPr>
          <w:rFonts w:ascii="仿宋" w:hAnsi="仿宋" w:eastAsia="仿宋" w:cs="仿宋"/>
          <w:color w:val="auto"/>
          <w:sz w:val="24"/>
          <w:szCs w:val="24"/>
          <w:highlight w:val="none"/>
          <w:vertAlign w:val="subscript"/>
        </w:rPr>
        <w:t>0</w:t>
      </w:r>
      <w:r>
        <w:rPr>
          <w:rFonts w:hint="eastAsia" w:ascii="仿宋" w:hAnsi="仿宋" w:eastAsia="仿宋" w:cs="仿宋"/>
          <w:color w:val="auto"/>
          <w:sz w:val="24"/>
          <w:szCs w:val="24"/>
          <w:highlight w:val="none"/>
        </w:rPr>
        <w:t>时，</w:t>
      </w:r>
      <w:r>
        <w:rPr>
          <w:rFonts w:ascii="仿宋" w:hAnsi="仿宋" w:eastAsia="仿宋" w:cs="仿宋"/>
          <w:color w:val="auto"/>
          <w:sz w:val="24"/>
          <w:szCs w:val="24"/>
          <w:highlight w:val="none"/>
        </w:rPr>
        <w:t>M</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=M</w:t>
      </w:r>
      <w:r>
        <w:rPr>
          <w:rFonts w:ascii="仿宋" w:hAnsi="仿宋" w:eastAsia="仿宋" w:cs="仿宋"/>
          <w:color w:val="auto"/>
          <w:sz w:val="24"/>
          <w:szCs w:val="24"/>
          <w:highlight w:val="none"/>
          <w:vertAlign w:val="subscript"/>
        </w:rPr>
        <w:t>0</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M</w:t>
      </w:r>
    </w:p>
    <w:p>
      <w:pPr>
        <w:pStyle w:val="2"/>
        <w:shd w:val="clear" w:color="000000" w:fill="auto"/>
        <w:adjustRightInd w:val="0"/>
        <w:snapToGrid w:val="0"/>
        <w:spacing w:line="360" w:lineRule="auto"/>
        <w:ind w:left="2240" w:leftChars="781" w:hanging="600" w:hangingChars="2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）当</w:t>
      </w:r>
      <w:r>
        <w:rPr>
          <w:rFonts w:ascii="仿宋" w:hAnsi="仿宋" w:eastAsia="仿宋" w:cs="仿宋"/>
          <w:color w:val="auto"/>
          <w:sz w:val="24"/>
          <w:szCs w:val="24"/>
          <w:highlight w:val="none"/>
        </w:rPr>
        <w:t>S</w:t>
      </w:r>
      <w:r>
        <w:rPr>
          <w:rFonts w:ascii="仿宋" w:hAnsi="仿宋" w:eastAsia="仿宋" w:cs="仿宋"/>
          <w:color w:val="auto"/>
          <w:sz w:val="24"/>
          <w:szCs w:val="24"/>
          <w:highlight w:val="none"/>
          <w:vertAlign w:val="subscript"/>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0.9S</w:t>
      </w:r>
      <w:r>
        <w:rPr>
          <w:rFonts w:ascii="仿宋" w:hAnsi="仿宋" w:eastAsia="仿宋" w:cs="仿宋"/>
          <w:color w:val="auto"/>
          <w:sz w:val="24"/>
          <w:szCs w:val="24"/>
          <w:highlight w:val="none"/>
          <w:vertAlign w:val="subscript"/>
        </w:rPr>
        <w:t>0</w:t>
      </w:r>
      <w:r>
        <w:rPr>
          <w:rFonts w:hint="eastAsia" w:ascii="仿宋" w:hAnsi="仿宋" w:eastAsia="仿宋" w:cs="仿宋"/>
          <w:color w:val="auto"/>
          <w:sz w:val="24"/>
          <w:szCs w:val="24"/>
          <w:highlight w:val="none"/>
        </w:rPr>
        <w:t>时，</w:t>
      </w:r>
      <w:r>
        <w:rPr>
          <w:rFonts w:ascii="仿宋" w:hAnsi="仿宋" w:eastAsia="仿宋" w:cs="仿宋"/>
          <w:color w:val="auto"/>
          <w:sz w:val="24"/>
          <w:szCs w:val="24"/>
          <w:highlight w:val="none"/>
        </w:rPr>
        <w:t>M</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=M</w:t>
      </w:r>
      <w:r>
        <w:rPr>
          <w:rFonts w:ascii="仿宋" w:hAnsi="仿宋" w:eastAsia="仿宋" w:cs="仿宋"/>
          <w:color w:val="auto"/>
          <w:sz w:val="24"/>
          <w:szCs w:val="24"/>
          <w:highlight w:val="none"/>
          <w:vertAlign w:val="subscript"/>
        </w:rPr>
        <w:t>0</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M</w:t>
      </w:r>
    </w:p>
    <w:p>
      <w:pPr>
        <w:pStyle w:val="2"/>
        <w:shd w:val="clear" w:color="000000" w:fill="auto"/>
        <w:adjustRightInd w:val="0"/>
        <w:snapToGrid w:val="0"/>
        <w:spacing w:line="360" w:lineRule="auto"/>
        <w:ind w:firstLine="1800" w:firstLineChars="75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式中</w:t>
      </w:r>
      <w:r>
        <w:rPr>
          <w:rFonts w:ascii="仿宋" w:hAnsi="仿宋" w:eastAsia="仿宋" w:cs="仿宋"/>
          <w:color w:val="auto"/>
          <w:sz w:val="24"/>
          <w:szCs w:val="24"/>
          <w:highlight w:val="none"/>
        </w:rPr>
        <w:t>M</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调整后的发生变化措施项目费结算价；</w:t>
      </w:r>
    </w:p>
    <w:p>
      <w:pPr>
        <w:pStyle w:val="2"/>
        <w:shd w:val="clear" w:color="000000" w:fill="auto"/>
        <w:adjustRightInd w:val="0"/>
        <w:snapToGrid w:val="0"/>
        <w:spacing w:line="360" w:lineRule="auto"/>
        <w:ind w:firstLine="2280" w:firstLineChars="95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M</w:t>
      </w:r>
      <w:r>
        <w:rPr>
          <w:rFonts w:ascii="仿宋" w:hAnsi="仿宋" w:eastAsia="仿宋" w:cs="仿宋"/>
          <w:color w:val="auto"/>
          <w:sz w:val="24"/>
          <w:szCs w:val="24"/>
          <w:highlight w:val="none"/>
          <w:vertAlign w:val="subscript"/>
        </w:rPr>
        <w:t>0</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承包人在工程量清单中填报的措施项目费；</w:t>
      </w:r>
    </w:p>
    <w:p>
      <w:pPr>
        <w:pStyle w:val="2"/>
        <w:shd w:val="clear" w:color="000000" w:fill="auto"/>
        <w:adjustRightInd w:val="0"/>
        <w:snapToGrid w:val="0"/>
        <w:spacing w:line="360" w:lineRule="auto"/>
        <w:ind w:left="960" w:leftChars="457" w:firstLine="1320" w:firstLineChars="550"/>
        <w:rPr>
          <w:rFonts w:ascii="仿宋" w:hAnsi="仿宋" w:eastAsia="仿宋" w:cs="Times New Roman"/>
          <w:color w:val="auto"/>
          <w:sz w:val="24"/>
          <w:szCs w:val="24"/>
          <w:highlight w:val="none"/>
        </w:rPr>
      </w:pPr>
      <w:r>
        <w:rPr>
          <w:rFonts w:ascii="Courier New" w:eastAsia="仿宋" w:cs="Courier New"/>
          <w:color w:val="auto"/>
          <w:sz w:val="24"/>
          <w:szCs w:val="24"/>
          <w:highlight w:val="none"/>
        </w:rPr>
        <w:t>∆</w:t>
      </w:r>
      <w:r>
        <w:rPr>
          <w:rFonts w:ascii="仿宋" w:hAnsi="仿宋" w:eastAsia="仿宋" w:cs="仿宋"/>
          <w:color w:val="auto"/>
          <w:sz w:val="24"/>
          <w:szCs w:val="24"/>
          <w:highlight w:val="none"/>
        </w:rPr>
        <w:t>M——</w:t>
      </w:r>
      <w:r>
        <w:rPr>
          <w:rFonts w:hint="eastAsia" w:ascii="仿宋" w:hAnsi="仿宋" w:eastAsia="仿宋" w:cs="仿宋"/>
          <w:color w:val="auto"/>
          <w:sz w:val="24"/>
          <w:szCs w:val="24"/>
          <w:highlight w:val="none"/>
        </w:rPr>
        <w:t>按照第</w:t>
      </w:r>
      <w:r>
        <w:rPr>
          <w:rFonts w:ascii="仿宋" w:hAnsi="仿宋" w:eastAsia="仿宋" w:cs="仿宋"/>
          <w:color w:val="auto"/>
          <w:sz w:val="24"/>
          <w:szCs w:val="24"/>
          <w:highlight w:val="none"/>
        </w:rPr>
        <w:t>72.3</w:t>
      </w:r>
      <w:r>
        <w:rPr>
          <w:rFonts w:hint="eastAsia" w:ascii="仿宋" w:hAnsi="仿宋" w:eastAsia="仿宋" w:cs="仿宋"/>
          <w:color w:val="auto"/>
          <w:sz w:val="24"/>
          <w:szCs w:val="24"/>
          <w:highlight w:val="none"/>
        </w:rPr>
        <w:t>款规定调整的发生变化部分的措施项目费；</w:t>
      </w:r>
    </w:p>
    <w:p>
      <w:pPr>
        <w:pStyle w:val="2"/>
        <w:shd w:val="clear" w:color="000000" w:fill="auto"/>
        <w:adjustRightInd w:val="0"/>
        <w:snapToGrid w:val="0"/>
        <w:spacing w:line="360" w:lineRule="auto"/>
        <w:ind w:firstLine="2280" w:firstLineChars="95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S</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调整后的某一分部分项工程费结算价；</w:t>
      </w:r>
    </w:p>
    <w:p>
      <w:pPr>
        <w:pStyle w:val="2"/>
        <w:shd w:val="clear" w:color="000000" w:fill="auto"/>
        <w:adjustRightInd w:val="0"/>
        <w:snapToGrid w:val="0"/>
        <w:spacing w:line="360" w:lineRule="auto"/>
        <w:ind w:firstLine="2280" w:firstLineChars="95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S</w:t>
      </w:r>
      <w:r>
        <w:rPr>
          <w:rFonts w:ascii="仿宋" w:hAnsi="仿宋" w:eastAsia="仿宋" w:cs="仿宋"/>
          <w:color w:val="auto"/>
          <w:sz w:val="24"/>
          <w:szCs w:val="24"/>
          <w:highlight w:val="none"/>
          <w:vertAlign w:val="subscript"/>
        </w:rPr>
        <w:t>0</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承包人报价文件对应的某一分部分项工程费。</w:t>
      </w:r>
    </w:p>
    <w:p>
      <w:pPr>
        <w:shd w:val="clear" w:color="000000" w:fill="auto"/>
        <w:tabs>
          <w:tab w:val="left" w:pos="1620"/>
        </w:tabs>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351" w:name="_Toc469384058"/>
      <w:bookmarkStart w:id="352" w:name="_Toc10624898"/>
      <w:bookmarkStart w:id="353" w:name="_Toc19298"/>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74  </w:t>
      </w:r>
      <w:r>
        <w:rPr>
          <w:rFonts w:hint="eastAsia" w:ascii="仿宋" w:hAnsi="仿宋" w:eastAsia="仿宋" w:cs="仿宋"/>
          <w:b/>
          <w:bCs/>
          <w:color w:val="auto"/>
          <w:sz w:val="24"/>
          <w:szCs w:val="24"/>
          <w:highlight w:val="none"/>
        </w:rPr>
        <w:t>费用索赔事件</w:t>
      </w:r>
      <w:bookmarkEnd w:id="351"/>
      <w:bookmarkEnd w:id="352"/>
      <w:bookmarkEnd w:id="353"/>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74.1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7158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06" name="文本框 31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索赔的价款调整</w:t>
                            </w:r>
                          </w:p>
                        </w:txbxContent>
                      </wps:txbx>
                      <wps:bodyPr upright="1"/>
                    </wps:wsp>
                  </a:graphicData>
                </a:graphic>
              </wp:anchor>
            </w:drawing>
          </mc:Choice>
          <mc:Fallback>
            <w:pict>
              <v:shape id="文本框 310" o:spid="_x0000_s1026" o:spt="202" type="#_x0000_t202" style="position:absolute;left:0pt;margin-left:-9pt;margin-top:1.25pt;height:31.2pt;width:72pt;z-index:25197158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P8HDVAAAA&#10;CAEAAA8AAAAAAAAAAQAgAAAAIgAAAGRycy9kb3ducmV2LnhtbFBLAQIUABQAAAAIAIdO4kAmET9q&#10;rgEAAFEDAAAOAAAAAAAAAAEAIAAAACQBAABkcnMvZTJvRG9jLnhtbFBLBQYAAAAABgAGAFkBAABE&#10;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索赔的价款调整</w:t>
                      </w:r>
                    </w:p>
                  </w:txbxContent>
                </v:textbox>
              </v:shape>
            </w:pict>
          </mc:Fallback>
        </mc:AlternateContent>
      </w:r>
      <w:r>
        <w:rPr>
          <w:rFonts w:hint="eastAsia" w:ascii="仿宋" w:hAnsi="仿宋" w:eastAsia="仿宋" w:cs="仿宋"/>
          <w:color w:val="auto"/>
          <w:sz w:val="24"/>
          <w:szCs w:val="24"/>
          <w:highlight w:val="none"/>
        </w:rPr>
        <w:t>费用索赔是指合同履行期间，对于非自己过错而应由对方当事人承担责任的情况造成的损失，向对方当事人提出经济补偿要求的行为。</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合同履行期间，出现费用索赔事件的，合同双方当事人应调整合同价款。</w:t>
      </w:r>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74.2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72608"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07" name="文本框 31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发出索赔意向书</w:t>
                            </w:r>
                          </w:p>
                        </w:txbxContent>
                      </wps:txbx>
                      <wps:bodyPr upright="1"/>
                    </wps:wsp>
                  </a:graphicData>
                </a:graphic>
              </wp:anchor>
            </w:drawing>
          </mc:Choice>
          <mc:Fallback>
            <w:pict>
              <v:shape id="文本框 311" o:spid="_x0000_s1026" o:spt="202" type="#_x0000_t202" style="position:absolute;left:0pt;margin-left:-9pt;margin-top:1.25pt;height:31.2pt;width:72pt;z-index:251972608;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8/wcNUA&#10;AAAIAQAADwAAAAAAAAABACAAAAAiAAAAZHJzL2Rvd25yZXYueG1sUEsBAhQAFAAAAAgAh07iQAXo&#10;QcKwAQAAUQMAAA4AAAAAAAAAAQAgAAAAJAEAAGRycy9lMm9Eb2MueG1sUEsFBgAAAAAGAAYAWQEA&#10;AEY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发出索赔意向书</w:t>
                      </w:r>
                    </w:p>
                  </w:txbxContent>
                </v:textbox>
              </v:shape>
            </w:pict>
          </mc:Fallback>
        </mc:AlternateContent>
      </w:r>
      <w:r>
        <w:rPr>
          <w:rFonts w:hint="eastAsia" w:ascii="仿宋" w:hAnsi="仿宋" w:eastAsia="仿宋" w:cs="仿宋"/>
          <w:color w:val="auto"/>
          <w:sz w:val="24"/>
          <w:szCs w:val="24"/>
          <w:highlight w:val="none"/>
        </w:rPr>
        <w:t>如果承包人根据合同约定提出任何费用或其它形式的损失索赔时，应在该索赔事件首次发生之后的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天内向造价工程师发出索赔意向书，并抄送发包人。</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74.3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73632" behindDoc="0" locked="0" layoutInCell="1" allowOverlap="1">
                <wp:simplePos x="0" y="0"/>
                <wp:positionH relativeFrom="column">
                  <wp:posOffset>-114300</wp:posOffset>
                </wp:positionH>
                <wp:positionV relativeFrom="paragraph">
                  <wp:posOffset>635</wp:posOffset>
                </wp:positionV>
                <wp:extent cx="914400" cy="522605"/>
                <wp:effectExtent l="0" t="0" r="0" b="0"/>
                <wp:wrapNone/>
                <wp:docPr id="308" name="文本框 312"/>
                <wp:cNvGraphicFramePr/>
                <a:graphic xmlns:a="http://schemas.openxmlformats.org/drawingml/2006/main">
                  <a:graphicData uri="http://schemas.microsoft.com/office/word/2010/wordprocessingShape">
                    <wps:wsp>
                      <wps:cNvSpPr txBox="1"/>
                      <wps:spPr>
                        <a:xfrm>
                          <a:off x="0" y="0"/>
                          <a:ext cx="914400" cy="52260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索赔记录的保存和审查</w:t>
                            </w:r>
                          </w:p>
                        </w:txbxContent>
                      </wps:txbx>
                      <wps:bodyPr upright="1"/>
                    </wps:wsp>
                  </a:graphicData>
                </a:graphic>
              </wp:anchor>
            </w:drawing>
          </mc:Choice>
          <mc:Fallback>
            <w:pict>
              <v:shape id="文本框 312" o:spid="_x0000_s1026" o:spt="202" type="#_x0000_t202" style="position:absolute;left:0pt;margin-left:-9pt;margin-top:0.05pt;height:41.15pt;width:72pt;z-index:251973632;mso-width-relative:page;mso-height-relative:page;" filled="f" stroked="f" coordsize="21600,21600" o:gfxdata="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902QKdMAAAAH&#10;AQAADwAAAAAAAAABACAAAAAiAAAAZHJzL2Rvd25yZXYueG1sUEsBAhQAFAAAAAgAh07iQKmeBOSv&#10;AQAAUQMAAA4AAAAAAAAAAQAgAAAAIgEAAGRycy9lMm9Eb2MueG1sUEsFBgAAAAAGAAYAWQEAAEMF&#10;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索赔记录的保存和审查</w:t>
                      </w:r>
                    </w:p>
                  </w:txbxContent>
                </v:textbox>
              </v:shape>
            </w:pict>
          </mc:Fallback>
        </mc:AlternateContent>
      </w:r>
      <w:r>
        <w:rPr>
          <w:rFonts w:hint="eastAsia" w:ascii="仿宋" w:hAnsi="仿宋" w:eastAsia="仿宋" w:cs="仿宋"/>
          <w:color w:val="auto"/>
          <w:sz w:val="24"/>
          <w:szCs w:val="24"/>
          <w:highlight w:val="none"/>
        </w:rPr>
        <w:t>在索赔事件发生时，承包人应保存当时的记录，作为申请索赔的凭证。造价工程师在接到索赔意向书时，无需确认是否属于发包人责任，应先审查记录并可要求承包人进一步作好补充记录。承包人应配合造价工程师审查其记录，在造价工程师有要求时，应当向造价工程师提供记录的复印件。</w:t>
      </w:r>
    </w:p>
    <w:p>
      <w:pPr>
        <w:pStyle w:val="2"/>
        <w:shd w:val="clear" w:color="000000" w:fill="auto"/>
        <w:adjustRightInd w:val="0"/>
        <w:snapToGrid w:val="0"/>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74.4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74656" behindDoc="0" locked="0" layoutInCell="1" allowOverlap="1">
                <wp:simplePos x="0" y="0"/>
                <wp:positionH relativeFrom="column">
                  <wp:posOffset>-114300</wp:posOffset>
                </wp:positionH>
                <wp:positionV relativeFrom="paragraph">
                  <wp:posOffset>5080</wp:posOffset>
                </wp:positionV>
                <wp:extent cx="1028700" cy="480060"/>
                <wp:effectExtent l="0" t="0" r="0" b="0"/>
                <wp:wrapNone/>
                <wp:docPr id="309" name="文本框 313"/>
                <wp:cNvGraphicFramePr/>
                <a:graphic xmlns:a="http://schemas.openxmlformats.org/drawingml/2006/main">
                  <a:graphicData uri="http://schemas.microsoft.com/office/word/2010/wordprocessingShape">
                    <wps:wsp>
                      <wps:cNvSpPr txBox="1"/>
                      <wps:spPr>
                        <a:xfrm>
                          <a:off x="0" y="0"/>
                          <a:ext cx="1028700" cy="48006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提交费用索赔</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wps:txbx>
                      <wps:bodyPr upright="1"/>
                    </wps:wsp>
                  </a:graphicData>
                </a:graphic>
              </wp:anchor>
            </w:drawing>
          </mc:Choice>
          <mc:Fallback>
            <w:pict>
              <v:shape id="文本框 313" o:spid="_x0000_s1026" o:spt="202" type="#_x0000_t202" style="position:absolute;left:0pt;margin-left:-9pt;margin-top:0.4pt;height:37.8pt;width:81pt;z-index:251974656;mso-width-relative:page;mso-height-relative:page;" filled="f" stroked="f" coordsize="21600,21600" o:gfxdata="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hmslzTAAAA&#10;BwEAAA8AAAAAAAAAAQAgAAAAIgAAAGRycy9kb3ducmV2LnhtbFBLAQIUABQAAAAIAIdO4kCSN+66&#10;sAEAAFIDAAAOAAAAAAAAAAEAIAAAACIBAABkcnMvZTJvRG9jLnhtbFBLBQYAAAAABgAGAFkBAABE&#10;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提交费用索赔</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v:textbox>
              </v:shape>
            </w:pict>
          </mc:Fallback>
        </mc:AlternateContent>
      </w:r>
      <w:r>
        <w:rPr>
          <w:rFonts w:hint="eastAsia" w:ascii="仿宋" w:hAnsi="仿宋" w:eastAsia="仿宋" w:cs="仿宋"/>
          <w:color w:val="auto"/>
          <w:sz w:val="24"/>
          <w:szCs w:val="24"/>
          <w:highlight w:val="none"/>
        </w:rPr>
        <w:t>在发出索赔意向书后的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天内，承包人应向造价工程师提交费用索赔报告和有关资料。如果索赔事件持续进行，承包人应每隔</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天向造价工程师发出索赔意向书，在索赔事件终结后的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天内，提交最终费用索赔报告和有关资料。</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75680" behindDoc="0" locked="0" layoutInCell="1" allowOverlap="1">
                <wp:simplePos x="0" y="0"/>
                <wp:positionH relativeFrom="column">
                  <wp:posOffset>-114300</wp:posOffset>
                </wp:positionH>
                <wp:positionV relativeFrom="paragraph">
                  <wp:posOffset>250825</wp:posOffset>
                </wp:positionV>
                <wp:extent cx="800100" cy="324485"/>
                <wp:effectExtent l="0" t="0" r="0" b="0"/>
                <wp:wrapNone/>
                <wp:docPr id="310" name="文本框 314"/>
                <wp:cNvGraphicFramePr/>
                <a:graphic xmlns:a="http://schemas.openxmlformats.org/drawingml/2006/main">
                  <a:graphicData uri="http://schemas.microsoft.com/office/word/2010/wordprocessingShape">
                    <wps:wsp>
                      <wps:cNvSpPr txBox="1"/>
                      <wps:spPr>
                        <a:xfrm>
                          <a:off x="0" y="0"/>
                          <a:ext cx="800100" cy="32448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txbxContent>
                      </wps:txbx>
                      <wps:bodyPr upright="1"/>
                    </wps:wsp>
                  </a:graphicData>
                </a:graphic>
              </wp:anchor>
            </w:drawing>
          </mc:Choice>
          <mc:Fallback>
            <w:pict>
              <v:shape id="文本框 314" o:spid="_x0000_s1026" o:spt="202" type="#_x0000_t202" style="position:absolute;left:0pt;margin-left:-9pt;margin-top:19.75pt;height:25.55pt;width:63pt;z-index:251975680;mso-width-relative:page;mso-height-relative:page;" filled="f" stroked="f" coordsize="21600,21600" o:gfxdata="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cNXai1gAA&#10;AAkBAAAPAAAAAAAAAAEAIAAAACIAAABkcnMvZG93bnJldi54bWxQSwECFAAUAAAACACHTuJA76Fm&#10;sq4BAABRAwAADgAAAAAAAAABACAAAAAlAQAAZHJzL2Uyb0RvYy54bWxQSwUGAAAAAAYABgBZAQAA&#10;RQ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txbxContent>
                </v:textbox>
              </v:shape>
            </w:pict>
          </mc:Fallback>
        </mc:AlternateContent>
      </w:r>
      <w:r>
        <w:rPr>
          <w:rFonts w:ascii="仿宋" w:hAnsi="仿宋" w:eastAsia="仿宋" w:cs="仿宋"/>
          <w:b/>
          <w:bCs/>
          <w:color w:val="auto"/>
          <w:sz w:val="24"/>
          <w:szCs w:val="24"/>
          <w:highlight w:val="none"/>
        </w:rPr>
        <w:t xml:space="preserve">74.5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b/>
          <w:bCs/>
          <w:color w:val="auto"/>
          <w:sz w:val="24"/>
          <w:szCs w:val="24"/>
          <w:highlight w:val="none"/>
        </w:rPr>
      </w:pPr>
      <w:r>
        <w:rPr>
          <w:rFonts w:hint="eastAsia" w:ascii="仿宋" w:hAnsi="仿宋" w:eastAsia="仿宋" w:cs="仿宋"/>
          <w:color w:val="auto"/>
          <w:sz w:val="24"/>
          <w:szCs w:val="24"/>
          <w:highlight w:val="none"/>
        </w:rPr>
        <w:t>如果承包人提出的索赔未能遵守第</w:t>
      </w:r>
      <w:r>
        <w:rPr>
          <w:rFonts w:ascii="仿宋" w:hAnsi="仿宋" w:eastAsia="仿宋" w:cs="仿宋"/>
          <w:color w:val="auto"/>
          <w:sz w:val="24"/>
          <w:szCs w:val="24"/>
          <w:highlight w:val="none"/>
        </w:rPr>
        <w:t>74.2</w:t>
      </w:r>
      <w:r>
        <w:rPr>
          <w:rFonts w:hint="eastAsia" w:ascii="仿宋" w:hAnsi="仿宋" w:eastAsia="仿宋" w:cs="仿宋"/>
          <w:color w:val="auto"/>
          <w:sz w:val="24"/>
          <w:szCs w:val="24"/>
          <w:highlight w:val="none"/>
        </w:rPr>
        <w:t>款至第</w:t>
      </w:r>
      <w:r>
        <w:rPr>
          <w:rFonts w:ascii="仿宋" w:hAnsi="仿宋" w:eastAsia="仿宋" w:cs="仿宋"/>
          <w:color w:val="auto"/>
          <w:sz w:val="24"/>
          <w:szCs w:val="24"/>
          <w:highlight w:val="none"/>
        </w:rPr>
        <w:t>74.4</w:t>
      </w:r>
      <w:r>
        <w:rPr>
          <w:rFonts w:hint="eastAsia" w:ascii="仿宋" w:hAnsi="仿宋" w:eastAsia="仿宋" w:cs="仿宋"/>
          <w:color w:val="auto"/>
          <w:sz w:val="24"/>
          <w:szCs w:val="24"/>
          <w:highlight w:val="none"/>
        </w:rPr>
        <w:t>款规定，则承包人无权获得索赔或只限于获得由造价工程师按照提供记录予以核实的部分款额。</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74.6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76704" behindDoc="0" locked="0" layoutInCell="1" allowOverlap="1">
                <wp:simplePos x="0" y="0"/>
                <wp:positionH relativeFrom="column">
                  <wp:posOffset>-114300</wp:posOffset>
                </wp:positionH>
                <wp:positionV relativeFrom="paragraph">
                  <wp:posOffset>8255</wp:posOffset>
                </wp:positionV>
                <wp:extent cx="914400" cy="438785"/>
                <wp:effectExtent l="0" t="0" r="0" b="0"/>
                <wp:wrapNone/>
                <wp:docPr id="311" name="文本框 315"/>
                <wp:cNvGraphicFramePr/>
                <a:graphic xmlns:a="http://schemas.openxmlformats.org/drawingml/2006/main">
                  <a:graphicData uri="http://schemas.microsoft.com/office/word/2010/wordprocessingShape">
                    <wps:wsp>
                      <wps:cNvSpPr txBox="1"/>
                      <wps:spPr>
                        <a:xfrm>
                          <a:off x="0" y="0"/>
                          <a:ext cx="914400" cy="43878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核实费用索赔报告的限制</w:t>
                            </w:r>
                          </w:p>
                        </w:txbxContent>
                      </wps:txbx>
                      <wps:bodyPr upright="1"/>
                    </wps:wsp>
                  </a:graphicData>
                </a:graphic>
              </wp:anchor>
            </w:drawing>
          </mc:Choice>
          <mc:Fallback>
            <w:pict>
              <v:shape id="文本框 315" o:spid="_x0000_s1026" o:spt="202" type="#_x0000_t202" style="position:absolute;left:0pt;margin-left:-9pt;margin-top:0.65pt;height:34.55pt;width:72pt;z-index:251976704;mso-width-relative:page;mso-height-relative:page;" filled="f" stroked="f" coordsize="21600,21600" o:gfxdata="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a/9NBdUA&#10;AAAIAQAADwAAAAAAAAABACAAAAAiAAAAZHJzL2Rvd25yZXYueG1sUEsBAhQAFAAAAAgAh07iQDFY&#10;xyywAQAAUQMAAA4AAAAAAAAAAQAgAAAAJAEAAGRycy9lMm9Eb2MueG1sUEsFBgAAAAAGAAYAWQEA&#10;AEY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核实费用索赔报告的限制</w:t>
                      </w:r>
                    </w:p>
                  </w:txbxContent>
                </v:textbox>
              </v:shape>
            </w:pict>
          </mc:Fallback>
        </mc:AlternateContent>
      </w:r>
      <w:r>
        <w:rPr>
          <w:rFonts w:hint="eastAsia" w:ascii="仿宋" w:hAnsi="仿宋" w:eastAsia="仿宋" w:cs="仿宋"/>
          <w:color w:val="auto"/>
          <w:sz w:val="24"/>
          <w:szCs w:val="24"/>
          <w:highlight w:val="none"/>
        </w:rPr>
        <w:t>造价工程师应在收到承包人提交的费用索赔报告和有关资料后的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予以核实或要求承包人进一步补充索赔理由和证据，并与合同双方当事人协商确定承包人有权获得的全部或部分的索赔款额；协商不能达成一致的，由造价工程师暂定，通知承包人并抄报发包人。如果造价工程师在规定期限内未予答复也未对承包人作出进一步要求，视为该费用索赔报告已经被认可。</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74.7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77728" behindDoc="0" locked="0" layoutInCell="1" allowOverlap="1">
                <wp:simplePos x="0" y="0"/>
                <wp:positionH relativeFrom="column">
                  <wp:posOffset>-114300</wp:posOffset>
                </wp:positionH>
                <wp:positionV relativeFrom="paragraph">
                  <wp:posOffset>38735</wp:posOffset>
                </wp:positionV>
                <wp:extent cx="800100" cy="349885"/>
                <wp:effectExtent l="0" t="0" r="0" b="0"/>
                <wp:wrapNone/>
                <wp:docPr id="312" name="文本框 316"/>
                <wp:cNvGraphicFramePr/>
                <a:graphic xmlns:a="http://schemas.openxmlformats.org/drawingml/2006/main">
                  <a:graphicData uri="http://schemas.microsoft.com/office/word/2010/wordprocessingShape">
                    <wps:wsp>
                      <wps:cNvSpPr txBox="1"/>
                      <wps:spPr>
                        <a:xfrm>
                          <a:off x="0" y="0"/>
                          <a:ext cx="800100" cy="34988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txbxContent>
                      </wps:txbx>
                      <wps:bodyPr upright="1"/>
                    </wps:wsp>
                  </a:graphicData>
                </a:graphic>
              </wp:anchor>
            </w:drawing>
          </mc:Choice>
          <mc:Fallback>
            <w:pict>
              <v:shape id="文本框 316" o:spid="_x0000_s1026" o:spt="202" type="#_x0000_t202" style="position:absolute;left:0pt;margin-left:-9pt;margin-top:3.05pt;height:27.55pt;width:63pt;z-index:251977728;mso-width-relative:page;mso-height-relative:page;" filled="f" stroked="f" coordsize="21600,21600" o:gfxdata="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t6SadMAAAAI&#10;AQAADwAAAAAAAAABACAAAAAiAAAAZHJzL2Rvd25yZXYueG1sUEsBAhQAFAAAAAgAh07iQM5s8ISv&#10;AQAAUQMAAA4AAAAAAAAAAQAgAAAAIgEAAGRycy9lMm9Eb2MueG1sUEsFBgAAAAAGAAYAWQEAAEMF&#10;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txbxContent>
                </v:textbox>
              </v:shape>
            </w:pict>
          </mc:Fallback>
        </mc:AlternateContent>
      </w:r>
      <w:r>
        <w:rPr>
          <w:rFonts w:hint="eastAsia" w:ascii="仿宋" w:hAnsi="仿宋" w:eastAsia="仿宋" w:cs="仿宋"/>
          <w:color w:val="auto"/>
          <w:sz w:val="24"/>
          <w:szCs w:val="24"/>
          <w:highlight w:val="none"/>
        </w:rPr>
        <w:t>承包人未能按照合同约定履行各项义务或发生错误，给发包人造成损失，发包人可按照本条规定的时限和要求向承包人提出索赔。</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74.8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78752" behindDoc="0" locked="0" layoutInCell="1" allowOverlap="1">
                <wp:simplePos x="0" y="0"/>
                <wp:positionH relativeFrom="column">
                  <wp:posOffset>-114300</wp:posOffset>
                </wp:positionH>
                <wp:positionV relativeFrom="paragraph">
                  <wp:posOffset>18415</wp:posOffset>
                </wp:positionV>
                <wp:extent cx="914400" cy="622300"/>
                <wp:effectExtent l="0" t="0" r="0" b="0"/>
                <wp:wrapNone/>
                <wp:docPr id="313" name="文本框 317"/>
                <wp:cNvGraphicFramePr/>
                <a:graphic xmlns:a="http://schemas.openxmlformats.org/drawingml/2006/main">
                  <a:graphicData uri="http://schemas.microsoft.com/office/word/2010/wordprocessingShape">
                    <wps:wsp>
                      <wps:cNvSpPr txBox="1"/>
                      <wps:spPr>
                        <a:xfrm>
                          <a:off x="0" y="0"/>
                          <a:ext cx="914400" cy="62230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txbxContent>
                      </wps:txbx>
                      <wps:bodyPr upright="1"/>
                    </wps:wsp>
                  </a:graphicData>
                </a:graphic>
              </wp:anchor>
            </w:drawing>
          </mc:Choice>
          <mc:Fallback>
            <w:pict>
              <v:shape id="文本框 317" o:spid="_x0000_s1026" o:spt="202" type="#_x0000_t202" style="position:absolute;left:0pt;margin-left:-9pt;margin-top:1.45pt;height:49pt;width:72pt;z-index:251978752;mso-width-relative:page;mso-height-relative:page;" filled="f" stroked="f" coordsize="21600,21600" o:gfxdata="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666a9YA&#10;AAAJAQAADwAAAAAAAAABACAAAAAiAAAAZHJzL2Rvd25yZXYueG1sUEsBAhQAFAAAAAgAh07iQBmK&#10;A1SvAQAAUQMAAA4AAAAAAAAAAQAgAAAAJQEAAGRycy9lMm9Eb2MueG1sUEsFBgAAAAAGAAYAWQEA&#10;AEY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txbxContent>
                </v:textbox>
              </v:shape>
            </w:pict>
          </mc:Fallback>
        </mc:AlternateContent>
      </w:r>
      <w:r>
        <w:rPr>
          <w:rFonts w:hint="eastAsia" w:ascii="仿宋" w:hAnsi="仿宋" w:eastAsia="仿宋" w:cs="仿宋"/>
          <w:color w:val="auto"/>
          <w:sz w:val="24"/>
          <w:szCs w:val="24"/>
          <w:highlight w:val="none"/>
        </w:rPr>
        <w:t>费用索赔报告被认可，则表明该事件已索赔成功，合同双方当事人应确认由此引起调整的合同价款，并作为追加（减）合同价款，与工程进度款或结算款同期支付。</w:t>
      </w:r>
    </w:p>
    <w:p>
      <w:pPr>
        <w:pStyle w:val="2"/>
        <w:shd w:val="clear" w:color="000000" w:fill="auto"/>
        <w:adjustRightInd w:val="0"/>
        <w:snapToGrid w:val="0"/>
        <w:ind w:right="-238"/>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354" w:name="_Toc469384059"/>
      <w:bookmarkStart w:id="355" w:name="_Toc1991"/>
      <w:bookmarkStart w:id="356" w:name="_Toc10624899"/>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75  </w:t>
      </w:r>
      <w:r>
        <w:rPr>
          <w:rFonts w:hint="eastAsia" w:ascii="仿宋" w:hAnsi="仿宋" w:eastAsia="仿宋" w:cs="仿宋"/>
          <w:b/>
          <w:bCs/>
          <w:color w:val="auto"/>
          <w:sz w:val="24"/>
          <w:szCs w:val="24"/>
          <w:highlight w:val="none"/>
        </w:rPr>
        <w:t>现场签证事件</w:t>
      </w:r>
      <w:bookmarkEnd w:id="354"/>
      <w:bookmarkEnd w:id="355"/>
      <w:bookmarkEnd w:id="356"/>
    </w:p>
    <w:p>
      <w:pPr>
        <w:pStyle w:val="2"/>
        <w:shd w:val="clear" w:color="000000" w:fill="auto"/>
        <w:adjustRightInd w:val="0"/>
        <w:snapToGrid w:val="0"/>
        <w:spacing w:line="360" w:lineRule="auto"/>
        <w:rPr>
          <w:rFonts w:ascii="仿宋" w:hAnsi="仿宋" w:eastAsia="仿宋" w:cs="Times New Roman"/>
          <w:b/>
          <w:bCs/>
          <w:color w:val="auto"/>
          <w:sz w:val="24"/>
          <w:szCs w:val="24"/>
          <w:highlight w:val="none"/>
          <w:u w:val="dotted"/>
        </w:rPr>
      </w:pPr>
      <w:r>
        <w:rPr>
          <w:rFonts w:ascii="仿宋" w:hAnsi="仿宋" w:eastAsia="仿宋" w:cs="仿宋"/>
          <w:b/>
          <w:bCs/>
          <w:color w:val="auto"/>
          <w:sz w:val="24"/>
          <w:szCs w:val="24"/>
          <w:highlight w:val="none"/>
        </w:rPr>
        <w:t xml:space="preserve">75.1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79776"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314" name="文本框 318"/>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现场签证的价款调整</w:t>
                            </w:r>
                          </w:p>
                          <w:p>
                            <w:pPr>
                              <w:rPr>
                                <w:rFonts w:cs="Times New Roman"/>
                              </w:rPr>
                            </w:pPr>
                          </w:p>
                        </w:txbxContent>
                      </wps:txbx>
                      <wps:bodyPr upright="1"/>
                    </wps:wsp>
                  </a:graphicData>
                </a:graphic>
              </wp:anchor>
            </w:drawing>
          </mc:Choice>
          <mc:Fallback>
            <w:pict>
              <v:shape id="文本框 318" o:spid="_x0000_s1026" o:spt="202" type="#_x0000_t202" style="position:absolute;left:0pt;margin-left:-9pt;margin-top:0.4pt;height:40.2pt;width:72pt;z-index:251979776;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VuNf7TAAAA&#10;BwEAAA8AAAAAAAAAAQAgAAAAIgAAAGRycy9kb3ducmV2LnhtbFBLAQIUABQAAAAIAIdO4kA6B0Zj&#10;sAEAAFEDAAAOAAAAAAAAAAEAIAAAACIBAABkcnMvZTJvRG9jLnhtbFBLBQYAAAAABgAGAFkBAABE&#10;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现场签证的价款调整</w:t>
                      </w:r>
                    </w:p>
                    <w:p>
                      <w:pPr>
                        <w:rPr>
                          <w:rFonts w:cs="Times New Roman"/>
                        </w:rPr>
                      </w:pPr>
                    </w:p>
                  </w:txbxContent>
                </v:textbox>
              </v:shape>
            </w:pict>
          </mc:Fallback>
        </mc:AlternateContent>
      </w:r>
      <w:r>
        <w:rPr>
          <w:rFonts w:hint="eastAsia" w:ascii="仿宋" w:hAnsi="仿宋" w:eastAsia="仿宋" w:cs="仿宋"/>
          <w:color w:val="auto"/>
          <w:sz w:val="24"/>
          <w:szCs w:val="24"/>
          <w:highlight w:val="none"/>
        </w:rPr>
        <w:t>现场签证是指合同双方当事人就施工过程中涉及的责任事件所作的签认证明。</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合同履行期间，出现现场签证事件的，合同双方当事人应调整合同价款。</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75.2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7" w:leftChars="770" w:firstLine="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80800" behindDoc="0" locked="0" layoutInCell="1" allowOverlap="1">
                <wp:simplePos x="0" y="0"/>
                <wp:positionH relativeFrom="column">
                  <wp:posOffset>-114300</wp:posOffset>
                </wp:positionH>
                <wp:positionV relativeFrom="paragraph">
                  <wp:posOffset>18415</wp:posOffset>
                </wp:positionV>
                <wp:extent cx="914400" cy="510540"/>
                <wp:effectExtent l="0" t="0" r="0" b="0"/>
                <wp:wrapNone/>
                <wp:docPr id="315" name="文本框 319"/>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现场签证的提出</w:t>
                            </w:r>
                          </w:p>
                          <w:p>
                            <w:pPr>
                              <w:rPr>
                                <w:rFonts w:cs="Times New Roman"/>
                              </w:rPr>
                            </w:pPr>
                          </w:p>
                        </w:txbxContent>
                      </wps:txbx>
                      <wps:bodyPr upright="1"/>
                    </wps:wsp>
                  </a:graphicData>
                </a:graphic>
              </wp:anchor>
            </w:drawing>
          </mc:Choice>
          <mc:Fallback>
            <w:pict>
              <v:shape id="文本框 319" o:spid="_x0000_s1026" o:spt="202" type="#_x0000_t202" style="position:absolute;left:0pt;margin-left:-9pt;margin-top:1.45pt;height:40.2pt;width:72pt;z-index:251980800;mso-width-relative:page;mso-height-relative:page;" filled="f" stroked="f" coordsize="21600,21600" o:gfxdata="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4Zeed9UA&#10;AAAIAQAADwAAAAAAAAABACAAAAAiAAAAZHJzL2Rvd25yZXYueG1sUEsBAhQAFAAAAAgAh07iQBn+&#10;OMuwAQAAUQMAAA4AAAAAAAAAAQAgAAAAJAEAAGRycy9lMm9Eb2MueG1sUEsFBgAAAAAGAAYAWQEA&#10;AEY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现场签证的提出</w:t>
                      </w:r>
                    </w:p>
                    <w:p>
                      <w:pPr>
                        <w:rPr>
                          <w:rFonts w:cs="Times New Roman"/>
                        </w:rPr>
                      </w:pPr>
                    </w:p>
                  </w:txbxContent>
                </v:textbox>
              </v:shape>
            </w:pict>
          </mc:Fallback>
        </mc:AlternateContent>
      </w:r>
      <w:r>
        <w:rPr>
          <w:rFonts w:hint="eastAsia" w:ascii="仿宋" w:hAnsi="仿宋" w:eastAsia="仿宋" w:cs="仿宋"/>
          <w:color w:val="auto"/>
          <w:sz w:val="24"/>
          <w:szCs w:val="24"/>
          <w:highlight w:val="none"/>
        </w:rPr>
        <w:t>承包人应发包人要求完成合同以外的零星项目、非承包人责任事件等工作的，发包人应通知监理工程师及时以书面形式向承包人发出工作指令，提供所需的相关资料；承包人在收到监理工程师书面通知后，应及时向发包人提出现场签证要求。</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75.3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81824"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316" name="文本框 320"/>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现场签证报告的确认</w:t>
                            </w:r>
                          </w:p>
                          <w:p>
                            <w:pPr>
                              <w:rPr>
                                <w:rFonts w:cs="Times New Roman"/>
                              </w:rPr>
                            </w:pPr>
                          </w:p>
                        </w:txbxContent>
                      </wps:txbx>
                      <wps:bodyPr upright="1"/>
                    </wps:wsp>
                  </a:graphicData>
                </a:graphic>
              </wp:anchor>
            </w:drawing>
          </mc:Choice>
          <mc:Fallback>
            <w:pict>
              <v:shape id="文本框 320" o:spid="_x0000_s1026" o:spt="202" type="#_x0000_t202" style="position:absolute;left:0pt;margin-left:-9pt;margin-top:0.4pt;height:40.2pt;width:72pt;z-index:251981824;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lW41/tMAAAAH&#10;AQAADwAAAAAAAAABACAAAAAiAAAAZHJzL2Rvd25yZXYueG1sUEsBAhQAFAAAAAgAh07iQJYapNyv&#10;AQAAUQMAAA4AAAAAAAAAAQAgAAAAIgEAAGRycy9lMm9Eb2MueG1sUEsFBgAAAAAGAAYAWQEAAEMF&#10;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现场签证报告的确认</w:t>
                      </w:r>
                    </w:p>
                    <w:p>
                      <w:pPr>
                        <w:rPr>
                          <w:rFonts w:cs="Times New Roman"/>
                        </w:rPr>
                      </w:pPr>
                    </w:p>
                  </w:txbxContent>
                </v:textbox>
              </v:shape>
            </w:pict>
          </mc:Fallback>
        </mc:AlternateContent>
      </w:r>
      <w:r>
        <w:rPr>
          <w:rFonts w:hint="eastAsia" w:ascii="仿宋" w:hAnsi="仿宋" w:eastAsia="仿宋" w:cs="仿宋"/>
          <w:color w:val="auto"/>
          <w:sz w:val="24"/>
          <w:szCs w:val="24"/>
          <w:highlight w:val="none"/>
        </w:rPr>
        <w:t>除专用条款另有约定外，承包人应在收到监理工程师书面通知后的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天内，向发包人提交现场签证报告，并抄送监理工程师、造价工程师。发包人在收到承包人的现场签证报告后，应通知监理工程师、造价工程师对报告内容予以核实，并在收到现场签证报告后的</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小时内予以确认或提出修改意见。发包人在收到承包人现场签证报告后的</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小时内未确认也未提出修改意见的，视为承包人提交的现场签证报告已被认可。</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75.4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82848" behindDoc="0" locked="0" layoutInCell="1" allowOverlap="1">
                <wp:simplePos x="0" y="0"/>
                <wp:positionH relativeFrom="column">
                  <wp:posOffset>-114300</wp:posOffset>
                </wp:positionH>
                <wp:positionV relativeFrom="paragraph">
                  <wp:posOffset>34290</wp:posOffset>
                </wp:positionV>
                <wp:extent cx="914400" cy="480060"/>
                <wp:effectExtent l="0" t="0" r="0" b="0"/>
                <wp:wrapNone/>
                <wp:docPr id="317" name="文本框 321"/>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现场签证的要求</w:t>
                            </w:r>
                          </w:p>
                          <w:p>
                            <w:pPr>
                              <w:pStyle w:val="2"/>
                              <w:adjustRightInd w:val="0"/>
                              <w:snapToGrid w:val="0"/>
                              <w:spacing w:line="360" w:lineRule="auto"/>
                              <w:rPr>
                                <w:rFonts w:ascii="Times New Roman" w:hAnsi="Times New Roman" w:eastAsia="楷体_GB2312" w:cs="Times New Roman"/>
                                <w:b/>
                                <w:bCs/>
                                <w:sz w:val="18"/>
                                <w:szCs w:val="18"/>
                              </w:rPr>
                            </w:pPr>
                          </w:p>
                          <w:p>
                            <w:pPr>
                              <w:rPr>
                                <w:rFonts w:cs="Times New Roman"/>
                              </w:rPr>
                            </w:pPr>
                          </w:p>
                        </w:txbxContent>
                      </wps:txbx>
                      <wps:bodyPr upright="1"/>
                    </wps:wsp>
                  </a:graphicData>
                </a:graphic>
              </wp:anchor>
            </w:drawing>
          </mc:Choice>
          <mc:Fallback>
            <w:pict>
              <v:shape id="文本框 321" o:spid="_x0000_s1026" o:spt="202" type="#_x0000_t202" style="position:absolute;left:0pt;margin-left:-9pt;margin-top:2.7pt;height:37.8pt;width:72pt;z-index:251982848;mso-width-relative:page;mso-height-relative:page;" filled="f" stroked="f" coordsize="21600,21600" o:gfxdata="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NzO099UA&#10;AAAIAQAADwAAAAAAAAABACAAAAAiAAAAZHJzL2Rvd25yZXYueG1sUEsBAhQAFAAAAAgAh07iQBjR&#10;7VOwAQAAUQMAAA4AAAAAAAAAAQAgAAAAJAEAAGRycy9lMm9Eb2MueG1sUEsFBgAAAAAGAAYAWQEA&#10;AEY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现场签证的要求</w:t>
                      </w:r>
                    </w:p>
                    <w:p>
                      <w:pPr>
                        <w:pStyle w:val="2"/>
                        <w:adjustRightInd w:val="0"/>
                        <w:snapToGrid w:val="0"/>
                        <w:spacing w:line="360" w:lineRule="auto"/>
                        <w:rPr>
                          <w:rFonts w:ascii="Times New Roman" w:hAnsi="Times New Roman" w:eastAsia="楷体_GB2312" w:cs="Times New Roman"/>
                          <w:b/>
                          <w:bCs/>
                          <w:sz w:val="18"/>
                          <w:szCs w:val="18"/>
                        </w:rPr>
                      </w:pPr>
                    </w:p>
                    <w:p>
                      <w:pPr>
                        <w:rPr>
                          <w:rFonts w:cs="Times New Roman"/>
                        </w:rPr>
                      </w:pPr>
                    </w:p>
                  </w:txbxContent>
                </v:textbox>
              </v:shape>
            </w:pict>
          </mc:Fallback>
        </mc:AlternateContent>
      </w:r>
      <w:r>
        <w:rPr>
          <w:rFonts w:hint="eastAsia" w:ascii="仿宋" w:hAnsi="仿宋" w:eastAsia="仿宋" w:cs="仿宋"/>
          <w:color w:val="auto"/>
          <w:sz w:val="24"/>
          <w:szCs w:val="24"/>
          <w:highlight w:val="none"/>
        </w:rPr>
        <w:t>计日工有相应单价或合同中有适用单价的项目，合同双方当事人仅在现场签证报告中列明完成该类项目所需的人工、材料、工程设备和施工设备机械台班的数量。</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计日工没有相应单价或合同中没有适用单价的项目，合同双方当事人应在现场签证报告中列明完成这类项目所需的人工、材料、工程设备和施工设备机械台班的数量和单价。</w:t>
      </w:r>
    </w:p>
    <w:p>
      <w:pPr>
        <w:pStyle w:val="2"/>
        <w:shd w:val="clear" w:color="000000" w:fill="auto"/>
        <w:adjustRightInd w:val="0"/>
        <w:snapToGrid w:val="0"/>
        <w:spacing w:line="48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75.5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83872"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318" name="文本框 322"/>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现场签证工作的实施</w:t>
                            </w:r>
                          </w:p>
                          <w:p>
                            <w:pPr>
                              <w:pStyle w:val="2"/>
                              <w:adjustRightInd w:val="0"/>
                              <w:snapToGrid w:val="0"/>
                              <w:rPr>
                                <w:rFonts w:ascii="Times New Roman" w:hAnsi="Times New Roman" w:eastAsia="楷体_GB2312" w:cs="Times New Roman"/>
                                <w:b/>
                                <w:bCs/>
                                <w:sz w:val="18"/>
                                <w:szCs w:val="18"/>
                              </w:rPr>
                            </w:pPr>
                          </w:p>
                          <w:p>
                            <w:pPr>
                              <w:pStyle w:val="2"/>
                              <w:adjustRightInd w:val="0"/>
                              <w:snapToGrid w:val="0"/>
                              <w:spacing w:line="360" w:lineRule="auto"/>
                              <w:rPr>
                                <w:rFonts w:ascii="Times New Roman" w:hAnsi="Times New Roman" w:eastAsia="楷体_GB2312" w:cs="Times New Roman"/>
                                <w:b/>
                                <w:bCs/>
                                <w:sz w:val="18"/>
                                <w:szCs w:val="18"/>
                              </w:rPr>
                            </w:pPr>
                          </w:p>
                          <w:p>
                            <w:pPr>
                              <w:rPr>
                                <w:rFonts w:cs="Times New Roman"/>
                              </w:rPr>
                            </w:pPr>
                          </w:p>
                        </w:txbxContent>
                      </wps:txbx>
                      <wps:bodyPr upright="1"/>
                    </wps:wsp>
                  </a:graphicData>
                </a:graphic>
              </wp:anchor>
            </w:drawing>
          </mc:Choice>
          <mc:Fallback>
            <w:pict>
              <v:shape id="文本框 322" o:spid="_x0000_s1026" o:spt="202" type="#_x0000_t202" style="position:absolute;left:0pt;margin-left:-9pt;margin-top:6.1pt;height:37.8pt;width:72pt;z-index:251983872;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NsenpzW&#10;AAAACQEAAA8AAAAAAAAAAQAgAAAAIgAAAGRycy9kb3ducmV2LnhtbFBLAQIUABQAAAAIAIdO4kBm&#10;VtzMsAEAAFEDAAAOAAAAAAAAAAEAIAAAACUBAABkcnMvZTJvRG9jLnhtbFBLBQYAAAAABgAGAFkB&#10;AABH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现场签证工作的实施</w:t>
                      </w:r>
                    </w:p>
                    <w:p>
                      <w:pPr>
                        <w:pStyle w:val="2"/>
                        <w:adjustRightInd w:val="0"/>
                        <w:snapToGrid w:val="0"/>
                        <w:rPr>
                          <w:rFonts w:ascii="Times New Roman" w:hAnsi="Times New Roman" w:eastAsia="楷体_GB2312" w:cs="Times New Roman"/>
                          <w:b/>
                          <w:bCs/>
                          <w:sz w:val="18"/>
                          <w:szCs w:val="18"/>
                        </w:rPr>
                      </w:pPr>
                    </w:p>
                    <w:p>
                      <w:pPr>
                        <w:pStyle w:val="2"/>
                        <w:adjustRightInd w:val="0"/>
                        <w:snapToGrid w:val="0"/>
                        <w:spacing w:line="360" w:lineRule="auto"/>
                        <w:rPr>
                          <w:rFonts w:ascii="Times New Roman" w:hAnsi="Times New Roman" w:eastAsia="楷体_GB2312" w:cs="Times New Roman"/>
                          <w:b/>
                          <w:bCs/>
                          <w:sz w:val="18"/>
                          <w:szCs w:val="18"/>
                        </w:rPr>
                      </w:pPr>
                    </w:p>
                    <w:p>
                      <w:pPr>
                        <w:rPr>
                          <w:rFonts w:cs="Times New Roman"/>
                        </w:rPr>
                      </w:pPr>
                    </w:p>
                  </w:txbxContent>
                </v:textbox>
              </v:shape>
            </w:pict>
          </mc:Fallback>
        </mc:AlternateContent>
      </w:r>
      <w:r>
        <w:rPr>
          <w:rFonts w:hint="eastAsia" w:ascii="仿宋" w:hAnsi="仿宋" w:eastAsia="仿宋" w:cs="仿宋"/>
          <w:color w:val="auto"/>
          <w:sz w:val="24"/>
          <w:szCs w:val="24"/>
          <w:highlight w:val="none"/>
        </w:rPr>
        <w:t>承包人应在发包人确认现场签证报告后的</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小时内，按照监理工程师发出的工作指令及时组织实施相关工作。否则，由此引起的损失和（或）延误的工期由承包人承担。</w:t>
      </w:r>
    </w:p>
    <w:p>
      <w:pPr>
        <w:pStyle w:val="2"/>
        <w:shd w:val="clear" w:color="000000" w:fill="auto"/>
        <w:adjustRightInd w:val="0"/>
        <w:snapToGrid w:val="0"/>
        <w:spacing w:line="48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75.6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84896"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319" name="文本框 323"/>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现场签证的限制</w:t>
                            </w:r>
                          </w:p>
                          <w:p>
                            <w:pPr>
                              <w:pStyle w:val="17"/>
                              <w:spacing w:line="200" w:lineRule="exact"/>
                              <w:rPr>
                                <w:rFonts w:ascii="楷体_GB2312" w:hAnsi="宋体" w:eastAsia="楷体_GB2312"/>
                                <w:b/>
                                <w:bCs/>
                                <w:color w:val="000000"/>
                                <w:sz w:val="18"/>
                                <w:szCs w:val="18"/>
                              </w:rPr>
                            </w:pPr>
                          </w:p>
                          <w:p>
                            <w:pPr>
                              <w:pStyle w:val="2"/>
                              <w:adjustRightInd w:val="0"/>
                              <w:snapToGrid w:val="0"/>
                              <w:spacing w:line="360" w:lineRule="auto"/>
                              <w:rPr>
                                <w:rFonts w:ascii="Times New Roman" w:hAnsi="Times New Roman" w:eastAsia="楷体_GB2312" w:cs="Times New Roman"/>
                                <w:b/>
                                <w:bCs/>
                                <w:sz w:val="18"/>
                                <w:szCs w:val="18"/>
                              </w:rPr>
                            </w:pPr>
                          </w:p>
                          <w:p>
                            <w:pPr>
                              <w:rPr>
                                <w:rFonts w:cs="Times New Roman"/>
                              </w:rPr>
                            </w:pPr>
                          </w:p>
                        </w:txbxContent>
                      </wps:txbx>
                      <wps:bodyPr upright="1"/>
                    </wps:wsp>
                  </a:graphicData>
                </a:graphic>
              </wp:anchor>
            </w:drawing>
          </mc:Choice>
          <mc:Fallback>
            <w:pict>
              <v:shape id="文本框 323" o:spid="_x0000_s1026" o:spt="202" type="#_x0000_t202" style="position:absolute;left:0pt;margin-left:-9pt;margin-top:6.1pt;height:37.8pt;width:72pt;z-index:251984896;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NsenpzW&#10;AAAACQEAAA8AAAAAAAAAAQAgAAAAIgAAAGRycy9kb3ducmV2LnhtbFBLAQIUABQAAAAIAIdO4kBF&#10;r6JksAEAAFEDAAAOAAAAAAAAAAEAIAAAACUBAABkcnMvZTJvRG9jLnhtbFBLBQYAAAAABgAGAFkB&#10;AABH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现场签证的限制</w:t>
                      </w:r>
                    </w:p>
                    <w:p>
                      <w:pPr>
                        <w:pStyle w:val="17"/>
                        <w:spacing w:line="200" w:lineRule="exact"/>
                        <w:rPr>
                          <w:rFonts w:ascii="楷体_GB2312" w:hAnsi="宋体" w:eastAsia="楷体_GB2312"/>
                          <w:b/>
                          <w:bCs/>
                          <w:color w:val="000000"/>
                          <w:sz w:val="18"/>
                          <w:szCs w:val="18"/>
                        </w:rPr>
                      </w:pPr>
                    </w:p>
                    <w:p>
                      <w:pPr>
                        <w:pStyle w:val="2"/>
                        <w:adjustRightInd w:val="0"/>
                        <w:snapToGrid w:val="0"/>
                        <w:spacing w:line="360" w:lineRule="auto"/>
                        <w:rPr>
                          <w:rFonts w:ascii="Times New Roman" w:hAnsi="Times New Roman" w:eastAsia="楷体_GB2312" w:cs="Times New Roman"/>
                          <w:b/>
                          <w:bCs/>
                          <w:sz w:val="18"/>
                          <w:szCs w:val="18"/>
                        </w:rPr>
                      </w:pPr>
                    </w:p>
                    <w:p>
                      <w:pPr>
                        <w:rPr>
                          <w:rFonts w:cs="Times New Roman"/>
                        </w:rPr>
                      </w:pPr>
                    </w:p>
                  </w:txbxContent>
                </v:textbox>
              </v:shape>
            </w:pict>
          </mc:Fallback>
        </mc:AlternateContent>
      </w:r>
      <w:r>
        <w:rPr>
          <w:rFonts w:hint="eastAsia" w:ascii="仿宋" w:hAnsi="仿宋" w:eastAsia="仿宋" w:cs="仿宋"/>
          <w:color w:val="auto"/>
          <w:sz w:val="24"/>
          <w:szCs w:val="24"/>
          <w:highlight w:val="none"/>
        </w:rPr>
        <w:t>合同工程发生现场签证事件，未经发包人签证、确认，承包人便擅自实施相关工作的，除非征得发包人同意，否则发生的费用由承包人承担。</w:t>
      </w:r>
    </w:p>
    <w:p>
      <w:pPr>
        <w:pStyle w:val="2"/>
        <w:shd w:val="clear" w:color="000000" w:fill="auto"/>
        <w:adjustRightInd w:val="0"/>
        <w:snapToGrid w:val="0"/>
        <w:spacing w:line="48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75.7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85920"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320" name="文本框 324"/>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pPr>
                              <w:pStyle w:val="2"/>
                              <w:adjustRightInd w:val="0"/>
                              <w:snapToGrid w:val="0"/>
                              <w:rPr>
                                <w:rFonts w:ascii="Times New Roman" w:hAnsi="Times New Roman" w:eastAsia="楷体_GB2312" w:cs="Times New Roman"/>
                                <w:b/>
                                <w:bCs/>
                                <w:sz w:val="18"/>
                                <w:szCs w:val="18"/>
                              </w:rPr>
                            </w:pPr>
                          </w:p>
                          <w:p>
                            <w:pPr>
                              <w:pStyle w:val="2"/>
                              <w:adjustRightInd w:val="0"/>
                              <w:snapToGrid w:val="0"/>
                              <w:spacing w:line="360" w:lineRule="auto"/>
                              <w:rPr>
                                <w:rFonts w:ascii="Times New Roman" w:hAnsi="Times New Roman" w:eastAsia="楷体_GB2312" w:cs="Times New Roman"/>
                                <w:b/>
                                <w:bCs/>
                                <w:sz w:val="18"/>
                                <w:szCs w:val="18"/>
                              </w:rPr>
                            </w:pPr>
                          </w:p>
                          <w:p>
                            <w:pPr>
                              <w:rPr>
                                <w:rFonts w:cs="Times New Roman"/>
                              </w:rPr>
                            </w:pPr>
                          </w:p>
                        </w:txbxContent>
                      </wps:txbx>
                      <wps:bodyPr upright="1"/>
                    </wps:wsp>
                  </a:graphicData>
                </a:graphic>
              </wp:anchor>
            </w:drawing>
          </mc:Choice>
          <mc:Fallback>
            <w:pict>
              <v:shape id="文本框 324" o:spid="_x0000_s1026" o:spt="202" type="#_x0000_t202" style="position:absolute;left:0pt;margin-left:-9pt;margin-top:6.1pt;height:37.8pt;width:72pt;z-index:251985920;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2x6enNYA&#10;AAAJAQAADwAAAAAAAAABACAAAAAiAAAAZHJzL2Rvd25yZXYueG1sUEsBAhQAFAAAAAgAh07iQLcb&#10;5CCvAQAAUQMAAA4AAAAAAAAAAQAgAAAAJQEAAGRycy9lMm9Eb2MueG1sUEsFBgAAAAAGAAYAWQEA&#10;AEY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pPr>
                        <w:pStyle w:val="2"/>
                        <w:adjustRightInd w:val="0"/>
                        <w:snapToGrid w:val="0"/>
                        <w:rPr>
                          <w:rFonts w:ascii="Times New Roman" w:hAnsi="Times New Roman" w:eastAsia="楷体_GB2312" w:cs="Times New Roman"/>
                          <w:b/>
                          <w:bCs/>
                          <w:sz w:val="18"/>
                          <w:szCs w:val="18"/>
                        </w:rPr>
                      </w:pPr>
                    </w:p>
                    <w:p>
                      <w:pPr>
                        <w:pStyle w:val="2"/>
                        <w:adjustRightInd w:val="0"/>
                        <w:snapToGrid w:val="0"/>
                        <w:spacing w:line="360" w:lineRule="auto"/>
                        <w:rPr>
                          <w:rFonts w:ascii="Times New Roman" w:hAnsi="Times New Roman" w:eastAsia="楷体_GB2312" w:cs="Times New Roman"/>
                          <w:b/>
                          <w:bCs/>
                          <w:sz w:val="18"/>
                          <w:szCs w:val="18"/>
                        </w:rPr>
                      </w:pPr>
                    </w:p>
                    <w:p>
                      <w:pPr>
                        <w:rPr>
                          <w:rFonts w:cs="Times New Roman"/>
                        </w:rPr>
                      </w:pPr>
                    </w:p>
                  </w:txbxContent>
                </v:textbox>
              </v:shape>
            </w:pict>
          </mc:Fallback>
        </mc:AlternateContent>
      </w:r>
      <w:r>
        <w:rPr>
          <w:rFonts w:hint="eastAsia" w:ascii="仿宋" w:hAnsi="仿宋" w:eastAsia="仿宋" w:cs="仿宋"/>
          <w:color w:val="auto"/>
          <w:sz w:val="24"/>
          <w:szCs w:val="24"/>
          <w:highlight w:val="none"/>
        </w:rPr>
        <w:t>现场签证工作完成后的</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小时内，合同双方当事人应确认由此引起调整的合同价款，并作为追加合同价款，与工程进度款同期支付。</w:t>
      </w:r>
    </w:p>
    <w:p>
      <w:pPr>
        <w:pStyle w:val="2"/>
        <w:shd w:val="clear" w:color="000000" w:fill="auto"/>
        <w:adjustRightInd w:val="0"/>
        <w:snapToGrid w:val="0"/>
        <w:spacing w:line="240" w:lineRule="exact"/>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357" w:name="_Toc10624900"/>
      <w:bookmarkStart w:id="358" w:name="_Toc469384060"/>
      <w:bookmarkStart w:id="359" w:name="_Toc21101"/>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76  </w:t>
      </w:r>
      <w:r>
        <w:rPr>
          <w:rFonts w:hint="eastAsia" w:ascii="仿宋" w:hAnsi="仿宋" w:eastAsia="仿宋" w:cs="仿宋"/>
          <w:b/>
          <w:bCs/>
          <w:color w:val="auto"/>
          <w:sz w:val="24"/>
          <w:szCs w:val="24"/>
          <w:highlight w:val="none"/>
        </w:rPr>
        <w:t>物价涨落事件</w:t>
      </w:r>
      <w:bookmarkEnd w:id="357"/>
      <w:bookmarkEnd w:id="358"/>
      <w:bookmarkEnd w:id="359"/>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986944" behindDoc="0" locked="0" layoutInCell="1" allowOverlap="1">
                <wp:simplePos x="0" y="0"/>
                <wp:positionH relativeFrom="column">
                  <wp:posOffset>-114300</wp:posOffset>
                </wp:positionH>
                <wp:positionV relativeFrom="paragraph">
                  <wp:posOffset>274320</wp:posOffset>
                </wp:positionV>
                <wp:extent cx="914400" cy="591185"/>
                <wp:effectExtent l="0" t="0" r="0" b="0"/>
                <wp:wrapNone/>
                <wp:docPr id="321" name="文本框 325"/>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物价涨落的价款调整</w:t>
                            </w:r>
                          </w:p>
                        </w:txbxContent>
                      </wps:txbx>
                      <wps:bodyPr upright="1"/>
                    </wps:wsp>
                  </a:graphicData>
                </a:graphic>
              </wp:anchor>
            </w:drawing>
          </mc:Choice>
          <mc:Fallback>
            <w:pict>
              <v:shape id="文本框 325" o:spid="_x0000_s1026" o:spt="202" type="#_x0000_t202" style="position:absolute;left:0pt;margin-left:-9pt;margin-top:21.6pt;height:46.55pt;width:72pt;z-index:251986944;mso-width-relative:page;mso-height-relative:page;" filled="f" stroked="f" coordsize="21600,21600" o:gfxdata="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bMqot&#10;1wAAAAoBAAAPAAAAAAAAAAEAIAAAACIAAABkcnMvZG93bnJldi54bWxQSwECFAAUAAAACACHTuJA&#10;qv/LZrABAABRAwAADgAAAAAAAAABACAAAAAmAQAAZHJzL2Uyb0RvYy54bWxQSwUGAAAAAAYABgBZ&#10;AQAASA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物价涨落的价款调整</w:t>
                      </w:r>
                    </w:p>
                  </w:txbxContent>
                </v:textbox>
              </v:shape>
            </w:pict>
          </mc:Fallback>
        </mc:AlternateContent>
      </w:r>
      <w:r>
        <w:rPr>
          <w:rFonts w:ascii="仿宋" w:hAnsi="仿宋" w:eastAsia="仿宋" w:cs="仿宋"/>
          <w:b/>
          <w:bCs/>
          <w:color w:val="auto"/>
          <w:sz w:val="24"/>
          <w:szCs w:val="24"/>
          <w:highlight w:val="none"/>
        </w:rPr>
        <w:t xml:space="preserve">76.1      </w:t>
      </w:r>
    </w:p>
    <w:p>
      <w:pPr>
        <w:pStyle w:val="2"/>
        <w:shd w:val="clear" w:color="000000" w:fill="auto"/>
        <w:adjustRightInd w:val="0"/>
        <w:snapToGrid w:val="0"/>
        <w:spacing w:line="420" w:lineRule="exact"/>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合同履行期间，除专用合同条款另有约定外，市场价格波动超过合同当事人约定的范围，合同价格应当调整。合同当事人可以在专用条款中约定按通用条款</w:t>
      </w:r>
      <w:r>
        <w:rPr>
          <w:rFonts w:ascii="仿宋" w:hAnsi="仿宋" w:eastAsia="仿宋" w:cs="仿宋"/>
          <w:color w:val="auto"/>
          <w:sz w:val="24"/>
          <w:szCs w:val="24"/>
          <w:highlight w:val="none"/>
        </w:rPr>
        <w:t>76.3</w:t>
      </w:r>
      <w:r>
        <w:rPr>
          <w:rFonts w:hint="eastAsia" w:ascii="仿宋" w:hAnsi="仿宋" w:eastAsia="仿宋" w:cs="仿宋"/>
          <w:color w:val="auto"/>
          <w:sz w:val="24"/>
          <w:szCs w:val="24"/>
          <w:highlight w:val="none"/>
        </w:rPr>
        <w:t>款选择一种方式对合同价格进行调整。</w:t>
      </w:r>
    </w:p>
    <w:p>
      <w:pPr>
        <w:shd w:val="clear" w:color="000000" w:fill="auto"/>
        <w:spacing w:line="360" w:lineRule="auto"/>
        <w:ind w:firstLine="420" w:firstLineChars="200"/>
        <w:rPr>
          <w:rFonts w:ascii="仿宋" w:hAnsi="仿宋" w:eastAsia="仿宋" w:cs="Times New Roman"/>
          <w:color w:val="auto"/>
          <w:sz w:val="24"/>
          <w:szCs w:val="24"/>
          <w:highlight w:val="none"/>
        </w:rPr>
      </w:pPr>
      <w:r>
        <w:rPr>
          <w:color w:val="auto"/>
          <w:highlight w:val="none"/>
        </w:rPr>
        <w:t xml:space="preserve">            </w:t>
      </w:r>
    </w:p>
    <w:p>
      <w:pPr>
        <w:pStyle w:val="2"/>
        <w:shd w:val="clear" w:color="000000" w:fill="auto"/>
        <w:tabs>
          <w:tab w:val="left" w:pos="540"/>
        </w:tabs>
        <w:adjustRightInd w:val="0"/>
        <w:snapToGrid w:val="0"/>
        <w:spacing w:line="360" w:lineRule="auto"/>
        <w:rPr>
          <w:rFonts w:ascii="仿宋" w:hAnsi="仿宋" w:eastAsia="仿宋" w:cs="仿宋"/>
          <w:b/>
          <w:bCs/>
          <w:color w:val="auto"/>
          <w:sz w:val="24"/>
          <w:szCs w:val="24"/>
          <w:highlight w:val="none"/>
          <w:u w:val="dotted"/>
        </w:rPr>
      </w:pPr>
      <w:r>
        <w:rPr>
          <w:color w:val="auto"/>
          <w:highlight w:val="none"/>
        </w:rPr>
        <mc:AlternateContent>
          <mc:Choice Requires="wps">
            <w:drawing>
              <wp:anchor distT="0" distB="0" distL="114300" distR="114300" simplePos="0" relativeHeight="251987968" behindDoc="0" locked="0" layoutInCell="1" allowOverlap="1">
                <wp:simplePos x="0" y="0"/>
                <wp:positionH relativeFrom="column">
                  <wp:posOffset>-133350</wp:posOffset>
                </wp:positionH>
                <wp:positionV relativeFrom="paragraph">
                  <wp:posOffset>247650</wp:posOffset>
                </wp:positionV>
                <wp:extent cx="914400" cy="619125"/>
                <wp:effectExtent l="0" t="0" r="0" b="0"/>
                <wp:wrapNone/>
                <wp:docPr id="322" name="文本框 326"/>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人工费的调整方法</w:t>
                            </w:r>
                          </w:p>
                        </w:txbxContent>
                      </wps:txbx>
                      <wps:bodyPr upright="1"/>
                    </wps:wsp>
                  </a:graphicData>
                </a:graphic>
              </wp:anchor>
            </w:drawing>
          </mc:Choice>
          <mc:Fallback>
            <w:pict>
              <v:shape id="文本框 326" o:spid="_x0000_s1026" o:spt="202" type="#_x0000_t202" style="position:absolute;left:0pt;margin-left:-10.5pt;margin-top:19.5pt;height:48.75pt;width:72pt;z-index:251987968;mso-width-relative:page;mso-height-relative:page;" filled="f" stroked="f" coordsize="21600,21600" o:gfxdata="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nPrZfX&#10;AAAACgEAAA8AAAAAAAAAAQAgAAAAIgAAAGRycy9kb3ducmV2LnhtbFBLAQIUABQAAAAIAIdO4kCT&#10;Tp1urwEAAFEDAAAOAAAAAAAAAAEAIAAAACYBAABkcnMvZTJvRG9jLnhtbFBLBQYAAAAABgAGAFkB&#10;AABH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人工费的调整方法</w:t>
                      </w:r>
                    </w:p>
                  </w:txbxContent>
                </v:textbox>
              </v:shape>
            </w:pict>
          </mc:Fallback>
        </mc:AlternateContent>
      </w:r>
      <w:r>
        <w:rPr>
          <w:rFonts w:ascii="仿宋" w:hAnsi="仿宋" w:eastAsia="仿宋" w:cs="仿宋"/>
          <w:b/>
          <w:bCs/>
          <w:color w:val="auto"/>
          <w:sz w:val="24"/>
          <w:szCs w:val="24"/>
          <w:highlight w:val="none"/>
        </w:rPr>
        <w:t xml:space="preserve">76.2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420" w:lineRule="exact"/>
        <w:ind w:left="1619" w:leftChars="771"/>
        <w:rPr>
          <w:rFonts w:cs="Times New Roman"/>
          <w:color w:val="auto"/>
          <w:highlight w:val="none"/>
        </w:rPr>
      </w:pPr>
      <w:r>
        <w:rPr>
          <w:rFonts w:hint="eastAsia" w:ascii="仿宋" w:hAnsi="仿宋" w:eastAsia="仿宋" w:cs="仿宋"/>
          <w:color w:val="auto"/>
          <w:sz w:val="24"/>
          <w:szCs w:val="24"/>
          <w:highlight w:val="none"/>
        </w:rPr>
        <w:t>执行第</w:t>
      </w:r>
      <w:r>
        <w:rPr>
          <w:rFonts w:ascii="仿宋" w:hAnsi="仿宋" w:eastAsia="仿宋" w:cs="仿宋"/>
          <w:color w:val="auto"/>
          <w:sz w:val="24"/>
          <w:szCs w:val="24"/>
          <w:highlight w:val="none"/>
        </w:rPr>
        <w:t>76.3</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种方式：采用造价信息进行价格调整”规定的，</w:t>
      </w:r>
      <w:r>
        <w:rPr>
          <w:color w:val="auto"/>
          <w:highlight w:val="none"/>
        </w:rPr>
        <w:t xml:space="preserve">  </w:t>
      </w:r>
      <w:r>
        <w:rPr>
          <w:rFonts w:hint="eastAsia" w:ascii="仿宋" w:hAnsi="仿宋" w:eastAsia="仿宋" w:cs="仿宋"/>
          <w:color w:val="auto"/>
          <w:sz w:val="24"/>
          <w:szCs w:val="24"/>
          <w:highlight w:val="none"/>
        </w:rPr>
        <w:t>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或由合同当事人在专用条款中约定人工单价调价条件。</w:t>
      </w:r>
    </w:p>
    <w:p>
      <w:pPr>
        <w:pStyle w:val="2"/>
        <w:shd w:val="clear" w:color="000000" w:fill="auto"/>
        <w:tabs>
          <w:tab w:val="left" w:pos="540"/>
        </w:tabs>
        <w:adjustRightInd w:val="0"/>
        <w:snapToGrid w:val="0"/>
        <w:spacing w:line="36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76.3  </w:t>
      </w:r>
      <w:r>
        <w:rPr>
          <w:rFonts w:ascii="仿宋" w:hAnsi="仿宋" w:eastAsia="仿宋" w:cs="仿宋"/>
          <w:b/>
          <w:bCs/>
          <w:color w:val="auto"/>
          <w:sz w:val="24"/>
          <w:szCs w:val="24"/>
          <w:highlight w:val="none"/>
          <w:u w:val="dotted"/>
        </w:rPr>
        <w:t xml:space="preserve">                                                                                                        </w:t>
      </w:r>
    </w:p>
    <w:p>
      <w:pPr>
        <w:shd w:val="clear" w:color="000000" w:fill="auto"/>
        <w:spacing w:line="360" w:lineRule="auto"/>
        <w:ind w:firstLine="420" w:firstLineChars="200"/>
        <w:rPr>
          <w:rFonts w:eastAsia="仿宋_GB2312" w:cs="Times New Roman"/>
          <w:color w:val="auto"/>
          <w:sz w:val="30"/>
          <w:szCs w:val="30"/>
          <w:highlight w:val="none"/>
        </w:rPr>
      </w:pPr>
      <w:r>
        <w:rPr>
          <w:color w:val="auto"/>
          <w:highlight w:val="none"/>
        </w:rPr>
        <mc:AlternateContent>
          <mc:Choice Requires="wps">
            <w:drawing>
              <wp:anchor distT="0" distB="0" distL="114300" distR="114300" simplePos="0" relativeHeight="251988992" behindDoc="0" locked="0" layoutInCell="1" allowOverlap="1">
                <wp:simplePos x="0" y="0"/>
                <wp:positionH relativeFrom="column">
                  <wp:posOffset>-114300</wp:posOffset>
                </wp:positionH>
                <wp:positionV relativeFrom="paragraph">
                  <wp:posOffset>15875</wp:posOffset>
                </wp:positionV>
                <wp:extent cx="914400" cy="1003300"/>
                <wp:effectExtent l="0" t="0" r="0" b="0"/>
                <wp:wrapNone/>
                <wp:docPr id="323" name="文本框 327"/>
                <wp:cNvGraphicFramePr/>
                <a:graphic xmlns:a="http://schemas.openxmlformats.org/drawingml/2006/main">
                  <a:graphicData uri="http://schemas.microsoft.com/office/word/2010/wordprocessingShape">
                    <wps:wsp>
                      <wps:cNvSpPr txBox="1"/>
                      <wps:spPr>
                        <a:xfrm>
                          <a:off x="0" y="0"/>
                          <a:ext cx="914400" cy="100330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承包人采购材料和工程设备的材料设备费、施工机械费调 整方法</w:t>
                            </w:r>
                          </w:p>
                        </w:txbxContent>
                      </wps:txbx>
                      <wps:bodyPr upright="1"/>
                    </wps:wsp>
                  </a:graphicData>
                </a:graphic>
              </wp:anchor>
            </w:drawing>
          </mc:Choice>
          <mc:Fallback>
            <w:pict>
              <v:shape id="文本框 327" o:spid="_x0000_s1026" o:spt="202" type="#_x0000_t202" style="position:absolute;left:0pt;margin-left:-9pt;margin-top:1.25pt;height:79pt;width:72pt;z-index:251988992;mso-width-relative:page;mso-height-relative:page;" filled="f" stroked="f" coordsize="21600,21600" o:gfxdata="UEsDBAoAAAAAAIdO4kAAAAAAAAAAAAAAAAAEAAAAZHJzL1BLAwQUAAAACACHTuJAr0C7z9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r0C7z9YA&#10;AAAJAQAADwAAAAAAAAABACAAAAAiAAAAZHJzL2Rvd25yZXYueG1sUEsBAhQAFAAAAAgAh07iQLaW&#10;FemvAQAAUgMAAA4AAAAAAAAAAQAgAAAAJQEAAGRycy9lMm9Eb2MueG1sUEsFBgAAAAAGAAYAWQEA&#10;AEY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承包人采购材料和工程设备的材料设备费、施工机械费调 整方法</w:t>
                      </w:r>
                    </w:p>
                  </w:txbxContent>
                </v:textbox>
              </v:shape>
            </w:pict>
          </mc:Fallback>
        </mc:AlternateConten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第</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种方式：采用造价信息进行价格调整。</w:t>
      </w:r>
    </w:p>
    <w:p>
      <w:pPr>
        <w:shd w:val="clear" w:color="000000" w:fill="auto"/>
        <w:spacing w:line="360" w:lineRule="auto"/>
        <w:ind w:left="1438" w:leftChars="685"/>
        <w:rPr>
          <w:rFonts w:cs="Times New Roman"/>
          <w:color w:val="auto"/>
          <w:highlight w:val="none"/>
        </w:rPr>
      </w:pPr>
      <w:r>
        <w:rPr>
          <w:rFonts w:hint="eastAsia" w:ascii="仿宋" w:hAnsi="仿宋" w:eastAsia="仿宋" w:cs="仿宋"/>
          <w:color w:val="auto"/>
          <w:sz w:val="24"/>
          <w:szCs w:val="24"/>
          <w:highlight w:val="none"/>
        </w:rPr>
        <w:t>合同履行期间，因人工、材料、工程设备和机械台班价格波动影响合同价格时，人工、机械使用费按照国家或省、市建设行政管理部门、行业建设管理部门或其授权的工程造价管理机构发布的人工、机械使用费进行调整；需要进行价格调整的材料，其单价和采购数量应由发包人审批，发包人确认需调整的材料单价及数量，作为调整合同价格的依据。</w:t>
      </w:r>
    </w:p>
    <w:p>
      <w:pPr>
        <w:shd w:val="clear" w:color="000000" w:fill="auto"/>
        <w:spacing w:line="360" w:lineRule="auto"/>
        <w:ind w:left="1559" w:leftChars="628" w:hanging="240" w:hanging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）材料、工程设备价格变化的价款调整按照发包人提供的基准价格，按以下风险范围规定执行</w:t>
      </w:r>
      <w:r>
        <w:rPr>
          <w:rFonts w:ascii="仿宋" w:hAnsi="仿宋" w:eastAsia="仿宋" w:cs="仿宋"/>
          <w:color w:val="auto"/>
          <w:sz w:val="24"/>
          <w:szCs w:val="24"/>
          <w:highlight w:val="none"/>
        </w:rPr>
        <w:t>:</w:t>
      </w:r>
    </w:p>
    <w:p>
      <w:pPr>
        <w:shd w:val="clear" w:color="000000" w:fill="auto"/>
        <w:spacing w:line="360" w:lineRule="auto"/>
        <w:ind w:left="1514" w:leftChars="72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①承包人在已标价工程量清单或预算书中载明材料单价低于基准价格的：除专用合同条款另有约定外，合同履行期间材料单价涨幅以基准价格为基础超</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时，或材料单价跌幅以在已标价工程量清单或预算书中载明材料单价为基础超过</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时，其超过部分据实调整。</w:t>
      </w:r>
    </w:p>
    <w:p>
      <w:pPr>
        <w:shd w:val="clear" w:color="000000" w:fill="auto"/>
        <w:spacing w:line="360" w:lineRule="auto"/>
        <w:ind w:left="1514" w:leftChars="72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②承包人在已标价工程量清单或预算书中载明材料单价高于基准价格的：除专用合同条款另有约定外，合同履行期间材料单价跌幅以基准价格为基础超过</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时，材料单价涨 幅以在已标价工程量清单或预算书中载明材料单价为基础超过</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时，其超过部分据实调整。</w:t>
      </w:r>
    </w:p>
    <w:p>
      <w:pPr>
        <w:shd w:val="clear" w:color="000000" w:fill="auto"/>
        <w:spacing w:line="360" w:lineRule="auto"/>
        <w:ind w:left="1514" w:leftChars="721"/>
        <w:rPr>
          <w:rFonts w:eastAsia="仿宋_GB2312" w:cs="Times New Roman"/>
          <w:color w:val="auto"/>
          <w:sz w:val="30"/>
          <w:szCs w:val="30"/>
          <w:highlight w:val="none"/>
        </w:rPr>
      </w:pPr>
      <w:r>
        <w:rPr>
          <w:rFonts w:hint="eastAsia" w:ascii="仿宋" w:hAnsi="仿宋" w:eastAsia="仿宋" w:cs="仿宋"/>
          <w:color w:val="auto"/>
          <w:sz w:val="24"/>
          <w:szCs w:val="24"/>
          <w:highlight w:val="none"/>
        </w:rPr>
        <w:t>③承包人在已标价工程量清单或预算书中载明材料单价等于基准价格的：除专用合同条款另有约定外，合同履行期间材料单价涨跌幅以基准价格为基础超过±</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时，其超过部分据实调整。</w:t>
      </w:r>
    </w:p>
    <w:p>
      <w:pPr>
        <w:shd w:val="clear" w:color="000000" w:fill="auto"/>
        <w:spacing w:line="360" w:lineRule="auto"/>
        <w:ind w:left="1529" w:leftChars="728"/>
        <w:rPr>
          <w:rFonts w:eastAsia="仿宋_GB2312" w:cs="Times New Roman"/>
          <w:color w:val="auto"/>
          <w:sz w:val="30"/>
          <w:szCs w:val="30"/>
          <w:highlight w:val="none"/>
        </w:rPr>
      </w:pPr>
      <w:r>
        <w:rPr>
          <w:rFonts w:hint="eastAsia" w:ascii="仿宋" w:hAnsi="仿宋" w:eastAsia="仿宋" w:cs="仿宋"/>
          <w:color w:val="auto"/>
          <w:sz w:val="24"/>
          <w:szCs w:val="24"/>
          <w:highlight w:val="none"/>
        </w:rPr>
        <w:t>前述基准价格是指由发包人在招标文件或专用合同条款中给定的材料、工程设备的价格，该价格原则上应当按照省级或行业建设主管部门或其授权的工程造价管理机构发布的信息价编制。</w:t>
      </w:r>
    </w:p>
    <w:p>
      <w:pPr>
        <w:shd w:val="clear" w:color="000000" w:fill="auto"/>
        <w:ind w:left="1470" w:leftChars="7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）施工机械台班单价或施工机械使用费发生变化超过省级或行业建设主管部门或其授权的工程造价管理机构规定的范围时，按规定调整合同价格。</w:t>
      </w:r>
    </w:p>
    <w:p>
      <w:pPr>
        <w:shd w:val="clear" w:color="000000" w:fill="auto"/>
        <w:rPr>
          <w:rFonts w:ascii="仿宋" w:hAnsi="仿宋" w:eastAsia="仿宋" w:cs="Times New Roman"/>
          <w:color w:val="auto"/>
          <w:sz w:val="24"/>
          <w:szCs w:val="24"/>
          <w:highlight w:val="none"/>
        </w:rPr>
      </w:pPr>
    </w:p>
    <w:p>
      <w:pPr>
        <w:shd w:val="clear" w:color="000000" w:fill="auto"/>
        <w:ind w:firstLine="1680" w:firstLineChars="700"/>
        <w:rPr>
          <w:rFonts w:cs="Times New Roman"/>
          <w:color w:val="auto"/>
          <w:highlight w:val="none"/>
        </w:rPr>
      </w:pPr>
      <w:r>
        <w:rPr>
          <w:rFonts w:hint="eastAsia" w:ascii="仿宋" w:hAnsi="仿宋" w:eastAsia="仿宋" w:cs="仿宋"/>
          <w:color w:val="auto"/>
          <w:sz w:val="24"/>
          <w:szCs w:val="24"/>
          <w:highlight w:val="none"/>
        </w:rPr>
        <w:t>第</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种方式：专用合同条款约定的其他方式。</w:t>
      </w:r>
    </w:p>
    <w:p>
      <w:pPr>
        <w:shd w:val="clear" w:color="000000" w:fill="auto"/>
        <w:rPr>
          <w:rFonts w:cs="Times New Roman"/>
          <w:color w:val="auto"/>
          <w:highlight w:val="none"/>
        </w:rPr>
      </w:pPr>
      <w:r>
        <w:rPr>
          <w:color w:val="auto"/>
          <w:highlight w:val="none"/>
        </w:rPr>
        <w:t xml:space="preserve">                </w:t>
      </w:r>
    </w:p>
    <w:p>
      <w:pPr>
        <w:pStyle w:val="2"/>
        <w:shd w:val="clear" w:color="000000" w:fill="auto"/>
        <w:tabs>
          <w:tab w:val="left" w:pos="540"/>
        </w:tabs>
        <w:adjustRightInd w:val="0"/>
        <w:snapToGrid w:val="0"/>
        <w:spacing w:line="480" w:lineRule="auto"/>
        <w:rPr>
          <w:rFonts w:ascii="仿宋" w:hAnsi="仿宋" w:eastAsia="仿宋" w:cs="仿宋"/>
          <w:color w:val="auto"/>
          <w:sz w:val="24"/>
          <w:szCs w:val="24"/>
          <w:highlight w:val="none"/>
          <w:u w:val="dotted"/>
        </w:rPr>
      </w:pPr>
      <w:r>
        <w:rPr>
          <w:rFonts w:ascii="仿宋" w:hAnsi="仿宋" w:eastAsia="仿宋" w:cs="仿宋"/>
          <w:b/>
          <w:bCs/>
          <w:color w:val="auto"/>
          <w:sz w:val="24"/>
          <w:szCs w:val="24"/>
          <w:highlight w:val="none"/>
        </w:rPr>
        <w:t>76.4</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
        <w:shd w:val="clear" w:color="000000" w:fill="auto"/>
        <w:adjustRightInd w:val="0"/>
        <w:snapToGrid w:val="0"/>
        <w:spacing w:line="420" w:lineRule="exact"/>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执行第</w:t>
      </w:r>
      <w:r>
        <w:rPr>
          <w:rFonts w:ascii="仿宋" w:hAnsi="仿宋" w:eastAsia="仿宋" w:cs="仿宋"/>
          <w:color w:val="auto"/>
          <w:sz w:val="24"/>
          <w:szCs w:val="24"/>
          <w:highlight w:val="none"/>
        </w:rPr>
        <w:t>76.3</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种方式：采用造价信息进行价格调整”规定的，承包人应在采购材料前将采购数量和新的材料单价报发包人核对，发包人确认用于工程时，发包人应确认采购材料的数量和单价。发包人在收到承包人报送的确认资料后</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天内不予答复的视为认可，作为调整合同价格的依据。未经发包人事先核对，承包人自行采购材料的，发包人有权不予调整合同价格。发包人同意的，可以调整合同价格。</w:t>
      </w:r>
      <w:r>
        <w:rPr>
          <w:color w:val="auto"/>
          <w:highlight w:val="none"/>
        </w:rPr>
        <mc:AlternateContent>
          <mc:Choice Requires="wps">
            <w:drawing>
              <wp:anchor distT="0" distB="0" distL="114300" distR="114300" simplePos="0" relativeHeight="251990016" behindDoc="0" locked="0" layoutInCell="1" allowOverlap="1">
                <wp:simplePos x="0" y="0"/>
                <wp:positionH relativeFrom="column">
                  <wp:posOffset>-66675</wp:posOffset>
                </wp:positionH>
                <wp:positionV relativeFrom="paragraph">
                  <wp:posOffset>31115</wp:posOffset>
                </wp:positionV>
                <wp:extent cx="914400" cy="711835"/>
                <wp:effectExtent l="0" t="0" r="0" b="0"/>
                <wp:wrapNone/>
                <wp:docPr id="324" name="文本框 328"/>
                <wp:cNvGraphicFramePr/>
                <a:graphic xmlns:a="http://schemas.openxmlformats.org/drawingml/2006/main">
                  <a:graphicData uri="http://schemas.microsoft.com/office/word/2010/wordprocessingShape">
                    <wps:wsp>
                      <wps:cNvSpPr txBox="1"/>
                      <wps:spPr>
                        <a:xfrm>
                          <a:off x="0" y="0"/>
                          <a:ext cx="914400" cy="71183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承包人采购材料设备的调价限制</w:t>
                            </w:r>
                          </w:p>
                        </w:txbxContent>
                      </wps:txbx>
                      <wps:bodyPr upright="1"/>
                    </wps:wsp>
                  </a:graphicData>
                </a:graphic>
              </wp:anchor>
            </w:drawing>
          </mc:Choice>
          <mc:Fallback>
            <w:pict>
              <v:shape id="文本框 328" o:spid="_x0000_s1026" o:spt="202" type="#_x0000_t202" style="position:absolute;left:0pt;margin-left:-5.25pt;margin-top:2.45pt;height:56.05pt;width:72pt;z-index:251990016;mso-width-relative:page;mso-height-relative:page;" filled="f" stroked="f" coordsize="21600,21600" o:gfxdata="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CM+ywdYA&#10;AAAJAQAADwAAAAAAAAABACAAAAAiAAAAZHJzL2Rvd25yZXYueG1sUEsBAhQAFAAAAAgAh07iQBc1&#10;cDyvAQAAUQMAAA4AAAAAAAAAAQAgAAAAJQEAAGRycy9lMm9Eb2MueG1sUEsFBgAAAAAGAAYAWQEA&#10;AEY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承包人采购材料设备的调价限制</w:t>
                      </w:r>
                    </w:p>
                  </w:txbxContent>
                </v:textbox>
              </v:shape>
            </w:pict>
          </mc:Fallback>
        </mc:AlternateContent>
      </w:r>
    </w:p>
    <w:p>
      <w:pPr>
        <w:pStyle w:val="2"/>
        <w:shd w:val="clear" w:color="000000" w:fill="auto"/>
        <w:adjustRightInd w:val="0"/>
        <w:snapToGrid w:val="0"/>
        <w:spacing w:line="420" w:lineRule="exact"/>
        <w:ind w:left="1619" w:leftChars="771" w:firstLine="9600" w:firstLineChars="40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w:t>
      </w:r>
    </w:p>
    <w:p>
      <w:pPr>
        <w:pStyle w:val="2"/>
        <w:shd w:val="clear" w:color="000000" w:fill="auto"/>
        <w:tabs>
          <w:tab w:val="left" w:pos="540"/>
        </w:tabs>
        <w:adjustRightInd w:val="0"/>
        <w:snapToGrid w:val="0"/>
        <w:spacing w:line="36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76.5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420" w:lineRule="exact"/>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91040"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325" name="文本框 329"/>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发包人供应材料设备的价款调整</w:t>
                            </w:r>
                          </w:p>
                        </w:txbxContent>
                      </wps:txbx>
                      <wps:bodyPr upright="1"/>
                    </wps:wsp>
                  </a:graphicData>
                </a:graphic>
              </wp:anchor>
            </w:drawing>
          </mc:Choice>
          <mc:Fallback>
            <w:pict>
              <v:shape id="文本框 329" o:spid="_x0000_s1026" o:spt="202" type="#_x0000_t202" style="position:absolute;left:0pt;margin-left:-9pt;margin-top:1.25pt;height:48.75pt;width:72pt;z-index:251991040;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08gMB9UA&#10;AAAJAQAADwAAAAAAAAABACAAAAAiAAAAZHJzL2Rvd25yZXYueG1sUEsBAhQAFAAAAAgAh07iQEt7&#10;2hWwAQAAUQMAAA4AAAAAAAAAAQAgAAAAJAEAAGRycy9lMm9Eb2MueG1sUEsFBgAAAAAGAAYAWQEA&#10;AEYFA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发包人供应材料设备的价款调整</w:t>
                      </w:r>
                    </w:p>
                  </w:txbxContent>
                </v:textbox>
              </v:shape>
            </w:pict>
          </mc:Fallback>
        </mc:AlternateContent>
      </w:r>
      <w:r>
        <w:rPr>
          <w:rFonts w:hint="eastAsia" w:ascii="仿宋" w:hAnsi="仿宋" w:eastAsia="仿宋" w:cs="仿宋"/>
          <w:color w:val="auto"/>
          <w:sz w:val="24"/>
          <w:szCs w:val="24"/>
          <w:highlight w:val="none"/>
        </w:rPr>
        <w:t>发包人供应材料和工程设备的，由发包人按照实际变化调整，列入合同工程的工程造价内。</w:t>
      </w:r>
    </w:p>
    <w:p>
      <w:pPr>
        <w:pStyle w:val="2"/>
        <w:shd w:val="clear" w:color="000000" w:fill="auto"/>
        <w:adjustRightInd w:val="0"/>
        <w:snapToGrid w:val="0"/>
        <w:ind w:right="-238"/>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numPr>
          <w:ilvl w:val="0"/>
          <w:numId w:val="0"/>
        </w:numPr>
        <w:shd w:val="clear" w:color="000000" w:fill="auto"/>
        <w:tabs>
          <w:tab w:val="left" w:pos="420"/>
        </w:tabs>
        <w:rPr>
          <w:rFonts w:ascii="仿宋" w:hAnsi="仿宋" w:eastAsia="仿宋"/>
          <w:b w:val="0"/>
          <w:bCs w:val="0"/>
          <w:color w:val="auto"/>
          <w:sz w:val="24"/>
          <w:szCs w:val="24"/>
          <w:highlight w:val="none"/>
        </w:rPr>
      </w:pPr>
      <w:bookmarkStart w:id="360" w:name="_Toc469384061"/>
      <w:bookmarkStart w:id="361" w:name="_Toc15148"/>
      <w:bookmarkStart w:id="362" w:name="_Toc10624901"/>
      <w:r>
        <w:rPr>
          <w:rFonts w:hint="eastAsia" w:ascii="仿宋" w:hAnsi="仿宋" w:eastAsia="仿宋" w:cs="仿宋"/>
          <w:b w:val="0"/>
          <w:bCs w:val="0"/>
          <w:color w:val="auto"/>
          <w:sz w:val="24"/>
          <w:szCs w:val="24"/>
          <w:highlight w:val="none"/>
        </w:rPr>
        <w:t>★</w:t>
      </w:r>
      <w:r>
        <w:rPr>
          <w:rFonts w:ascii="仿宋" w:hAnsi="仿宋" w:eastAsia="仿宋" w:cs="仿宋"/>
          <w:bCs w:val="0"/>
          <w:color w:val="auto"/>
          <w:sz w:val="24"/>
          <w:szCs w:val="24"/>
          <w:highlight w:val="none"/>
        </w:rPr>
        <w:t xml:space="preserve">77  </w:t>
      </w:r>
      <w:r>
        <w:rPr>
          <w:rFonts w:hint="eastAsia" w:ascii="仿宋" w:hAnsi="仿宋" w:eastAsia="仿宋" w:cs="仿宋"/>
          <w:bCs w:val="0"/>
          <w:color w:val="auto"/>
          <w:sz w:val="24"/>
          <w:szCs w:val="24"/>
          <w:highlight w:val="none"/>
        </w:rPr>
        <w:t>合同价款调整程序</w:t>
      </w:r>
      <w:bookmarkEnd w:id="360"/>
      <w:bookmarkEnd w:id="361"/>
      <w:bookmarkEnd w:id="362"/>
    </w:p>
    <w:p>
      <w:pPr>
        <w:shd w:val="clear" w:color="000000" w:fill="auto"/>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77.1</w:t>
      </w:r>
    </w:p>
    <w:p>
      <w:pPr>
        <w:shd w:val="clear" w:color="000000" w:fill="auto"/>
        <w:spacing w:line="360" w:lineRule="auto"/>
        <w:ind w:left="1619" w:leftChars="771" w:firstLine="2"/>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92064"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326" name="文本框 330"/>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pStyle w:val="36"/>
                              <w:spacing w:line="200" w:lineRule="exact"/>
                              <w:rPr>
                                <w:rFonts w:ascii="宋体" w:eastAsia="宋体"/>
                              </w:rPr>
                            </w:pPr>
                            <w:r>
                              <w:rPr>
                                <w:rFonts w:hint="eastAsia" w:ascii="楷体_GB2312" w:hAnsi="宋体" w:cs="楷体_GB2312"/>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wps:txbx>
                      <wps:bodyPr upright="1"/>
                    </wps:wsp>
                  </a:graphicData>
                </a:graphic>
              </wp:anchor>
            </w:drawing>
          </mc:Choice>
          <mc:Fallback>
            <w:pict>
              <v:shape id="文本框 330" o:spid="_x0000_s1026" o:spt="202" type="#_x0000_t202" style="position:absolute;left:0pt;margin-left:-9pt;margin-top:1.25pt;height:54.6pt;width:72pt;z-index:251992064;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A+4+31gAA&#10;AAkBAAAPAAAAAAAAAAEAIAAAACIAAABkcnMvZG93bnJldi54bWxQSwECFAAUAAAACACHTuJA4DIP&#10;Sa4BAABRAwAADgAAAAAAAAABACAAAAAlAQAAZHJzL2Uyb0RvYy54bWxQSwUGAAAAAAYABgBZAQAA&#10;RQUAAAAA&#10;">
                <v:fill on="f" focussize="0,0"/>
                <v:stroke on="f"/>
                <v:imagedata o:title=""/>
                <o:lock v:ext="edit" aspectratio="f"/>
                <v:textbox>
                  <w:txbxContent>
                    <w:p>
                      <w:pPr>
                        <w:pStyle w:val="36"/>
                        <w:spacing w:line="200" w:lineRule="exact"/>
                        <w:rPr>
                          <w:rFonts w:ascii="宋体" w:eastAsia="宋体"/>
                        </w:rPr>
                      </w:pPr>
                      <w:r>
                        <w:rPr>
                          <w:rFonts w:hint="eastAsia" w:ascii="楷体_GB2312" w:hAnsi="宋体" w:cs="楷体_GB2312"/>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v:textbox>
              </v:shape>
            </w:pict>
          </mc:Fallback>
        </mc:AlternateContent>
      </w:r>
      <w:r>
        <w:rPr>
          <w:rFonts w:hint="eastAsia" w:ascii="仿宋" w:hAnsi="仿宋" w:eastAsia="仿宋" w:cs="仿宋"/>
          <w:color w:val="auto"/>
          <w:sz w:val="24"/>
          <w:szCs w:val="24"/>
          <w:highlight w:val="none"/>
        </w:rPr>
        <w:t>合同履行期间，出现第</w:t>
      </w:r>
      <w:r>
        <w:rPr>
          <w:rFonts w:ascii="仿宋" w:hAnsi="仿宋" w:eastAsia="仿宋" w:cs="仿宋"/>
          <w:color w:val="auto"/>
          <w:sz w:val="24"/>
          <w:szCs w:val="24"/>
          <w:highlight w:val="none"/>
        </w:rPr>
        <w:t>68.</w:t>
      </w:r>
      <w:r>
        <w:rPr>
          <w:rFonts w:hint="eastAsia" w:ascii="仿宋" w:hAnsi="仿宋" w:eastAsia="仿宋" w:cs="仿宋"/>
          <w:color w:val="auto"/>
          <w:sz w:val="24"/>
          <w:szCs w:val="24"/>
          <w:highlight w:val="none"/>
        </w:rPr>
        <w:t>3款规定调整合同价款事件的，除费用索赔、现场签证事件分别按照第</w:t>
      </w:r>
      <w:r>
        <w:rPr>
          <w:rFonts w:ascii="仿宋" w:hAnsi="仿宋" w:eastAsia="仿宋" w:cs="仿宋"/>
          <w:color w:val="auto"/>
          <w:sz w:val="24"/>
          <w:szCs w:val="24"/>
          <w:highlight w:val="none"/>
        </w:rPr>
        <w:t>74</w:t>
      </w:r>
      <w:r>
        <w:rPr>
          <w:rFonts w:hint="eastAsia" w:ascii="仿宋" w:hAnsi="仿宋" w:eastAsia="仿宋" w:cs="仿宋"/>
          <w:color w:val="auto"/>
          <w:sz w:val="24"/>
          <w:szCs w:val="24"/>
          <w:highlight w:val="none"/>
        </w:rPr>
        <w:t>条、第</w:t>
      </w:r>
      <w:r>
        <w:rPr>
          <w:rFonts w:ascii="仿宋" w:hAnsi="仿宋" w:eastAsia="仿宋" w:cs="仿宋"/>
          <w:color w:val="auto"/>
          <w:sz w:val="24"/>
          <w:szCs w:val="24"/>
          <w:highlight w:val="none"/>
        </w:rPr>
        <w:t>75</w:t>
      </w:r>
      <w:r>
        <w:rPr>
          <w:rFonts w:hint="eastAsia" w:ascii="仿宋" w:hAnsi="仿宋" w:eastAsia="仿宋" w:cs="仿宋"/>
          <w:color w:val="auto"/>
          <w:sz w:val="24"/>
          <w:szCs w:val="24"/>
          <w:highlight w:val="none"/>
        </w:rPr>
        <w:t>条规定程序外，合同双方当事人应按照本条规定程序调整合同价款。</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93088" behindDoc="0" locked="0" layoutInCell="1" allowOverlap="1">
                <wp:simplePos x="0" y="0"/>
                <wp:positionH relativeFrom="column">
                  <wp:posOffset>-58420</wp:posOffset>
                </wp:positionH>
                <wp:positionV relativeFrom="paragraph">
                  <wp:posOffset>246380</wp:posOffset>
                </wp:positionV>
                <wp:extent cx="914400" cy="619125"/>
                <wp:effectExtent l="0" t="0" r="0" b="0"/>
                <wp:wrapNone/>
                <wp:docPr id="327" name="文本框 331"/>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合同价款调增报告的提出</w:t>
                            </w:r>
                          </w:p>
                          <w:p>
                            <w:pPr>
                              <w:pStyle w:val="36"/>
                              <w:spacing w:line="200" w:lineRule="exact"/>
                              <w:rPr>
                                <w:rFonts w:ascii="宋体" w:hAnsi="宋体" w:eastAsia="宋体"/>
                                <w:sz w:val="18"/>
                                <w:szCs w:val="18"/>
                              </w:rPr>
                            </w:pPr>
                          </w:p>
                        </w:txbxContent>
                      </wps:txbx>
                      <wps:bodyPr upright="1"/>
                    </wps:wsp>
                  </a:graphicData>
                </a:graphic>
              </wp:anchor>
            </w:drawing>
          </mc:Choice>
          <mc:Fallback>
            <w:pict>
              <v:shape id="文本框 331" o:spid="_x0000_s1026" o:spt="202" type="#_x0000_t202" style="position:absolute;left:0pt;margin-left:-4.6pt;margin-top:19.4pt;height:48.75pt;width:72pt;z-index:251993088;mso-width-relative:page;mso-height-relative:page;" filled="f" stroked="f" coordsize="21600,21600" o:gfxdata="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VC8H/tUA&#10;AAAJAQAADwAAAAAAAAABACAAAAAiAAAAZHJzL2Rvd25yZXYueG1sUEsBAhQAFAAAAAgAh07iQB9p&#10;h76wAQAAUQMAAA4AAAAAAAAAAQAgAAAAJAEAAGRycy9lMm9Eb2MueG1sUEsFBgAAAAAGAAYAWQEA&#10;AEYFA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合同价款调增报告的提出</w:t>
                      </w:r>
                    </w:p>
                    <w:p>
                      <w:pPr>
                        <w:pStyle w:val="36"/>
                        <w:spacing w:line="200" w:lineRule="exact"/>
                        <w:rPr>
                          <w:rFonts w:ascii="宋体" w:hAnsi="宋体" w:eastAsia="宋体"/>
                          <w:sz w:val="18"/>
                          <w:szCs w:val="18"/>
                        </w:rPr>
                      </w:pPr>
                    </w:p>
                  </w:txbxContent>
                </v:textbox>
              </v:shape>
            </w:pict>
          </mc:Fallback>
        </mc:AlternateContent>
      </w:r>
      <w:r>
        <w:rPr>
          <w:rFonts w:ascii="仿宋" w:hAnsi="仿宋" w:eastAsia="仿宋" w:cs="仿宋"/>
          <w:b/>
          <w:bCs/>
          <w:color w:val="auto"/>
          <w:sz w:val="24"/>
          <w:szCs w:val="24"/>
          <w:highlight w:val="none"/>
        </w:rPr>
        <w:t xml:space="preserve">77.2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b/>
          <w:bCs/>
          <w:color w:val="auto"/>
          <w:sz w:val="24"/>
          <w:szCs w:val="24"/>
          <w:highlight w:val="none"/>
        </w:rPr>
      </w:pPr>
      <w:r>
        <w:rPr>
          <w:rFonts w:hint="eastAsia" w:ascii="仿宋" w:hAnsi="仿宋" w:eastAsia="仿宋" w:cs="仿宋"/>
          <w:color w:val="auto"/>
          <w:sz w:val="24"/>
          <w:szCs w:val="24"/>
          <w:highlight w:val="none"/>
        </w:rPr>
        <w:t>出现合同价款调增事件后的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天内，承包人应向造价工程师提交合同价款调增报告。并附上相关资料。如承包人在出现合同价款调增事件后的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天内未提交合同价款调增报告的，则造价工程师可在报发包人批准后，根据实际情况决定是否调整合同价款以及调整的金额。</w:t>
      </w:r>
    </w:p>
    <w:p>
      <w:pPr>
        <w:pStyle w:val="2"/>
        <w:shd w:val="clear" w:color="000000" w:fill="auto"/>
        <w:adjustRightInd w:val="0"/>
        <w:snapToGrid w:val="0"/>
        <w:spacing w:line="360" w:lineRule="auto"/>
        <w:rPr>
          <w:rFonts w:ascii="仿宋" w:hAnsi="仿宋" w:eastAsia="仿宋" w:cs="仿宋"/>
          <w:color w:val="auto"/>
          <w:sz w:val="24"/>
          <w:szCs w:val="24"/>
          <w:highlight w:val="none"/>
          <w:u w:val="dotted"/>
        </w:rPr>
      </w:pPr>
      <w:r>
        <w:rPr>
          <w:rFonts w:ascii="仿宋" w:hAnsi="仿宋" w:eastAsia="仿宋" w:cs="仿宋"/>
          <w:b/>
          <w:bCs/>
          <w:color w:val="auto"/>
          <w:sz w:val="24"/>
          <w:szCs w:val="24"/>
          <w:highlight w:val="none"/>
        </w:rPr>
        <w:t xml:space="preserve">77.3 </w:t>
      </w:r>
      <w:r>
        <w:rPr>
          <w:rFonts w:ascii="仿宋" w:hAnsi="仿宋" w:eastAsia="仿宋" w:cs="仿宋"/>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94112"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328" name="文本框 332"/>
                <wp:cNvGraphicFramePr/>
                <a:graphic xmlns:a="http://schemas.openxmlformats.org/drawingml/2006/main">
                  <a:graphicData uri="http://schemas.microsoft.com/office/word/2010/wordprocessingShape">
                    <wps:wsp>
                      <wps:cNvSpPr txBox="1"/>
                      <wps:spPr>
                        <a:xfrm>
                          <a:off x="0" y="0"/>
                          <a:ext cx="1028700" cy="495300"/>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调增价款的核</w:t>
                            </w:r>
                          </w:p>
                          <w:p>
                            <w:pPr>
                              <w:pStyle w:val="36"/>
                              <w:spacing w:line="200" w:lineRule="exact"/>
                              <w:rPr>
                                <w:rFonts w:ascii="楷体_GB2312" w:hAnsi="宋体"/>
                                <w:sz w:val="18"/>
                                <w:szCs w:val="18"/>
                              </w:rPr>
                            </w:pPr>
                            <w:r>
                              <w:rPr>
                                <w:rFonts w:hint="eastAsia" w:ascii="楷体_GB2312" w:hAnsi="宋体" w:cs="楷体_GB2312"/>
                                <w:sz w:val="18"/>
                                <w:szCs w:val="18"/>
                              </w:rPr>
                              <w:t>实</w:t>
                            </w:r>
                          </w:p>
                        </w:txbxContent>
                      </wps:txbx>
                      <wps:bodyPr upright="1"/>
                    </wps:wsp>
                  </a:graphicData>
                </a:graphic>
              </wp:anchor>
            </w:drawing>
          </mc:Choice>
          <mc:Fallback>
            <w:pict>
              <v:shape id="文本框 332" o:spid="_x0000_s1026" o:spt="202" type="#_x0000_t202" style="position:absolute;left:0pt;margin-left:-9pt;margin-top:2.7pt;height:39pt;width:81pt;z-index:251994112;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6YhhG1QAA&#10;AAgBAAAPAAAAAAAAAAEAIAAAACIAAABkcnMvZG93bnJldi54bWxQSwECFAAUAAAACACHTuJAkW2B&#10;y68BAABSAwAADgAAAAAAAAABACAAAAAkAQAAZHJzL2Uyb0RvYy54bWxQSwUGAAAAAAYABgBZAQAA&#10;RQU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调增价款的核</w:t>
                      </w:r>
                    </w:p>
                    <w:p>
                      <w:pPr>
                        <w:pStyle w:val="36"/>
                        <w:spacing w:line="200" w:lineRule="exact"/>
                        <w:rPr>
                          <w:rFonts w:ascii="楷体_GB2312" w:hAnsi="宋体"/>
                          <w:sz w:val="18"/>
                          <w:szCs w:val="18"/>
                        </w:rPr>
                      </w:pPr>
                      <w:r>
                        <w:rPr>
                          <w:rFonts w:hint="eastAsia" w:ascii="楷体_GB2312" w:hAnsi="宋体" w:cs="楷体_GB2312"/>
                          <w:sz w:val="18"/>
                          <w:szCs w:val="18"/>
                        </w:rPr>
                        <w:t>实</w:t>
                      </w:r>
                    </w:p>
                  </w:txbxContent>
                </v:textbox>
              </v:shape>
            </w:pict>
          </mc:Fallback>
        </mc:AlternateContent>
      </w:r>
      <w:r>
        <w:rPr>
          <w:rFonts w:hint="eastAsia" w:ascii="仿宋" w:hAnsi="仿宋" w:eastAsia="仿宋" w:cs="仿宋"/>
          <w:color w:val="auto"/>
          <w:sz w:val="24"/>
          <w:szCs w:val="24"/>
          <w:highlight w:val="none"/>
        </w:rPr>
        <w:t>造价工程师应在收到合同价款调增报告及相关资料之日起</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天内对其核实，并予以确认或提出协商意见。造价工程师在收到合同价款调增报告之日起</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天内未确认也未提出协商意见的，视为承包人提交的合同价款调增报告已被认可。造价工程师提出协商意见的，合同双方当事人应在承包人收到协商意见后的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进行协商确定；协商未能达成一致的，由造价工程师暂定调增的合同价款，通知承包人并抄报发包人。出现暂定结果的，只要不实质影响合同双方当事人履约的，合同双方当事人应实施该结果，直到其被改变为止。</w:t>
      </w:r>
    </w:p>
    <w:p>
      <w:pPr>
        <w:pStyle w:val="2"/>
        <w:shd w:val="clear" w:color="000000" w:fill="auto"/>
        <w:adjustRightInd w:val="0"/>
        <w:snapToGrid w:val="0"/>
        <w:spacing w:line="36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77.4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95136"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329" name="文本框 333"/>
                <wp:cNvGraphicFramePr/>
                <a:graphic xmlns:a="http://schemas.openxmlformats.org/drawingml/2006/main">
                  <a:graphicData uri="http://schemas.microsoft.com/office/word/2010/wordprocessingShape">
                    <wps:wsp>
                      <wps:cNvSpPr txBox="1"/>
                      <wps:spPr>
                        <a:xfrm>
                          <a:off x="0" y="0"/>
                          <a:ext cx="1028700" cy="495300"/>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调增价款的支</w:t>
                            </w:r>
                          </w:p>
                          <w:p>
                            <w:pPr>
                              <w:pStyle w:val="36"/>
                              <w:spacing w:line="200" w:lineRule="exact"/>
                              <w:rPr>
                                <w:rFonts w:ascii="楷体_GB2312" w:hAnsi="宋体"/>
                                <w:sz w:val="18"/>
                                <w:szCs w:val="18"/>
                              </w:rPr>
                            </w:pPr>
                            <w:r>
                              <w:rPr>
                                <w:rFonts w:hint="eastAsia" w:ascii="楷体_GB2312" w:hAnsi="宋体" w:cs="楷体_GB2312"/>
                                <w:sz w:val="18"/>
                                <w:szCs w:val="18"/>
                              </w:rPr>
                              <w:t>付</w:t>
                            </w:r>
                          </w:p>
                        </w:txbxContent>
                      </wps:txbx>
                      <wps:bodyPr upright="1"/>
                    </wps:wsp>
                  </a:graphicData>
                </a:graphic>
              </wp:anchor>
            </w:drawing>
          </mc:Choice>
          <mc:Fallback>
            <w:pict>
              <v:shape id="文本框 333" o:spid="_x0000_s1026" o:spt="202" type="#_x0000_t202" style="position:absolute;left:0pt;margin-left:-9pt;margin-top:2.7pt;height:39pt;width:81pt;z-index:251995136;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mIYRtUA&#10;AAAIAQAADwAAAAAAAAABACAAAAAiAAAAZHJzL2Rvd25yZXYueG1sUEsBAhQAFAAAAAgAh07iQBpi&#10;TmmwAQAAUgMAAA4AAAAAAAAAAQAgAAAAJAEAAGRycy9lMm9Eb2MueG1sUEsFBgAAAAAGAAYAWQEA&#10;AEYFA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调增价款的支</w:t>
                      </w:r>
                    </w:p>
                    <w:p>
                      <w:pPr>
                        <w:pStyle w:val="36"/>
                        <w:spacing w:line="200" w:lineRule="exact"/>
                        <w:rPr>
                          <w:rFonts w:ascii="楷体_GB2312" w:hAnsi="宋体"/>
                          <w:sz w:val="18"/>
                          <w:szCs w:val="18"/>
                        </w:rPr>
                      </w:pPr>
                      <w:r>
                        <w:rPr>
                          <w:rFonts w:hint="eastAsia" w:ascii="楷体_GB2312" w:hAnsi="宋体" w:cs="楷体_GB2312"/>
                          <w:sz w:val="18"/>
                          <w:szCs w:val="18"/>
                        </w:rPr>
                        <w:t>付</w:t>
                      </w:r>
                    </w:p>
                  </w:txbxContent>
                </v:textbox>
              </v:shape>
            </w:pict>
          </mc:Fallback>
        </mc:AlternateContent>
      </w:r>
      <w:r>
        <w:rPr>
          <w:rFonts w:hint="eastAsia" w:ascii="仿宋" w:hAnsi="仿宋" w:eastAsia="仿宋" w:cs="仿宋"/>
          <w:color w:val="auto"/>
          <w:sz w:val="24"/>
          <w:szCs w:val="24"/>
          <w:highlight w:val="none"/>
        </w:rPr>
        <w:t>经合同双方当事人确认或造价工程师暂定调增的合同价款，作为追加合同价款，与工程进度款或结算款同期支付。</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77.5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06" w:leftChars="765"/>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96160" behindDoc="0" locked="0" layoutInCell="1" allowOverlap="1">
                <wp:simplePos x="0" y="0"/>
                <wp:positionH relativeFrom="column">
                  <wp:posOffset>-66675</wp:posOffset>
                </wp:positionH>
                <wp:positionV relativeFrom="paragraph">
                  <wp:posOffset>5715</wp:posOffset>
                </wp:positionV>
                <wp:extent cx="1143000" cy="495300"/>
                <wp:effectExtent l="0" t="0" r="0" b="0"/>
                <wp:wrapNone/>
                <wp:docPr id="330" name="文本框 334"/>
                <wp:cNvGraphicFramePr/>
                <a:graphic xmlns:a="http://schemas.openxmlformats.org/drawingml/2006/main">
                  <a:graphicData uri="http://schemas.microsoft.com/office/word/2010/wordprocessingShape">
                    <wps:wsp>
                      <wps:cNvSpPr txBox="1"/>
                      <wps:spPr>
                        <a:xfrm>
                          <a:off x="0" y="0"/>
                          <a:ext cx="1143000" cy="495300"/>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合同价款调减</w:t>
                            </w:r>
                          </w:p>
                          <w:p>
                            <w:pPr>
                              <w:pStyle w:val="36"/>
                              <w:spacing w:line="200" w:lineRule="exact"/>
                              <w:rPr>
                                <w:rFonts w:ascii="楷体_GB2312" w:hAnsi="宋体"/>
                                <w:sz w:val="18"/>
                                <w:szCs w:val="18"/>
                              </w:rPr>
                            </w:pPr>
                            <w:r>
                              <w:rPr>
                                <w:rFonts w:hint="eastAsia" w:ascii="楷体_GB2312" w:hAnsi="宋体" w:cs="楷体_GB2312"/>
                                <w:sz w:val="18"/>
                                <w:szCs w:val="18"/>
                              </w:rPr>
                              <w:t>事件的处理</w:t>
                            </w:r>
                          </w:p>
                        </w:txbxContent>
                      </wps:txbx>
                      <wps:bodyPr upright="1"/>
                    </wps:wsp>
                  </a:graphicData>
                </a:graphic>
              </wp:anchor>
            </w:drawing>
          </mc:Choice>
          <mc:Fallback>
            <w:pict>
              <v:shape id="文本框 334" o:spid="_x0000_s1026" o:spt="202" type="#_x0000_t202" style="position:absolute;left:0pt;margin-left:-5.25pt;margin-top:0.45pt;height:39pt;width:90pt;z-index:251996160;mso-width-relative:page;mso-height-relative:page;" filled="f" stroked="f" coordsize="21600,21600" o:gfxdata="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BZqXjnTAAAABwEA&#10;AA8AAAAAAAAAAQAgAAAAIgAAAGRycy9kb3ducmV2LnhtbFBLAQIUABQAAAAIAIdO4kDj1vEZrQEA&#10;AFIDAAAOAAAAAAAAAAEAIAAAACIBAABkcnMvZTJvRG9jLnhtbFBLBQYAAAAABgAGAFkBAABBBQAA&#10;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合同价款调减</w:t>
                      </w:r>
                    </w:p>
                    <w:p>
                      <w:pPr>
                        <w:pStyle w:val="36"/>
                        <w:spacing w:line="200" w:lineRule="exact"/>
                        <w:rPr>
                          <w:rFonts w:ascii="楷体_GB2312" w:hAnsi="宋体"/>
                          <w:sz w:val="18"/>
                          <w:szCs w:val="18"/>
                        </w:rPr>
                      </w:pPr>
                      <w:r>
                        <w:rPr>
                          <w:rFonts w:hint="eastAsia" w:ascii="楷体_GB2312" w:hAnsi="宋体" w:cs="楷体_GB2312"/>
                          <w:sz w:val="18"/>
                          <w:szCs w:val="18"/>
                        </w:rPr>
                        <w:t>事件的处理</w:t>
                      </w:r>
                    </w:p>
                  </w:txbxContent>
                </v:textbox>
              </v:shape>
            </w:pict>
          </mc:Fallback>
        </mc:AlternateContent>
      </w:r>
      <w:r>
        <w:rPr>
          <w:rFonts w:hint="eastAsia" w:ascii="仿宋" w:hAnsi="仿宋" w:eastAsia="仿宋" w:cs="仿宋"/>
          <w:color w:val="auto"/>
          <w:sz w:val="24"/>
          <w:szCs w:val="24"/>
          <w:highlight w:val="none"/>
        </w:rPr>
        <w:t>出现合同价款调减事件时，发包人可按照本条规定的时限和要求，向承包人提交合同价款调减报告以及调减的金额，但调减部分金额应按照实际调减金额乘以承包人报价浮动率计算。</w:t>
      </w:r>
    </w:p>
    <w:p>
      <w:pPr>
        <w:pStyle w:val="2"/>
        <w:shd w:val="clear" w:color="000000" w:fill="auto"/>
        <w:adjustRightInd w:val="0"/>
        <w:snapToGrid w:val="0"/>
        <w:ind w:left="1626" w:right="-238" w:hanging="1626" w:hangingChars="675"/>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numPr>
          <w:ilvl w:val="0"/>
          <w:numId w:val="0"/>
        </w:numPr>
        <w:shd w:val="clear" w:color="000000" w:fill="auto"/>
        <w:tabs>
          <w:tab w:val="left" w:pos="420"/>
        </w:tabs>
        <w:rPr>
          <w:rFonts w:ascii="仿宋" w:hAnsi="仿宋" w:eastAsia="仿宋"/>
          <w:color w:val="auto"/>
          <w:sz w:val="24"/>
          <w:szCs w:val="24"/>
          <w:highlight w:val="none"/>
        </w:rPr>
      </w:pPr>
      <w:bookmarkStart w:id="363" w:name="_Toc469384062"/>
      <w:bookmarkStart w:id="364" w:name="_Toc10624902"/>
      <w:bookmarkStart w:id="365" w:name="_Toc3656"/>
      <w:r>
        <w:rPr>
          <w:rFonts w:hint="eastAsia" w:ascii="仿宋" w:hAnsi="仿宋" w:eastAsia="仿宋" w:cs="仿宋"/>
          <w:b w:val="0"/>
          <w:bCs w:val="0"/>
          <w:color w:val="auto"/>
          <w:sz w:val="24"/>
          <w:szCs w:val="24"/>
          <w:highlight w:val="none"/>
        </w:rPr>
        <w:t>★</w:t>
      </w:r>
      <w:r>
        <w:rPr>
          <w:rFonts w:ascii="仿宋" w:hAnsi="仿宋" w:eastAsia="仿宋" w:cs="仿宋"/>
          <w:color w:val="auto"/>
          <w:sz w:val="24"/>
          <w:szCs w:val="24"/>
          <w:highlight w:val="none"/>
        </w:rPr>
        <w:t xml:space="preserve">78  </w:t>
      </w:r>
      <w:r>
        <w:rPr>
          <w:rFonts w:hint="eastAsia" w:ascii="仿宋" w:hAnsi="仿宋" w:eastAsia="仿宋" w:cs="仿宋"/>
          <w:color w:val="auto"/>
          <w:sz w:val="24"/>
          <w:szCs w:val="24"/>
          <w:highlight w:val="none"/>
        </w:rPr>
        <w:t>支付事项</w:t>
      </w:r>
      <w:bookmarkEnd w:id="363"/>
      <w:bookmarkEnd w:id="364"/>
      <w:bookmarkEnd w:id="365"/>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78.1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97184" behindDoc="0" locked="0" layoutInCell="1" allowOverlap="1">
                <wp:simplePos x="0" y="0"/>
                <wp:positionH relativeFrom="column">
                  <wp:posOffset>-114300</wp:posOffset>
                </wp:positionH>
                <wp:positionV relativeFrom="paragraph">
                  <wp:posOffset>21590</wp:posOffset>
                </wp:positionV>
                <wp:extent cx="1143000" cy="314325"/>
                <wp:effectExtent l="0" t="0" r="0" b="0"/>
                <wp:wrapNone/>
                <wp:docPr id="331" name="文本框 335"/>
                <wp:cNvGraphicFramePr/>
                <a:graphic xmlns:a="http://schemas.openxmlformats.org/drawingml/2006/main">
                  <a:graphicData uri="http://schemas.microsoft.com/office/word/2010/wordprocessingShape">
                    <wps:wsp>
                      <wps:cNvSpPr txBox="1"/>
                      <wps:spPr>
                        <a:xfrm>
                          <a:off x="0" y="0"/>
                          <a:ext cx="1143000" cy="314325"/>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支付工程款项</w:t>
                            </w:r>
                          </w:p>
                        </w:txbxContent>
                      </wps:txbx>
                      <wps:bodyPr upright="1"/>
                    </wps:wsp>
                  </a:graphicData>
                </a:graphic>
              </wp:anchor>
            </w:drawing>
          </mc:Choice>
          <mc:Fallback>
            <w:pict>
              <v:shape id="文本框 335" o:spid="_x0000_s1026" o:spt="202" type="#_x0000_t202" style="position:absolute;left:0pt;margin-left:-9pt;margin-top:1.7pt;height:24.75pt;width:90pt;z-index:251997184;mso-width-relative:page;mso-height-relative:page;" filled="f" stroked="f" coordsize="21600,21600" o:gfxdata="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BaF9MvVAAAA&#10;CAEAAA8AAAAAAAAAAQAgAAAAIgAAAGRycy9kb3ducmV2LnhtbFBLAQIUABQAAAAIAIdO4kCIpOtM&#10;rgEAAFIDAAAOAAAAAAAAAAEAIAAAACQBAABkcnMvZTJvRG9jLnhtbFBLBQYAAAAABgAGAFkBAABE&#10;BQ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支付工程款项</w:t>
                      </w:r>
                    </w:p>
                  </w:txbxContent>
                </v:textbox>
              </v:shape>
            </w:pict>
          </mc:Fallback>
        </mc:AlternateContent>
      </w:r>
      <w:r>
        <w:rPr>
          <w:rFonts w:hint="eastAsia" w:ascii="仿宋" w:hAnsi="仿宋" w:eastAsia="仿宋" w:cs="仿宋"/>
          <w:color w:val="auto"/>
          <w:sz w:val="24"/>
          <w:szCs w:val="24"/>
          <w:highlight w:val="none"/>
        </w:rPr>
        <w:t>发包人应按照下列规定向承包人支付工程款及其他各种款项：</w:t>
      </w:r>
    </w:p>
    <w:p>
      <w:pPr>
        <w:pStyle w:val="2"/>
        <w:shd w:val="clear" w:color="000000" w:fill="auto"/>
        <w:adjustRightInd w:val="0"/>
        <w:snapToGrid w:val="0"/>
        <w:spacing w:line="360" w:lineRule="auto"/>
        <w:ind w:left="1079" w:leftChars="514" w:firstLine="720" w:firstLineChars="3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预付款按照第</w:t>
      </w:r>
      <w:r>
        <w:rPr>
          <w:rFonts w:ascii="仿宋" w:hAnsi="仿宋" w:eastAsia="仿宋" w:cs="仿宋"/>
          <w:color w:val="auto"/>
          <w:sz w:val="24"/>
          <w:szCs w:val="24"/>
          <w:highlight w:val="none"/>
        </w:rPr>
        <w:t>79</w:t>
      </w:r>
      <w:r>
        <w:rPr>
          <w:rFonts w:hint="eastAsia" w:ascii="仿宋" w:hAnsi="仿宋" w:eastAsia="仿宋" w:cs="仿宋"/>
          <w:color w:val="auto"/>
          <w:sz w:val="24"/>
          <w:szCs w:val="24"/>
          <w:highlight w:val="none"/>
        </w:rPr>
        <w:t>条的规定支付；</w:t>
      </w:r>
    </w:p>
    <w:p>
      <w:pPr>
        <w:pStyle w:val="2"/>
        <w:shd w:val="clear" w:color="000000" w:fill="auto"/>
        <w:adjustRightInd w:val="0"/>
        <w:snapToGrid w:val="0"/>
        <w:spacing w:line="360" w:lineRule="auto"/>
        <w:ind w:left="1079" w:leftChars="514" w:firstLine="720" w:firstLineChars="3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(2) </w:t>
      </w:r>
      <w:r>
        <w:rPr>
          <w:rFonts w:hint="eastAsia" w:ascii="仿宋" w:hAnsi="仿宋" w:eastAsia="仿宋" w:cs="仿宋"/>
          <w:color w:val="auto"/>
          <w:sz w:val="24"/>
          <w:szCs w:val="24"/>
          <w:highlight w:val="none"/>
        </w:rPr>
        <w:t>绿色施工安全防护费按照第</w:t>
      </w:r>
      <w:r>
        <w:rPr>
          <w:rFonts w:ascii="仿宋" w:hAnsi="仿宋" w:eastAsia="仿宋" w:cs="仿宋"/>
          <w:color w:val="auto"/>
          <w:sz w:val="24"/>
          <w:szCs w:val="24"/>
          <w:highlight w:val="none"/>
        </w:rPr>
        <w:t>80</w:t>
      </w:r>
      <w:r>
        <w:rPr>
          <w:rFonts w:hint="eastAsia" w:ascii="仿宋" w:hAnsi="仿宋" w:eastAsia="仿宋" w:cs="仿宋"/>
          <w:color w:val="auto"/>
          <w:sz w:val="24"/>
          <w:szCs w:val="24"/>
          <w:highlight w:val="none"/>
        </w:rPr>
        <w:t>条规定支付；</w:t>
      </w:r>
    </w:p>
    <w:p>
      <w:pPr>
        <w:pStyle w:val="2"/>
        <w:shd w:val="clear" w:color="000000" w:fill="auto"/>
        <w:adjustRightInd w:val="0"/>
        <w:snapToGrid w:val="0"/>
        <w:spacing w:line="360" w:lineRule="auto"/>
        <w:ind w:left="1079" w:leftChars="514" w:firstLine="720" w:firstLineChars="3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进度款按照第</w:t>
      </w:r>
      <w:r>
        <w:rPr>
          <w:rFonts w:ascii="仿宋" w:hAnsi="仿宋" w:eastAsia="仿宋" w:cs="仿宋"/>
          <w:color w:val="auto"/>
          <w:sz w:val="24"/>
          <w:szCs w:val="24"/>
          <w:highlight w:val="none"/>
        </w:rPr>
        <w:t>81</w:t>
      </w:r>
      <w:r>
        <w:rPr>
          <w:rFonts w:hint="eastAsia" w:ascii="仿宋" w:hAnsi="仿宋" w:eastAsia="仿宋" w:cs="仿宋"/>
          <w:color w:val="auto"/>
          <w:sz w:val="24"/>
          <w:szCs w:val="24"/>
          <w:highlight w:val="none"/>
        </w:rPr>
        <w:t>条的规定支付；</w:t>
      </w:r>
    </w:p>
    <w:p>
      <w:pPr>
        <w:pStyle w:val="2"/>
        <w:shd w:val="clear" w:color="000000" w:fill="auto"/>
        <w:adjustRightInd w:val="0"/>
        <w:snapToGrid w:val="0"/>
        <w:spacing w:line="360" w:lineRule="auto"/>
        <w:ind w:left="481" w:leftChars="229" w:firstLine="1320" w:firstLineChars="55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结算款按照第</w:t>
      </w:r>
      <w:r>
        <w:rPr>
          <w:rFonts w:ascii="仿宋" w:hAnsi="仿宋" w:eastAsia="仿宋" w:cs="仿宋"/>
          <w:color w:val="auto"/>
          <w:sz w:val="24"/>
          <w:szCs w:val="24"/>
          <w:highlight w:val="none"/>
        </w:rPr>
        <w:t>83</w:t>
      </w:r>
      <w:r>
        <w:rPr>
          <w:rFonts w:hint="eastAsia" w:ascii="仿宋" w:hAnsi="仿宋" w:eastAsia="仿宋" w:cs="仿宋"/>
          <w:color w:val="auto"/>
          <w:sz w:val="24"/>
          <w:szCs w:val="24"/>
          <w:highlight w:val="none"/>
        </w:rPr>
        <w:t>条的规定支付；</w:t>
      </w:r>
    </w:p>
    <w:p>
      <w:pPr>
        <w:pStyle w:val="2"/>
        <w:shd w:val="clear" w:color="000000" w:fill="auto"/>
        <w:adjustRightInd w:val="0"/>
        <w:snapToGrid w:val="0"/>
        <w:spacing w:line="360" w:lineRule="auto"/>
        <w:ind w:left="1079" w:leftChars="514" w:firstLine="720" w:firstLineChars="3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质量保证金按照第</w:t>
      </w:r>
      <w:r>
        <w:rPr>
          <w:rFonts w:ascii="仿宋" w:hAnsi="仿宋" w:eastAsia="仿宋" w:cs="仿宋"/>
          <w:color w:val="auto"/>
          <w:sz w:val="24"/>
          <w:szCs w:val="24"/>
          <w:highlight w:val="none"/>
        </w:rPr>
        <w:t>84</w:t>
      </w:r>
      <w:r>
        <w:rPr>
          <w:rFonts w:hint="eastAsia" w:ascii="仿宋" w:hAnsi="仿宋" w:eastAsia="仿宋" w:cs="仿宋"/>
          <w:color w:val="auto"/>
          <w:sz w:val="24"/>
          <w:szCs w:val="24"/>
          <w:highlight w:val="none"/>
        </w:rPr>
        <w:t>条的规定支付；</w:t>
      </w:r>
    </w:p>
    <w:p>
      <w:pPr>
        <w:pStyle w:val="2"/>
        <w:shd w:val="clear" w:color="000000" w:fill="auto"/>
        <w:adjustRightInd w:val="0"/>
        <w:snapToGrid w:val="0"/>
        <w:spacing w:line="360" w:lineRule="auto"/>
        <w:ind w:left="1079" w:leftChars="514" w:firstLine="720" w:firstLineChars="3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(6)</w:t>
      </w:r>
      <w:r>
        <w:rPr>
          <w:rFonts w:hint="eastAsia" w:ascii="仿宋" w:hAnsi="仿宋" w:eastAsia="仿宋" w:cs="仿宋"/>
          <w:color w:val="auto"/>
          <w:sz w:val="24"/>
          <w:szCs w:val="24"/>
          <w:highlight w:val="none"/>
        </w:rPr>
        <w:t>最终清算款按照第</w:t>
      </w:r>
      <w:r>
        <w:rPr>
          <w:rFonts w:ascii="仿宋" w:hAnsi="仿宋" w:eastAsia="仿宋" w:cs="仿宋"/>
          <w:color w:val="auto"/>
          <w:sz w:val="24"/>
          <w:szCs w:val="24"/>
          <w:highlight w:val="none"/>
        </w:rPr>
        <w:t>85</w:t>
      </w:r>
      <w:r>
        <w:rPr>
          <w:rFonts w:hint="eastAsia" w:ascii="仿宋" w:hAnsi="仿宋" w:eastAsia="仿宋" w:cs="仿宋"/>
          <w:color w:val="auto"/>
          <w:sz w:val="24"/>
          <w:szCs w:val="24"/>
          <w:highlight w:val="none"/>
        </w:rPr>
        <w:t>条的规定支付。</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78.2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98208" behindDoc="0" locked="0" layoutInCell="1" allowOverlap="1">
                <wp:simplePos x="0" y="0"/>
                <wp:positionH relativeFrom="column">
                  <wp:posOffset>-114300</wp:posOffset>
                </wp:positionH>
                <wp:positionV relativeFrom="paragraph">
                  <wp:posOffset>43815</wp:posOffset>
                </wp:positionV>
                <wp:extent cx="914400" cy="398145"/>
                <wp:effectExtent l="0" t="0" r="0" b="0"/>
                <wp:wrapNone/>
                <wp:docPr id="332" name="文本框 336"/>
                <wp:cNvGraphicFramePr/>
                <a:graphic xmlns:a="http://schemas.openxmlformats.org/drawingml/2006/main">
                  <a:graphicData uri="http://schemas.microsoft.com/office/word/2010/wordprocessingShape">
                    <wps:wsp>
                      <wps:cNvSpPr txBox="1"/>
                      <wps:spPr>
                        <a:xfrm>
                          <a:off x="0" y="0"/>
                          <a:ext cx="914400" cy="398145"/>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延迟支付的利息计算</w:t>
                            </w:r>
                          </w:p>
                        </w:txbxContent>
                      </wps:txbx>
                      <wps:bodyPr upright="1"/>
                    </wps:wsp>
                  </a:graphicData>
                </a:graphic>
              </wp:anchor>
            </w:drawing>
          </mc:Choice>
          <mc:Fallback>
            <w:pict>
              <v:shape id="文本框 336" o:spid="_x0000_s1026" o:spt="202" type="#_x0000_t202" style="position:absolute;left:0pt;margin-left:-9pt;margin-top:3.45pt;height:31.35pt;width:72pt;z-index:251998208;mso-width-relative:page;mso-height-relative:page;" filled="f" stroked="f" coordsize="21600,21600" o:gfxdata="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q4J2j1AAA&#10;AAgBAAAPAAAAAAAAAAEAIAAAACIAAABkcnMvZG93bnJldi54bWxQSwECFAAUAAAACACHTuJATOJG&#10;hrABAABRAwAADgAAAAAAAAABACAAAAAjAQAAZHJzL2Uyb0RvYy54bWxQSwUGAAAAAAYABgBZAQAA&#10;RQU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延迟支付的利息计算</w:t>
                      </w:r>
                    </w:p>
                  </w:txbxContent>
                </v:textbox>
              </v:shape>
            </w:pict>
          </mc:Fallback>
        </mc:AlternateContent>
      </w:r>
      <w:r>
        <w:rPr>
          <w:rFonts w:hint="eastAsia" w:ascii="仿宋" w:hAnsi="仿宋" w:eastAsia="仿宋" w:cs="仿宋"/>
          <w:color w:val="auto"/>
          <w:sz w:val="24"/>
          <w:szCs w:val="24"/>
          <w:highlight w:val="none"/>
        </w:rPr>
        <w:t>如果发包人延迟支付款项，则承包人有权按照专用条款约定的利率计算和得到利息。计息时间从应支付之日算起直到该笔延迟款额支付之日止。除专用条款另有约定外，利息的利率按照中国人民银行发布的同期同类贷款利率计算。</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78.3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99232" behindDoc="0" locked="0" layoutInCell="1" allowOverlap="1">
                <wp:simplePos x="0" y="0"/>
                <wp:positionH relativeFrom="column">
                  <wp:posOffset>-114300</wp:posOffset>
                </wp:positionH>
                <wp:positionV relativeFrom="paragraph">
                  <wp:posOffset>4445</wp:posOffset>
                </wp:positionV>
                <wp:extent cx="914400" cy="438150"/>
                <wp:effectExtent l="0" t="0" r="0" b="0"/>
                <wp:wrapNone/>
                <wp:docPr id="333" name="文本框 337"/>
                <wp:cNvGraphicFramePr/>
                <a:graphic xmlns:a="http://schemas.openxmlformats.org/drawingml/2006/main">
                  <a:graphicData uri="http://schemas.microsoft.com/office/word/2010/wordprocessingShape">
                    <wps:wsp>
                      <wps:cNvSpPr txBox="1"/>
                      <wps:spPr>
                        <a:xfrm>
                          <a:off x="0" y="0"/>
                          <a:ext cx="914400" cy="438150"/>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承包人提供支付凭证</w:t>
                            </w:r>
                          </w:p>
                        </w:txbxContent>
                      </wps:txbx>
                      <wps:bodyPr upright="1"/>
                    </wps:wsp>
                  </a:graphicData>
                </a:graphic>
              </wp:anchor>
            </w:drawing>
          </mc:Choice>
          <mc:Fallback>
            <w:pict>
              <v:shape id="文本框 337" o:spid="_x0000_s1026" o:spt="202" type="#_x0000_t202" style="position:absolute;left:0pt;margin-left:-9pt;margin-top:0.35pt;height:34.5pt;width:72pt;z-index:251999232;mso-width-relative:page;mso-height-relative:page;" filled="f" stroked="f" coordsize="21600,21600" o:gfxdata="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qq7ui1AAA&#10;AAcBAAAPAAAAAAAAAAEAIAAAACIAAABkcnMvZG93bnJldi54bWxQSwECFAAUAAAACACHTuJAh0zi&#10;MrABAABRAwAADgAAAAAAAAABACAAAAAjAQAAZHJzL2Uyb0RvYy54bWxQSwUGAAAAAAYABgBZAQAA&#10;RQU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承包人提供支付凭证</w:t>
                      </w:r>
                    </w:p>
                  </w:txbxContent>
                </v:textbox>
              </v:shape>
            </w:pict>
          </mc:Fallback>
        </mc:AlternateContent>
      </w:r>
      <w:r>
        <w:rPr>
          <w:rFonts w:hint="eastAsia" w:ascii="仿宋" w:hAnsi="仿宋" w:eastAsia="仿宋" w:cs="仿宋"/>
          <w:color w:val="auto"/>
          <w:sz w:val="24"/>
          <w:szCs w:val="24"/>
          <w:highlight w:val="none"/>
        </w:rPr>
        <w:t>发包人或受其委托的造价工程师有权要求，承包人向发包人或造价工程师提供其对雇员劳务工资、分包人已完工程款以及材料和工程设备供应商货款的支付凭证。如果承包人未能提供上述凭证，视为承包人未向雇员、分包人、供应商支付相关款项。</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78.4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420" w:lineRule="exact"/>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00256" behindDoc="0" locked="0" layoutInCell="1" allowOverlap="1">
                <wp:simplePos x="0" y="0"/>
                <wp:positionH relativeFrom="column">
                  <wp:posOffset>-114300</wp:posOffset>
                </wp:positionH>
                <wp:positionV relativeFrom="paragraph">
                  <wp:posOffset>22225</wp:posOffset>
                </wp:positionV>
                <wp:extent cx="914400" cy="504190"/>
                <wp:effectExtent l="0" t="0" r="0" b="0"/>
                <wp:wrapNone/>
                <wp:docPr id="334" name="文本框 338"/>
                <wp:cNvGraphicFramePr/>
                <a:graphic xmlns:a="http://schemas.openxmlformats.org/drawingml/2006/main">
                  <a:graphicData uri="http://schemas.microsoft.com/office/word/2010/wordprocessingShape">
                    <wps:wsp>
                      <wps:cNvSpPr txBox="1"/>
                      <wps:spPr>
                        <a:xfrm>
                          <a:off x="0" y="0"/>
                          <a:ext cx="914400" cy="504190"/>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承包人未按规定支付款项的限制</w:t>
                            </w:r>
                          </w:p>
                        </w:txbxContent>
                      </wps:txbx>
                      <wps:bodyPr upright="1"/>
                    </wps:wsp>
                  </a:graphicData>
                </a:graphic>
              </wp:anchor>
            </w:drawing>
          </mc:Choice>
          <mc:Fallback>
            <w:pict>
              <v:shape id="文本框 338" o:spid="_x0000_s1026" o:spt="202" type="#_x0000_t202" style="position:absolute;left:0pt;margin-left:-9pt;margin-top:1.75pt;height:39.7pt;width:72pt;z-index:252000256;mso-width-relative:page;mso-height-relative:page;" filled="f" stroked="f" coordsize="21600,21600" o:gfxdata="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HVJ7KfV&#10;AAAACAEAAA8AAAAAAAAAAQAgAAAAIgAAAGRycy9kb3ducmV2LnhtbFBLAQIUABQAAAAIAIdO4kCI&#10;ezztsQEAAFEDAAAOAAAAAAAAAAEAIAAAACQBAABkcnMvZTJvRG9jLnhtbFBLBQYAAAAABgAGAFkB&#10;AABHBQ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承包人未按规定支付款项的限制</w:t>
                      </w:r>
                    </w:p>
                  </w:txbxContent>
                </v:textbox>
              </v:shape>
            </w:pict>
          </mc:Fallback>
        </mc:AlternateContent>
      </w:r>
      <w:r>
        <w:rPr>
          <w:rFonts w:hint="eastAsia" w:ascii="仿宋" w:hAnsi="仿宋" w:eastAsia="仿宋" w:cs="仿宋"/>
          <w:color w:val="auto"/>
          <w:sz w:val="24"/>
          <w:szCs w:val="24"/>
          <w:highlight w:val="none"/>
        </w:rPr>
        <w:t>如果承包人未按照雇员劳务合同和政府有关规定支付雇员劳务工资，或未按照分包合同支付分包人工程款，或未按照购销合同支付材料和工程设备供应商货款，均视为承包人违约。若在造价工程师书面通知改正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天内，承包人仍未采取措施补救的，发包人可在不损害承包人其他权利的前提下，实施下列工作：</w:t>
      </w:r>
    </w:p>
    <w:p>
      <w:pPr>
        <w:pStyle w:val="2"/>
        <w:numPr>
          <w:ilvl w:val="0"/>
          <w:numId w:val="21"/>
        </w:numPr>
        <w:shd w:val="clear" w:color="000000" w:fill="auto"/>
        <w:tabs>
          <w:tab w:val="left" w:pos="2160"/>
        </w:tabs>
        <w:adjustRightInd w:val="0"/>
        <w:snapToGrid w:val="0"/>
        <w:spacing w:line="420" w:lineRule="exact"/>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立即停止向承包人支付应付的款项；</w:t>
      </w:r>
    </w:p>
    <w:p>
      <w:pPr>
        <w:pStyle w:val="2"/>
        <w:numPr>
          <w:ilvl w:val="0"/>
          <w:numId w:val="21"/>
        </w:numPr>
        <w:shd w:val="clear" w:color="000000" w:fill="auto"/>
        <w:tabs>
          <w:tab w:val="left" w:pos="2160"/>
        </w:tabs>
        <w:adjustRightInd w:val="0"/>
        <w:snapToGrid w:val="0"/>
        <w:spacing w:line="420" w:lineRule="exact"/>
        <w:ind w:left="1618" w:leftChars="770" w:hanging="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在相应支付期应付的工程款范围内，直接向雇员、分包人和材料设备供应商支付承包人应付的款项。</w:t>
      </w:r>
    </w:p>
    <w:p>
      <w:pPr>
        <w:pStyle w:val="2"/>
        <w:shd w:val="clear" w:color="000000" w:fill="auto"/>
        <w:adjustRightInd w:val="0"/>
        <w:snapToGrid w:val="0"/>
        <w:spacing w:line="420" w:lineRule="exact"/>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发包人在实施上述工作后的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天内应以书面形式通知承包人，抄送造价工程师。造价工程师在签发下期支付证书时，应扣除已由发包人直接支付的款项。由于上述工作原因发生的费用由承包人承担；给发包人造成损失的，承包人应予赔偿。</w:t>
      </w:r>
    </w:p>
    <w:p>
      <w:pPr>
        <w:pStyle w:val="2"/>
        <w:shd w:val="clear" w:color="000000" w:fill="auto"/>
        <w:adjustRightInd w:val="0"/>
        <w:snapToGrid w:val="0"/>
        <w:spacing w:line="240" w:lineRule="exact"/>
        <w:ind w:right="-238"/>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line="240" w:lineRule="exact"/>
        <w:ind w:firstLine="482"/>
        <w:rPr>
          <w:rFonts w:ascii="仿宋" w:hAnsi="仿宋" w:eastAsia="仿宋" w:cs="Times New Roman"/>
          <w:b/>
          <w:bCs/>
          <w:color w:val="auto"/>
          <w:sz w:val="24"/>
          <w:szCs w:val="24"/>
          <w:highlight w:val="none"/>
        </w:rPr>
      </w:pP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366" w:name="_Toc30367"/>
      <w:bookmarkStart w:id="367" w:name="_Toc10624903"/>
      <w:bookmarkStart w:id="368" w:name="_Toc469384063"/>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79  </w:t>
      </w:r>
      <w:r>
        <w:rPr>
          <w:rFonts w:hint="eastAsia" w:ascii="仿宋" w:hAnsi="仿宋" w:eastAsia="仿宋" w:cs="仿宋"/>
          <w:b/>
          <w:bCs/>
          <w:color w:val="auto"/>
          <w:sz w:val="24"/>
          <w:szCs w:val="24"/>
          <w:highlight w:val="none"/>
        </w:rPr>
        <w:t>预付款</w:t>
      </w:r>
      <w:bookmarkEnd w:id="366"/>
      <w:bookmarkEnd w:id="367"/>
      <w:bookmarkEnd w:id="368"/>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2001280" behindDoc="0" locked="0" layoutInCell="1" allowOverlap="1">
                <wp:simplePos x="0" y="0"/>
                <wp:positionH relativeFrom="column">
                  <wp:posOffset>-114300</wp:posOffset>
                </wp:positionH>
                <wp:positionV relativeFrom="paragraph">
                  <wp:posOffset>226695</wp:posOffset>
                </wp:positionV>
                <wp:extent cx="990600" cy="459740"/>
                <wp:effectExtent l="0" t="0" r="0" b="0"/>
                <wp:wrapNone/>
                <wp:docPr id="335" name="文本框 339"/>
                <wp:cNvGraphicFramePr/>
                <a:graphic xmlns:a="http://schemas.openxmlformats.org/drawingml/2006/main">
                  <a:graphicData uri="http://schemas.microsoft.com/office/word/2010/wordprocessingShape">
                    <wps:wsp>
                      <wps:cNvSpPr txBox="1"/>
                      <wps:spPr>
                        <a:xfrm>
                          <a:off x="0" y="0"/>
                          <a:ext cx="990600" cy="459740"/>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预付款的约定</w:t>
                            </w:r>
                          </w:p>
                          <w:p>
                            <w:pPr>
                              <w:pStyle w:val="36"/>
                              <w:spacing w:line="200" w:lineRule="exact"/>
                              <w:rPr>
                                <w:rFonts w:ascii="楷体_GB2312" w:hAnsi="宋体"/>
                                <w:sz w:val="18"/>
                                <w:szCs w:val="18"/>
                              </w:rPr>
                            </w:pPr>
                            <w:r>
                              <w:rPr>
                                <w:rFonts w:hint="eastAsia" w:ascii="楷体_GB2312" w:hAnsi="宋体" w:cs="楷体_GB2312"/>
                                <w:sz w:val="18"/>
                                <w:szCs w:val="18"/>
                              </w:rPr>
                              <w:t>及管理</w:t>
                            </w:r>
                          </w:p>
                        </w:txbxContent>
                      </wps:txbx>
                      <wps:bodyPr upright="1"/>
                    </wps:wsp>
                  </a:graphicData>
                </a:graphic>
              </wp:anchor>
            </w:drawing>
          </mc:Choice>
          <mc:Fallback>
            <w:pict>
              <v:shape id="文本框 339" o:spid="_x0000_s1026" o:spt="202" type="#_x0000_t202" style="position:absolute;left:0pt;margin-left:-9pt;margin-top:17.85pt;height:36.2pt;width:78pt;z-index:252001280;mso-width-relative:page;mso-height-relative:page;" filled="f" stroked="f" coordsize="21600,21600" o:gfxdata="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7X6Y&#10;f9cAAAAKAQAADwAAAAAAAAABACAAAAAiAAAAZHJzL2Rvd25yZXYueG1sUEsBAhQAFAAAAAgAh07i&#10;QKNZ1JKxAQAAUQMAAA4AAAAAAAAAAQAgAAAAJgEAAGRycy9lMm9Eb2MueG1sUEsFBgAAAAAGAAYA&#10;WQEAAEkFA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预付款的约定</w:t>
                      </w:r>
                    </w:p>
                    <w:p>
                      <w:pPr>
                        <w:pStyle w:val="36"/>
                        <w:spacing w:line="200" w:lineRule="exact"/>
                        <w:rPr>
                          <w:rFonts w:ascii="楷体_GB2312" w:hAnsi="宋体"/>
                          <w:sz w:val="18"/>
                          <w:szCs w:val="18"/>
                        </w:rPr>
                      </w:pPr>
                      <w:r>
                        <w:rPr>
                          <w:rFonts w:hint="eastAsia" w:ascii="楷体_GB2312" w:hAnsi="宋体" w:cs="楷体_GB2312"/>
                          <w:sz w:val="18"/>
                          <w:szCs w:val="18"/>
                        </w:rPr>
                        <w:t>及管理</w:t>
                      </w:r>
                    </w:p>
                  </w:txbxContent>
                </v:textbox>
              </v:shape>
            </w:pict>
          </mc:Fallback>
        </mc:AlternateContent>
      </w:r>
      <w:r>
        <w:rPr>
          <w:rFonts w:ascii="仿宋" w:hAnsi="仿宋" w:eastAsia="仿宋" w:cs="仿宋"/>
          <w:b/>
          <w:bCs/>
          <w:color w:val="auto"/>
          <w:sz w:val="24"/>
          <w:szCs w:val="24"/>
          <w:highlight w:val="none"/>
        </w:rPr>
        <w:t xml:space="preserve">79.1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除专用条款另有约定外，合同双方当事人应约定预付款，并在专用条款中明确预付款金额、支付办法和抵扣方式。</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预付款专款专用，承包人应在财务账目中表明专用于为合同工程施工购置材料、工程设备、施工设备、修建临时设施以及组织施工队伍进场等所需的款项，不得挪作他用。除专用条款另有约定外，预付款的预付比例不低于合同价款（扣除暂列金额）的</w:t>
      </w:r>
      <w:r>
        <w:rPr>
          <w:rFonts w:ascii="仿宋" w:hAnsi="仿宋" w:eastAsia="仿宋" w:cs="仿宋"/>
          <w:color w:val="auto"/>
          <w:sz w:val="24"/>
          <w:szCs w:val="24"/>
          <w:highlight w:val="none"/>
        </w:rPr>
        <w:t>10%</w:t>
      </w:r>
      <w:r>
        <w:rPr>
          <w:rFonts w:hint="eastAsia" w:ascii="仿宋" w:hAnsi="仿宋" w:eastAsia="仿宋" w:cs="仿宋"/>
          <w:color w:val="auto"/>
          <w:sz w:val="24"/>
          <w:szCs w:val="24"/>
          <w:highlight w:val="none"/>
        </w:rPr>
        <w:t>，不高于合同价款（扣除暂列金额）的</w:t>
      </w:r>
      <w:r>
        <w:rPr>
          <w:rFonts w:ascii="仿宋" w:hAnsi="仿宋" w:eastAsia="仿宋" w:cs="仿宋"/>
          <w:color w:val="auto"/>
          <w:sz w:val="24"/>
          <w:szCs w:val="24"/>
          <w:highlight w:val="none"/>
        </w:rPr>
        <w:t>30%</w:t>
      </w:r>
      <w:r>
        <w:rPr>
          <w:rFonts w:hint="eastAsia" w:ascii="仿宋" w:hAnsi="仿宋" w:eastAsia="仿宋" w:cs="仿宋"/>
          <w:color w:val="auto"/>
          <w:sz w:val="24"/>
          <w:szCs w:val="24"/>
          <w:highlight w:val="none"/>
        </w:rPr>
        <w:t>。</w:t>
      </w:r>
    </w:p>
    <w:p>
      <w:pPr>
        <w:pStyle w:val="2"/>
        <w:shd w:val="clear" w:color="000000" w:fill="auto"/>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79.2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02304" behindDoc="0" locked="0" layoutInCell="1" allowOverlap="1">
                <wp:simplePos x="0" y="0"/>
                <wp:positionH relativeFrom="column">
                  <wp:posOffset>-114300</wp:posOffset>
                </wp:positionH>
                <wp:positionV relativeFrom="paragraph">
                  <wp:posOffset>19685</wp:posOffset>
                </wp:positionV>
                <wp:extent cx="914400" cy="591185"/>
                <wp:effectExtent l="0" t="0" r="0" b="0"/>
                <wp:wrapNone/>
                <wp:docPr id="336" name="文本框 340"/>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预付款支付申请的提交、核实与支付</w:t>
                            </w:r>
                          </w:p>
                        </w:txbxContent>
                      </wps:txbx>
                      <wps:bodyPr upright="1"/>
                    </wps:wsp>
                  </a:graphicData>
                </a:graphic>
              </wp:anchor>
            </w:drawing>
          </mc:Choice>
          <mc:Fallback>
            <w:pict>
              <v:shape id="文本框 340" o:spid="_x0000_s1026" o:spt="202" type="#_x0000_t202" style="position:absolute;left:0pt;margin-left:-9pt;margin-top:1.55pt;height:46.55pt;width:72pt;z-index:252002304;mso-width-relative:page;mso-height-relative:page;" filled="f" stroked="f" coordsize="21600,21600" o:gfxdata="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J4nzk1QAA&#10;AAgBAAAPAAAAAAAAAAEAIAAAACIAAABkcnMvZG93bnJldi54bWxQSwECFAAUAAAACACHTuJAojNT&#10;oq8BAABRAwAADgAAAAAAAAABACAAAAAkAQAAZHJzL2Uyb0RvYy54bWxQSwUGAAAAAAYABgBZAQAA&#10;RQU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预付款支付申请的提交、核实与支付</w:t>
                      </w:r>
                    </w:p>
                  </w:txbxContent>
                </v:textbox>
              </v:shape>
            </w:pict>
          </mc:Fallback>
        </mc:AlternateContent>
      </w:r>
      <w:r>
        <w:rPr>
          <w:rFonts w:hint="eastAsia" w:ascii="仿宋" w:hAnsi="仿宋" w:eastAsia="仿宋" w:cs="仿宋"/>
          <w:color w:val="auto"/>
          <w:sz w:val="24"/>
          <w:szCs w:val="24"/>
          <w:highlight w:val="none"/>
        </w:rPr>
        <w:t>承包人在完成下列工作后，应按照专用条款约定的期限内向造价工程师提交预付款支付申请，并抄送发包人。</w:t>
      </w:r>
    </w:p>
    <w:p>
      <w:pPr>
        <w:pStyle w:val="2"/>
        <w:shd w:val="clear" w:color="000000" w:fill="auto"/>
        <w:adjustRightInd w:val="0"/>
        <w:snapToGrid w:val="0"/>
        <w:spacing w:line="360" w:lineRule="auto"/>
        <w:ind w:firstLine="1620" w:firstLineChars="67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）签订本合同；</w:t>
      </w:r>
    </w:p>
    <w:p>
      <w:pPr>
        <w:pStyle w:val="2"/>
        <w:shd w:val="clear" w:color="000000" w:fill="auto"/>
        <w:adjustRightInd w:val="0"/>
        <w:snapToGrid w:val="0"/>
        <w:spacing w:line="360" w:lineRule="auto"/>
        <w:ind w:firstLine="1620" w:firstLineChars="67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）按照第</w:t>
      </w:r>
      <w:r>
        <w:rPr>
          <w:rFonts w:ascii="仿宋" w:hAnsi="仿宋" w:eastAsia="仿宋" w:cs="仿宋"/>
          <w:color w:val="auto"/>
          <w:sz w:val="24"/>
          <w:szCs w:val="24"/>
          <w:highlight w:val="none"/>
        </w:rPr>
        <w:t>28.1</w:t>
      </w:r>
      <w:r>
        <w:rPr>
          <w:rFonts w:hint="eastAsia" w:ascii="仿宋" w:hAnsi="仿宋" w:eastAsia="仿宋" w:cs="仿宋"/>
          <w:color w:val="auto"/>
          <w:sz w:val="24"/>
          <w:szCs w:val="24"/>
          <w:highlight w:val="none"/>
        </w:rPr>
        <w:t>款规定提供履约担保；</w:t>
      </w:r>
    </w:p>
    <w:p>
      <w:pPr>
        <w:pStyle w:val="2"/>
        <w:shd w:val="clear" w:color="000000" w:fill="auto"/>
        <w:adjustRightInd w:val="0"/>
        <w:snapToGrid w:val="0"/>
        <w:spacing w:line="360" w:lineRule="auto"/>
        <w:ind w:firstLine="1620" w:firstLineChars="67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）向发包人提供与预付款等额的预付款保函的正本。</w:t>
      </w:r>
    </w:p>
    <w:p>
      <w:pPr>
        <w:pStyle w:val="2"/>
        <w:shd w:val="clear" w:color="000000" w:fill="auto"/>
        <w:adjustRightInd w:val="0"/>
        <w:snapToGrid w:val="0"/>
        <w:spacing w:line="360" w:lineRule="auto"/>
        <w:ind w:left="1619" w:leftChars="771" w:firstLine="2"/>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造价工程师应对支付申请进行核实，并在收到支付申请后的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天内报发包人确认后向发包人发出支付证书，同时抄送承包人。</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发包人在造价工程师签发支付证书后的</w:t>
      </w:r>
      <w:r>
        <w:rPr>
          <w:rFonts w:ascii="仿宋" w:hAnsi="仿宋" w:eastAsia="仿宋" w:cs="仿宋"/>
          <w:color w:val="auto"/>
          <w:sz w:val="24"/>
          <w:szCs w:val="24"/>
          <w:highlight w:val="none"/>
        </w:rPr>
        <w:t>30</w:t>
      </w:r>
      <w:r>
        <w:rPr>
          <w:rFonts w:hint="eastAsia" w:ascii="仿宋" w:hAnsi="仿宋" w:eastAsia="仿宋" w:cs="仿宋"/>
          <w:color w:val="auto"/>
          <w:sz w:val="24"/>
          <w:szCs w:val="24"/>
          <w:highlight w:val="none"/>
        </w:rPr>
        <w:t>天内向承包人支付预付款，并通知造价工程师。</w:t>
      </w:r>
    </w:p>
    <w:p>
      <w:pPr>
        <w:pStyle w:val="2"/>
        <w:shd w:val="clear" w:color="000000" w:fill="auto"/>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79.3  </w:t>
      </w:r>
      <w:r>
        <w:rPr>
          <w:rFonts w:ascii="仿宋" w:hAnsi="仿宋" w:eastAsia="仿宋" w:cs="仿宋"/>
          <w:b/>
          <w:bCs/>
          <w:color w:val="auto"/>
          <w:sz w:val="24"/>
          <w:szCs w:val="24"/>
          <w:highlight w:val="none"/>
          <w:u w:val="dotted"/>
        </w:rPr>
        <w:t xml:space="preserve">                                                                                                        </w:t>
      </w:r>
    </w:p>
    <w:p>
      <w:pPr>
        <w:pStyle w:val="13"/>
        <w:shd w:val="clear" w:color="000000" w:fill="auto"/>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03328"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337" name="文本框 341"/>
                <wp:cNvGraphicFramePr/>
                <a:graphic xmlns:a="http://schemas.openxmlformats.org/drawingml/2006/main">
                  <a:graphicData uri="http://schemas.microsoft.com/office/word/2010/wordprocessingShape">
                    <wps:wsp>
                      <wps:cNvSpPr txBox="1"/>
                      <wps:spPr>
                        <a:xfrm>
                          <a:off x="0" y="0"/>
                          <a:ext cx="914400" cy="400685"/>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预付款支付的限制</w:t>
                            </w:r>
                          </w:p>
                        </w:txbxContent>
                      </wps:txbx>
                      <wps:bodyPr upright="1"/>
                    </wps:wsp>
                  </a:graphicData>
                </a:graphic>
              </wp:anchor>
            </w:drawing>
          </mc:Choice>
          <mc:Fallback>
            <w:pict>
              <v:shape id="文本框 341" o:spid="_x0000_s1026" o:spt="202" type="#_x0000_t202" style="position:absolute;left:0pt;margin-left:-9pt;margin-top:0.85pt;height:31.55pt;width:72pt;z-index:252003328;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c3+MM1QAA&#10;AAgBAAAPAAAAAAAAAAEAIAAAACIAAABkcnMvZG93bnJldi54bWxQSwECFAAUAAAACACHTuJAYX+B&#10;xa8BAABRAwAADgAAAAAAAAABACAAAAAkAQAAZHJzL2Uyb0RvYy54bWxQSwUGAAAAAAYABgBZAQAA&#10;RQU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预付款支付的限制</w:t>
                      </w:r>
                    </w:p>
                  </w:txbxContent>
                </v:textbox>
              </v:shape>
            </w:pict>
          </mc:Fallback>
        </mc:AlternateContent>
      </w:r>
      <w:r>
        <w:rPr>
          <w:rFonts w:hint="eastAsia" w:ascii="仿宋" w:hAnsi="仿宋" w:eastAsia="仿宋" w:cs="仿宋"/>
          <w:color w:val="auto"/>
          <w:sz w:val="24"/>
          <w:szCs w:val="24"/>
          <w:highlight w:val="none"/>
        </w:rPr>
        <w:t>发包人没有按时支付预付款的，承包人应在付款期满后的</w:t>
      </w:r>
      <w:r>
        <w:rPr>
          <w:rFonts w:ascii="仿宋" w:hAnsi="仿宋" w:eastAsia="仿宋" w:cs="仿宋"/>
          <w:color w:val="auto"/>
          <w:sz w:val="24"/>
          <w:szCs w:val="24"/>
          <w:highlight w:val="none"/>
        </w:rPr>
        <w:t>10</w:t>
      </w:r>
      <w:r>
        <w:rPr>
          <w:rFonts w:hint="eastAsia" w:ascii="仿宋" w:hAnsi="仿宋" w:eastAsia="仿宋" w:cs="仿宋"/>
          <w:color w:val="auto"/>
          <w:sz w:val="24"/>
          <w:szCs w:val="24"/>
          <w:highlight w:val="none"/>
        </w:rPr>
        <w:t>天向发包人发出要求支付的通知；发包人收到通知后仍不按要求支付，承包人可在发出通知</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天后暂停施工。发包人可与承包人协商签订延期支付协议，经承包人同意后可延期支付，承包人有权按照第</w:t>
      </w:r>
      <w:r>
        <w:rPr>
          <w:rFonts w:ascii="仿宋" w:hAnsi="仿宋" w:eastAsia="仿宋" w:cs="仿宋"/>
          <w:color w:val="auto"/>
          <w:sz w:val="24"/>
          <w:szCs w:val="24"/>
          <w:highlight w:val="none"/>
        </w:rPr>
        <w:t>78.2</w:t>
      </w:r>
      <w:r>
        <w:rPr>
          <w:rFonts w:hint="eastAsia" w:ascii="仿宋" w:hAnsi="仿宋" w:eastAsia="仿宋" w:cs="仿宋"/>
          <w:color w:val="auto"/>
          <w:sz w:val="24"/>
          <w:szCs w:val="24"/>
          <w:highlight w:val="none"/>
        </w:rPr>
        <w:t>款规定获得延期支付的利息。发包方承担由此增加的费用和（或）延误的工期，并向承包人支付合理利润。</w:t>
      </w:r>
    </w:p>
    <w:p>
      <w:pPr>
        <w:pStyle w:val="2"/>
        <w:shd w:val="clear" w:color="000000" w:fill="auto"/>
        <w:tabs>
          <w:tab w:val="left" w:pos="1320"/>
        </w:tabs>
        <w:adjustRightInd w:val="0"/>
        <w:snapToGrid w:val="0"/>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79.4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04352" behindDoc="0" locked="0" layoutInCell="1" allowOverlap="1">
                <wp:simplePos x="0" y="0"/>
                <wp:positionH relativeFrom="column">
                  <wp:posOffset>-114300</wp:posOffset>
                </wp:positionH>
                <wp:positionV relativeFrom="paragraph">
                  <wp:posOffset>46355</wp:posOffset>
                </wp:positionV>
                <wp:extent cx="1028700" cy="304165"/>
                <wp:effectExtent l="0" t="0" r="0" b="0"/>
                <wp:wrapNone/>
                <wp:docPr id="338" name="文本框 342"/>
                <wp:cNvGraphicFramePr/>
                <a:graphic xmlns:a="http://schemas.openxmlformats.org/drawingml/2006/main">
                  <a:graphicData uri="http://schemas.microsoft.com/office/word/2010/wordprocessingShape">
                    <wps:wsp>
                      <wps:cNvSpPr txBox="1"/>
                      <wps:spPr>
                        <a:xfrm>
                          <a:off x="0" y="0"/>
                          <a:ext cx="1028700" cy="304165"/>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预付款的扣回</w:t>
                            </w:r>
                          </w:p>
                        </w:txbxContent>
                      </wps:txbx>
                      <wps:bodyPr upright="1"/>
                    </wps:wsp>
                  </a:graphicData>
                </a:graphic>
              </wp:anchor>
            </w:drawing>
          </mc:Choice>
          <mc:Fallback>
            <w:pict>
              <v:shape id="文本框 342" o:spid="_x0000_s1026" o:spt="202" type="#_x0000_t202" style="position:absolute;left:0pt;margin-left:-9pt;margin-top:3.65pt;height:23.95pt;width:81pt;z-index:252004352;mso-width-relative:page;mso-height-relative:page;" filled="f" stroked="f" coordsize="21600,21600" o:gfxdata="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eXEXcdYA&#10;AAAIAQAADwAAAAAAAAABACAAAAAiAAAAZHJzL2Rvd25yZXYueG1sUEsBAhQAFAAAAAgAh07iQDLm&#10;LsOvAQAAUgMAAA4AAAAAAAAAAQAgAAAAJQEAAGRycy9lMm9Eb2MueG1sUEsFBgAAAAAGAAYAWQEA&#10;AEYFA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预付款的扣回</w:t>
                      </w:r>
                    </w:p>
                  </w:txbxContent>
                </v:textbox>
              </v:shape>
            </w:pict>
          </mc:Fallback>
        </mc:AlternateContent>
      </w:r>
      <w:r>
        <w:rPr>
          <w:rFonts w:hint="eastAsia" w:ascii="仿宋" w:hAnsi="仿宋" w:eastAsia="仿宋" w:cs="仿宋"/>
          <w:color w:val="auto"/>
          <w:sz w:val="24"/>
          <w:szCs w:val="24"/>
          <w:highlight w:val="none"/>
        </w:rPr>
        <w:t>预付款应从每支付期应支付给承包人的进度款中扣回，直到扣回的金额达到专用条款约定的预付款金额为止。造价工程师应依据专用条款约定的抵扣方式，在签发支付证书时从应支付给承包人的款项中扣回。</w:t>
      </w:r>
    </w:p>
    <w:p>
      <w:pPr>
        <w:pStyle w:val="2"/>
        <w:shd w:val="clear" w:color="000000" w:fill="auto"/>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79.5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05376" behindDoc="0" locked="0" layoutInCell="1" allowOverlap="1">
                <wp:simplePos x="0" y="0"/>
                <wp:positionH relativeFrom="column">
                  <wp:posOffset>-114300</wp:posOffset>
                </wp:positionH>
                <wp:positionV relativeFrom="paragraph">
                  <wp:posOffset>13335</wp:posOffset>
                </wp:positionV>
                <wp:extent cx="914400" cy="408305"/>
                <wp:effectExtent l="0" t="0" r="0" b="0"/>
                <wp:wrapNone/>
                <wp:docPr id="339" name="文本框 343"/>
                <wp:cNvGraphicFramePr/>
                <a:graphic xmlns:a="http://schemas.openxmlformats.org/drawingml/2006/main">
                  <a:graphicData uri="http://schemas.microsoft.com/office/word/2010/wordprocessingShape">
                    <wps:wsp>
                      <wps:cNvSpPr txBox="1"/>
                      <wps:spPr>
                        <a:xfrm>
                          <a:off x="0" y="0"/>
                          <a:ext cx="914400" cy="408305"/>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预付款保函的有效与退还</w:t>
                            </w:r>
                          </w:p>
                        </w:txbxContent>
                      </wps:txbx>
                      <wps:bodyPr upright="1"/>
                    </wps:wsp>
                  </a:graphicData>
                </a:graphic>
              </wp:anchor>
            </w:drawing>
          </mc:Choice>
          <mc:Fallback>
            <w:pict>
              <v:shape id="文本框 343" o:spid="_x0000_s1026" o:spt="202" type="#_x0000_t202" style="position:absolute;left:0pt;margin-left:-9pt;margin-top:1.05pt;height:32.15pt;width:72pt;z-index:252005376;mso-width-relative:page;mso-height-relative:page;" filled="f" stroked="f" coordsize="21600,21600" o:gfxdata="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rcUW11QAA&#10;AAgBAAAPAAAAAAAAAAEAIAAAACIAAABkcnMvZG93bnJldi54bWxQSwECFAAUAAAACACHTuJAcmof&#10;4K8BAABRAwAADgAAAAAAAAABACAAAAAkAQAAZHJzL2Uyb0RvYy54bWxQSwUGAAAAAAYABgBZAQAA&#10;RQU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预付款保函的有效与退还</w:t>
                      </w:r>
                    </w:p>
                  </w:txbxContent>
                </v:textbox>
              </v:shape>
            </w:pict>
          </mc:Fallback>
        </mc:AlternateContent>
      </w:r>
      <w:r>
        <w:rPr>
          <w:rFonts w:hint="eastAsia" w:ascii="仿宋" w:hAnsi="仿宋" w:eastAsia="仿宋" w:cs="仿宋"/>
          <w:color w:val="auto"/>
          <w:sz w:val="24"/>
          <w:szCs w:val="24"/>
          <w:highlight w:val="none"/>
        </w:rPr>
        <w:t>承包人应保持预付款保函在预付款全部扣回之前一直有效。发包人应在预付款扣完后的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天内将预付款保函退还承包人，并不得向承包人收取预付款的任何利息。</w:t>
      </w:r>
    </w:p>
    <w:p>
      <w:pPr>
        <w:pStyle w:val="2"/>
        <w:shd w:val="clear" w:color="000000" w:fill="auto"/>
        <w:adjustRightInd w:val="0"/>
        <w:snapToGrid w:val="0"/>
        <w:spacing w:line="240" w:lineRule="exact"/>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line="240" w:lineRule="exact"/>
        <w:ind w:firstLine="482"/>
        <w:rPr>
          <w:rFonts w:ascii="仿宋" w:hAnsi="仿宋" w:eastAsia="仿宋" w:cs="Times New Roman"/>
          <w:b/>
          <w:bCs/>
          <w:color w:val="auto"/>
          <w:sz w:val="24"/>
          <w:szCs w:val="24"/>
          <w:highlight w:val="none"/>
        </w:rPr>
      </w:pP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369" w:name="_Toc469384064"/>
      <w:bookmarkStart w:id="370" w:name="_Toc15237"/>
      <w:bookmarkStart w:id="371" w:name="_Toc10624904"/>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80  </w:t>
      </w:r>
      <w:r>
        <w:rPr>
          <w:rFonts w:hint="eastAsia" w:ascii="仿宋" w:hAnsi="仿宋" w:eastAsia="仿宋" w:cs="仿宋"/>
          <w:b/>
          <w:bCs/>
          <w:color w:val="auto"/>
          <w:sz w:val="24"/>
          <w:szCs w:val="24"/>
          <w:highlight w:val="none"/>
        </w:rPr>
        <w:t>绿色施工安全防护费</w:t>
      </w:r>
      <w:bookmarkEnd w:id="369"/>
      <w:bookmarkEnd w:id="370"/>
      <w:bookmarkEnd w:id="371"/>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80.1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06400" behindDoc="0" locked="0" layoutInCell="1" allowOverlap="1">
                <wp:simplePos x="0" y="0"/>
                <wp:positionH relativeFrom="column">
                  <wp:posOffset>-114300</wp:posOffset>
                </wp:positionH>
                <wp:positionV relativeFrom="paragraph">
                  <wp:posOffset>17780</wp:posOffset>
                </wp:positionV>
                <wp:extent cx="1028700" cy="440055"/>
                <wp:effectExtent l="0" t="0" r="0" b="0"/>
                <wp:wrapNone/>
                <wp:docPr id="340" name="文本框 344"/>
                <wp:cNvGraphicFramePr/>
                <a:graphic xmlns:a="http://schemas.openxmlformats.org/drawingml/2006/main">
                  <a:graphicData uri="http://schemas.microsoft.com/office/word/2010/wordprocessingShape">
                    <wps:wsp>
                      <wps:cNvSpPr txBox="1"/>
                      <wps:spPr>
                        <a:xfrm>
                          <a:off x="0" y="0"/>
                          <a:ext cx="1028700" cy="440055"/>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内容、范围和</w:t>
                            </w:r>
                          </w:p>
                          <w:p>
                            <w:pPr>
                              <w:pStyle w:val="36"/>
                              <w:spacing w:line="200" w:lineRule="exact"/>
                              <w:rPr>
                                <w:rFonts w:ascii="楷体_GB2312" w:hAnsi="宋体"/>
                                <w:sz w:val="18"/>
                                <w:szCs w:val="18"/>
                              </w:rPr>
                            </w:pPr>
                            <w:r>
                              <w:rPr>
                                <w:rFonts w:hint="eastAsia" w:ascii="楷体_GB2312" w:hAnsi="宋体" w:cs="楷体_GB2312"/>
                                <w:sz w:val="18"/>
                                <w:szCs w:val="18"/>
                              </w:rPr>
                              <w:t>金额</w:t>
                            </w:r>
                          </w:p>
                        </w:txbxContent>
                      </wps:txbx>
                      <wps:bodyPr upright="1"/>
                    </wps:wsp>
                  </a:graphicData>
                </a:graphic>
              </wp:anchor>
            </w:drawing>
          </mc:Choice>
          <mc:Fallback>
            <w:pict>
              <v:shape id="文本框 344" o:spid="_x0000_s1026" o:spt="202" type="#_x0000_t202" style="position:absolute;left:0pt;margin-left:-9pt;margin-top:1.4pt;height:34.65pt;width:81pt;z-index:252006400;mso-width-relative:page;mso-height-relative:page;" filled="f" stroked="f" coordsize="21600,21600" o:gfxdata="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7bIi3UAAAA&#10;CAEAAA8AAAAAAAAAAQAgAAAAIgAAAGRycy9kb3ducmV2LnhtbFBLAQIUABQAAAAIAIdO4kAdPi8P&#10;rwEAAFIDAAAOAAAAAAAAAAEAIAAAACMBAABkcnMvZTJvRG9jLnhtbFBLBQYAAAAABgAGAFkBAABE&#10;BQ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内容、范围和</w:t>
                      </w:r>
                    </w:p>
                    <w:p>
                      <w:pPr>
                        <w:pStyle w:val="36"/>
                        <w:spacing w:line="200" w:lineRule="exact"/>
                        <w:rPr>
                          <w:rFonts w:ascii="楷体_GB2312" w:hAnsi="宋体"/>
                          <w:sz w:val="18"/>
                          <w:szCs w:val="18"/>
                        </w:rPr>
                      </w:pPr>
                      <w:r>
                        <w:rPr>
                          <w:rFonts w:hint="eastAsia" w:ascii="楷体_GB2312" w:hAnsi="宋体" w:cs="楷体_GB2312"/>
                          <w:sz w:val="18"/>
                          <w:szCs w:val="18"/>
                        </w:rPr>
                        <w:t>金额</w:t>
                      </w:r>
                    </w:p>
                  </w:txbxContent>
                </v:textbox>
              </v:shape>
            </w:pict>
          </mc:Fallback>
        </mc:AlternateContent>
      </w:r>
      <w:r>
        <w:rPr>
          <w:rFonts w:hint="eastAsia" w:ascii="仿宋" w:hAnsi="仿宋" w:eastAsia="仿宋" w:cs="仿宋"/>
          <w:color w:val="auto"/>
          <w:sz w:val="24"/>
          <w:szCs w:val="24"/>
          <w:highlight w:val="none"/>
        </w:rPr>
        <w:t>合同双方当事人应在专用条款中约定绿色施工安全防护费的内容、范围和金额，并按照第</w:t>
      </w:r>
      <w:r>
        <w:rPr>
          <w:rFonts w:ascii="仿宋" w:hAnsi="仿宋" w:eastAsia="仿宋" w:cs="仿宋"/>
          <w:color w:val="auto"/>
          <w:sz w:val="24"/>
          <w:szCs w:val="24"/>
          <w:highlight w:val="none"/>
        </w:rPr>
        <w:t>45</w:t>
      </w:r>
      <w:r>
        <w:rPr>
          <w:rFonts w:hint="eastAsia" w:ascii="仿宋" w:hAnsi="仿宋" w:eastAsia="仿宋" w:cs="仿宋"/>
          <w:color w:val="auto"/>
          <w:sz w:val="24"/>
          <w:szCs w:val="24"/>
          <w:highlight w:val="none"/>
        </w:rPr>
        <w:t>条规定实施绿色施工安全防护。除专用条款另有约定外，绿色施工安全防护费的内容和范围，应以现行广东省统一工程计价依据、省市造价管理部门发布管理文件的规定为准。</w:t>
      </w:r>
    </w:p>
    <w:p>
      <w:pPr>
        <w:pStyle w:val="2"/>
        <w:shd w:val="clear" w:color="000000" w:fill="auto"/>
        <w:adjustRightInd w:val="0"/>
        <w:snapToGrid w:val="0"/>
        <w:spacing w:line="360" w:lineRule="auto"/>
        <w:rPr>
          <w:rFonts w:ascii="仿宋" w:hAnsi="仿宋" w:eastAsia="仿宋" w:cs="仿宋"/>
          <w:color w:val="auto"/>
          <w:sz w:val="24"/>
          <w:szCs w:val="24"/>
          <w:highlight w:val="none"/>
          <w:u w:val="dotted"/>
        </w:rPr>
      </w:pPr>
      <w:r>
        <w:rPr>
          <w:rFonts w:ascii="仿宋" w:hAnsi="仿宋" w:eastAsia="仿宋" w:cs="仿宋"/>
          <w:b/>
          <w:bCs/>
          <w:color w:val="auto"/>
          <w:sz w:val="24"/>
          <w:szCs w:val="24"/>
          <w:highlight w:val="none"/>
        </w:rPr>
        <w:t xml:space="preserve">80.2  </w:t>
      </w:r>
      <w:r>
        <w:rPr>
          <w:rFonts w:ascii="仿宋" w:hAnsi="仿宋" w:eastAsia="仿宋" w:cs="仿宋"/>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u w:val="single"/>
        </w:rPr>
      </w:pPr>
      <w:r>
        <w:rPr>
          <w:color w:val="auto"/>
          <w:highlight w:val="none"/>
        </w:rPr>
        <mc:AlternateContent>
          <mc:Choice Requires="wps">
            <w:drawing>
              <wp:anchor distT="0" distB="0" distL="114300" distR="114300" simplePos="0" relativeHeight="252007424" behindDoc="0" locked="0" layoutInCell="1" allowOverlap="1">
                <wp:simplePos x="0" y="0"/>
                <wp:positionH relativeFrom="column">
                  <wp:posOffset>-114300</wp:posOffset>
                </wp:positionH>
                <wp:positionV relativeFrom="paragraph">
                  <wp:posOffset>34290</wp:posOffset>
                </wp:positionV>
                <wp:extent cx="914400" cy="789305"/>
                <wp:effectExtent l="0" t="0" r="0" b="0"/>
                <wp:wrapNone/>
                <wp:docPr id="341" name="文本框 345"/>
                <wp:cNvGraphicFramePr/>
                <a:graphic xmlns:a="http://schemas.openxmlformats.org/drawingml/2006/main">
                  <a:graphicData uri="http://schemas.microsoft.com/office/word/2010/wordprocessingShape">
                    <wps:wsp>
                      <wps:cNvSpPr txBox="1"/>
                      <wps:spPr>
                        <a:xfrm>
                          <a:off x="0" y="0"/>
                          <a:ext cx="914400" cy="789305"/>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支付申请的提交与核实</w:t>
                            </w:r>
                          </w:p>
                        </w:txbxContent>
                      </wps:txbx>
                      <wps:bodyPr upright="1"/>
                    </wps:wsp>
                  </a:graphicData>
                </a:graphic>
              </wp:anchor>
            </w:drawing>
          </mc:Choice>
          <mc:Fallback>
            <w:pict>
              <v:shape id="文本框 345" o:spid="_x0000_s1026" o:spt="202" type="#_x0000_t202" style="position:absolute;left:0pt;margin-left:-9pt;margin-top:2.7pt;height:62.15pt;width:72pt;z-index:252007424;mso-width-relative:page;mso-height-relative:page;" filled="f" stroked="f" coordsize="21600,21600" o:gfxdata="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CJF4sfW&#10;AAAACQEAAA8AAAAAAAAAAQAgAAAAIgAAAGRycy9kb3ducmV2LnhtbFBLAQIUABQAAAAIAIdO4kDz&#10;uv2LsAEAAFEDAAAOAAAAAAAAAAEAIAAAACUBAABkcnMvZTJvRG9jLnhtbFBLBQYAAAAABgAGAFkB&#10;AABHBQ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支付申请的提交与核实</w:t>
                      </w:r>
                    </w:p>
                  </w:txbxContent>
                </v:textbox>
              </v:shape>
            </w:pict>
          </mc:Fallback>
        </mc:AlternateContent>
      </w:r>
      <w:r>
        <w:rPr>
          <w:rFonts w:hint="eastAsia" w:ascii="仿宋" w:hAnsi="仿宋" w:eastAsia="仿宋" w:cs="仿宋"/>
          <w:color w:val="auto"/>
          <w:sz w:val="24"/>
          <w:szCs w:val="24"/>
          <w:highlight w:val="none"/>
        </w:rPr>
        <w:t>专用条款没有约定的，承包人应在接到监理工程师按照第</w:t>
      </w:r>
      <w:r>
        <w:rPr>
          <w:rFonts w:ascii="仿宋" w:hAnsi="仿宋" w:eastAsia="仿宋" w:cs="仿宋"/>
          <w:color w:val="auto"/>
          <w:sz w:val="24"/>
          <w:szCs w:val="24"/>
          <w:highlight w:val="none"/>
        </w:rPr>
        <w:t>34.2</w:t>
      </w:r>
      <w:r>
        <w:rPr>
          <w:rFonts w:hint="eastAsia" w:ascii="仿宋" w:hAnsi="仿宋" w:eastAsia="仿宋" w:cs="仿宋"/>
          <w:color w:val="auto"/>
          <w:sz w:val="24"/>
          <w:szCs w:val="24"/>
          <w:highlight w:val="none"/>
        </w:rPr>
        <w:t>款规定发出开工令后的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天内向造价工程师提交绿色施工安全防护费支付申请，并抄送发包人。造价工程师应对支付申请进行核</w:t>
      </w:r>
      <w:r>
        <w:rPr>
          <w:rFonts w:hint="eastAsia" w:ascii="仿宋" w:hAnsi="仿宋" w:eastAsia="仿宋" w:cs="仿宋"/>
          <w:color w:val="auto"/>
          <w:sz w:val="24"/>
          <w:szCs w:val="24"/>
          <w:highlight w:val="none"/>
          <w:u w:val="single"/>
        </w:rPr>
        <w:t>实，并在收到支付申请后的</w:t>
      </w:r>
      <w:r>
        <w:rPr>
          <w:rFonts w:ascii="仿宋" w:hAnsi="仿宋" w:eastAsia="仿宋" w:cs="仿宋"/>
          <w:color w:val="auto"/>
          <w:sz w:val="24"/>
          <w:szCs w:val="24"/>
          <w:highlight w:val="none"/>
          <w:u w:val="single"/>
        </w:rPr>
        <w:t>7</w:t>
      </w:r>
      <w:r>
        <w:rPr>
          <w:rFonts w:hint="eastAsia" w:ascii="仿宋" w:hAnsi="仿宋" w:eastAsia="仿宋" w:cs="仿宋"/>
          <w:color w:val="auto"/>
          <w:sz w:val="24"/>
          <w:szCs w:val="24"/>
          <w:highlight w:val="none"/>
          <w:u w:val="single"/>
        </w:rPr>
        <w:t>天内报发包人确认后向发包人发出支付证书，同时抄送承包人。</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80.3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合同双方当事人应按照建设行政主管部门的规定，在专用条款中约定绿色施工安全防护费的支付办法和抵扣方式。除专用条款另有约定外，</w:t>
      </w:r>
      <w:r>
        <w:rPr>
          <w:color w:val="auto"/>
          <w:highlight w:val="none"/>
        </w:rPr>
        <mc:AlternateContent>
          <mc:Choice Requires="wps">
            <w:drawing>
              <wp:anchor distT="0" distB="0" distL="114300" distR="114300" simplePos="0" relativeHeight="252008448" behindDoc="0" locked="0" layoutInCell="1" allowOverlap="1">
                <wp:simplePos x="0" y="0"/>
                <wp:positionH relativeFrom="column">
                  <wp:posOffset>-114300</wp:posOffset>
                </wp:positionH>
                <wp:positionV relativeFrom="paragraph">
                  <wp:posOffset>71755</wp:posOffset>
                </wp:positionV>
                <wp:extent cx="1028700" cy="352425"/>
                <wp:effectExtent l="0" t="0" r="0" b="0"/>
                <wp:wrapNone/>
                <wp:docPr id="342" name="文本框 346"/>
                <wp:cNvGraphicFramePr/>
                <a:graphic xmlns:a="http://schemas.openxmlformats.org/drawingml/2006/main">
                  <a:graphicData uri="http://schemas.microsoft.com/office/word/2010/wordprocessingShape">
                    <wps:wsp>
                      <wps:cNvSpPr txBox="1"/>
                      <wps:spPr>
                        <a:xfrm>
                          <a:off x="0" y="0"/>
                          <a:ext cx="1028700" cy="352425"/>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费用支付</w:t>
                            </w:r>
                          </w:p>
                        </w:txbxContent>
                      </wps:txbx>
                      <wps:bodyPr upright="1"/>
                    </wps:wsp>
                  </a:graphicData>
                </a:graphic>
              </wp:anchor>
            </w:drawing>
          </mc:Choice>
          <mc:Fallback>
            <w:pict>
              <v:shape id="文本框 346" o:spid="_x0000_s1026" o:spt="202" type="#_x0000_t202" style="position:absolute;left:0pt;margin-left:-9pt;margin-top:5.65pt;height:27.75pt;width:81pt;z-index:252008448;mso-width-relative:page;mso-height-relative:page;" filled="f" stroked="f" coordsize="21600,21600" o:gfxdata="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e+gtd9UA&#10;AAAJAQAADwAAAAAAAAABACAAAAAiAAAAZHJzL2Rvd25yZXYueG1sUEsBAhQAFAAAAAgAh07iQKyp&#10;LOCwAQAAUgMAAA4AAAAAAAAAAQAgAAAAJAEAAGRycy9lMm9Eb2MueG1sUEsFBgAAAAAGAAYAWQEA&#10;AEYFA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费用支付</w:t>
                      </w:r>
                    </w:p>
                  </w:txbxContent>
                </v:textbox>
              </v:shape>
            </w:pict>
          </mc:Fallback>
        </mc:AlternateContent>
      </w:r>
      <w:r>
        <w:rPr>
          <w:rFonts w:hint="eastAsia" w:ascii="仿宋" w:hAnsi="仿宋" w:eastAsia="仿宋" w:cs="仿宋"/>
          <w:color w:val="auto"/>
          <w:sz w:val="24"/>
          <w:szCs w:val="24"/>
          <w:highlight w:val="none"/>
        </w:rPr>
        <w:t>发包人应在造价工程师签发支付证书后的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天内向承包人支付绿色施工安全防护费，并保证在工程开工后的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天内支付绿色施工安全防护费金额的</w:t>
      </w:r>
      <w:r>
        <w:rPr>
          <w:rFonts w:ascii="仿宋" w:hAnsi="仿宋" w:eastAsia="仿宋" w:cs="仿宋"/>
          <w:color w:val="auto"/>
          <w:sz w:val="24"/>
          <w:szCs w:val="24"/>
          <w:highlight w:val="none"/>
        </w:rPr>
        <w:t>50%</w:t>
      </w:r>
      <w:r>
        <w:rPr>
          <w:rFonts w:hint="eastAsia" w:ascii="仿宋" w:hAnsi="仿宋" w:eastAsia="仿宋" w:cs="仿宋"/>
          <w:color w:val="auto"/>
          <w:sz w:val="24"/>
          <w:szCs w:val="24"/>
          <w:highlight w:val="none"/>
        </w:rPr>
        <w:t>，同时通知造价工程师。其余部分与进度款同期支付。</w:t>
      </w:r>
    </w:p>
    <w:p>
      <w:pPr>
        <w:pStyle w:val="2"/>
        <w:shd w:val="clear" w:color="000000" w:fill="auto"/>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80.4  </w:t>
      </w:r>
      <w:r>
        <w:rPr>
          <w:rFonts w:ascii="仿宋" w:hAnsi="仿宋" w:eastAsia="仿宋" w:cs="仿宋"/>
          <w:b/>
          <w:bCs/>
          <w:color w:val="auto"/>
          <w:sz w:val="24"/>
          <w:szCs w:val="24"/>
          <w:highlight w:val="none"/>
          <w:u w:val="dotted"/>
        </w:rPr>
        <w:t xml:space="preserve">                                                                                                        </w:t>
      </w:r>
    </w:p>
    <w:p>
      <w:pPr>
        <w:pStyle w:val="13"/>
        <w:shd w:val="clear" w:color="000000" w:fill="auto"/>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09472"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343" name="文本框 347"/>
                <wp:cNvGraphicFramePr/>
                <a:graphic xmlns:a="http://schemas.openxmlformats.org/drawingml/2006/main">
                  <a:graphicData uri="http://schemas.microsoft.com/office/word/2010/wordprocessingShape">
                    <wps:wsp>
                      <wps:cNvSpPr txBox="1"/>
                      <wps:spPr>
                        <a:xfrm>
                          <a:off x="0" y="0"/>
                          <a:ext cx="914400" cy="400685"/>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支付限制</w:t>
                            </w:r>
                          </w:p>
                        </w:txbxContent>
                      </wps:txbx>
                      <wps:bodyPr upright="1"/>
                    </wps:wsp>
                  </a:graphicData>
                </a:graphic>
              </wp:anchor>
            </w:drawing>
          </mc:Choice>
          <mc:Fallback>
            <w:pict>
              <v:shape id="文本框 347" o:spid="_x0000_s1026" o:spt="202" type="#_x0000_t202" style="position:absolute;left:0pt;margin-left:-9pt;margin-top:0.85pt;height:31.55pt;width:72pt;z-index:252009472;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c3+MM1QAA&#10;AAgBAAAPAAAAAAAAAAEAIAAAACIAAABkcnMvZG93bnJldi54bWxQSwECFAAUAAAACACHTuJA9ZOr&#10;Wq8BAABRAwAADgAAAAAAAAABACAAAAAkAQAAZHJzL2Uyb0RvYy54bWxQSwUGAAAAAAYABgBZAQAA&#10;RQU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支付限制</w:t>
                      </w:r>
                    </w:p>
                  </w:txbxContent>
                </v:textbox>
              </v:shape>
            </w:pict>
          </mc:Fallback>
        </mc:AlternateContent>
      </w:r>
      <w:r>
        <w:rPr>
          <w:rFonts w:hint="eastAsia" w:ascii="仿宋" w:hAnsi="仿宋" w:eastAsia="仿宋" w:cs="仿宋"/>
          <w:color w:val="auto"/>
          <w:sz w:val="24"/>
          <w:szCs w:val="24"/>
          <w:highlight w:val="none"/>
        </w:rPr>
        <w:t>发包人没有按时支付绿色施工安全防护费的，承包人应在付款期满后的</w:t>
      </w:r>
      <w:r>
        <w:rPr>
          <w:rFonts w:ascii="仿宋" w:hAnsi="仿宋" w:eastAsia="仿宋" w:cs="仿宋"/>
          <w:color w:val="auto"/>
          <w:sz w:val="24"/>
          <w:szCs w:val="24"/>
          <w:highlight w:val="none"/>
        </w:rPr>
        <w:t>10</w:t>
      </w:r>
      <w:r>
        <w:rPr>
          <w:rFonts w:hint="eastAsia" w:ascii="仿宋" w:hAnsi="仿宋" w:eastAsia="仿宋" w:cs="仿宋"/>
          <w:color w:val="auto"/>
          <w:sz w:val="24"/>
          <w:szCs w:val="24"/>
          <w:highlight w:val="none"/>
        </w:rPr>
        <w:t>天向发包人发出要求支付的通知；发包人收到通知后仍不按要求支付，承包人可在发出通知</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天后暂停施工。发包人应承担由此增加的费用和（或）延误的工期，并向承包人支付合理利润。</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80.5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10496" behindDoc="0" locked="0" layoutInCell="1" allowOverlap="1">
                <wp:simplePos x="0" y="0"/>
                <wp:positionH relativeFrom="column">
                  <wp:posOffset>-114300</wp:posOffset>
                </wp:positionH>
                <wp:positionV relativeFrom="paragraph">
                  <wp:posOffset>1905</wp:posOffset>
                </wp:positionV>
                <wp:extent cx="914400" cy="471170"/>
                <wp:effectExtent l="0" t="0" r="0" b="0"/>
                <wp:wrapNone/>
                <wp:docPr id="344" name="文本框 348"/>
                <wp:cNvGraphicFramePr/>
                <a:graphic xmlns:a="http://schemas.openxmlformats.org/drawingml/2006/main">
                  <a:graphicData uri="http://schemas.microsoft.com/office/word/2010/wordprocessingShape">
                    <wps:wsp>
                      <wps:cNvSpPr txBox="1"/>
                      <wps:spPr>
                        <a:xfrm>
                          <a:off x="0" y="0"/>
                          <a:ext cx="914400" cy="471170"/>
                        </a:xfrm>
                        <a:prstGeom prst="rect">
                          <a:avLst/>
                        </a:prstGeom>
                        <a:noFill/>
                        <a:ln>
                          <a:noFill/>
                        </a:ln>
                      </wps:spPr>
                      <wps:txbx>
                        <w:txbxContent>
                          <w:p>
                            <w:pPr>
                              <w:spacing w:line="240" w:lineRule="exact"/>
                              <w:rPr>
                                <w:rFonts w:ascii="宋体" w:cs="Times New Roman"/>
                              </w:rPr>
                            </w:pPr>
                            <w:r>
                              <w:rPr>
                                <w:rFonts w:hint="eastAsia" w:ascii="楷体_GB2312" w:hAnsi="宋体" w:eastAsia="楷体_GB2312" w:cs="楷体_GB2312"/>
                                <w:b/>
                                <w:bCs/>
                                <w:sz w:val="18"/>
                                <w:szCs w:val="18"/>
                              </w:rPr>
                              <w:t>管理要求</w:t>
                            </w:r>
                          </w:p>
                        </w:txbxContent>
                      </wps:txbx>
                      <wps:bodyPr upright="1"/>
                    </wps:wsp>
                  </a:graphicData>
                </a:graphic>
              </wp:anchor>
            </w:drawing>
          </mc:Choice>
          <mc:Fallback>
            <w:pict>
              <v:shape id="文本框 348" o:spid="_x0000_s1026" o:spt="202" type="#_x0000_t202" style="position:absolute;left:0pt;margin-left:-9pt;margin-top:0.15pt;height:37.1pt;width:72pt;z-index:252010496;mso-width-relative:page;mso-height-relative:page;" filled="f" stroked="f" coordsize="21600,21600" o:gfxdata="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P3DUx9UA&#10;AAAHAQAADwAAAAAAAAABACAAAAAiAAAAZHJzL2Rvd25yZXYueG1sUEsBAhQAFAAAAAgAh07iQN0I&#10;ijiwAQAAUQMAAA4AAAAAAAAAAQAgAAAAJAEAAGRycy9lMm9Eb2MueG1sUEsFBgAAAAAGAAYAWQEA&#10;AEYFAAAAAA==&#10;">
                <v:fill on="f" focussize="0,0"/>
                <v:stroke on="f"/>
                <v:imagedata o:title=""/>
                <o:lock v:ext="edit" aspectratio="f"/>
                <v:textbox>
                  <w:txbxContent>
                    <w:p>
                      <w:pPr>
                        <w:spacing w:line="240" w:lineRule="exact"/>
                        <w:rPr>
                          <w:rFonts w:ascii="宋体" w:cs="Times New Roman"/>
                        </w:rPr>
                      </w:pPr>
                      <w:r>
                        <w:rPr>
                          <w:rFonts w:hint="eastAsia" w:ascii="楷体_GB2312" w:hAnsi="宋体" w:eastAsia="楷体_GB2312" w:cs="楷体_GB2312"/>
                          <w:b/>
                          <w:bCs/>
                          <w:sz w:val="18"/>
                          <w:szCs w:val="18"/>
                        </w:rPr>
                        <w:t>管理要求</w:t>
                      </w:r>
                    </w:p>
                  </w:txbxContent>
                </v:textbox>
              </v:shape>
            </w:pict>
          </mc:Fallback>
        </mc:AlternateContent>
      </w:r>
      <w:r>
        <w:rPr>
          <w:rFonts w:hint="eastAsia" w:ascii="仿宋" w:hAnsi="仿宋" w:eastAsia="仿宋" w:cs="仿宋"/>
          <w:color w:val="auto"/>
          <w:sz w:val="24"/>
          <w:szCs w:val="24"/>
          <w:highlight w:val="none"/>
        </w:rPr>
        <w:t>绿色施工安全防护费专款专用，承包人应在财务账目中单独列项备查，不得挪作他用，否则造价工程师有权责令其限期改正；逾期未改正的，可以责令其暂停施工，由此造成的损失和延误的工期由承包人承担。</w:t>
      </w:r>
    </w:p>
    <w:p>
      <w:pPr>
        <w:pStyle w:val="2"/>
        <w:shd w:val="clear" w:color="000000" w:fill="auto"/>
        <w:adjustRightInd w:val="0"/>
        <w:snapToGrid w:val="0"/>
        <w:spacing w:line="360" w:lineRule="auto"/>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11520" behindDoc="0" locked="0" layoutInCell="1" allowOverlap="1">
                <wp:simplePos x="0" y="0"/>
                <wp:positionH relativeFrom="column">
                  <wp:posOffset>0</wp:posOffset>
                </wp:positionH>
                <wp:positionV relativeFrom="paragraph">
                  <wp:posOffset>298450</wp:posOffset>
                </wp:positionV>
                <wp:extent cx="914400" cy="609600"/>
                <wp:effectExtent l="0" t="0" r="0" b="0"/>
                <wp:wrapNone/>
                <wp:docPr id="345" name="文本框 349"/>
                <wp:cNvGraphicFramePr/>
                <a:graphic xmlns:a="http://schemas.openxmlformats.org/drawingml/2006/main">
                  <a:graphicData uri="http://schemas.microsoft.com/office/word/2010/wordprocessingShape">
                    <wps:wsp>
                      <wps:cNvSpPr txBox="1"/>
                      <wps:spPr>
                        <a:xfrm>
                          <a:off x="0" y="0"/>
                          <a:ext cx="914400" cy="609600"/>
                        </a:xfrm>
                        <a:prstGeom prst="rect">
                          <a:avLst/>
                        </a:prstGeom>
                        <a:noFill/>
                        <a:ln>
                          <a:noFill/>
                        </a:ln>
                      </wps:spPr>
                      <wps:txbx>
                        <w:txbxContent>
                          <w:p>
                            <w:pPr>
                              <w:pStyle w:val="17"/>
                              <w:spacing w:line="200" w:lineRule="exact"/>
                              <w:rPr>
                                <w:rFonts w:ascii="楷体" w:hAnsi="楷体" w:eastAsia="楷体"/>
                                <w:b/>
                                <w:bCs/>
                                <w:sz w:val="18"/>
                                <w:szCs w:val="18"/>
                              </w:rPr>
                            </w:pPr>
                            <w:r>
                              <w:rPr>
                                <w:rFonts w:hint="eastAsia" w:ascii="楷体" w:hAnsi="楷体" w:eastAsia="楷体" w:cs="楷体"/>
                                <w:b/>
                                <w:bCs/>
                                <w:sz w:val="18"/>
                                <w:szCs w:val="18"/>
                              </w:rPr>
                              <w:t>工程</w:t>
                            </w:r>
                            <w:r>
                              <w:rPr>
                                <w:rFonts w:hint="eastAsia" w:ascii="楷体" w:hAnsi="楷体" w:eastAsia="楷体" w:cs="楷体"/>
                                <w:b/>
                                <w:bCs/>
                                <w:caps/>
                                <w:sz w:val="18"/>
                                <w:szCs w:val="18"/>
                              </w:rPr>
                              <w:t>文明工地增加费</w:t>
                            </w:r>
                            <w:r>
                              <w:rPr>
                                <w:rFonts w:hint="eastAsia" w:ascii="楷体" w:hAnsi="楷体" w:eastAsia="楷体" w:cs="楷体"/>
                                <w:b/>
                                <w:bCs/>
                                <w:sz w:val="18"/>
                                <w:szCs w:val="18"/>
                              </w:rPr>
                              <w:t>计提与支付</w:t>
                            </w:r>
                          </w:p>
                        </w:txbxContent>
                      </wps:txbx>
                      <wps:bodyPr upright="1"/>
                    </wps:wsp>
                  </a:graphicData>
                </a:graphic>
              </wp:anchor>
            </w:drawing>
          </mc:Choice>
          <mc:Fallback>
            <w:pict>
              <v:shape id="文本框 349" o:spid="_x0000_s1026" o:spt="202" type="#_x0000_t202" style="position:absolute;left:0pt;margin-left:0pt;margin-top:23.5pt;height:48pt;width:72pt;z-index:252011520;mso-width-relative:page;mso-height-relative:page;" filled="f" stroked="f" coordsize="21600,21600" o:gfxdata="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DhjIe0gAAAAcB&#10;AAAPAAAAAAAAAAEAIAAAACIAAABkcnMvZG93bnJldi54bWxQSwECFAAUAAAACACHTuJAnfS83K8B&#10;AABRAwAADgAAAAAAAAABACAAAAAhAQAAZHJzL2Uyb0RvYy54bWxQSwUGAAAAAAYABgBZAQAAQgUA&#10;AAAA&#10;">
                <v:fill on="f" focussize="0,0"/>
                <v:stroke on="f"/>
                <v:imagedata o:title=""/>
                <o:lock v:ext="edit" aspectratio="f"/>
                <v:textbox>
                  <w:txbxContent>
                    <w:p>
                      <w:pPr>
                        <w:pStyle w:val="17"/>
                        <w:spacing w:line="200" w:lineRule="exact"/>
                        <w:rPr>
                          <w:rFonts w:ascii="楷体" w:hAnsi="楷体" w:eastAsia="楷体"/>
                          <w:b/>
                          <w:bCs/>
                          <w:sz w:val="18"/>
                          <w:szCs w:val="18"/>
                        </w:rPr>
                      </w:pPr>
                      <w:r>
                        <w:rPr>
                          <w:rFonts w:hint="eastAsia" w:ascii="楷体" w:hAnsi="楷体" w:eastAsia="楷体" w:cs="楷体"/>
                          <w:b/>
                          <w:bCs/>
                          <w:sz w:val="18"/>
                          <w:szCs w:val="18"/>
                        </w:rPr>
                        <w:t>工程</w:t>
                      </w:r>
                      <w:r>
                        <w:rPr>
                          <w:rFonts w:hint="eastAsia" w:ascii="楷体" w:hAnsi="楷体" w:eastAsia="楷体" w:cs="楷体"/>
                          <w:b/>
                          <w:bCs/>
                          <w:caps/>
                          <w:sz w:val="18"/>
                          <w:szCs w:val="18"/>
                        </w:rPr>
                        <w:t>文明工地增加费</w:t>
                      </w:r>
                      <w:r>
                        <w:rPr>
                          <w:rFonts w:hint="eastAsia" w:ascii="楷体" w:hAnsi="楷体" w:eastAsia="楷体" w:cs="楷体"/>
                          <w:b/>
                          <w:bCs/>
                          <w:sz w:val="18"/>
                          <w:szCs w:val="18"/>
                        </w:rPr>
                        <w:t>计提与支付</w:t>
                      </w:r>
                    </w:p>
                  </w:txbxContent>
                </v:textbox>
              </v:shape>
            </w:pict>
          </mc:Fallback>
        </mc:AlternateContent>
      </w:r>
      <w:r>
        <w:rPr>
          <w:rFonts w:ascii="仿宋" w:hAnsi="仿宋" w:eastAsia="仿宋" w:cs="仿宋"/>
          <w:b/>
          <w:bCs/>
          <w:color w:val="auto"/>
          <w:sz w:val="24"/>
          <w:szCs w:val="24"/>
          <w:highlight w:val="none"/>
        </w:rPr>
        <w:t xml:space="preserve">80.6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除专用条款另有约定外，</w:t>
      </w:r>
      <w:r>
        <w:rPr>
          <w:rFonts w:hint="eastAsia" w:ascii="仿宋" w:hAnsi="仿宋" w:eastAsia="仿宋" w:cs="仿宋"/>
          <w:caps/>
          <w:color w:val="auto"/>
          <w:sz w:val="24"/>
          <w:szCs w:val="24"/>
          <w:highlight w:val="none"/>
        </w:rPr>
        <w:t>获得省、市级或其它级别文明工地的文明工地增加费</w:t>
      </w:r>
      <w:r>
        <w:rPr>
          <w:rFonts w:hint="eastAsia" w:ascii="仿宋" w:hAnsi="仿宋" w:eastAsia="仿宋" w:cs="仿宋"/>
          <w:color w:val="auto"/>
          <w:sz w:val="24"/>
          <w:szCs w:val="24"/>
          <w:highlight w:val="none"/>
        </w:rPr>
        <w:t>，招标工程的根据中标通知书日期，非招标工程的根据合同签订日期的同时期执行的广东省建设工程计价依据</w:t>
      </w:r>
      <w:r>
        <w:rPr>
          <w:rFonts w:hint="eastAsia" w:ascii="仿宋" w:hAnsi="仿宋" w:eastAsia="仿宋" w:cs="仿宋"/>
          <w:caps/>
          <w:color w:val="auto"/>
          <w:sz w:val="24"/>
          <w:szCs w:val="24"/>
          <w:highlight w:val="none"/>
        </w:rPr>
        <w:t>文明工地增加费</w:t>
      </w:r>
      <w:r>
        <w:rPr>
          <w:rFonts w:hint="eastAsia" w:ascii="仿宋" w:hAnsi="仿宋" w:eastAsia="仿宋" w:cs="仿宋"/>
          <w:color w:val="auto"/>
          <w:sz w:val="24"/>
          <w:szCs w:val="24"/>
          <w:highlight w:val="none"/>
        </w:rPr>
        <w:t>、广州市住房和城乡建设局发布的</w:t>
      </w:r>
      <w:r>
        <w:rPr>
          <w:rFonts w:hint="eastAsia" w:ascii="仿宋" w:hAnsi="仿宋" w:eastAsia="仿宋" w:cs="仿宋"/>
          <w:caps/>
          <w:color w:val="auto"/>
          <w:sz w:val="24"/>
          <w:szCs w:val="24"/>
          <w:highlight w:val="none"/>
        </w:rPr>
        <w:t>文明工地增加费</w:t>
      </w:r>
      <w:r>
        <w:rPr>
          <w:rFonts w:hint="eastAsia" w:ascii="仿宋" w:hAnsi="仿宋" w:eastAsia="仿宋" w:cs="仿宋"/>
          <w:color w:val="auto"/>
          <w:sz w:val="24"/>
          <w:szCs w:val="24"/>
          <w:highlight w:val="none"/>
        </w:rPr>
        <w:t>、广州市建设工程造价管理站发布的</w:t>
      </w:r>
      <w:r>
        <w:rPr>
          <w:rFonts w:hint="eastAsia" w:ascii="仿宋" w:hAnsi="仿宋" w:eastAsia="仿宋" w:cs="仿宋"/>
          <w:caps/>
          <w:color w:val="auto"/>
          <w:sz w:val="24"/>
          <w:szCs w:val="24"/>
          <w:highlight w:val="none"/>
        </w:rPr>
        <w:t>文明工地增加费</w:t>
      </w:r>
      <w:r>
        <w:rPr>
          <w:rFonts w:hint="eastAsia" w:ascii="仿宋" w:hAnsi="仿宋" w:eastAsia="仿宋" w:cs="仿宋"/>
          <w:color w:val="auto"/>
          <w:sz w:val="24"/>
          <w:szCs w:val="24"/>
          <w:highlight w:val="none"/>
        </w:rPr>
        <w:t>计算。当合同工程同时获得上述多个奖项的，</w:t>
      </w:r>
      <w:r>
        <w:rPr>
          <w:rFonts w:hint="eastAsia" w:ascii="仿宋" w:hAnsi="仿宋" w:eastAsia="仿宋" w:cs="仿宋"/>
          <w:caps/>
          <w:color w:val="auto"/>
          <w:sz w:val="24"/>
          <w:szCs w:val="24"/>
          <w:highlight w:val="none"/>
        </w:rPr>
        <w:t>文明工地增加费</w:t>
      </w:r>
      <w:r>
        <w:rPr>
          <w:rFonts w:hint="eastAsia" w:ascii="仿宋" w:hAnsi="仿宋" w:eastAsia="仿宋" w:cs="仿宋"/>
          <w:color w:val="auto"/>
          <w:sz w:val="24"/>
          <w:szCs w:val="24"/>
          <w:highlight w:val="none"/>
        </w:rPr>
        <w:t>只按最高奖项的额度计算。</w:t>
      </w:r>
      <w:r>
        <w:rPr>
          <w:rFonts w:hint="eastAsia" w:ascii="仿宋" w:hAnsi="仿宋" w:eastAsia="仿宋" w:cs="仿宋"/>
          <w:caps/>
          <w:color w:val="auto"/>
          <w:sz w:val="24"/>
          <w:szCs w:val="24"/>
          <w:highlight w:val="none"/>
        </w:rPr>
        <w:t>文明工地增加费</w:t>
      </w:r>
      <w:r>
        <w:rPr>
          <w:rFonts w:hint="eastAsia" w:ascii="仿宋" w:hAnsi="仿宋" w:eastAsia="仿宋" w:cs="仿宋"/>
          <w:color w:val="auto"/>
          <w:sz w:val="24"/>
          <w:szCs w:val="24"/>
          <w:highlight w:val="none"/>
        </w:rPr>
        <w:t>列入竣工结算文件中，与竣工结算款一并支付。在竣工结算后获得奖项的，发包人应在获得奖项后的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天内支付。</w:t>
      </w:r>
    </w:p>
    <w:p>
      <w:pPr>
        <w:pStyle w:val="2"/>
        <w:shd w:val="clear" w:color="000000" w:fill="auto"/>
        <w:tabs>
          <w:tab w:val="left" w:pos="1620"/>
        </w:tabs>
        <w:adjustRightInd w:val="0"/>
        <w:snapToGrid w:val="0"/>
        <w:spacing w:line="360" w:lineRule="auto"/>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372" w:name="_Toc10624905"/>
      <w:bookmarkStart w:id="373" w:name="_Toc469384065"/>
      <w:bookmarkStart w:id="374" w:name="_Toc19009"/>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81  </w:t>
      </w:r>
      <w:r>
        <w:rPr>
          <w:rFonts w:hint="eastAsia" w:ascii="仿宋" w:hAnsi="仿宋" w:eastAsia="仿宋" w:cs="仿宋"/>
          <w:b/>
          <w:bCs/>
          <w:color w:val="auto"/>
          <w:sz w:val="24"/>
          <w:szCs w:val="24"/>
          <w:highlight w:val="none"/>
        </w:rPr>
        <w:t>进度款</w:t>
      </w:r>
      <w:bookmarkEnd w:id="372"/>
      <w:bookmarkEnd w:id="373"/>
      <w:bookmarkEnd w:id="374"/>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81.1</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12544" behindDoc="0" locked="0" layoutInCell="1" allowOverlap="1">
                <wp:simplePos x="0" y="0"/>
                <wp:positionH relativeFrom="column">
                  <wp:posOffset>-114300</wp:posOffset>
                </wp:positionH>
                <wp:positionV relativeFrom="paragraph">
                  <wp:posOffset>8255</wp:posOffset>
                </wp:positionV>
                <wp:extent cx="914400" cy="686435"/>
                <wp:effectExtent l="0" t="0" r="0" b="0"/>
                <wp:wrapNone/>
                <wp:docPr id="346" name="文本框 350"/>
                <wp:cNvGraphicFramePr/>
                <a:graphic xmlns:a="http://schemas.openxmlformats.org/drawingml/2006/main">
                  <a:graphicData uri="http://schemas.microsoft.com/office/word/2010/wordprocessingShape">
                    <wps:wsp>
                      <wps:cNvSpPr txBox="1"/>
                      <wps:spPr>
                        <a:xfrm>
                          <a:off x="0" y="0"/>
                          <a:ext cx="914400" cy="686435"/>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约定支付期限、比例和提交支付申请</w:t>
                            </w:r>
                          </w:p>
                        </w:txbxContent>
                      </wps:txbx>
                      <wps:bodyPr upright="1"/>
                    </wps:wsp>
                  </a:graphicData>
                </a:graphic>
              </wp:anchor>
            </w:drawing>
          </mc:Choice>
          <mc:Fallback>
            <w:pict>
              <v:shape id="文本框 350" o:spid="_x0000_s1026" o:spt="202" type="#_x0000_t202" style="position:absolute;left:0pt;margin-left:-9pt;margin-top:0.65pt;height:54.05pt;width:72pt;z-index:252012544;mso-width-relative:page;mso-height-relative:page;" filled="f" stroked="f" coordsize="21600,21600" o:gfxdata="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JW8u/VAAAA&#10;CQEAAA8AAAAAAAAAAQAgAAAAIgAAAGRycy9kb3ducmV2LnhtbFBLAQIUABQAAAAIAIdO4kCMuB9q&#10;rgEAAFEDAAAOAAAAAAAAAAEAIAAAACQBAABkcnMvZTJvRG9jLnhtbFBLBQYAAAAABgAGAFkBAABE&#10;BQ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约定支付期限、比例和提交支付申请</w:t>
                      </w:r>
                    </w:p>
                  </w:txbxContent>
                </v:textbox>
              </v:shape>
            </w:pict>
          </mc:Fallback>
        </mc:AlternateContent>
      </w:r>
      <w:r>
        <w:rPr>
          <w:rFonts w:hint="eastAsia" w:ascii="仿宋" w:hAnsi="仿宋" w:eastAsia="仿宋" w:cs="仿宋"/>
          <w:color w:val="auto"/>
          <w:sz w:val="24"/>
          <w:szCs w:val="24"/>
          <w:highlight w:val="none"/>
        </w:rPr>
        <w:t>合同双方当事人应在专用条款中明确进度款支付期的时限及比例。专用条款没有约定期限的，支付期以月为单位。涉及政府投资资金的工程，支付期、支付方法等需调整的，应在专用条款中约定。</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13568" behindDoc="0" locked="0" layoutInCell="1" allowOverlap="1">
                <wp:simplePos x="0" y="0"/>
                <wp:positionH relativeFrom="column">
                  <wp:posOffset>-228600</wp:posOffset>
                </wp:positionH>
                <wp:positionV relativeFrom="paragraph">
                  <wp:posOffset>9359900</wp:posOffset>
                </wp:positionV>
                <wp:extent cx="1409700" cy="597535"/>
                <wp:effectExtent l="0" t="0" r="0" b="0"/>
                <wp:wrapNone/>
                <wp:docPr id="347" name="文本框 351"/>
                <wp:cNvGraphicFramePr/>
                <a:graphic xmlns:a="http://schemas.openxmlformats.org/drawingml/2006/main">
                  <a:graphicData uri="http://schemas.microsoft.com/office/word/2010/wordprocessingShape">
                    <wps:wsp>
                      <wps:cNvSpPr txBox="1"/>
                      <wps:spPr>
                        <a:xfrm>
                          <a:off x="0" y="0"/>
                          <a:ext cx="1409700" cy="597535"/>
                        </a:xfrm>
                        <a:prstGeom prst="rect">
                          <a:avLst/>
                        </a:prstGeom>
                        <a:noFill/>
                        <a:ln>
                          <a:noFill/>
                        </a:ln>
                      </wps:spPr>
                      <wps:txbx>
                        <w:txbxContent>
                          <w:p>
                            <w:pPr>
                              <w:spacing w:line="240" w:lineRule="exact"/>
                              <w:rPr>
                                <w:rFonts w:eastAsia="楷体_GB2312" w:cs="Times New Roman"/>
                                <w:b/>
                                <w:bCs/>
                                <w:sz w:val="18"/>
                                <w:szCs w:val="18"/>
                              </w:rPr>
                            </w:pPr>
                            <w:r>
                              <w:rPr>
                                <w:rFonts w:hint="eastAsia" w:eastAsia="楷体_GB2312" w:cs="楷体_GB2312"/>
                                <w:b/>
                                <w:bCs/>
                                <w:sz w:val="18"/>
                                <w:szCs w:val="18"/>
                              </w:rPr>
                              <w:t>安全文明施工费</w:t>
                            </w:r>
                          </w:p>
                          <w:p>
                            <w:pPr>
                              <w:spacing w:line="240" w:lineRule="exact"/>
                              <w:rPr>
                                <w:rFonts w:eastAsia="楷体_GB2312" w:cs="Times New Roman"/>
                                <w:b/>
                                <w:bCs/>
                                <w:sz w:val="18"/>
                                <w:szCs w:val="18"/>
                              </w:rPr>
                            </w:pPr>
                            <w:r>
                              <w:rPr>
                                <w:rFonts w:hint="eastAsia" w:eastAsia="楷体_GB2312" w:cs="楷体_GB2312"/>
                                <w:b/>
                                <w:bCs/>
                                <w:sz w:val="18"/>
                                <w:szCs w:val="18"/>
                              </w:rPr>
                              <w:t>支付申请的提交、</w:t>
                            </w:r>
                          </w:p>
                          <w:p>
                            <w:pPr>
                              <w:spacing w:line="240" w:lineRule="exact"/>
                              <w:rPr>
                                <w:rFonts w:eastAsia="楷体_GB2312" w:cs="Times New Roman"/>
                                <w:b/>
                                <w:bCs/>
                                <w:sz w:val="18"/>
                                <w:szCs w:val="18"/>
                              </w:rPr>
                            </w:pPr>
                            <w:r>
                              <w:rPr>
                                <w:rFonts w:hint="eastAsia" w:eastAsia="楷体_GB2312" w:cs="楷体_GB2312"/>
                                <w:b/>
                                <w:bCs/>
                                <w:sz w:val="18"/>
                                <w:szCs w:val="18"/>
                              </w:rPr>
                              <w:t>核实与支付</w:t>
                            </w:r>
                          </w:p>
                          <w:p>
                            <w:pPr>
                              <w:rPr>
                                <w:rFonts w:eastAsia="楷体_GB2312" w:cs="Times New Roman"/>
                                <w:b/>
                                <w:bCs/>
                                <w:sz w:val="18"/>
                                <w:szCs w:val="18"/>
                              </w:rPr>
                            </w:pPr>
                          </w:p>
                        </w:txbxContent>
                      </wps:txbx>
                      <wps:bodyPr upright="1"/>
                    </wps:wsp>
                  </a:graphicData>
                </a:graphic>
              </wp:anchor>
            </w:drawing>
          </mc:Choice>
          <mc:Fallback>
            <w:pict>
              <v:shape id="文本框 351" o:spid="_x0000_s1026" o:spt="202" type="#_x0000_t202" style="position:absolute;left:0pt;margin-left:-18pt;margin-top:737pt;height:47.05pt;width:111pt;z-index:252013568;mso-width-relative:page;mso-height-relative:page;" filled="f" stroked="f" coordsize="21600,21600" o:gfxdata="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CYDi1&#10;1wAAAA0BAAAPAAAAAAAAAAEAIAAAACIAAABkcnMvZG93bnJldi54bWxQSwECFAAUAAAACACHTuJA&#10;rYmHz7ABAABSAwAADgAAAAAAAAABACAAAAAmAQAAZHJzL2Uyb0RvYy54bWxQSwUGAAAAAAYABgBZ&#10;AQAASAUAAAAA&#10;">
                <v:fill on="f" focussize="0,0"/>
                <v:stroke on="f"/>
                <v:imagedata o:title=""/>
                <o:lock v:ext="edit" aspectratio="f"/>
                <v:textbox>
                  <w:txbxContent>
                    <w:p>
                      <w:pPr>
                        <w:spacing w:line="240" w:lineRule="exact"/>
                        <w:rPr>
                          <w:rFonts w:eastAsia="楷体_GB2312" w:cs="Times New Roman"/>
                          <w:b/>
                          <w:bCs/>
                          <w:sz w:val="18"/>
                          <w:szCs w:val="18"/>
                        </w:rPr>
                      </w:pPr>
                      <w:r>
                        <w:rPr>
                          <w:rFonts w:hint="eastAsia" w:eastAsia="楷体_GB2312" w:cs="楷体_GB2312"/>
                          <w:b/>
                          <w:bCs/>
                          <w:sz w:val="18"/>
                          <w:szCs w:val="18"/>
                        </w:rPr>
                        <w:t>安全文明施工费</w:t>
                      </w:r>
                    </w:p>
                    <w:p>
                      <w:pPr>
                        <w:spacing w:line="240" w:lineRule="exact"/>
                        <w:rPr>
                          <w:rFonts w:eastAsia="楷体_GB2312" w:cs="Times New Roman"/>
                          <w:b/>
                          <w:bCs/>
                          <w:sz w:val="18"/>
                          <w:szCs w:val="18"/>
                        </w:rPr>
                      </w:pPr>
                      <w:r>
                        <w:rPr>
                          <w:rFonts w:hint="eastAsia" w:eastAsia="楷体_GB2312" w:cs="楷体_GB2312"/>
                          <w:b/>
                          <w:bCs/>
                          <w:sz w:val="18"/>
                          <w:szCs w:val="18"/>
                        </w:rPr>
                        <w:t>支付申请的提交、</w:t>
                      </w:r>
                    </w:p>
                    <w:p>
                      <w:pPr>
                        <w:spacing w:line="240" w:lineRule="exact"/>
                        <w:rPr>
                          <w:rFonts w:eastAsia="楷体_GB2312" w:cs="Times New Roman"/>
                          <w:b/>
                          <w:bCs/>
                          <w:sz w:val="18"/>
                          <w:szCs w:val="18"/>
                        </w:rPr>
                      </w:pPr>
                      <w:r>
                        <w:rPr>
                          <w:rFonts w:hint="eastAsia" w:eastAsia="楷体_GB2312" w:cs="楷体_GB2312"/>
                          <w:b/>
                          <w:bCs/>
                          <w:sz w:val="18"/>
                          <w:szCs w:val="18"/>
                        </w:rPr>
                        <w:t>核实与支付</w:t>
                      </w:r>
                    </w:p>
                    <w:p>
                      <w:pPr>
                        <w:rPr>
                          <w:rFonts w:eastAsia="楷体_GB2312" w:cs="Times New Roman"/>
                          <w:b/>
                          <w:bCs/>
                          <w:sz w:val="18"/>
                          <w:szCs w:val="18"/>
                        </w:rPr>
                      </w:pPr>
                    </w:p>
                  </w:txbxContent>
                </v:textbox>
              </v:shape>
            </w:pict>
          </mc:Fallback>
        </mc:AlternateContent>
      </w:r>
      <w:r>
        <w:rPr>
          <w:rFonts w:hint="eastAsia" w:ascii="仿宋" w:hAnsi="仿宋" w:eastAsia="仿宋" w:cs="仿宋"/>
          <w:color w:val="auto"/>
          <w:sz w:val="24"/>
          <w:szCs w:val="24"/>
          <w:highlight w:val="none"/>
        </w:rPr>
        <w:t>承包人应在每个支付期结束后的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天内向造价工程师提交由承包人代表签署的支付申请和已完工程款额报告一式四份，详细说明此支付期间自己认为有权得到的款项，包括分包人已完工程款，同时抄送发包人。该支付申请的内容包括：</w:t>
      </w:r>
    </w:p>
    <w:p>
      <w:pPr>
        <w:pStyle w:val="2"/>
        <w:numPr>
          <w:ilvl w:val="0"/>
          <w:numId w:val="22"/>
        </w:numPr>
        <w:shd w:val="clear" w:color="000000" w:fill="auto"/>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已完工程款；</w:t>
      </w:r>
    </w:p>
    <w:p>
      <w:pPr>
        <w:pStyle w:val="2"/>
        <w:numPr>
          <w:ilvl w:val="0"/>
          <w:numId w:val="22"/>
        </w:numPr>
        <w:shd w:val="clear" w:color="000000" w:fill="auto"/>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已实际支付的工程款；</w:t>
      </w:r>
    </w:p>
    <w:p>
      <w:pPr>
        <w:pStyle w:val="2"/>
        <w:numPr>
          <w:ilvl w:val="0"/>
          <w:numId w:val="22"/>
        </w:numPr>
        <w:shd w:val="clear" w:color="000000" w:fill="auto"/>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本期间完成的工程款；</w:t>
      </w:r>
    </w:p>
    <w:p>
      <w:pPr>
        <w:pStyle w:val="2"/>
        <w:numPr>
          <w:ilvl w:val="0"/>
          <w:numId w:val="22"/>
        </w:numPr>
        <w:shd w:val="clear" w:color="000000" w:fill="auto"/>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本期间完成的计日工费用；</w:t>
      </w:r>
    </w:p>
    <w:p>
      <w:pPr>
        <w:pStyle w:val="2"/>
        <w:numPr>
          <w:ilvl w:val="0"/>
          <w:numId w:val="22"/>
        </w:numPr>
        <w:shd w:val="clear" w:color="000000" w:fill="auto"/>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本期间应支付的暂列金额价款；</w:t>
      </w:r>
    </w:p>
    <w:p>
      <w:pPr>
        <w:pStyle w:val="2"/>
        <w:numPr>
          <w:ilvl w:val="0"/>
          <w:numId w:val="22"/>
        </w:numPr>
        <w:shd w:val="clear" w:color="000000" w:fill="auto"/>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66</w:t>
      </w:r>
      <w:r>
        <w:rPr>
          <w:rFonts w:hint="eastAsia" w:ascii="仿宋" w:hAnsi="仿宋" w:eastAsia="仿宋" w:cs="仿宋"/>
          <w:color w:val="auto"/>
          <w:sz w:val="24"/>
          <w:szCs w:val="24"/>
          <w:highlight w:val="none"/>
        </w:rPr>
        <w:t>条规定本期间应扣除的误期赔偿费；</w:t>
      </w:r>
    </w:p>
    <w:p>
      <w:pPr>
        <w:pStyle w:val="2"/>
        <w:numPr>
          <w:ilvl w:val="0"/>
          <w:numId w:val="22"/>
        </w:numPr>
        <w:shd w:val="clear" w:color="000000" w:fill="auto"/>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68</w:t>
      </w:r>
      <w:r>
        <w:rPr>
          <w:rFonts w:hint="eastAsia" w:ascii="仿宋" w:hAnsi="仿宋" w:eastAsia="仿宋" w:cs="仿宋"/>
          <w:color w:val="auto"/>
          <w:sz w:val="24"/>
          <w:szCs w:val="24"/>
          <w:highlight w:val="none"/>
        </w:rPr>
        <w:t>条至第</w:t>
      </w:r>
      <w:r>
        <w:rPr>
          <w:rFonts w:ascii="仿宋" w:hAnsi="仿宋" w:eastAsia="仿宋" w:cs="仿宋"/>
          <w:color w:val="auto"/>
          <w:sz w:val="24"/>
          <w:szCs w:val="24"/>
          <w:highlight w:val="none"/>
        </w:rPr>
        <w:t>76</w:t>
      </w:r>
      <w:r>
        <w:rPr>
          <w:rFonts w:hint="eastAsia" w:ascii="仿宋" w:hAnsi="仿宋" w:eastAsia="仿宋" w:cs="仿宋"/>
          <w:color w:val="auto"/>
          <w:sz w:val="24"/>
          <w:szCs w:val="24"/>
          <w:highlight w:val="none"/>
        </w:rPr>
        <w:t>条规定本期间应支付的调整工程款；</w:t>
      </w:r>
    </w:p>
    <w:p>
      <w:pPr>
        <w:pStyle w:val="2"/>
        <w:numPr>
          <w:ilvl w:val="0"/>
          <w:numId w:val="22"/>
        </w:numPr>
        <w:shd w:val="clear" w:color="000000" w:fill="auto"/>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79</w:t>
      </w:r>
      <w:r>
        <w:rPr>
          <w:rFonts w:hint="eastAsia" w:ascii="仿宋" w:hAnsi="仿宋" w:eastAsia="仿宋" w:cs="仿宋"/>
          <w:color w:val="auto"/>
          <w:sz w:val="24"/>
          <w:szCs w:val="24"/>
          <w:highlight w:val="none"/>
        </w:rPr>
        <w:t>条本期间应扣回的预付款；</w:t>
      </w:r>
    </w:p>
    <w:p>
      <w:pPr>
        <w:pStyle w:val="2"/>
        <w:numPr>
          <w:ilvl w:val="0"/>
          <w:numId w:val="22"/>
        </w:numPr>
        <w:shd w:val="clear" w:color="000000" w:fill="auto"/>
        <w:tabs>
          <w:tab w:val="left" w:pos="2160"/>
        </w:tabs>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80</w:t>
      </w:r>
      <w:r>
        <w:rPr>
          <w:rFonts w:hint="eastAsia" w:ascii="仿宋" w:hAnsi="仿宋" w:eastAsia="仿宋" w:cs="仿宋"/>
          <w:color w:val="auto"/>
          <w:sz w:val="24"/>
          <w:szCs w:val="24"/>
          <w:highlight w:val="none"/>
        </w:rPr>
        <w:t>条规定本期间应支付或扣回的绿色施工安全防护费；</w:t>
      </w:r>
    </w:p>
    <w:p>
      <w:pPr>
        <w:pStyle w:val="2"/>
        <w:numPr>
          <w:ilvl w:val="0"/>
          <w:numId w:val="22"/>
        </w:numPr>
        <w:shd w:val="clear" w:color="000000" w:fill="auto"/>
        <w:tabs>
          <w:tab w:val="left" w:pos="2160"/>
        </w:tabs>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84</w:t>
      </w:r>
      <w:r>
        <w:rPr>
          <w:rFonts w:hint="eastAsia" w:ascii="仿宋" w:hAnsi="仿宋" w:eastAsia="仿宋" w:cs="仿宋"/>
          <w:color w:val="auto"/>
          <w:sz w:val="24"/>
          <w:szCs w:val="24"/>
          <w:highlight w:val="none"/>
        </w:rPr>
        <w:t>条本期间应扣留的质量保证金；</w:t>
      </w:r>
    </w:p>
    <w:p>
      <w:pPr>
        <w:pStyle w:val="2"/>
        <w:numPr>
          <w:ilvl w:val="0"/>
          <w:numId w:val="22"/>
        </w:numPr>
        <w:shd w:val="clear" w:color="000000" w:fill="auto"/>
        <w:tabs>
          <w:tab w:val="left" w:pos="2160"/>
        </w:tabs>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根据合同约定，本期间应支付或扣留（回）的其他款项；</w:t>
      </w:r>
    </w:p>
    <w:p>
      <w:pPr>
        <w:pStyle w:val="2"/>
        <w:numPr>
          <w:ilvl w:val="0"/>
          <w:numId w:val="22"/>
        </w:numPr>
        <w:shd w:val="clear" w:color="000000" w:fill="auto"/>
        <w:tabs>
          <w:tab w:val="left" w:pos="2160"/>
        </w:tabs>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本期间应支付的工程款。</w:t>
      </w:r>
    </w:p>
    <w:p>
      <w:pPr>
        <w:pStyle w:val="2"/>
        <w:shd w:val="clear" w:color="000000" w:fill="auto"/>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81.2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14592" behindDoc="0" locked="0" layoutInCell="1" allowOverlap="1">
                <wp:simplePos x="0" y="0"/>
                <wp:positionH relativeFrom="column">
                  <wp:posOffset>-114300</wp:posOffset>
                </wp:positionH>
                <wp:positionV relativeFrom="paragraph">
                  <wp:posOffset>0</wp:posOffset>
                </wp:positionV>
                <wp:extent cx="914400" cy="670560"/>
                <wp:effectExtent l="0" t="0" r="0" b="0"/>
                <wp:wrapNone/>
                <wp:docPr id="348" name="文本框 352"/>
                <wp:cNvGraphicFramePr/>
                <a:graphic xmlns:a="http://schemas.openxmlformats.org/drawingml/2006/main">
                  <a:graphicData uri="http://schemas.microsoft.com/office/word/2010/wordprocessingShape">
                    <wps:wsp>
                      <wps:cNvSpPr txBox="1"/>
                      <wps:spPr>
                        <a:xfrm>
                          <a:off x="0" y="0"/>
                          <a:ext cx="914400" cy="670560"/>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w:t>
                            </w:r>
                          </w:p>
                        </w:txbxContent>
                      </wps:txbx>
                      <wps:bodyPr upright="1"/>
                    </wps:wsp>
                  </a:graphicData>
                </a:graphic>
              </wp:anchor>
            </w:drawing>
          </mc:Choice>
          <mc:Fallback>
            <w:pict>
              <v:shape id="文本框 352" o:spid="_x0000_s1026" o:spt="202" type="#_x0000_t202" style="position:absolute;left:0pt;margin-left:-9pt;margin-top:0pt;height:52.8pt;width:72pt;z-index:252014592;mso-width-relative:page;mso-height-relative:page;" filled="f" stroked="f" coordsize="21600,21600" o:gfxdata="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HYUsJ1AAA&#10;AAgBAAAPAAAAAAAAAAEAIAAAACIAAABkcnMvZG93bnJldi54bWxQSwECFAAUAAAACACHTuJAFUM1&#10;vLABAABRAwAADgAAAAAAAAABACAAAAAjAQAAZHJzL2Uyb0RvYy54bWxQSwUGAAAAAAYABgBZAQAA&#10;RQU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w:t>
                      </w:r>
                    </w:p>
                  </w:txbxContent>
                </v:textbox>
              </v:shape>
            </w:pict>
          </mc:Fallback>
        </mc:AlternateContent>
      </w:r>
      <w:r>
        <w:rPr>
          <w:rFonts w:hint="eastAsia" w:ascii="仿宋" w:hAnsi="仿宋" w:eastAsia="仿宋" w:cs="仿宋"/>
          <w:color w:val="auto"/>
          <w:sz w:val="24"/>
          <w:szCs w:val="24"/>
          <w:highlight w:val="none"/>
        </w:rPr>
        <w:t>造价工程师在收到上述资料后，应按照第</w:t>
      </w:r>
      <w:r>
        <w:rPr>
          <w:rFonts w:ascii="仿宋" w:hAnsi="仿宋" w:eastAsia="仿宋" w:cs="仿宋"/>
          <w:color w:val="auto"/>
          <w:sz w:val="24"/>
          <w:szCs w:val="24"/>
          <w:highlight w:val="none"/>
        </w:rPr>
        <w:t>62</w:t>
      </w:r>
      <w:r>
        <w:rPr>
          <w:rFonts w:hint="eastAsia" w:ascii="仿宋" w:hAnsi="仿宋" w:eastAsia="仿宋" w:cs="仿宋"/>
          <w:color w:val="auto"/>
          <w:sz w:val="24"/>
          <w:szCs w:val="24"/>
          <w:highlight w:val="none"/>
        </w:rPr>
        <w:t>条的规定进行计量，并根据计量结果和合同约定对资料内容予以核实。在收到上述资料后的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天内报发包人确认后向发包人签发期中支付证书，同时抄送承包人。</w:t>
      </w:r>
      <w:r>
        <w:rPr>
          <w:rFonts w:ascii="仿宋" w:hAnsi="仿宋" w:eastAsia="仿宋" w:cs="Times New Roman"/>
          <w:color w:val="auto"/>
          <w:sz w:val="24"/>
          <w:szCs w:val="24"/>
          <w:highlight w:val="none"/>
        </w:rPr>
        <w:br w:type="textWrapping"/>
      </w:r>
      <w:r>
        <w:rPr>
          <w:rFonts w:hint="eastAsia" w:ascii="仿宋" w:hAnsi="仿宋" w:eastAsia="仿宋" w:cs="仿宋"/>
          <w:color w:val="auto"/>
          <w:sz w:val="24"/>
          <w:szCs w:val="24"/>
          <w:highlight w:val="none"/>
        </w:rPr>
        <w:t>如果该支付期间应支付金额少于专用条款约定的期中支付证书的最低限额时，造价工程师不必按照本款开具任何支付证书，但应通知发包人和承包人。上述款额转期结算，直到应支付的款额累计达到专用条款约定的期中支付证书的最低限额为止。</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造价工程师签发期中支付证书，不应视为发包人已同意、批准或接受了承包人完成该部分工作。</w:t>
      </w:r>
    </w:p>
    <w:p>
      <w:pPr>
        <w:pStyle w:val="2"/>
        <w:shd w:val="clear" w:color="000000" w:fill="auto"/>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81.3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2015616" behindDoc="0" locked="0" layoutInCell="1" allowOverlap="1">
                <wp:simplePos x="0" y="0"/>
                <wp:positionH relativeFrom="column">
                  <wp:posOffset>-114300</wp:posOffset>
                </wp:positionH>
                <wp:positionV relativeFrom="paragraph">
                  <wp:posOffset>6350</wp:posOffset>
                </wp:positionV>
                <wp:extent cx="1028700" cy="267970"/>
                <wp:effectExtent l="0" t="0" r="0" b="0"/>
                <wp:wrapNone/>
                <wp:docPr id="349" name="文本框 353"/>
                <wp:cNvGraphicFramePr/>
                <a:graphic xmlns:a="http://schemas.openxmlformats.org/drawingml/2006/main">
                  <a:graphicData uri="http://schemas.microsoft.com/office/word/2010/wordprocessingShape">
                    <wps:wsp>
                      <wps:cNvSpPr txBox="1"/>
                      <wps:spPr>
                        <a:xfrm>
                          <a:off x="0" y="0"/>
                          <a:ext cx="1028700" cy="267970"/>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w:t>
                            </w:r>
                          </w:p>
                        </w:txbxContent>
                      </wps:txbx>
                      <wps:bodyPr upright="1"/>
                    </wps:wsp>
                  </a:graphicData>
                </a:graphic>
              </wp:anchor>
            </w:drawing>
          </mc:Choice>
          <mc:Fallback>
            <w:pict>
              <v:shape id="文本框 353" o:spid="_x0000_s1026" o:spt="202" type="#_x0000_t202" style="position:absolute;left:0pt;margin-left:-9pt;margin-top:0.5pt;height:21.1pt;width:81pt;z-index:252015616;mso-width-relative:page;mso-height-relative:page;" filled="f" stroked="f" coordsize="21600,21600" o:gfxdata="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GrMutQA&#10;AAAIAQAADwAAAAAAAAABACAAAAAiAAAAZHJzL2Rvd25yZXYueG1sUEsBAhQAFAAAAAgAh07iQFpS&#10;XQexAQAAUgMAAA4AAAAAAAAAAQAgAAAAIwEAAGRycy9lMm9Eb2MueG1sUEsFBgAAAAAGAAYAWQEA&#10;AEYFA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w:t>
                      </w:r>
                    </w:p>
                  </w:txbxContent>
                </v:textbox>
              </v:shape>
            </w:pict>
          </mc:Fallback>
        </mc:AlternateContent>
      </w:r>
      <w:r>
        <w:rPr>
          <w:rFonts w:hint="eastAsia" w:ascii="仿宋" w:hAnsi="仿宋" w:eastAsia="仿宋" w:cs="仿宋"/>
          <w:color w:val="auto"/>
          <w:sz w:val="24"/>
          <w:szCs w:val="24"/>
          <w:highlight w:val="none"/>
        </w:rPr>
        <w:t>发包人应在造价工程师签发期中支付证书后的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天内，按照期中支付证书列明的金额向承包人支付进度款，并通知造价工程师。</w:t>
      </w:r>
    </w:p>
    <w:p>
      <w:pPr>
        <w:pStyle w:val="2"/>
        <w:shd w:val="clear" w:color="000000" w:fill="auto"/>
        <w:tabs>
          <w:tab w:val="left" w:pos="1320"/>
        </w:tabs>
        <w:adjustRightInd w:val="0"/>
        <w:snapToGrid w:val="0"/>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81.4</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16640" behindDoc="0" locked="0" layoutInCell="1" allowOverlap="1">
                <wp:simplePos x="0" y="0"/>
                <wp:positionH relativeFrom="column">
                  <wp:posOffset>-114300</wp:posOffset>
                </wp:positionH>
                <wp:positionV relativeFrom="paragraph">
                  <wp:posOffset>8255</wp:posOffset>
                </wp:positionV>
                <wp:extent cx="914400" cy="647700"/>
                <wp:effectExtent l="0" t="0" r="0" b="0"/>
                <wp:wrapNone/>
                <wp:docPr id="350" name="文本框 354"/>
                <wp:cNvGraphicFramePr/>
                <a:graphic xmlns:a="http://schemas.openxmlformats.org/drawingml/2006/main">
                  <a:graphicData uri="http://schemas.microsoft.com/office/word/2010/wordprocessingShape">
                    <wps:wsp>
                      <wps:cNvSpPr txBox="1"/>
                      <wps:spPr>
                        <a:xfrm>
                          <a:off x="0" y="0"/>
                          <a:ext cx="914400" cy="647700"/>
                        </a:xfrm>
                        <a:prstGeom prst="rect">
                          <a:avLst/>
                        </a:prstGeom>
                        <a:noFill/>
                        <a:ln>
                          <a:noFill/>
                        </a:ln>
                      </wps:spPr>
                      <wps:txbx>
                        <w:txbxContent>
                          <w:p>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签发期中支付证书的限制</w:t>
                            </w:r>
                          </w:p>
                        </w:txbxContent>
                      </wps:txbx>
                      <wps:bodyPr upright="1"/>
                    </wps:wsp>
                  </a:graphicData>
                </a:graphic>
              </wp:anchor>
            </w:drawing>
          </mc:Choice>
          <mc:Fallback>
            <w:pict>
              <v:shape id="文本框 354" o:spid="_x0000_s1026" o:spt="202" type="#_x0000_t202" style="position:absolute;left:0pt;margin-left:-9pt;margin-top:0.65pt;height:51pt;width:72pt;z-index:252016640;mso-width-relative:page;mso-height-relative:page;" filled="f" stroked="f" coordsize="21600,21600" o:gfxdata="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Xfdny1QAA&#10;AAkBAAAPAAAAAAAAAAEAIAAAACIAAABkcnMvZG93bnJldi54bWxQSwECFAAUAAAACACHTuJAjeYD&#10;T68BAABRAwAADgAAAAAAAAABACAAAAAkAQAAZHJzL2Uyb0RvYy54bWxQSwUGAAAAAAYABgBZAQAA&#10;RQUAAAAA&#10;">
                <v:fill on="f" focussize="0,0"/>
                <v:stroke on="f"/>
                <v:imagedata o:title=""/>
                <o:lock v:ext="edit" aspectratio="f"/>
                <v:textbox>
                  <w:txbxContent>
                    <w:p>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签发期中支付证书的限制</w:t>
                      </w:r>
                    </w:p>
                  </w:txbxContent>
                </v:textbox>
              </v:shape>
            </w:pict>
          </mc:Fallback>
        </mc:AlternateContent>
      </w:r>
      <w:r>
        <w:rPr>
          <w:rFonts w:hint="eastAsia" w:ascii="仿宋" w:hAnsi="仿宋" w:eastAsia="仿宋" w:cs="仿宋"/>
          <w:color w:val="auto"/>
          <w:sz w:val="24"/>
          <w:szCs w:val="24"/>
          <w:highlight w:val="none"/>
        </w:rPr>
        <w:t>如果造价工程师未在第</w:t>
      </w:r>
      <w:r>
        <w:rPr>
          <w:rFonts w:ascii="仿宋" w:hAnsi="仿宋" w:eastAsia="仿宋" w:cs="仿宋"/>
          <w:color w:val="auto"/>
          <w:sz w:val="24"/>
          <w:szCs w:val="24"/>
          <w:highlight w:val="none"/>
        </w:rPr>
        <w:t>81.2</w:t>
      </w:r>
      <w:r>
        <w:rPr>
          <w:rFonts w:hint="eastAsia" w:ascii="仿宋" w:hAnsi="仿宋" w:eastAsia="仿宋" w:cs="仿宋"/>
          <w:color w:val="auto"/>
          <w:sz w:val="24"/>
          <w:szCs w:val="24"/>
          <w:highlight w:val="none"/>
        </w:rPr>
        <w:t>款规定的期限内签发期中支付证书的，则视为承包人提交的支付申请已被认可，承包人应及时向发包人发出要求支付的通知。发包人应在收到通知后的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天内，按照承包人支付申请列明的金额向承包人支付进度款。</w:t>
      </w:r>
    </w:p>
    <w:p>
      <w:pPr>
        <w:pStyle w:val="2"/>
        <w:shd w:val="clear" w:color="000000" w:fill="auto"/>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81.5  </w:t>
      </w:r>
      <w:r>
        <w:rPr>
          <w:rFonts w:ascii="仿宋" w:hAnsi="仿宋" w:eastAsia="仿宋" w:cs="仿宋"/>
          <w:b/>
          <w:bCs/>
          <w:color w:val="auto"/>
          <w:sz w:val="24"/>
          <w:szCs w:val="24"/>
          <w:highlight w:val="none"/>
          <w:u w:val="dotted"/>
        </w:rPr>
        <w:t xml:space="preserve">                                                                                                        </w:t>
      </w:r>
    </w:p>
    <w:p>
      <w:pPr>
        <w:pStyle w:val="13"/>
        <w:shd w:val="clear" w:color="000000" w:fill="auto"/>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17664" behindDoc="0" locked="0" layoutInCell="1" allowOverlap="1">
                <wp:simplePos x="0" y="0"/>
                <wp:positionH relativeFrom="column">
                  <wp:posOffset>-114300</wp:posOffset>
                </wp:positionH>
                <wp:positionV relativeFrom="paragraph">
                  <wp:posOffset>12065</wp:posOffset>
                </wp:positionV>
                <wp:extent cx="914400" cy="647065"/>
                <wp:effectExtent l="0" t="0" r="0" b="0"/>
                <wp:wrapNone/>
                <wp:docPr id="351" name="文本框 355"/>
                <wp:cNvGraphicFramePr/>
                <a:graphic xmlns:a="http://schemas.openxmlformats.org/drawingml/2006/main">
                  <a:graphicData uri="http://schemas.microsoft.com/office/word/2010/wordprocessingShape">
                    <wps:wsp>
                      <wps:cNvSpPr txBox="1"/>
                      <wps:spPr>
                        <a:xfrm>
                          <a:off x="0" y="0"/>
                          <a:ext cx="914400" cy="647065"/>
                        </a:xfrm>
                        <a:prstGeom prst="rect">
                          <a:avLst/>
                        </a:prstGeom>
                        <a:noFill/>
                        <a:ln>
                          <a:noFill/>
                        </a:ln>
                      </wps:spPr>
                      <wps:txbx>
                        <w:txbxContent>
                          <w:p>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进度款支付的限制</w:t>
                            </w:r>
                          </w:p>
                        </w:txbxContent>
                      </wps:txbx>
                      <wps:bodyPr upright="1"/>
                    </wps:wsp>
                  </a:graphicData>
                </a:graphic>
              </wp:anchor>
            </w:drawing>
          </mc:Choice>
          <mc:Fallback>
            <w:pict>
              <v:shape id="文本框 355" o:spid="_x0000_s1026" o:spt="202" type="#_x0000_t202" style="position:absolute;left:0pt;margin-left:-9pt;margin-top:0.95pt;height:50.95pt;width:72pt;z-index:252017664;mso-width-relative:page;mso-height-relative:page;" filled="f" stroked="f" coordsize="21600,21600" o:gfxdata="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OmMZXtUA&#10;AAAJAQAADwAAAAAAAAABACAAAAAiAAAAZHJzL2Rvd25yZXYueG1sUEsBAhQAFAAAAAgAh07iQH3W&#10;fHSwAQAAUQMAAA4AAAAAAAAAAQAgAAAAJAEAAGRycy9lMm9Eb2MueG1sUEsFBgAAAAAGAAYAWQEA&#10;AEYFAAAAAA==&#10;">
                <v:fill on="f" focussize="0,0"/>
                <v:stroke on="f"/>
                <v:imagedata o:title=""/>
                <o:lock v:ext="edit" aspectratio="f"/>
                <v:textbox>
                  <w:txbxContent>
                    <w:p>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进度款支付的限制</w:t>
                      </w:r>
                    </w:p>
                  </w:txbxContent>
                </v:textbox>
              </v:shape>
            </w:pict>
          </mc:Fallback>
        </mc:AlternateContent>
      </w:r>
      <w:r>
        <w:rPr>
          <w:rFonts w:hint="eastAsia" w:ascii="仿宋" w:hAnsi="仿宋" w:eastAsia="仿宋" w:cs="仿宋"/>
          <w:color w:val="auto"/>
          <w:sz w:val="24"/>
          <w:szCs w:val="24"/>
          <w:highlight w:val="none"/>
        </w:rPr>
        <w:t>发包人未按照第</w:t>
      </w:r>
      <w:r>
        <w:rPr>
          <w:rFonts w:ascii="仿宋" w:hAnsi="仿宋" w:eastAsia="仿宋" w:cs="仿宋"/>
          <w:color w:val="auto"/>
          <w:sz w:val="24"/>
          <w:szCs w:val="24"/>
          <w:highlight w:val="none"/>
        </w:rPr>
        <w:t>81.3</w:t>
      </w:r>
      <w:r>
        <w:rPr>
          <w:rFonts w:hint="eastAsia" w:ascii="仿宋" w:hAnsi="仿宋" w:eastAsia="仿宋" w:cs="仿宋"/>
          <w:color w:val="auto"/>
          <w:sz w:val="24"/>
          <w:szCs w:val="24"/>
          <w:highlight w:val="none"/>
        </w:rPr>
        <w:t>款和第</w:t>
      </w:r>
      <w:r>
        <w:rPr>
          <w:rFonts w:ascii="仿宋" w:hAnsi="仿宋" w:eastAsia="仿宋" w:cs="仿宋"/>
          <w:color w:val="auto"/>
          <w:sz w:val="24"/>
          <w:szCs w:val="24"/>
          <w:highlight w:val="none"/>
        </w:rPr>
        <w:t>81.4</w:t>
      </w:r>
      <w:r>
        <w:rPr>
          <w:rFonts w:hint="eastAsia" w:ascii="仿宋" w:hAnsi="仿宋" w:eastAsia="仿宋" w:cs="仿宋"/>
          <w:color w:val="auto"/>
          <w:sz w:val="24"/>
          <w:szCs w:val="24"/>
          <w:highlight w:val="none"/>
        </w:rPr>
        <w:t>款规定支付进度款的，承包人应及时向发包人发出要求支付的通知；发包人收到通知后仍不按要求支付的，可与承包人协商签订延期支付协议，经承包人同意后可延期支付，承包人有权按照第</w:t>
      </w:r>
      <w:r>
        <w:rPr>
          <w:rFonts w:ascii="仿宋" w:hAnsi="仿宋" w:eastAsia="仿宋" w:cs="仿宋"/>
          <w:color w:val="auto"/>
          <w:sz w:val="24"/>
          <w:szCs w:val="24"/>
          <w:highlight w:val="none"/>
        </w:rPr>
        <w:t>78.2</w:t>
      </w:r>
      <w:r>
        <w:rPr>
          <w:rFonts w:hint="eastAsia" w:ascii="仿宋" w:hAnsi="仿宋" w:eastAsia="仿宋" w:cs="仿宋"/>
          <w:color w:val="auto"/>
          <w:sz w:val="24"/>
          <w:szCs w:val="24"/>
          <w:highlight w:val="none"/>
        </w:rPr>
        <w:t>款规定获得延期支付的利息。</w:t>
      </w:r>
    </w:p>
    <w:p>
      <w:pPr>
        <w:pStyle w:val="13"/>
        <w:shd w:val="clear" w:color="000000" w:fill="auto"/>
        <w:adjustRightInd w:val="0"/>
        <w:snapToGrid w:val="0"/>
        <w:spacing w:line="360" w:lineRule="auto"/>
        <w:ind w:left="1640" w:leftChars="781"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发包人未按照按照合同约定支付进度款，合同双方当事人又未达成延期支付协议，导致无法施工的，承包人可停止施工。发包人应承担由此增加的费用和（或）延误的工期，并向承包人支付合理利润。</w:t>
      </w:r>
    </w:p>
    <w:p>
      <w:pPr>
        <w:pStyle w:val="2"/>
        <w:shd w:val="clear" w:color="000000" w:fill="auto"/>
        <w:tabs>
          <w:tab w:val="left" w:pos="1320"/>
        </w:tabs>
        <w:adjustRightInd w:val="0"/>
        <w:snapToGrid w:val="0"/>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81.6</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18688" behindDoc="0" locked="0" layoutInCell="1" allowOverlap="1">
                <wp:simplePos x="0" y="0"/>
                <wp:positionH relativeFrom="column">
                  <wp:posOffset>-114300</wp:posOffset>
                </wp:positionH>
                <wp:positionV relativeFrom="paragraph">
                  <wp:posOffset>15875</wp:posOffset>
                </wp:positionV>
                <wp:extent cx="1028700" cy="266065"/>
                <wp:effectExtent l="0" t="0" r="0" b="0"/>
                <wp:wrapNone/>
                <wp:docPr id="352" name="文本框 356"/>
                <wp:cNvGraphicFramePr/>
                <a:graphic xmlns:a="http://schemas.openxmlformats.org/drawingml/2006/main">
                  <a:graphicData uri="http://schemas.microsoft.com/office/word/2010/wordprocessingShape">
                    <wps:wsp>
                      <wps:cNvSpPr txBox="1"/>
                      <wps:spPr>
                        <a:xfrm>
                          <a:off x="0" y="0"/>
                          <a:ext cx="1028700" cy="266065"/>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修正支付证书</w:t>
                            </w:r>
                          </w:p>
                        </w:txbxContent>
                      </wps:txbx>
                      <wps:bodyPr upright="1"/>
                    </wps:wsp>
                  </a:graphicData>
                </a:graphic>
              </wp:anchor>
            </w:drawing>
          </mc:Choice>
          <mc:Fallback>
            <w:pict>
              <v:shape id="文本框 356" o:spid="_x0000_s1026" o:spt="202" type="#_x0000_t202" style="position:absolute;left:0pt;margin-left:-9pt;margin-top:1.25pt;height:20.95pt;width:81pt;z-index:252018688;mso-width-relative:page;mso-height-relative:page;" filled="f" stroked="f" coordsize="21600,21600" o:gfxdata="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udBUx1QAA&#10;AAgBAAAPAAAAAAAAAAEAIAAAACIAAABkcnMvZG93bnJldi54bWxQSwECFAAUAAAACACHTuJAD3at&#10;la8BAABSAwAADgAAAAAAAAABACAAAAAkAQAAZHJzL2Uyb0RvYy54bWxQSwUGAAAAAAYABgBZAQAA&#10;RQU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修正支付证书</w:t>
                      </w:r>
                    </w:p>
                  </w:txbxContent>
                </v:textbox>
              </v:shape>
            </w:pict>
          </mc:Fallback>
        </mc:AlternateContent>
      </w:r>
      <w:r>
        <w:rPr>
          <w:rFonts w:hint="eastAsia" w:ascii="仿宋" w:hAnsi="仿宋" w:eastAsia="仿宋" w:cs="仿宋"/>
          <w:color w:val="auto"/>
          <w:sz w:val="24"/>
          <w:szCs w:val="24"/>
          <w:highlight w:val="none"/>
        </w:rPr>
        <w:t>发现以前签发的任何支付证书有错、漏或重复的，造价工程师有权在期中支付证书中修正以前签发的任何支付证书，承包人也有权提出修正申请。经合同双方当事人复核同意修正的，应在该支付期的进度款中支付或扣除。如果合同工程或其任何部分没有达到质量要求，造价工程师有权按照合同约定处理，并在任何期中支付证书中扣除相应价款。</w:t>
      </w:r>
    </w:p>
    <w:p>
      <w:pPr>
        <w:pStyle w:val="2"/>
        <w:shd w:val="clear" w:color="000000" w:fill="auto"/>
        <w:adjustRightInd w:val="0"/>
        <w:snapToGrid w:val="0"/>
        <w:spacing w:line="240" w:lineRule="exact"/>
        <w:ind w:right="-238"/>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375" w:name="_Toc10624906"/>
      <w:bookmarkStart w:id="376" w:name="_Toc16441"/>
      <w:bookmarkStart w:id="377" w:name="_Toc469384066"/>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82  </w:t>
      </w:r>
      <w:r>
        <w:rPr>
          <w:rFonts w:hint="eastAsia" w:ascii="仿宋" w:hAnsi="仿宋" w:eastAsia="仿宋" w:cs="仿宋"/>
          <w:b/>
          <w:bCs/>
          <w:color w:val="auto"/>
          <w:sz w:val="24"/>
          <w:szCs w:val="24"/>
          <w:highlight w:val="none"/>
        </w:rPr>
        <w:t>竣工结算</w:t>
      </w:r>
      <w:bookmarkEnd w:id="375"/>
      <w:bookmarkEnd w:id="376"/>
      <w:bookmarkEnd w:id="377"/>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82.1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19712" behindDoc="0" locked="0" layoutInCell="1" allowOverlap="1">
                <wp:simplePos x="0" y="0"/>
                <wp:positionH relativeFrom="column">
                  <wp:posOffset>-114300</wp:posOffset>
                </wp:positionH>
                <wp:positionV relativeFrom="paragraph">
                  <wp:posOffset>38735</wp:posOffset>
                </wp:positionV>
                <wp:extent cx="914400" cy="396240"/>
                <wp:effectExtent l="0" t="0" r="0" b="0"/>
                <wp:wrapNone/>
                <wp:docPr id="353" name="文本框 35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约定结算程序和期限</w:t>
                            </w:r>
                          </w:p>
                        </w:txbxContent>
                      </wps:txbx>
                      <wps:bodyPr upright="1"/>
                    </wps:wsp>
                  </a:graphicData>
                </a:graphic>
              </wp:anchor>
            </w:drawing>
          </mc:Choice>
          <mc:Fallback>
            <w:pict>
              <v:shape id="文本框 357" o:spid="_x0000_s1026" o:spt="202" type="#_x0000_t202" style="position:absolute;left:0pt;margin-left:-9pt;margin-top:3.05pt;height:31.2pt;width:72pt;z-index:252019712;mso-width-relative:page;mso-height-relative:page;" filled="f" stroked="f" coordsize="21600,21600" o:gfxdata="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wMFdQA&#10;AAAIAQAADwAAAAAAAAABACAAAAAiAAAAZHJzL2Rvd25yZXYueG1sUEsBAhQAFAAAAAgAh07iQM4N&#10;Rf6xAQAAUQMAAA4AAAAAAAAAAQAgAAAAIw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约定结算程序和期限</w:t>
                      </w:r>
                    </w:p>
                  </w:txbxContent>
                </v:textbox>
              </v:shape>
            </w:pict>
          </mc:Fallback>
        </mc:AlternateContent>
      </w:r>
      <w:r>
        <w:rPr>
          <w:rFonts w:hint="eastAsia" w:ascii="仿宋" w:hAnsi="仿宋" w:eastAsia="仿宋" w:cs="仿宋"/>
          <w:color w:val="auto"/>
          <w:sz w:val="24"/>
          <w:szCs w:val="24"/>
          <w:highlight w:val="none"/>
        </w:rPr>
        <w:t>合同双方当事人应按照国家标准《建设工程工程量清单计价规范》（</w:t>
      </w:r>
      <w:r>
        <w:rPr>
          <w:rFonts w:ascii="仿宋" w:hAnsi="仿宋" w:eastAsia="仿宋" w:cs="仿宋"/>
          <w:color w:val="auto"/>
          <w:sz w:val="24"/>
          <w:szCs w:val="24"/>
          <w:highlight w:val="none"/>
        </w:rPr>
        <w:t>GBGB50500-2013</w:t>
      </w:r>
      <w:r>
        <w:rPr>
          <w:rFonts w:hint="eastAsia" w:ascii="仿宋" w:hAnsi="仿宋" w:eastAsia="仿宋" w:cs="仿宋"/>
          <w:color w:val="auto"/>
          <w:sz w:val="24"/>
          <w:szCs w:val="24"/>
          <w:highlight w:val="none"/>
        </w:rPr>
        <w:t>）规定在专用条款中明确办理竣工结算的程序和时限。专用条款没有约定的，竣工结算按照第</w:t>
      </w:r>
      <w:r>
        <w:rPr>
          <w:rFonts w:ascii="仿宋" w:hAnsi="仿宋" w:eastAsia="仿宋" w:cs="仿宋"/>
          <w:color w:val="auto"/>
          <w:sz w:val="24"/>
          <w:szCs w:val="24"/>
          <w:highlight w:val="none"/>
        </w:rPr>
        <w:t>82.2</w:t>
      </w:r>
      <w:r>
        <w:rPr>
          <w:rFonts w:hint="eastAsia" w:ascii="仿宋" w:hAnsi="仿宋" w:eastAsia="仿宋" w:cs="仿宋"/>
          <w:color w:val="auto"/>
          <w:sz w:val="24"/>
          <w:szCs w:val="24"/>
          <w:highlight w:val="none"/>
        </w:rPr>
        <w:t>款至第</w:t>
      </w:r>
      <w:r>
        <w:rPr>
          <w:rFonts w:ascii="仿宋" w:hAnsi="仿宋" w:eastAsia="仿宋" w:cs="仿宋"/>
          <w:color w:val="auto"/>
          <w:sz w:val="24"/>
          <w:szCs w:val="24"/>
          <w:highlight w:val="none"/>
        </w:rPr>
        <w:t>82.5</w:t>
      </w:r>
      <w:r>
        <w:rPr>
          <w:rFonts w:hint="eastAsia" w:ascii="仿宋" w:hAnsi="仿宋" w:eastAsia="仿宋" w:cs="仿宋"/>
          <w:color w:val="auto"/>
          <w:sz w:val="24"/>
          <w:szCs w:val="24"/>
          <w:highlight w:val="none"/>
        </w:rPr>
        <w:t>款规定办理。</w:t>
      </w:r>
    </w:p>
    <w:p>
      <w:pPr>
        <w:shd w:val="clear" w:color="000000" w:fill="auto"/>
        <w:spacing w:line="360" w:lineRule="auto"/>
        <w:ind w:left="1680" w:hanging="1680" w:hangingChars="800"/>
        <w:rPr>
          <w:rFonts w:ascii="仿宋" w:hAnsi="仿宋" w:eastAsia="仿宋" w:cs="Times New Roman"/>
          <w:color w:val="auto"/>
          <w:sz w:val="24"/>
          <w:szCs w:val="24"/>
          <w:highlight w:val="none"/>
        </w:rPr>
      </w:pPr>
      <w:r>
        <w:rPr>
          <w:color w:val="auto"/>
          <w:highlight w:val="none"/>
        </w:rPr>
        <w:t xml:space="preserve">                </w:t>
      </w:r>
      <w:r>
        <w:rPr>
          <w:rFonts w:hint="eastAsia" w:ascii="仿宋" w:hAnsi="仿宋" w:eastAsia="仿宋" w:cs="仿宋"/>
          <w:color w:val="auto"/>
          <w:sz w:val="24"/>
          <w:szCs w:val="24"/>
          <w:highlight w:val="none"/>
        </w:rPr>
        <w:t>建设工程施工过程结算是指在房屋建筑和市政设施工程发承包合同范围内，发承包双方结合项目实际，依据合同约定的支付周期或工程进度节点，对已完成的分部工程或标志性节点形象工程的价款进行的计算、调整、确认和支付等活动。实施施工过程结算的，应符合广东省建设工程施工过程结算办法等有关规定。发承包双方应在合同中约定施工过程结算的支付周期或完成进度节点（统称“施工过程结算节点”）进行工程价款结算和支付的依据、程序和方法，明确合同履行过程工程价款的计量、计价、支付等事项。施工过程结算节点可根据工程特点、施工工期及分部（工程）验收需要等由发承包双方在合同约定。施工过程结算文件是工程竣工结算文件的重要内容与组成部分。</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在办理竣工结算期间，发包人按照第</w:t>
      </w:r>
      <w:r>
        <w:rPr>
          <w:rFonts w:ascii="仿宋" w:hAnsi="仿宋" w:eastAsia="仿宋" w:cs="仿宋"/>
          <w:color w:val="auto"/>
          <w:sz w:val="24"/>
          <w:szCs w:val="24"/>
          <w:highlight w:val="none"/>
        </w:rPr>
        <w:t>78</w:t>
      </w:r>
      <w:r>
        <w:rPr>
          <w:rFonts w:hint="eastAsia" w:ascii="仿宋" w:hAnsi="仿宋" w:eastAsia="仿宋" w:cs="仿宋"/>
          <w:color w:val="auto"/>
          <w:sz w:val="24"/>
          <w:szCs w:val="24"/>
          <w:highlight w:val="none"/>
        </w:rPr>
        <w:t>条规定应向承包人支付的工程款及其他款项不停止。</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82.2  </w:t>
      </w:r>
      <w:r>
        <w:rPr>
          <w:rFonts w:ascii="仿宋" w:hAnsi="仿宋" w:eastAsia="仿宋" w:cs="仿宋"/>
          <w:b/>
          <w:bCs/>
          <w:color w:val="auto"/>
          <w:sz w:val="24"/>
          <w:szCs w:val="24"/>
          <w:highlight w:val="none"/>
          <w:u w:val="dotted"/>
        </w:rPr>
        <w:t xml:space="preserve">                                                                                                       </w:t>
      </w:r>
    </w:p>
    <w:p>
      <w:pPr>
        <w:pStyle w:val="2"/>
        <w:shd w:val="clear" w:color="000000" w:fill="auto"/>
        <w:tabs>
          <w:tab w:val="left" w:pos="2641"/>
        </w:tabs>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20736" behindDoc="0" locked="0" layoutInCell="1" allowOverlap="1">
                <wp:simplePos x="0" y="0"/>
                <wp:positionH relativeFrom="column">
                  <wp:posOffset>-114300</wp:posOffset>
                </wp:positionH>
                <wp:positionV relativeFrom="paragraph">
                  <wp:posOffset>23495</wp:posOffset>
                </wp:positionV>
                <wp:extent cx="914400" cy="459105"/>
                <wp:effectExtent l="0" t="0" r="0" b="0"/>
                <wp:wrapNone/>
                <wp:docPr id="354" name="文本框 358"/>
                <wp:cNvGraphicFramePr/>
                <a:graphic xmlns:a="http://schemas.openxmlformats.org/drawingml/2006/main">
                  <a:graphicData uri="http://schemas.microsoft.com/office/word/2010/wordprocessingShape">
                    <wps:wsp>
                      <wps:cNvSpPr txBox="1"/>
                      <wps:spPr>
                        <a:xfrm>
                          <a:off x="0" y="0"/>
                          <a:ext cx="914400" cy="45910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递交结算文件及其限制</w:t>
                            </w:r>
                          </w:p>
                        </w:txbxContent>
                      </wps:txbx>
                      <wps:bodyPr upright="1"/>
                    </wps:wsp>
                  </a:graphicData>
                </a:graphic>
              </wp:anchor>
            </w:drawing>
          </mc:Choice>
          <mc:Fallback>
            <w:pict>
              <v:shape id="文本框 358" o:spid="_x0000_s1026" o:spt="202" type="#_x0000_t202" style="position:absolute;left:0pt;margin-left:-9pt;margin-top:1.85pt;height:36.15pt;width:72pt;z-index:252020736;mso-width-relative:page;mso-height-relative:page;" filled="f" stroked="f" coordsize="21600,21600" o:gfxdata="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tB/HitUA&#10;AAAIAQAADwAAAAAAAAABACAAAAAiAAAAZHJzL2Rvd25yZXYueG1sUEsBAhQAFAAAAAgAh07iQLyn&#10;X5GwAQAAUQMAAA4AAAAAAAAAAQAgAAAAJA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递交结算文件及其限制</w:t>
                      </w:r>
                    </w:p>
                  </w:txbxContent>
                </v:textbox>
              </v:shape>
            </w:pict>
          </mc:Fallback>
        </mc:AlternateContent>
      </w:r>
      <w:r>
        <w:rPr>
          <w:rFonts w:hint="eastAsia" w:ascii="仿宋" w:hAnsi="仿宋" w:eastAsia="仿宋" w:cs="仿宋"/>
          <w:color w:val="auto"/>
          <w:sz w:val="24"/>
          <w:szCs w:val="24"/>
          <w:highlight w:val="none"/>
        </w:rPr>
        <w:t>承包人应在提交竣工验收申请报告前编制完成竣工结算文件，并在提交竣工验收申请报告的同时向造价工程师递交竣工结算文件。竣工结算文件清单由双方在专用条款中约定。</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未在本款规定的时间内递交竣工结算文件，经发包人催促后仍未递交或没有明确答复的，造价工程师可根据自己掌握的资料编制竣工结算文件，在报经发包人批准后，作为办理竣工结算和支付结算款的依据，承包人应予以认可。</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rPr>
        <w:t xml:space="preserve">82.3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21760" behindDoc="0" locked="0" layoutInCell="1" allowOverlap="1">
                <wp:simplePos x="0" y="0"/>
                <wp:positionH relativeFrom="column">
                  <wp:posOffset>-114300</wp:posOffset>
                </wp:positionH>
                <wp:positionV relativeFrom="paragraph">
                  <wp:posOffset>38735</wp:posOffset>
                </wp:positionV>
                <wp:extent cx="914400" cy="418465"/>
                <wp:effectExtent l="0" t="0" r="0" b="0"/>
                <wp:wrapNone/>
                <wp:docPr id="355" name="文本框 359"/>
                <wp:cNvGraphicFramePr/>
                <a:graphic xmlns:a="http://schemas.openxmlformats.org/drawingml/2006/main">
                  <a:graphicData uri="http://schemas.microsoft.com/office/word/2010/wordprocessingShape">
                    <wps:wsp>
                      <wps:cNvSpPr txBox="1"/>
                      <wps:spPr>
                        <a:xfrm>
                          <a:off x="0" y="0"/>
                          <a:ext cx="914400" cy="41846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核实结算文件及其限制</w:t>
                            </w:r>
                          </w:p>
                        </w:txbxContent>
                      </wps:txbx>
                      <wps:bodyPr upright="1"/>
                    </wps:wsp>
                  </a:graphicData>
                </a:graphic>
              </wp:anchor>
            </w:drawing>
          </mc:Choice>
          <mc:Fallback>
            <w:pict>
              <v:shape id="文本框 359" o:spid="_x0000_s1026" o:spt="202" type="#_x0000_t202" style="position:absolute;left:0pt;margin-left:-9pt;margin-top:3.05pt;height:32.95pt;width:72pt;z-index:252021760;mso-width-relative:page;mso-height-relative:page;" filled="f" stroked="f" coordsize="21600,21600" o:gfxdata="UEsDBAoAAAAAAIdO4kAAAAAAAAAAAAAAAAAEAAAAZHJzL1BLAwQUAAAACACHTuJAsUJJ49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sUJJ49UA&#10;AAAIAQAADwAAAAAAAAABACAAAAAiAAAAZHJzL2Rvd25yZXYueG1sUEsBAhQAFAAAAAgAh07iQMue&#10;oU2wAQAAUQMAAA4AAAAAAAAAAQAgAAAAJA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核实结算文件及其限制</w:t>
                      </w:r>
                    </w:p>
                  </w:txbxContent>
                </v:textbox>
              </v:shape>
            </w:pict>
          </mc:Fallback>
        </mc:AlternateContent>
      </w:r>
      <w:r>
        <w:rPr>
          <w:rFonts w:hint="eastAsia" w:ascii="仿宋" w:hAnsi="仿宋" w:eastAsia="仿宋" w:cs="仿宋"/>
          <w:color w:val="auto"/>
          <w:sz w:val="24"/>
          <w:szCs w:val="24"/>
          <w:highlight w:val="none"/>
        </w:rPr>
        <w:t>造价工程师应在收到承包人按照第</w:t>
      </w:r>
      <w:r>
        <w:rPr>
          <w:rFonts w:ascii="仿宋" w:hAnsi="仿宋" w:eastAsia="仿宋" w:cs="仿宋"/>
          <w:color w:val="auto"/>
          <w:sz w:val="24"/>
          <w:szCs w:val="24"/>
          <w:highlight w:val="none"/>
        </w:rPr>
        <w:t>82.2</w:t>
      </w:r>
      <w:r>
        <w:rPr>
          <w:rFonts w:hint="eastAsia" w:ascii="仿宋" w:hAnsi="仿宋" w:eastAsia="仿宋" w:cs="仿宋"/>
          <w:color w:val="auto"/>
          <w:sz w:val="24"/>
          <w:szCs w:val="24"/>
          <w:highlight w:val="none"/>
        </w:rPr>
        <w:t>款规定递交的竣工结算文件后的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天内予以核实，并向承包人提出完整的核实意见（包括进一步补充资料和修改结算文件），同时抄报发包人。承包人在收到核实意见后的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天内按照造价工程师提出的合理要求补充资料，修改竣工结算文件，并再次递交给造价工程师。</w:t>
      </w:r>
      <w:r>
        <w:rPr>
          <w:rFonts w:ascii="仿宋" w:hAnsi="仿宋" w:eastAsia="仿宋" w:cs="Times New Roman"/>
          <w:color w:val="auto"/>
          <w:sz w:val="24"/>
          <w:szCs w:val="24"/>
          <w:highlight w:val="none"/>
        </w:rPr>
        <w:br w:type="textWrapping"/>
      </w:r>
      <w:r>
        <w:rPr>
          <w:rFonts w:hint="eastAsia" w:ascii="仿宋" w:hAnsi="仿宋" w:eastAsia="仿宋" w:cs="仿宋"/>
          <w:color w:val="auto"/>
          <w:sz w:val="24"/>
          <w:szCs w:val="24"/>
          <w:highlight w:val="none"/>
        </w:rPr>
        <w:t>造价工程师在收到竣工结算文件后的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天内，不核实竣工结算或未提出核实意见的，视为承包人递交的竣工结算已被认可。</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u w:val="single"/>
        </w:rPr>
      </w:pPr>
      <w:r>
        <w:rPr>
          <w:rFonts w:hint="eastAsia" w:ascii="仿宋" w:hAnsi="仿宋" w:eastAsia="仿宋" w:cs="仿宋"/>
          <w:color w:val="auto"/>
          <w:sz w:val="24"/>
          <w:szCs w:val="24"/>
          <w:highlight w:val="none"/>
        </w:rPr>
        <w:t>承包人在收到造价工程师提出的核实意见后的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天内，不确认也未提出异议的，视为造价工程师提出的核实意见已被认可，竣工结算办理完毕。</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rPr>
        <w:t xml:space="preserve">82.4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u w:val="single"/>
        </w:rPr>
      </w:pPr>
      <w:r>
        <w:rPr>
          <w:color w:val="auto"/>
          <w:highlight w:val="none"/>
        </w:rPr>
        <mc:AlternateContent>
          <mc:Choice Requires="wps">
            <w:drawing>
              <wp:anchor distT="0" distB="0" distL="114300" distR="114300" simplePos="0" relativeHeight="252022784"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356" name="文本框 360"/>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复核再次递交结算文件</w:t>
                            </w:r>
                          </w:p>
                        </w:txbxContent>
                      </wps:txbx>
                      <wps:bodyPr upright="1"/>
                    </wps:wsp>
                  </a:graphicData>
                </a:graphic>
              </wp:anchor>
            </w:drawing>
          </mc:Choice>
          <mc:Fallback>
            <w:pict>
              <v:shape id="文本框 360" o:spid="_x0000_s1026" o:spt="202" type="#_x0000_t202" style="position:absolute;left:0pt;margin-left:-9pt;margin-top:1.25pt;height:56.55pt;width:72pt;z-index:252022784;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ZCALtYA&#10;AAAJAQAADwAAAAAAAAABACAAAAAiAAAAZHJzL2Rvd25yZXYueG1sUEsBAhQAFAAAAAgAh07iQB64&#10;GiyvAQAAUQMAAA4AAAAAAAAAAQAgAAAAJQ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复核再次递交结算文件</w:t>
                      </w:r>
                    </w:p>
                  </w:txbxContent>
                </v:textbox>
              </v:shape>
            </w:pict>
          </mc:Fallback>
        </mc:AlternateContent>
      </w:r>
      <w:r>
        <w:rPr>
          <w:rFonts w:hint="eastAsia" w:ascii="仿宋" w:hAnsi="仿宋" w:eastAsia="仿宋" w:cs="仿宋"/>
          <w:color w:val="auto"/>
          <w:sz w:val="24"/>
          <w:szCs w:val="24"/>
          <w:highlight w:val="none"/>
        </w:rPr>
        <w:t>造价工程师应在收到承包人按照第</w:t>
      </w:r>
      <w:r>
        <w:rPr>
          <w:rFonts w:ascii="仿宋" w:hAnsi="仿宋" w:eastAsia="仿宋" w:cs="仿宋"/>
          <w:color w:val="auto"/>
          <w:sz w:val="24"/>
          <w:szCs w:val="24"/>
          <w:highlight w:val="none"/>
        </w:rPr>
        <w:t>82.3</w:t>
      </w:r>
      <w:r>
        <w:rPr>
          <w:rFonts w:hint="eastAsia" w:ascii="仿宋" w:hAnsi="仿宋" w:eastAsia="仿宋" w:cs="仿宋"/>
          <w:color w:val="auto"/>
          <w:sz w:val="24"/>
          <w:szCs w:val="24"/>
          <w:highlight w:val="none"/>
        </w:rPr>
        <w:t>款规定再次递交的竣工结算文件后的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天内予以复核，并将复核结果通知承包人、抄报发包人。</w:t>
      </w:r>
    </w:p>
    <w:p>
      <w:pPr>
        <w:pStyle w:val="2"/>
        <w:shd w:val="clear" w:color="000000" w:fill="auto"/>
        <w:adjustRightInd w:val="0"/>
        <w:snapToGrid w:val="0"/>
        <w:spacing w:line="360" w:lineRule="auto"/>
        <w:ind w:left="161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）经复核无误的，除属于第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条规定的争议外，发包人应在</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天内在竣工结算文件上签字确认，竣工结算办理完毕。</w:t>
      </w:r>
    </w:p>
    <w:p>
      <w:pPr>
        <w:pStyle w:val="2"/>
        <w:shd w:val="clear" w:color="000000" w:fill="auto"/>
        <w:adjustRightInd w:val="0"/>
        <w:snapToGrid w:val="0"/>
        <w:spacing w:line="360" w:lineRule="auto"/>
        <w:ind w:left="1615"/>
        <w:rPr>
          <w:rFonts w:ascii="仿宋" w:hAnsi="仿宋" w:eastAsia="仿宋" w:cs="Times New Roman"/>
          <w:color w:val="auto"/>
          <w:sz w:val="24"/>
          <w:szCs w:val="24"/>
          <w:highlight w:val="none"/>
          <w:u w:val="singl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）经复核认为有误的：无误部分按照本款第</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点规定办理不完全竣工结算；有误部分由造价工程师与合同双方当事人协商解决，或按照第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条规定处理。</w:t>
      </w:r>
    </w:p>
    <w:p>
      <w:pPr>
        <w:pStyle w:val="2"/>
        <w:shd w:val="clear" w:color="000000" w:fill="auto"/>
        <w:adjustRightInd w:val="0"/>
        <w:snapToGrid w:val="0"/>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82.5</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23808"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357" name="文本框 36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交付工程</w:t>
                            </w:r>
                          </w:p>
                        </w:txbxContent>
                      </wps:txbx>
                      <wps:bodyPr upright="1"/>
                    </wps:wsp>
                  </a:graphicData>
                </a:graphic>
              </wp:anchor>
            </w:drawing>
          </mc:Choice>
          <mc:Fallback>
            <w:pict>
              <v:shape id="文本框 361" o:spid="_x0000_s1026" o:spt="202" type="#_x0000_t202" style="position:absolute;left:0pt;margin-left:-9pt;margin-top:0.45pt;height:31.2pt;width:72pt;z-index:252023808;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RApqXV&#10;AAAABwEAAA8AAAAAAAAAAQAgAAAAIgAAAGRycy9kb3ducmV2LnhtbFBLAQIUABQAAAAIAIdO4kCZ&#10;3J6SsQEAAFEDAAAOAAAAAAAAAAEAIAAAACQBAABkcnMvZTJvRG9jLnhtbFBLBQYAAAAABgAGAFkB&#10;AABH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交付工程</w:t>
                      </w:r>
                    </w:p>
                  </w:txbxContent>
                </v:textbox>
              </v:shape>
            </w:pict>
          </mc:Fallback>
        </mc:AlternateContent>
      </w:r>
      <w:r>
        <w:rPr>
          <w:rFonts w:hint="eastAsia" w:ascii="仿宋" w:hAnsi="仿宋" w:eastAsia="仿宋" w:cs="仿宋"/>
          <w:color w:val="auto"/>
          <w:sz w:val="24"/>
          <w:szCs w:val="24"/>
          <w:highlight w:val="none"/>
        </w:rPr>
        <w:t>发包人应在已核实无误的竣工结算文件上签名确认，拒不签认的，承包人可不交付竣工工程。</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承包人未及时递交竣工结算文件的，发包人要求交付竣工工程，承包人应当交付；发包人不要求交付竣工工程，承包人承担照管永久工程责任。</w:t>
      </w:r>
    </w:p>
    <w:p>
      <w:pPr>
        <w:pStyle w:val="2"/>
        <w:shd w:val="clear" w:color="000000" w:fill="auto"/>
        <w:adjustRightInd w:val="0"/>
        <w:snapToGrid w:val="0"/>
        <w:spacing w:line="240" w:lineRule="exact"/>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378" w:name="_Toc469384067"/>
      <w:bookmarkStart w:id="379" w:name="_Toc2170"/>
      <w:bookmarkStart w:id="380" w:name="_Toc10624907"/>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83  </w:t>
      </w:r>
      <w:r>
        <w:rPr>
          <w:rFonts w:hint="eastAsia" w:ascii="仿宋" w:hAnsi="仿宋" w:eastAsia="仿宋" w:cs="仿宋"/>
          <w:b/>
          <w:bCs/>
          <w:color w:val="auto"/>
          <w:sz w:val="24"/>
          <w:szCs w:val="24"/>
          <w:highlight w:val="none"/>
        </w:rPr>
        <w:t>结算款</w:t>
      </w:r>
      <w:bookmarkEnd w:id="378"/>
      <w:bookmarkEnd w:id="379"/>
      <w:bookmarkEnd w:id="380"/>
    </w:p>
    <w:p>
      <w:pPr>
        <w:pStyle w:val="2"/>
        <w:shd w:val="clear" w:color="000000" w:fill="auto"/>
        <w:adjustRightInd w:val="0"/>
        <w:snapToGrid w:val="0"/>
        <w:spacing w:line="360" w:lineRule="auto"/>
        <w:rPr>
          <w:rFonts w:ascii="仿宋" w:hAnsi="仿宋" w:eastAsia="仿宋" w:cs="仿宋"/>
          <w:color w:val="auto"/>
          <w:sz w:val="24"/>
          <w:szCs w:val="24"/>
          <w:highlight w:val="none"/>
        </w:rPr>
      </w:pPr>
      <w:r>
        <w:rPr>
          <w:rFonts w:ascii="仿宋" w:hAnsi="仿宋" w:eastAsia="仿宋" w:cs="仿宋"/>
          <w:b/>
          <w:bCs/>
          <w:color w:val="auto"/>
          <w:sz w:val="24"/>
          <w:szCs w:val="24"/>
          <w:highlight w:val="none"/>
        </w:rPr>
        <w:t xml:space="preserve">83.1 </w:t>
      </w:r>
      <w:r>
        <w:rPr>
          <w:rFonts w:ascii="仿宋" w:hAnsi="仿宋" w:eastAsia="仿宋" w:cs="仿宋"/>
          <w:color w:val="auto"/>
          <w:sz w:val="24"/>
          <w:szCs w:val="24"/>
          <w:highlight w:val="none"/>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24832" behindDoc="0" locked="0" layoutInCell="1" allowOverlap="1">
                <wp:simplePos x="0" y="0"/>
                <wp:positionH relativeFrom="column">
                  <wp:posOffset>-114300</wp:posOffset>
                </wp:positionH>
                <wp:positionV relativeFrom="paragraph">
                  <wp:posOffset>36195</wp:posOffset>
                </wp:positionV>
                <wp:extent cx="914400" cy="459105"/>
                <wp:effectExtent l="0" t="0" r="0" b="0"/>
                <wp:wrapNone/>
                <wp:docPr id="358" name="文本框 362"/>
                <wp:cNvGraphicFramePr/>
                <a:graphic xmlns:a="http://schemas.openxmlformats.org/drawingml/2006/main">
                  <a:graphicData uri="http://schemas.microsoft.com/office/word/2010/wordprocessingShape">
                    <wps:wsp>
                      <wps:cNvSpPr txBox="1"/>
                      <wps:spPr>
                        <a:xfrm>
                          <a:off x="0" y="0"/>
                          <a:ext cx="914400" cy="45910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提交竣工支付申请</w:t>
                            </w:r>
                          </w:p>
                        </w:txbxContent>
                      </wps:txbx>
                      <wps:bodyPr upright="1"/>
                    </wps:wsp>
                  </a:graphicData>
                </a:graphic>
              </wp:anchor>
            </w:drawing>
          </mc:Choice>
          <mc:Fallback>
            <w:pict>
              <v:shape id="文本框 362" o:spid="_x0000_s1026" o:spt="202" type="#_x0000_t202" style="position:absolute;left:0pt;margin-left:-9pt;margin-top:2.85pt;height:36.15pt;width:72pt;z-index:252024832;mso-width-relative:page;mso-height-relative:page;" filled="f" stroked="f" coordsize="21600,21600" o:gfxdata="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Eyr9J9UA&#10;AAAIAQAADwAAAAAAAAABACAAAAAiAAAAZHJzL2Rvd25yZXYueG1sUEsBAhQAFAAAAAgAh07iQE3E&#10;8hmwAQAAUQMAAA4AAAAAAAAAAQAgAAAAJA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提交竣工支付申请</w:t>
                      </w:r>
                    </w:p>
                  </w:txbxContent>
                </v:textbox>
              </v:shape>
            </w:pict>
          </mc:Fallback>
        </mc:AlternateContent>
      </w:r>
      <w:r>
        <w:rPr>
          <w:rFonts w:hint="eastAsia" w:ascii="仿宋" w:hAnsi="仿宋" w:eastAsia="仿宋" w:cs="仿宋"/>
          <w:color w:val="auto"/>
          <w:sz w:val="24"/>
          <w:szCs w:val="24"/>
          <w:highlight w:val="none"/>
        </w:rPr>
        <w:t>合同双方当事人应在专用条款中明确结算款的支付时限。专用条款没有约定的，结算款支付按照第</w:t>
      </w:r>
      <w:r>
        <w:rPr>
          <w:rFonts w:ascii="仿宋" w:hAnsi="仿宋" w:eastAsia="仿宋" w:cs="仿宋"/>
          <w:color w:val="auto"/>
          <w:sz w:val="24"/>
          <w:szCs w:val="24"/>
          <w:highlight w:val="none"/>
        </w:rPr>
        <w:t>83.2</w:t>
      </w:r>
      <w:r>
        <w:rPr>
          <w:rFonts w:hint="eastAsia" w:ascii="仿宋" w:hAnsi="仿宋" w:eastAsia="仿宋" w:cs="仿宋"/>
          <w:color w:val="auto"/>
          <w:sz w:val="24"/>
          <w:szCs w:val="24"/>
          <w:highlight w:val="none"/>
        </w:rPr>
        <w:t>款至第</w:t>
      </w:r>
      <w:r>
        <w:rPr>
          <w:rFonts w:ascii="仿宋" w:hAnsi="仿宋" w:eastAsia="仿宋" w:cs="仿宋"/>
          <w:color w:val="auto"/>
          <w:sz w:val="24"/>
          <w:szCs w:val="24"/>
          <w:highlight w:val="none"/>
        </w:rPr>
        <w:t>83.5</w:t>
      </w:r>
      <w:r>
        <w:rPr>
          <w:rFonts w:hint="eastAsia" w:ascii="仿宋" w:hAnsi="仿宋" w:eastAsia="仿宋" w:cs="仿宋"/>
          <w:color w:val="auto"/>
          <w:sz w:val="24"/>
          <w:szCs w:val="24"/>
          <w:highlight w:val="none"/>
        </w:rPr>
        <w:t>款规定办理。涉及政府投资资金的工程</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支付期、支付方法等需调整的，应在专用条款中约定。</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承包人应按照第</w:t>
      </w:r>
      <w:r>
        <w:rPr>
          <w:rFonts w:ascii="仿宋" w:hAnsi="仿宋" w:eastAsia="仿宋" w:cs="仿宋"/>
          <w:color w:val="auto"/>
          <w:sz w:val="24"/>
          <w:szCs w:val="24"/>
          <w:highlight w:val="none"/>
        </w:rPr>
        <w:t>82.2</w:t>
      </w:r>
      <w:r>
        <w:rPr>
          <w:rFonts w:hint="eastAsia" w:ascii="仿宋" w:hAnsi="仿宋" w:eastAsia="仿宋" w:cs="仿宋"/>
          <w:color w:val="auto"/>
          <w:sz w:val="24"/>
          <w:szCs w:val="24"/>
          <w:highlight w:val="none"/>
        </w:rPr>
        <w:t>款规定在向造价工程师递交竣工结算文件时，根据国家、省规定的格式向造价工程师递交由承包人代表签认的竣工结算支付申请和竣工结算款额报告一式四份，并附上完整的结算资料，详细列出下列内容，同时抄送发包人、监理工程师各一份。</w:t>
      </w:r>
    </w:p>
    <w:p>
      <w:pPr>
        <w:pStyle w:val="2"/>
        <w:shd w:val="clear" w:color="000000" w:fill="auto"/>
        <w:tabs>
          <w:tab w:val="left" w:pos="2641"/>
        </w:tabs>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）根据合同完成全部或所有工程的总造价；</w:t>
      </w:r>
    </w:p>
    <w:p>
      <w:pPr>
        <w:pStyle w:val="2"/>
        <w:shd w:val="clear" w:color="000000" w:fill="auto"/>
        <w:tabs>
          <w:tab w:val="left" w:pos="2641"/>
        </w:tabs>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）根据合同约定发包人应付的所有款项。</w:t>
      </w:r>
    </w:p>
    <w:p>
      <w:pPr>
        <w:pStyle w:val="2"/>
        <w:shd w:val="clear" w:color="000000" w:fill="auto"/>
        <w:tabs>
          <w:tab w:val="left" w:pos="2641"/>
        </w:tabs>
        <w:adjustRightInd w:val="0"/>
        <w:snapToGrid w:val="0"/>
        <w:spacing w:line="360" w:lineRule="auto"/>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rPr>
        <w:t xml:space="preserve">83.2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u w:val="single"/>
        </w:rPr>
      </w:pPr>
      <w:r>
        <w:rPr>
          <w:color w:val="auto"/>
          <w:highlight w:val="none"/>
        </w:rPr>
        <mc:AlternateContent>
          <mc:Choice Requires="wps">
            <w:drawing>
              <wp:anchor distT="0" distB="0" distL="114300" distR="114300" simplePos="0" relativeHeight="252025856"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359" name="文本框 363"/>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签发竣工结算支付证书</w:t>
                            </w:r>
                          </w:p>
                        </w:txbxContent>
                      </wps:txbx>
                      <wps:bodyPr upright="1"/>
                    </wps:wsp>
                  </a:graphicData>
                </a:graphic>
              </wp:anchor>
            </w:drawing>
          </mc:Choice>
          <mc:Fallback>
            <w:pict>
              <v:shape id="文本框 363" o:spid="_x0000_s1026" o:spt="202" type="#_x0000_t202" style="position:absolute;left:0pt;margin-left:-9pt;margin-top:1.25pt;height:56.55pt;width:72pt;z-index:252025856;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GQgC7W&#10;AAAACQEAAA8AAAAAAAAAAQAgAAAAIgAAAGRycy9kb3ducmV2LnhtbFBLAQIUABQAAAAIAIdO4kBg&#10;PyuzsAEAAFEDAAAOAAAAAAAAAAEAIAAAACUBAABkcnMvZTJvRG9jLnhtbFBLBQYAAAAABgAGAFkB&#10;AABH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签发竣工结算支付证书</w:t>
                      </w:r>
                    </w:p>
                  </w:txbxContent>
                </v:textbox>
              </v:shape>
            </w:pict>
          </mc:Fallback>
        </mc:AlternateContent>
      </w:r>
      <w:r>
        <w:rPr>
          <w:rFonts w:hint="eastAsia" w:ascii="仿宋" w:hAnsi="仿宋" w:eastAsia="仿宋" w:cs="仿宋"/>
          <w:color w:val="auto"/>
          <w:sz w:val="24"/>
          <w:szCs w:val="24"/>
          <w:highlight w:val="none"/>
        </w:rPr>
        <w:t>造价工程师在收到上述资料后，应按照第</w:t>
      </w:r>
      <w:r>
        <w:rPr>
          <w:rFonts w:ascii="仿宋" w:hAnsi="仿宋" w:eastAsia="仿宋" w:cs="仿宋"/>
          <w:color w:val="auto"/>
          <w:sz w:val="24"/>
          <w:szCs w:val="24"/>
          <w:highlight w:val="none"/>
        </w:rPr>
        <w:t>82.3</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82.4</w:t>
      </w:r>
      <w:r>
        <w:rPr>
          <w:rFonts w:hint="eastAsia" w:ascii="仿宋" w:hAnsi="仿宋" w:eastAsia="仿宋" w:cs="仿宋"/>
          <w:color w:val="auto"/>
          <w:sz w:val="24"/>
          <w:szCs w:val="24"/>
          <w:highlight w:val="none"/>
        </w:rPr>
        <w:t>款规定核实竣工结算文件，并在发包人签字确认竣工结算文件后的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天内，向发包人签发竣工结算支付证书，同时抄送承包人。</w:t>
      </w:r>
    </w:p>
    <w:p>
      <w:pPr>
        <w:pStyle w:val="2"/>
        <w:shd w:val="clear" w:color="000000" w:fill="auto"/>
        <w:adjustRightInd w:val="0"/>
        <w:snapToGrid w:val="0"/>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83.3</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26880"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360" name="文本框 36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w:t>
                            </w:r>
                          </w:p>
                        </w:txbxContent>
                      </wps:txbx>
                      <wps:bodyPr upright="1"/>
                    </wps:wsp>
                  </a:graphicData>
                </a:graphic>
              </wp:anchor>
            </w:drawing>
          </mc:Choice>
          <mc:Fallback>
            <w:pict>
              <v:shape id="文本框 364" o:spid="_x0000_s1026" o:spt="202" type="#_x0000_t202" style="position:absolute;left:0pt;margin-left:-9pt;margin-top:0.45pt;height:31.2pt;width:72pt;z-index:252026880;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ECmpdUA&#10;AAAHAQAADwAAAAAAAAABACAAAAAiAAAAZHJzL2Rvd25yZXYueG1sUEsBAhQAFAAAAAgAh07iQDYW&#10;l+GwAQAAUQMAAA4AAAAAAAAAAQAgAAAAJA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w:t>
                      </w:r>
                    </w:p>
                  </w:txbxContent>
                </v:textbox>
              </v:shape>
            </w:pict>
          </mc:Fallback>
        </mc:AlternateContent>
      </w:r>
      <w:r>
        <w:rPr>
          <w:rFonts w:hint="eastAsia" w:ascii="仿宋" w:hAnsi="仿宋" w:eastAsia="仿宋" w:cs="仿宋"/>
          <w:color w:val="auto"/>
          <w:sz w:val="24"/>
          <w:szCs w:val="24"/>
          <w:highlight w:val="none"/>
        </w:rPr>
        <w:t>发包人应在造价工程师签发竣工结算支付证书后的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天内，按照竣工结算支付证书列明的金额向承包人支付结算款，并通知造价工程师。</w:t>
      </w:r>
    </w:p>
    <w:p>
      <w:pPr>
        <w:pStyle w:val="2"/>
        <w:shd w:val="clear" w:color="000000" w:fill="auto"/>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83.4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78" w:leftChars="799" w:firstLine="2"/>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27904" behindDoc="0" locked="0" layoutInCell="1" allowOverlap="1">
                <wp:simplePos x="0" y="0"/>
                <wp:positionH relativeFrom="column">
                  <wp:posOffset>-66675</wp:posOffset>
                </wp:positionH>
                <wp:positionV relativeFrom="paragraph">
                  <wp:posOffset>12065</wp:posOffset>
                </wp:positionV>
                <wp:extent cx="1047750" cy="829310"/>
                <wp:effectExtent l="0" t="0" r="0" b="0"/>
                <wp:wrapNone/>
                <wp:docPr id="361" name="文本框 365"/>
                <wp:cNvGraphicFramePr/>
                <a:graphic xmlns:a="http://schemas.openxmlformats.org/drawingml/2006/main">
                  <a:graphicData uri="http://schemas.microsoft.com/office/word/2010/wordprocessingShape">
                    <wps:wsp>
                      <wps:cNvSpPr txBox="1"/>
                      <wps:spPr>
                        <a:xfrm>
                          <a:off x="0" y="0"/>
                          <a:ext cx="1047750" cy="82931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支付证书的限</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制</w:t>
                            </w:r>
                          </w:p>
                        </w:txbxContent>
                      </wps:txbx>
                      <wps:bodyPr upright="1"/>
                    </wps:wsp>
                  </a:graphicData>
                </a:graphic>
              </wp:anchor>
            </w:drawing>
          </mc:Choice>
          <mc:Fallback>
            <w:pict>
              <v:shape id="文本框 365" o:spid="_x0000_s1026" o:spt="202" type="#_x0000_t202" style="position:absolute;left:0pt;margin-left:-5.25pt;margin-top:0.95pt;height:65.3pt;width:82.5pt;z-index:252027904;mso-width-relative:page;mso-height-relative:page;" filled="f" stroked="f" coordsize="21600,21600" o:gfxdata="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PTQap3V&#10;AAAACQEAAA8AAAAAAAAAAQAgAAAAIgAAAGRycy9kb3ducmV2LnhtbFBLAQIUABQAAAAIAIdO4kDH&#10;ZMdksQEAAFIDAAAOAAAAAAAAAAEAIAAAACQBAABkcnMvZTJvRG9jLnhtbFBLBQYAAAAABgAGAFkB&#10;AABH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支付证书的限</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制</w:t>
                      </w:r>
                    </w:p>
                  </w:txbxContent>
                </v:textbox>
              </v:shape>
            </w:pict>
          </mc:Fallback>
        </mc:AlternateContent>
      </w:r>
      <w:r>
        <w:rPr>
          <w:rFonts w:hint="eastAsia" w:ascii="仿宋" w:hAnsi="仿宋" w:eastAsia="仿宋" w:cs="仿宋"/>
          <w:color w:val="auto"/>
          <w:sz w:val="24"/>
          <w:szCs w:val="24"/>
          <w:highlight w:val="none"/>
        </w:rPr>
        <w:t>如果造价工程师未在第</w:t>
      </w:r>
      <w:r>
        <w:rPr>
          <w:rFonts w:ascii="仿宋" w:hAnsi="仿宋" w:eastAsia="仿宋" w:cs="仿宋"/>
          <w:color w:val="auto"/>
          <w:sz w:val="24"/>
          <w:szCs w:val="24"/>
          <w:highlight w:val="none"/>
        </w:rPr>
        <w:t>83.2</w:t>
      </w:r>
      <w:r>
        <w:rPr>
          <w:rFonts w:hint="eastAsia" w:ascii="仿宋" w:hAnsi="仿宋" w:eastAsia="仿宋" w:cs="仿宋"/>
          <w:color w:val="auto"/>
          <w:sz w:val="24"/>
          <w:szCs w:val="24"/>
          <w:highlight w:val="none"/>
        </w:rPr>
        <w:t>款规定的期限内签发竣工结算支付证书的，则视为承包人提交的竣工支付申请已被认可，承包人应及时向发包人发出要求支付竣工结算款的通知。发包人应在收到通知后的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天内，按照承包人支付申请列明的金额向承包人支付竣工结算款。</w:t>
      </w:r>
    </w:p>
    <w:p>
      <w:pPr>
        <w:pStyle w:val="2"/>
        <w:shd w:val="clear" w:color="000000" w:fill="auto"/>
        <w:adjustRightInd w:val="0"/>
        <w:snapToGrid w:val="0"/>
        <w:spacing w:line="48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83.5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80" w:leftChars="800"/>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28928" behindDoc="0" locked="0" layoutInCell="1" allowOverlap="1">
                <wp:simplePos x="0" y="0"/>
                <wp:positionH relativeFrom="column">
                  <wp:posOffset>-114300</wp:posOffset>
                </wp:positionH>
                <wp:positionV relativeFrom="paragraph">
                  <wp:posOffset>58420</wp:posOffset>
                </wp:positionV>
                <wp:extent cx="914400" cy="407670"/>
                <wp:effectExtent l="0" t="0" r="0" b="0"/>
                <wp:wrapNone/>
                <wp:docPr id="362" name="文本框 366"/>
                <wp:cNvGraphicFramePr/>
                <a:graphic xmlns:a="http://schemas.openxmlformats.org/drawingml/2006/main">
                  <a:graphicData uri="http://schemas.microsoft.com/office/word/2010/wordprocessingShape">
                    <wps:wsp>
                      <wps:cNvSpPr txBox="1"/>
                      <wps:spPr>
                        <a:xfrm>
                          <a:off x="0" y="0"/>
                          <a:ext cx="914400" cy="40767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竣工结算款支付的限制</w:t>
                            </w:r>
                          </w:p>
                        </w:txbxContent>
                      </wps:txbx>
                      <wps:bodyPr upright="1"/>
                    </wps:wsp>
                  </a:graphicData>
                </a:graphic>
              </wp:anchor>
            </w:drawing>
          </mc:Choice>
          <mc:Fallback>
            <w:pict>
              <v:shape id="文本框 366" o:spid="_x0000_s1026" o:spt="202" type="#_x0000_t202" style="position:absolute;left:0pt;margin-left:-9pt;margin-top:4.6pt;height:32.1pt;width:72pt;z-index:252028928;mso-width-relative:page;mso-height-relative:page;" filled="f" stroked="f" coordsize="21600,21600" o:gfxdata="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rLMuPW&#10;AAAACAEAAA8AAAAAAAAAAQAgAAAAIgAAAGRycy9kb3ducmV2LnhtbFBLAQIUABQAAAAIAIdO4kDD&#10;44KUsAEAAFEDAAAOAAAAAAAAAAEAIAAAACUBAABkcnMvZTJvRG9jLnhtbFBLBQYAAAAABgAGAFkB&#10;AABH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竣工结算款支付的限制</w:t>
                      </w:r>
                    </w:p>
                  </w:txbxContent>
                </v:textbox>
              </v:shape>
            </w:pict>
          </mc:Fallback>
        </mc:AlternateContent>
      </w:r>
      <w:r>
        <w:rPr>
          <w:rFonts w:hint="eastAsia" w:ascii="仿宋" w:hAnsi="仿宋" w:eastAsia="仿宋" w:cs="仿宋"/>
          <w:color w:val="auto"/>
          <w:sz w:val="24"/>
          <w:szCs w:val="24"/>
          <w:highlight w:val="none"/>
        </w:rPr>
        <w:t>发包人未按照第</w:t>
      </w:r>
      <w:r>
        <w:rPr>
          <w:rFonts w:ascii="仿宋" w:hAnsi="仿宋" w:eastAsia="仿宋" w:cs="仿宋"/>
          <w:color w:val="auto"/>
          <w:sz w:val="24"/>
          <w:szCs w:val="24"/>
          <w:highlight w:val="none"/>
        </w:rPr>
        <w:t>83.3</w:t>
      </w:r>
      <w:r>
        <w:rPr>
          <w:rFonts w:hint="eastAsia" w:ascii="仿宋" w:hAnsi="仿宋" w:eastAsia="仿宋" w:cs="仿宋"/>
          <w:color w:val="auto"/>
          <w:sz w:val="24"/>
          <w:szCs w:val="24"/>
          <w:highlight w:val="none"/>
        </w:rPr>
        <w:t>款和第</w:t>
      </w:r>
      <w:r>
        <w:rPr>
          <w:rFonts w:ascii="仿宋" w:hAnsi="仿宋" w:eastAsia="仿宋" w:cs="仿宋"/>
          <w:color w:val="auto"/>
          <w:sz w:val="24"/>
          <w:szCs w:val="24"/>
          <w:highlight w:val="none"/>
        </w:rPr>
        <w:t>83.4</w:t>
      </w:r>
      <w:r>
        <w:rPr>
          <w:rFonts w:hint="eastAsia" w:ascii="仿宋" w:hAnsi="仿宋" w:eastAsia="仿宋" w:cs="仿宋"/>
          <w:color w:val="auto"/>
          <w:sz w:val="24"/>
          <w:szCs w:val="24"/>
          <w:highlight w:val="none"/>
        </w:rPr>
        <w:t>款规定支付竣工结算款的，承包人可催告发包人支付竣工结算款，如双方达成延期支付协议，承包人有权按照第</w:t>
      </w:r>
      <w:r>
        <w:rPr>
          <w:rFonts w:ascii="仿宋" w:hAnsi="仿宋" w:eastAsia="仿宋" w:cs="仿宋"/>
          <w:color w:val="auto"/>
          <w:sz w:val="24"/>
          <w:szCs w:val="24"/>
          <w:highlight w:val="none"/>
        </w:rPr>
        <w:t>78.2</w:t>
      </w:r>
      <w:r>
        <w:rPr>
          <w:rFonts w:hint="eastAsia" w:ascii="仿宋" w:hAnsi="仿宋" w:eastAsia="仿宋" w:cs="仿宋"/>
          <w:color w:val="auto"/>
          <w:sz w:val="24"/>
          <w:szCs w:val="24"/>
          <w:highlight w:val="none"/>
        </w:rPr>
        <w:t>款规定获得延期支付的利息。</w:t>
      </w:r>
    </w:p>
    <w:p>
      <w:pPr>
        <w:pStyle w:val="2"/>
        <w:shd w:val="clear" w:color="000000" w:fill="auto"/>
        <w:adjustRightInd w:val="0"/>
        <w:snapToGrid w:val="0"/>
        <w:spacing w:line="360" w:lineRule="auto"/>
        <w:ind w:left="1680" w:leftChars="8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发包人在收到竣工结算支付证书后的</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天内仍未支付竣工结算款，合同双方当事人又未达成延期支付协议的，除法律另有规定外，承包人可与发包人协商将该永久工程折价，也可直接向人民法院申请将该永久工程依法拍卖。承包人就该永久工程折价或拍卖的价款优先受偿。</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shd w:val="clear" w:color="000000" w:fill="auto"/>
        <w:tabs>
          <w:tab w:val="left" w:pos="1620"/>
        </w:tabs>
        <w:spacing w:before="100" w:line="360" w:lineRule="auto"/>
        <w:rPr>
          <w:rFonts w:ascii="仿宋" w:hAnsi="仿宋" w:eastAsia="仿宋" w:cs="Times New Roman"/>
          <w:b/>
          <w:bCs/>
          <w:color w:val="auto"/>
          <w:sz w:val="24"/>
          <w:szCs w:val="24"/>
          <w:highlight w:val="none"/>
        </w:rPr>
      </w:pP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381" w:name="_Toc469384068"/>
      <w:bookmarkStart w:id="382" w:name="_Toc16168"/>
      <w:bookmarkStart w:id="383" w:name="_Toc10624908"/>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84  </w:t>
      </w:r>
      <w:r>
        <w:rPr>
          <w:rFonts w:hint="eastAsia" w:ascii="仿宋" w:hAnsi="仿宋" w:eastAsia="仿宋" w:cs="仿宋"/>
          <w:b/>
          <w:bCs/>
          <w:color w:val="auto"/>
          <w:sz w:val="24"/>
          <w:szCs w:val="24"/>
          <w:highlight w:val="none"/>
        </w:rPr>
        <w:t>质量保证金</w:t>
      </w:r>
      <w:bookmarkEnd w:id="381"/>
      <w:bookmarkEnd w:id="382"/>
      <w:bookmarkEnd w:id="383"/>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84.1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29952"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363" name="文本框 36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质量保证金的用途和限制</w:t>
                            </w:r>
                          </w:p>
                        </w:txbxContent>
                      </wps:txbx>
                      <wps:bodyPr upright="1"/>
                    </wps:wsp>
                  </a:graphicData>
                </a:graphic>
              </wp:anchor>
            </w:drawing>
          </mc:Choice>
          <mc:Fallback>
            <w:pict>
              <v:shape id="文本框 367" o:spid="_x0000_s1026" o:spt="202" type="#_x0000_t202" style="position:absolute;left:0pt;margin-left:-9pt;margin-top:0.65pt;height:31.2pt;width:72pt;z-index:252029952;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lrdoltUA&#10;AAAIAQAADwAAAAAAAAABACAAAAAiAAAAZHJzL2Rvd25yZXYueG1sUEsBAhQAFAAAAAgAh07iQBIb&#10;ZcKwAQAAUQMAAA4AAAAAAAAAAQAgAAAAJA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质量保证金的用途和限制</w:t>
                      </w:r>
                    </w:p>
                  </w:txbxContent>
                </v:textbox>
              </v:shape>
            </w:pict>
          </mc:Fallback>
        </mc:AlternateContent>
      </w:r>
      <w:r>
        <w:rPr>
          <w:rFonts w:hint="eastAsia" w:ascii="仿宋" w:hAnsi="仿宋" w:eastAsia="仿宋" w:cs="仿宋"/>
          <w:color w:val="auto"/>
          <w:sz w:val="24"/>
          <w:szCs w:val="24"/>
          <w:highlight w:val="none"/>
        </w:rPr>
        <w:t>质量保证金用于承包人对合同工程质量的担保。承包人未按照法律有关规定和合同约定履行质量保修义务的，发包人有权从质量保证金中扣留用于质量保修的各项支出。</w:t>
      </w:r>
    </w:p>
    <w:p>
      <w:pPr>
        <w:pStyle w:val="2"/>
        <w:shd w:val="clear" w:color="000000" w:fill="auto"/>
        <w:tabs>
          <w:tab w:val="left" w:pos="90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84.2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合同双方当事人应在专用条款中约定质量保证金金额</w:t>
      </w:r>
      <w:r>
        <w:rPr>
          <w:color w:val="auto"/>
          <w:highlight w:val="none"/>
        </w:rPr>
        <mc:AlternateContent>
          <mc:Choice Requires="wps">
            <w:drawing>
              <wp:anchor distT="0" distB="0" distL="114300" distR="114300" simplePos="0" relativeHeight="252030976" behindDoc="0" locked="0" layoutInCell="1" allowOverlap="1">
                <wp:simplePos x="0" y="0"/>
                <wp:positionH relativeFrom="column">
                  <wp:posOffset>-114300</wp:posOffset>
                </wp:positionH>
                <wp:positionV relativeFrom="paragraph">
                  <wp:posOffset>20320</wp:posOffset>
                </wp:positionV>
                <wp:extent cx="914400" cy="519430"/>
                <wp:effectExtent l="0" t="0" r="0" b="0"/>
                <wp:wrapNone/>
                <wp:docPr id="364" name="文本框 368"/>
                <wp:cNvGraphicFramePr/>
                <a:graphic xmlns:a="http://schemas.openxmlformats.org/drawingml/2006/main">
                  <a:graphicData uri="http://schemas.microsoft.com/office/word/2010/wordprocessingShape">
                    <wps:wsp>
                      <wps:cNvSpPr txBox="1"/>
                      <wps:spPr>
                        <a:xfrm>
                          <a:off x="0" y="0"/>
                          <a:ext cx="914400" cy="51943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质量保证金的约定与扣留</w:t>
                            </w:r>
                          </w:p>
                        </w:txbxContent>
                      </wps:txbx>
                      <wps:bodyPr upright="1"/>
                    </wps:wsp>
                  </a:graphicData>
                </a:graphic>
              </wp:anchor>
            </w:drawing>
          </mc:Choice>
          <mc:Fallback>
            <w:pict>
              <v:shape id="文本框 368" o:spid="_x0000_s1026" o:spt="202" type="#_x0000_t202" style="position:absolute;left:0pt;margin-left:-9pt;margin-top:1.6pt;height:40.9pt;width:72pt;z-index:252030976;mso-width-relative:page;mso-height-relative:page;" filled="f" stroked="f" coordsize="21600,21600" o:gfxdata="UEsDBAoAAAAAAIdO4kAAAAAAAAAAAAAAAAAEAAAAZHJzL1BLAwQUAAAACACHTuJAUlFbx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JRW8TV&#10;AAAACAEAAA8AAAAAAAAAAQAgAAAAIgAAAGRycy9kb3ducmV2LnhtbFBLAQIUABQAAAAIAIdO4kAb&#10;YGHJsQEAAFEDAAAOAAAAAAAAAAEAIAAAACQBAABkcnMvZTJvRG9jLnhtbFBLBQYAAAAABgAGAFkB&#10;AABH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质量保证金的约定与扣留</w:t>
                      </w:r>
                    </w:p>
                  </w:txbxContent>
                </v:textbox>
              </v:shape>
            </w:pict>
          </mc:Fallback>
        </mc:AlternateContent>
      </w:r>
      <w:r>
        <w:rPr>
          <w:rFonts w:hint="eastAsia" w:ascii="仿宋" w:hAnsi="仿宋" w:eastAsia="仿宋" w:cs="仿宋"/>
          <w:color w:val="auto"/>
          <w:sz w:val="24"/>
          <w:szCs w:val="24"/>
          <w:highlight w:val="none"/>
        </w:rPr>
        <w:t>。除专用条款另有约定外，质量保证金为合同价款的</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％（采取银行保函）。发包人应按照该比例从每支付期应支付给承包人的进度款或结算款中扣留，直到扣留的质量保证金总额达到专用条款约定的的金额为止。</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84.3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32000"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65" name="文本框 369"/>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质量保证金返还</w:t>
                            </w:r>
                          </w:p>
                        </w:txbxContent>
                      </wps:txbx>
                      <wps:bodyPr upright="1"/>
                    </wps:wsp>
                  </a:graphicData>
                </a:graphic>
              </wp:anchor>
            </w:drawing>
          </mc:Choice>
          <mc:Fallback>
            <w:pict>
              <v:shape id="文本框 369" o:spid="_x0000_s1026" o:spt="202" type="#_x0000_t202" style="position:absolute;left:0pt;margin-left:-9pt;margin-top:3.6pt;height:36.45pt;width:72pt;z-index:252032000;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ldgVtUA&#10;AAAIAQAADwAAAAAAAAABACAAAAAiAAAAZHJzL2Rvd25yZXYueG1sUEsBAhQAFAAAAAgAh07iQA/B&#10;UOOwAQAAUQMAAA4AAAAAAAAAAQAgAAAAJA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质量保证金返还</w:t>
                      </w:r>
                    </w:p>
                  </w:txbxContent>
                </v:textbox>
              </v:shape>
            </w:pict>
          </mc:Fallback>
        </mc:AlternateContent>
      </w:r>
      <w:r>
        <w:rPr>
          <w:rFonts w:hint="eastAsia" w:ascii="仿宋" w:hAnsi="仿宋" w:eastAsia="仿宋" w:cs="仿宋"/>
          <w:color w:val="auto"/>
          <w:sz w:val="24"/>
          <w:szCs w:val="24"/>
          <w:highlight w:val="none"/>
        </w:rPr>
        <w:t>缺陷责任期（包括第</w:t>
      </w:r>
      <w:r>
        <w:rPr>
          <w:rFonts w:ascii="仿宋" w:hAnsi="仿宋" w:eastAsia="仿宋" w:cs="仿宋"/>
          <w:color w:val="auto"/>
          <w:sz w:val="24"/>
          <w:szCs w:val="24"/>
          <w:highlight w:val="none"/>
        </w:rPr>
        <w:t>59.2</w:t>
      </w:r>
      <w:r>
        <w:rPr>
          <w:rFonts w:hint="eastAsia" w:ascii="仿宋" w:hAnsi="仿宋" w:eastAsia="仿宋" w:cs="仿宋"/>
          <w:color w:val="auto"/>
          <w:sz w:val="24"/>
          <w:szCs w:val="24"/>
          <w:highlight w:val="none"/>
        </w:rPr>
        <w:t>款延长的期限）满时，承包人应向发包人申请到期应返还的剩余质量保证金金额。发包人如无异议，应在缺陷责任期满后的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天内将剩余的质量保证金返还给承包人。剩余质量保证金的返还，并不能免除承包人按照合同约定应承担的质量保修责任和应履行的质量保修义务。</w:t>
      </w:r>
      <w:r>
        <w:rPr>
          <w:rFonts w:hint="eastAsia" w:eastAsia="仿宋_GB2312" w:cs="仿宋_GB2312"/>
          <w:color w:val="auto"/>
          <w:kern w:val="0"/>
          <w:sz w:val="24"/>
          <w:szCs w:val="24"/>
          <w:highlight w:val="none"/>
        </w:rPr>
        <w:t>发包人在退还质量保证金的同时按照中国人民银行发布的同期同类贷款基准利率支付利息。</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84.4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33024"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66" name="文本框 370"/>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质量保证金扣留</w:t>
                            </w:r>
                          </w:p>
                        </w:txbxContent>
                      </wps:txbx>
                      <wps:bodyPr upright="1"/>
                    </wps:wsp>
                  </a:graphicData>
                </a:graphic>
              </wp:anchor>
            </w:drawing>
          </mc:Choice>
          <mc:Fallback>
            <w:pict>
              <v:shape id="文本框 370" o:spid="_x0000_s1026" o:spt="202" type="#_x0000_t202" style="position:absolute;left:0pt;margin-left:-9pt;margin-top:3.6pt;height:36.45pt;width:72pt;z-index:252033024;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pXYFbVAAAA&#10;CAEAAA8AAAAAAAAAAQAgAAAAIgAAAGRycy9kb3ducmV2LnhtbFBLAQIUABQAAAAIAIdO4kB4KnPg&#10;rgEAAFEDAAAOAAAAAAAAAAEAIAAAACQBAABkcnMvZTJvRG9jLnhtbFBLBQYAAAAABgAGAFkBAABE&#10;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质量保证金扣留</w:t>
                      </w:r>
                    </w:p>
                  </w:txbxContent>
                </v:textbox>
              </v:shape>
            </w:pict>
          </mc:Fallback>
        </mc:AlternateContent>
      </w:r>
      <w:r>
        <w:rPr>
          <w:rFonts w:hint="eastAsia" w:ascii="仿宋" w:hAnsi="仿宋" w:eastAsia="仿宋" w:cs="仿宋"/>
          <w:color w:val="auto"/>
          <w:sz w:val="24"/>
          <w:szCs w:val="24"/>
          <w:highlight w:val="none"/>
        </w:rPr>
        <w:t>缺陷责任期（包括第</w:t>
      </w:r>
      <w:r>
        <w:rPr>
          <w:rFonts w:ascii="仿宋" w:hAnsi="仿宋" w:eastAsia="仿宋" w:cs="仿宋"/>
          <w:color w:val="auto"/>
          <w:sz w:val="24"/>
          <w:szCs w:val="24"/>
          <w:highlight w:val="none"/>
        </w:rPr>
        <w:t>59.2</w:t>
      </w:r>
      <w:r>
        <w:rPr>
          <w:rFonts w:hint="eastAsia" w:ascii="仿宋" w:hAnsi="仿宋" w:eastAsia="仿宋" w:cs="仿宋"/>
          <w:color w:val="auto"/>
          <w:sz w:val="24"/>
          <w:szCs w:val="24"/>
          <w:highlight w:val="none"/>
        </w:rPr>
        <w:t>款延长的期限）满时，承包人没有完成缺陷责任的，发包人有权扣留承包人未完成缺陷责任剩余工作所需的部分质量保证金余额，并有权根据第</w:t>
      </w:r>
      <w:r>
        <w:rPr>
          <w:rFonts w:ascii="仿宋" w:hAnsi="仿宋" w:eastAsia="仿宋" w:cs="仿宋"/>
          <w:color w:val="auto"/>
          <w:sz w:val="24"/>
          <w:szCs w:val="24"/>
          <w:highlight w:val="none"/>
        </w:rPr>
        <w:t>59.2</w:t>
      </w:r>
      <w:r>
        <w:rPr>
          <w:rFonts w:hint="eastAsia" w:ascii="仿宋" w:hAnsi="仿宋" w:eastAsia="仿宋" w:cs="仿宋"/>
          <w:color w:val="auto"/>
          <w:sz w:val="24"/>
          <w:szCs w:val="24"/>
          <w:highlight w:val="none"/>
        </w:rPr>
        <w:t>款约定要求延长缺陷责任期，直到完成剩余工作为止。</w:t>
      </w:r>
    </w:p>
    <w:p>
      <w:pPr>
        <w:pStyle w:val="2"/>
        <w:shd w:val="clear" w:color="000000" w:fill="auto"/>
        <w:adjustRightInd w:val="0"/>
        <w:snapToGrid w:val="0"/>
        <w:spacing w:line="240" w:lineRule="exact"/>
        <w:ind w:right="-238"/>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384" w:name="_Toc10624909"/>
      <w:bookmarkStart w:id="385" w:name="_Toc767"/>
      <w:r>
        <w:rPr>
          <w:rFonts w:ascii="仿宋" w:hAnsi="仿宋" w:eastAsia="仿宋" w:cs="仿宋"/>
          <w:b/>
          <w:bCs/>
          <w:color w:val="auto"/>
          <w:sz w:val="24"/>
          <w:szCs w:val="24"/>
          <w:highlight w:val="none"/>
        </w:rPr>
        <w:t xml:space="preserve">85  </w:t>
      </w:r>
      <w:r>
        <w:rPr>
          <w:rFonts w:hint="eastAsia" w:ascii="仿宋" w:hAnsi="仿宋" w:eastAsia="仿宋" w:cs="仿宋"/>
          <w:b/>
          <w:bCs/>
          <w:color w:val="auto"/>
          <w:sz w:val="24"/>
          <w:szCs w:val="24"/>
          <w:highlight w:val="none"/>
        </w:rPr>
        <w:t>最终清算款</w:t>
      </w:r>
      <w:bookmarkEnd w:id="384"/>
      <w:bookmarkEnd w:id="385"/>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85.1     </w:t>
      </w:r>
    </w:p>
    <w:p>
      <w:pPr>
        <w:shd w:val="clear" w:color="000000" w:fill="auto"/>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34048" behindDoc="0" locked="0" layoutInCell="1" allowOverlap="1">
                <wp:simplePos x="0" y="0"/>
                <wp:positionH relativeFrom="column">
                  <wp:posOffset>-114300</wp:posOffset>
                </wp:positionH>
                <wp:positionV relativeFrom="paragraph">
                  <wp:posOffset>74295</wp:posOffset>
                </wp:positionV>
                <wp:extent cx="914400" cy="396240"/>
                <wp:effectExtent l="0" t="0" r="0" b="0"/>
                <wp:wrapNone/>
                <wp:docPr id="367" name="文本框 37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提交最终清算支付申请</w:t>
                            </w:r>
                          </w:p>
                        </w:txbxContent>
                      </wps:txbx>
                      <wps:bodyPr upright="1"/>
                    </wps:wsp>
                  </a:graphicData>
                </a:graphic>
              </wp:anchor>
            </w:drawing>
          </mc:Choice>
          <mc:Fallback>
            <w:pict>
              <v:shape id="文本框 371" o:spid="_x0000_s1026" o:spt="202" type="#_x0000_t202" style="position:absolute;left:0pt;margin-left:-9pt;margin-top:5.85pt;height:31.2pt;width:72pt;z-index:252034048;mso-width-relative:page;mso-height-relative:page;" filled="f" stroked="f" coordsize="21600,21600" o:gfxdata="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IDyIFbW&#10;AAAACQEAAA8AAAAAAAAAAQAgAAAAIgAAAGRycy9kb3ducmV2LnhtbFBLAQIUABQAAAAIAIdO4kC9&#10;xQG6sAEAAFEDAAAOAAAAAAAAAAEAIAAAACUBAABkcnMvZTJvRG9jLnhtbFBLBQYAAAAABgAGAFkB&#10;AABH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提交最终清算支付申请</w:t>
                      </w:r>
                    </w:p>
                  </w:txbxContent>
                </v:textbox>
              </v:shape>
            </w:pict>
          </mc:Fallback>
        </mc:AlternateContent>
      </w:r>
      <w:r>
        <w:rPr>
          <w:rFonts w:hint="eastAsia" w:ascii="仿宋" w:hAnsi="仿宋" w:eastAsia="仿宋" w:cs="仿宋"/>
          <w:color w:val="auto"/>
          <w:sz w:val="24"/>
          <w:szCs w:val="24"/>
          <w:highlight w:val="none"/>
        </w:rPr>
        <w:t>合同双方当事人应在专用条款中明确最终清算款的支付时限。专用条款没有约定的</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最终清算款按照第</w:t>
      </w:r>
      <w:r>
        <w:rPr>
          <w:rFonts w:ascii="仿宋" w:hAnsi="仿宋" w:eastAsia="仿宋" w:cs="仿宋"/>
          <w:color w:val="auto"/>
          <w:sz w:val="24"/>
          <w:szCs w:val="24"/>
          <w:highlight w:val="none"/>
        </w:rPr>
        <w:t>85.2</w:t>
      </w:r>
      <w:r>
        <w:rPr>
          <w:rFonts w:hint="eastAsia" w:ascii="仿宋" w:hAnsi="仿宋" w:eastAsia="仿宋" w:cs="仿宋"/>
          <w:color w:val="auto"/>
          <w:sz w:val="24"/>
          <w:szCs w:val="24"/>
          <w:highlight w:val="none"/>
        </w:rPr>
        <w:t>款至第</w:t>
      </w:r>
      <w:r>
        <w:rPr>
          <w:rFonts w:ascii="仿宋" w:hAnsi="仿宋" w:eastAsia="仿宋" w:cs="仿宋"/>
          <w:color w:val="auto"/>
          <w:sz w:val="24"/>
          <w:szCs w:val="24"/>
          <w:highlight w:val="none"/>
        </w:rPr>
        <w:t>85.5</w:t>
      </w:r>
      <w:r>
        <w:rPr>
          <w:rFonts w:hint="eastAsia" w:ascii="仿宋" w:hAnsi="仿宋" w:eastAsia="仿宋" w:cs="仿宋"/>
          <w:color w:val="auto"/>
          <w:sz w:val="24"/>
          <w:szCs w:val="24"/>
          <w:highlight w:val="none"/>
        </w:rPr>
        <w:t>款规定办理。涉及政府投资资金的工程，支付期、支付方法等需调整的，应在专用条款中约定。</w:t>
      </w:r>
    </w:p>
    <w:p>
      <w:pPr>
        <w:shd w:val="clear" w:color="000000" w:fill="auto"/>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缺陷责任期终止证书签发后，承包人应按照专用条款约定的份数和期限向造价工程师提交最终清算支付申请，并提供相关证明材料。发包人对最终清算支付申请有异议的，有权要求承包人进一步修正和提供补充资料。承包人修正后，应再次向造价工程师提交修正后的最终清算支付申请。</w:t>
      </w:r>
    </w:p>
    <w:p>
      <w:pPr>
        <w:pStyle w:val="2"/>
        <w:shd w:val="clear" w:color="000000" w:fill="auto"/>
        <w:tabs>
          <w:tab w:val="left" w:pos="900"/>
        </w:tabs>
        <w:adjustRightInd w:val="0"/>
        <w:snapToGrid w:val="0"/>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85.2</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u w:val="single"/>
        </w:rPr>
      </w:pPr>
      <w:r>
        <w:rPr>
          <w:color w:val="auto"/>
          <w:highlight w:val="none"/>
        </w:rPr>
        <mc:AlternateContent>
          <mc:Choice Requires="wps">
            <w:drawing>
              <wp:anchor distT="0" distB="0" distL="114300" distR="114300" simplePos="0" relativeHeight="252035072" behindDoc="0" locked="0" layoutInCell="1" allowOverlap="1">
                <wp:simplePos x="0" y="0"/>
                <wp:positionH relativeFrom="column">
                  <wp:posOffset>-114300</wp:posOffset>
                </wp:positionH>
                <wp:positionV relativeFrom="paragraph">
                  <wp:posOffset>8890</wp:posOffset>
                </wp:positionV>
                <wp:extent cx="1028700" cy="462915"/>
                <wp:effectExtent l="0" t="0" r="0" b="0"/>
                <wp:wrapNone/>
                <wp:docPr id="368" name="文本框 372"/>
                <wp:cNvGraphicFramePr/>
                <a:graphic xmlns:a="http://schemas.openxmlformats.org/drawingml/2006/main">
                  <a:graphicData uri="http://schemas.microsoft.com/office/word/2010/wordprocessingShape">
                    <wps:wsp>
                      <wps:cNvSpPr txBox="1"/>
                      <wps:spPr>
                        <a:xfrm>
                          <a:off x="0" y="0"/>
                          <a:ext cx="1028700" cy="46291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签发最终清算</w:t>
                            </w:r>
                          </w:p>
                          <w:p>
                            <w:pPr>
                              <w:spacing w:line="240" w:lineRule="exact"/>
                              <w:rPr>
                                <w:rFonts w:ascii="宋体" w:cs="Times New Roman"/>
                                <w:b/>
                                <w:bCs/>
                                <w:sz w:val="18"/>
                                <w:szCs w:val="18"/>
                              </w:rPr>
                            </w:pPr>
                            <w:r>
                              <w:rPr>
                                <w:rFonts w:hint="eastAsia" w:ascii="楷体_GB2312" w:hAnsi="宋体" w:eastAsia="楷体_GB2312" w:cs="楷体_GB2312"/>
                                <w:b/>
                                <w:bCs/>
                                <w:sz w:val="18"/>
                                <w:szCs w:val="18"/>
                              </w:rPr>
                              <w:t>支付证书</w:t>
                            </w:r>
                          </w:p>
                        </w:txbxContent>
                      </wps:txbx>
                      <wps:bodyPr upright="1"/>
                    </wps:wsp>
                  </a:graphicData>
                </a:graphic>
              </wp:anchor>
            </w:drawing>
          </mc:Choice>
          <mc:Fallback>
            <w:pict>
              <v:shape id="文本框 372" o:spid="_x0000_s1026" o:spt="202" type="#_x0000_t202" style="position:absolute;left:0pt;margin-left:-9pt;margin-top:0.7pt;height:36.45pt;width:81pt;z-index:252035072;mso-width-relative:page;mso-height-relative:page;" filled="f" stroked="f" coordsize="21600,21600" o:gfxdata="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s5Ykz9UA&#10;AAAIAQAADwAAAAAAAAABACAAAAAiAAAAZHJzL2Rvd25yZXYueG1sUEsBAhQAFAAAAAgAh07iQAJs&#10;MwiwAQAAUgMAAA4AAAAAAAAAAQAgAAAAJA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签发最终清算</w:t>
                      </w:r>
                    </w:p>
                    <w:p>
                      <w:pPr>
                        <w:spacing w:line="240" w:lineRule="exact"/>
                        <w:rPr>
                          <w:rFonts w:ascii="宋体" w:cs="Times New Roman"/>
                          <w:b/>
                          <w:bCs/>
                          <w:sz w:val="18"/>
                          <w:szCs w:val="18"/>
                        </w:rPr>
                      </w:pPr>
                      <w:r>
                        <w:rPr>
                          <w:rFonts w:hint="eastAsia" w:ascii="楷体_GB2312" w:hAnsi="宋体" w:eastAsia="楷体_GB2312" w:cs="楷体_GB2312"/>
                          <w:b/>
                          <w:bCs/>
                          <w:sz w:val="18"/>
                          <w:szCs w:val="18"/>
                        </w:rPr>
                        <w:t>支付证书</w:t>
                      </w:r>
                    </w:p>
                  </w:txbxContent>
                </v:textbox>
              </v:shape>
            </w:pict>
          </mc:Fallback>
        </mc:AlternateContent>
      </w:r>
      <w:r>
        <w:rPr>
          <w:rFonts w:hint="eastAsia" w:ascii="仿宋" w:hAnsi="仿宋" w:eastAsia="仿宋" w:cs="仿宋"/>
          <w:color w:val="auto"/>
          <w:sz w:val="24"/>
          <w:szCs w:val="24"/>
          <w:highlight w:val="none"/>
        </w:rPr>
        <w:t>造价工程师应在收到最终清算支付申请后的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天内予以计量、核实，并将核实结果通知承包人、抄报发包人。发包人应在收到核实结果后的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天内在最终清算文件上签字确认。造价工程师应在发包人签字确认最终清算文件后的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天内，向发包人签发最终清算支付证书，同时抄送承包人。</w:t>
      </w:r>
    </w:p>
    <w:p>
      <w:pPr>
        <w:pStyle w:val="2"/>
        <w:shd w:val="clear" w:color="000000" w:fill="auto"/>
        <w:adjustRightInd w:val="0"/>
        <w:snapToGrid w:val="0"/>
        <w:spacing w:line="360" w:lineRule="auto"/>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36096" behindDoc="0" locked="0" layoutInCell="1" allowOverlap="1">
                <wp:simplePos x="0" y="0"/>
                <wp:positionH relativeFrom="column">
                  <wp:posOffset>-114300</wp:posOffset>
                </wp:positionH>
                <wp:positionV relativeFrom="paragraph">
                  <wp:posOffset>230505</wp:posOffset>
                </wp:positionV>
                <wp:extent cx="914400" cy="462915"/>
                <wp:effectExtent l="0" t="0" r="0" b="0"/>
                <wp:wrapNone/>
                <wp:docPr id="369" name="文本框 373"/>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最终清算款支付</w:t>
                            </w:r>
                            <w:r>
                              <w:rPr>
                                <w:rFonts w:ascii="楷体_GB2312" w:hAnsi="宋体" w:eastAsia="楷体_GB2312" w:cs="楷体_GB2312"/>
                                <w:b/>
                                <w:bCs/>
                                <w:sz w:val="18"/>
                                <w:szCs w:val="18"/>
                              </w:rPr>
                              <w:t xml:space="preserve"> </w:t>
                            </w:r>
                          </w:p>
                        </w:txbxContent>
                      </wps:txbx>
                      <wps:bodyPr upright="1"/>
                    </wps:wsp>
                  </a:graphicData>
                </a:graphic>
              </wp:anchor>
            </w:drawing>
          </mc:Choice>
          <mc:Fallback>
            <w:pict>
              <v:shape id="文本框 373" o:spid="_x0000_s1026" o:spt="202" type="#_x0000_t202" style="position:absolute;left:0pt;margin-left:-9pt;margin-top:18.15pt;height:36.45pt;width:72pt;z-index:252036096;mso-width-relative:page;mso-height-relative:page;" filled="f" stroked="f" coordsize="21600,21600" o:gfxdata="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pY8+Z&#10;2AAAAAoBAAAPAAAAAAAAAAEAIAAAACIAAABkcnMvZG93bnJldi54bWxQSwECFAAUAAAACACHTuJA&#10;Bq1Cf68BAABRAwAADgAAAAAAAAABACAAAAAnAQAAZHJzL2Uyb0RvYy54bWxQSwUGAAAAAAYABgBZ&#10;AQAASAUAAAAA&#10;">
                <v:fill on="f" focussize="0,0"/>
                <v:stroke on="f"/>
                <v:imagedata o:title=""/>
                <o:lock v:ext="edit" aspectratio="f"/>
                <v:textbo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最终清算款支付</w:t>
                      </w:r>
                      <w:r>
                        <w:rPr>
                          <w:rFonts w:ascii="楷体_GB2312" w:hAnsi="宋体" w:eastAsia="楷体_GB2312" w:cs="楷体_GB2312"/>
                          <w:b/>
                          <w:bCs/>
                          <w:sz w:val="18"/>
                          <w:szCs w:val="18"/>
                        </w:rPr>
                        <w:t xml:space="preserve"> </w:t>
                      </w:r>
                    </w:p>
                  </w:txbxContent>
                </v:textbox>
              </v:shape>
            </w:pict>
          </mc:Fallback>
        </mc:AlternateContent>
      </w:r>
      <w:r>
        <w:rPr>
          <w:rFonts w:ascii="仿宋" w:hAnsi="仿宋" w:eastAsia="仿宋" w:cs="仿宋"/>
          <w:b/>
          <w:bCs/>
          <w:color w:val="auto"/>
          <w:sz w:val="24"/>
          <w:szCs w:val="24"/>
          <w:highlight w:val="none"/>
        </w:rPr>
        <w:t>85.3</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
        <w:shd w:val="clear" w:color="000000" w:fill="auto"/>
        <w:adjustRightInd w:val="0"/>
        <w:snapToGrid w:val="0"/>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发包人应在造价工程师签发最终清算支付证书后的</w:t>
      </w:r>
      <w:r>
        <w:rPr>
          <w:rFonts w:ascii="仿宋" w:hAnsi="仿宋" w:eastAsia="仿宋" w:cs="仿宋"/>
          <w:color w:val="auto"/>
          <w:sz w:val="24"/>
          <w:szCs w:val="24"/>
          <w:highlight w:val="none"/>
        </w:rPr>
        <w:t xml:space="preserve">14 </w:t>
      </w:r>
      <w:r>
        <w:rPr>
          <w:rFonts w:hint="eastAsia" w:ascii="仿宋" w:hAnsi="仿宋" w:eastAsia="仿宋" w:cs="仿宋"/>
          <w:color w:val="auto"/>
          <w:sz w:val="24"/>
          <w:szCs w:val="24"/>
          <w:highlight w:val="none"/>
        </w:rPr>
        <w:t>天内，按照最终清算支付证书列明的金额向承包人支付最终清算款，并通知造价工程师。</w:t>
      </w:r>
    </w:p>
    <w:p>
      <w:pPr>
        <w:pStyle w:val="2"/>
        <w:shd w:val="clear" w:color="000000" w:fill="auto"/>
        <w:adjustRightInd w:val="0"/>
        <w:snapToGrid w:val="0"/>
        <w:spacing w:line="480" w:lineRule="auto"/>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37120" behindDoc="0" locked="0" layoutInCell="1" allowOverlap="1">
                <wp:simplePos x="0" y="0"/>
                <wp:positionH relativeFrom="column">
                  <wp:posOffset>-114300</wp:posOffset>
                </wp:positionH>
                <wp:positionV relativeFrom="paragraph">
                  <wp:posOffset>234315</wp:posOffset>
                </wp:positionV>
                <wp:extent cx="914400" cy="462915"/>
                <wp:effectExtent l="0" t="0" r="0" b="0"/>
                <wp:wrapNone/>
                <wp:docPr id="370" name="文本框 374"/>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签发最终清算支付证书限制</w:t>
                            </w:r>
                          </w:p>
                        </w:txbxContent>
                      </wps:txbx>
                      <wps:bodyPr upright="1"/>
                    </wps:wsp>
                  </a:graphicData>
                </a:graphic>
              </wp:anchor>
            </w:drawing>
          </mc:Choice>
          <mc:Fallback>
            <w:pict>
              <v:shape id="文本框 374" o:spid="_x0000_s1026" o:spt="202" type="#_x0000_t202" style="position:absolute;left:0pt;margin-left:-9pt;margin-top:18.45pt;height:36.45pt;width:72pt;z-index:252037120;mso-width-relative:page;mso-height-relative:page;" filled="f" stroked="f" coordsize="21600,21600" o:gfxdata="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nP3t&#10;4tgAAAAKAQAADwAAAAAAAAABACAAAAAiAAAAZHJzL2Rvd25yZXYueG1sUEsBAhQAFAAAAAgAh07i&#10;QFsPVLGwAQAAUQMAAA4AAAAAAAAAAQAgAAAAJwEAAGRycy9lMm9Eb2MueG1sUEsFBgAAAAAGAAYA&#10;WQEAAEkFAAAAAA==&#10;">
                <v:fill on="f" focussize="0,0"/>
                <v:stroke on="f"/>
                <v:imagedata o:title=""/>
                <o:lock v:ext="edit" aspectratio="f"/>
                <v:textbo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签发最终清算支付证书限制</w:t>
                      </w:r>
                    </w:p>
                  </w:txbxContent>
                </v:textbox>
              </v:shape>
            </w:pict>
          </mc:Fallback>
        </mc:AlternateContent>
      </w:r>
      <w:r>
        <w:rPr>
          <w:rFonts w:ascii="仿宋" w:hAnsi="仿宋" w:eastAsia="仿宋" w:cs="仿宋"/>
          <w:b/>
          <w:bCs/>
          <w:color w:val="auto"/>
          <w:sz w:val="24"/>
          <w:szCs w:val="24"/>
          <w:highlight w:val="none"/>
        </w:rPr>
        <w:t xml:space="preserve">85.4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
        <w:shd w:val="clear" w:color="000000" w:fill="auto"/>
        <w:adjustRightInd w:val="0"/>
        <w:snapToGrid w:val="0"/>
        <w:spacing w:line="360" w:lineRule="auto"/>
        <w:ind w:left="1576" w:leftChars="750" w:hanging="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如果造价工程师未在第</w:t>
      </w:r>
      <w:r>
        <w:rPr>
          <w:rFonts w:ascii="仿宋" w:hAnsi="仿宋" w:eastAsia="仿宋" w:cs="仿宋"/>
          <w:color w:val="auto"/>
          <w:sz w:val="24"/>
          <w:szCs w:val="24"/>
          <w:highlight w:val="none"/>
        </w:rPr>
        <w:t>85.2</w:t>
      </w:r>
      <w:r>
        <w:rPr>
          <w:rFonts w:hint="eastAsia" w:ascii="仿宋" w:hAnsi="仿宋" w:eastAsia="仿宋" w:cs="仿宋"/>
          <w:color w:val="auto"/>
          <w:sz w:val="24"/>
          <w:szCs w:val="24"/>
          <w:highlight w:val="none"/>
        </w:rPr>
        <w:t>款规定的期限内签发最终清算支付证书的，则视为承包人提交的最终清算支付申请已被认可，承包人应及时向发包人发出要求支付最终清算款的通知。发包人应在收到通知后的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天内，按照承包人提交最终清算支付申请列明的金额向承包人支付最终清算款。</w:t>
      </w:r>
    </w:p>
    <w:p>
      <w:pPr>
        <w:pStyle w:val="2"/>
        <w:shd w:val="clear" w:color="000000" w:fill="auto"/>
        <w:adjustRightInd w:val="0"/>
        <w:snapToGrid w:val="0"/>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85.5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shd w:val="clear" w:color="000000" w:fill="auto"/>
        <w:spacing w:line="360" w:lineRule="auto"/>
        <w:ind w:left="1576" w:leftChars="750" w:hanging="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38144" behindDoc="0" locked="0" layoutInCell="1" allowOverlap="1">
                <wp:simplePos x="0" y="0"/>
                <wp:positionH relativeFrom="column">
                  <wp:posOffset>-114300</wp:posOffset>
                </wp:positionH>
                <wp:positionV relativeFrom="paragraph">
                  <wp:posOffset>8255</wp:posOffset>
                </wp:positionV>
                <wp:extent cx="1028700" cy="407670"/>
                <wp:effectExtent l="0" t="0" r="0" b="0"/>
                <wp:wrapNone/>
                <wp:docPr id="371" name="文本框 375"/>
                <wp:cNvGraphicFramePr/>
                <a:graphic xmlns:a="http://schemas.openxmlformats.org/drawingml/2006/main">
                  <a:graphicData uri="http://schemas.microsoft.com/office/word/2010/wordprocessingShape">
                    <wps:wsp>
                      <wps:cNvSpPr txBox="1"/>
                      <wps:spPr>
                        <a:xfrm>
                          <a:off x="0" y="0"/>
                          <a:ext cx="1028700" cy="40767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最终清算款支</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付的限制</w:t>
                            </w:r>
                          </w:p>
                        </w:txbxContent>
                      </wps:txbx>
                      <wps:bodyPr upright="1"/>
                    </wps:wsp>
                  </a:graphicData>
                </a:graphic>
              </wp:anchor>
            </w:drawing>
          </mc:Choice>
          <mc:Fallback>
            <w:pict>
              <v:shape id="文本框 375" o:spid="_x0000_s1026" o:spt="202" type="#_x0000_t202" style="position:absolute;left:0pt;margin-left:-9pt;margin-top:0.65pt;height:32.1pt;width:81pt;z-index:252038144;mso-width-relative:page;mso-height-relative:page;" filled="f" stroked="f" coordsize="21600,21600" o:gfxdata="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EQb19NUA&#10;AAAIAQAADwAAAAAAAAABACAAAAAiAAAAZHJzL2Rvd25yZXYueG1sUEsBAhQAFAAAAAgAh07iQP1A&#10;shGwAQAAUgMAAA4AAAAAAAAAAQAgAAAAJA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最终清算款支</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付的限制</w:t>
                      </w:r>
                    </w:p>
                  </w:txbxContent>
                </v:textbox>
              </v:shape>
            </w:pict>
          </mc:Fallback>
        </mc:AlternateContent>
      </w:r>
      <w:r>
        <w:rPr>
          <w:rFonts w:hint="eastAsia" w:ascii="仿宋" w:hAnsi="仿宋" w:eastAsia="仿宋" w:cs="仿宋"/>
          <w:color w:val="auto"/>
          <w:sz w:val="24"/>
          <w:szCs w:val="24"/>
          <w:highlight w:val="none"/>
        </w:rPr>
        <w:t>发包人未按照第</w:t>
      </w:r>
      <w:r>
        <w:rPr>
          <w:rFonts w:ascii="仿宋" w:hAnsi="仿宋" w:eastAsia="仿宋" w:cs="仿宋"/>
          <w:color w:val="auto"/>
          <w:sz w:val="24"/>
          <w:szCs w:val="24"/>
          <w:highlight w:val="none"/>
        </w:rPr>
        <w:t>85.3</w:t>
      </w:r>
      <w:r>
        <w:rPr>
          <w:rFonts w:hint="eastAsia" w:ascii="仿宋" w:hAnsi="仿宋" w:eastAsia="仿宋" w:cs="仿宋"/>
          <w:color w:val="auto"/>
          <w:sz w:val="24"/>
          <w:szCs w:val="24"/>
          <w:highlight w:val="none"/>
        </w:rPr>
        <w:t>款和第</w:t>
      </w:r>
      <w:r>
        <w:rPr>
          <w:rFonts w:ascii="仿宋" w:hAnsi="仿宋" w:eastAsia="仿宋" w:cs="仿宋"/>
          <w:color w:val="auto"/>
          <w:sz w:val="24"/>
          <w:szCs w:val="24"/>
          <w:highlight w:val="none"/>
        </w:rPr>
        <w:t>85.4</w:t>
      </w:r>
      <w:r>
        <w:rPr>
          <w:rFonts w:hint="eastAsia" w:ascii="仿宋" w:hAnsi="仿宋" w:eastAsia="仿宋" w:cs="仿宋"/>
          <w:color w:val="auto"/>
          <w:sz w:val="24"/>
          <w:szCs w:val="24"/>
          <w:highlight w:val="none"/>
        </w:rPr>
        <w:t>款规定支付最终清算款的，承包人可催告发包人支付最终清算款，如双方达成延期支付协议，承包人有权按照第</w:t>
      </w:r>
      <w:r>
        <w:rPr>
          <w:rFonts w:ascii="仿宋" w:hAnsi="仿宋" w:eastAsia="仿宋" w:cs="仿宋"/>
          <w:color w:val="auto"/>
          <w:sz w:val="24"/>
          <w:szCs w:val="24"/>
          <w:highlight w:val="none"/>
        </w:rPr>
        <w:t>78.2</w:t>
      </w:r>
      <w:r>
        <w:rPr>
          <w:rFonts w:hint="eastAsia" w:ascii="仿宋" w:hAnsi="仿宋" w:eastAsia="仿宋" w:cs="仿宋"/>
          <w:color w:val="auto"/>
          <w:sz w:val="24"/>
          <w:szCs w:val="24"/>
          <w:highlight w:val="none"/>
        </w:rPr>
        <w:t>款规定获得延期支付的利息。若该永久工程按照第</w:t>
      </w:r>
      <w:r>
        <w:rPr>
          <w:rFonts w:ascii="仿宋" w:hAnsi="仿宋" w:eastAsia="仿宋" w:cs="仿宋"/>
          <w:color w:val="auto"/>
          <w:sz w:val="24"/>
          <w:szCs w:val="24"/>
          <w:highlight w:val="none"/>
        </w:rPr>
        <w:t>83.5</w:t>
      </w:r>
      <w:r>
        <w:rPr>
          <w:rFonts w:hint="eastAsia" w:ascii="仿宋" w:hAnsi="仿宋" w:eastAsia="仿宋" w:cs="仿宋"/>
          <w:color w:val="auto"/>
          <w:sz w:val="24"/>
          <w:szCs w:val="24"/>
          <w:highlight w:val="none"/>
        </w:rPr>
        <w:t>款规定进行折价或依法拍卖的，承包人就该工程折价或拍卖的价款优先受偿。</w:t>
      </w:r>
    </w:p>
    <w:p>
      <w:pPr>
        <w:pStyle w:val="2"/>
        <w:shd w:val="clear" w:color="000000" w:fill="auto"/>
        <w:adjustRightInd w:val="0"/>
        <w:snapToGrid w:val="0"/>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85.6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shd w:val="clear" w:color="000000" w:fill="auto"/>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39168"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72" name="文本框 376"/>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最终清算款争议的处理</w:t>
                            </w:r>
                          </w:p>
                        </w:txbxContent>
                      </wps:txbx>
                      <wps:bodyPr upright="1"/>
                    </wps:wsp>
                  </a:graphicData>
                </a:graphic>
              </wp:anchor>
            </w:drawing>
          </mc:Choice>
          <mc:Fallback>
            <w:pict>
              <v:shape id="文本框 376" o:spid="_x0000_s1026" o:spt="202" type="#_x0000_t202" style="position:absolute;left:0pt;margin-left:-9pt;margin-top:3.6pt;height:36.45pt;width:72pt;z-index:252039168;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ldgVtUA&#10;AAAIAQAADwAAAAAAAAABACAAAAAiAAAAZHJzL2Rvd25yZXYueG1sUEsBAhQAFAAAAAgAh07iQFz7&#10;2DqwAQAAUQMAAA4AAAAAAAAAAQAgAAAAJA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最终清算款争议的处理</w:t>
                      </w:r>
                    </w:p>
                  </w:txbxContent>
                </v:textbox>
              </v:shape>
            </w:pict>
          </mc:Fallback>
        </mc:AlternateContent>
      </w:r>
      <w:r>
        <w:rPr>
          <w:rFonts w:hint="eastAsia" w:ascii="仿宋" w:hAnsi="仿宋" w:eastAsia="仿宋" w:cs="仿宋"/>
          <w:color w:val="auto"/>
          <w:sz w:val="24"/>
          <w:szCs w:val="24"/>
          <w:highlight w:val="none"/>
        </w:rPr>
        <w:t>承包人对发包人支付的最终清算款有异议的，按照第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条约定的争议处理。</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u w:val="single"/>
        </w:rPr>
        <w:t xml:space="preserve">                                                                                                              </w:t>
      </w:r>
    </w:p>
    <w:p>
      <w:pPr>
        <w:pStyle w:val="2"/>
        <w:shd w:val="clear" w:color="000000" w:fill="auto"/>
        <w:adjustRightInd w:val="0"/>
        <w:snapToGrid w:val="0"/>
        <w:spacing w:line="360" w:lineRule="auto"/>
        <w:outlineLvl w:val="1"/>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                        </w:t>
      </w:r>
      <w:bookmarkStart w:id="386" w:name="_Toc469384069"/>
      <w:bookmarkStart w:id="387" w:name="_Toc19702"/>
      <w:bookmarkStart w:id="388" w:name="_Toc10624910"/>
      <w:bookmarkStart w:id="389" w:name="_Toc32072"/>
      <w:r>
        <w:rPr>
          <w:rFonts w:hint="eastAsia" w:ascii="仿宋" w:hAnsi="仿宋" w:eastAsia="仿宋" w:cs="仿宋"/>
          <w:b/>
          <w:bCs/>
          <w:color w:val="auto"/>
          <w:sz w:val="24"/>
          <w:szCs w:val="24"/>
          <w:highlight w:val="none"/>
        </w:rPr>
        <w:t>七、合同争议、解除与终止</w:t>
      </w:r>
      <w:bookmarkEnd w:id="386"/>
      <w:bookmarkEnd w:id="387"/>
      <w:bookmarkEnd w:id="388"/>
      <w:bookmarkEnd w:id="389"/>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390" w:name="_Toc1201"/>
      <w:bookmarkStart w:id="391" w:name="_Toc10624911"/>
      <w:bookmarkStart w:id="392" w:name="_Toc469384070"/>
      <w:r>
        <w:rPr>
          <w:rFonts w:ascii="仿宋" w:hAnsi="仿宋" w:eastAsia="仿宋" w:cs="仿宋"/>
          <w:b/>
          <w:bCs/>
          <w:color w:val="auto"/>
          <w:sz w:val="24"/>
          <w:szCs w:val="24"/>
          <w:highlight w:val="none"/>
        </w:rPr>
        <w:t xml:space="preserve">86  </w:t>
      </w:r>
      <w:r>
        <w:rPr>
          <w:rFonts w:hint="eastAsia" w:ascii="仿宋" w:hAnsi="仿宋" w:eastAsia="仿宋" w:cs="仿宋"/>
          <w:b/>
          <w:bCs/>
          <w:color w:val="auto"/>
          <w:sz w:val="24"/>
          <w:szCs w:val="24"/>
          <w:highlight w:val="none"/>
        </w:rPr>
        <w:t>合同争议</w:t>
      </w:r>
      <w:bookmarkEnd w:id="390"/>
      <w:bookmarkEnd w:id="391"/>
      <w:bookmarkEnd w:id="392"/>
    </w:p>
    <w:p>
      <w:pPr>
        <w:pStyle w:val="2"/>
        <w:shd w:val="clear" w:color="000000" w:fill="auto"/>
        <w:adjustRightInd w:val="0"/>
        <w:snapToGrid w:val="0"/>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2040192" behindDoc="0" locked="0" layoutInCell="1" allowOverlap="1">
                <wp:simplePos x="0" y="0"/>
                <wp:positionH relativeFrom="column">
                  <wp:posOffset>-114300</wp:posOffset>
                </wp:positionH>
                <wp:positionV relativeFrom="paragraph">
                  <wp:posOffset>284480</wp:posOffset>
                </wp:positionV>
                <wp:extent cx="914400" cy="469900"/>
                <wp:effectExtent l="0" t="0" r="0" b="0"/>
                <wp:wrapNone/>
                <wp:docPr id="373" name="文本框 377"/>
                <wp:cNvGraphicFramePr/>
                <a:graphic xmlns:a="http://schemas.openxmlformats.org/drawingml/2006/main">
                  <a:graphicData uri="http://schemas.microsoft.com/office/word/2010/wordprocessingShape">
                    <wps:wsp>
                      <wps:cNvSpPr txBox="1"/>
                      <wps:spPr>
                        <a:xfrm>
                          <a:off x="0" y="0"/>
                          <a:ext cx="914400" cy="46990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认可暂定结果或产生争议</w:t>
                            </w:r>
                          </w:p>
                        </w:txbxContent>
                      </wps:txbx>
                      <wps:bodyPr upright="1"/>
                    </wps:wsp>
                  </a:graphicData>
                </a:graphic>
              </wp:anchor>
            </w:drawing>
          </mc:Choice>
          <mc:Fallback>
            <w:pict>
              <v:shape id="文本框 377" o:spid="_x0000_s1026" o:spt="202" type="#_x0000_t202" style="position:absolute;left:0pt;margin-left:-9pt;margin-top:22.4pt;height:37pt;width:72pt;z-index:252040192;mso-width-relative:page;mso-height-relative:page;" filled="f" stroked="f" coordsize="21600,21600" o:gfxdata="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Amw5q&#10;1wAAAAoBAAAPAAAAAAAAAAEAIAAAACIAAABkcnMvZG93bnJldi54bWxQSwECFAAUAAAACACHTuJA&#10;h5CVlrABAABRAwAADgAAAAAAAAABACAAAAAmAQAAZHJzL2Uyb0RvYy54bWxQSwUGAAAAAAYABgBZ&#10;AQAASA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认可暂定结果或产生争议</w:t>
                      </w:r>
                    </w:p>
                  </w:txbxContent>
                </v:textbox>
              </v:shape>
            </w:pict>
          </mc:Fallback>
        </mc:AlternateContent>
      </w:r>
      <w:r>
        <w:rPr>
          <w:rFonts w:ascii="仿宋" w:hAnsi="仿宋" w:eastAsia="仿宋" w:cs="仿宋"/>
          <w:b/>
          <w:bCs/>
          <w:color w:val="auto"/>
          <w:sz w:val="24"/>
          <w:szCs w:val="24"/>
          <w:highlight w:val="none"/>
        </w:rPr>
        <w:t xml:space="preserve">86.1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本合同履行期间，合同双方当事人应在收到监理工程师或造价工程师依据合同约定作出暂定结果之后的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对暂定结果予以确认或提出意见。合同双方对暂定结果认可的，应以书面形式予以确认，暂定结果成为最终决定，对合同双方当事人都有约束力；合同双方或一方当事人不同意暂定结果的，应以书面形式向监理工程师或造价工程师提出，说明自己认为正确的结果，同时抄送另一方当事人，此时该暂定结果成为争议。除非本合同已解除，在暂定结果不实质影响合同双方当事人履约的前提下，合同双方当事人应实施该结果，直到其被改变为止。</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合同双方当事人在收到监理工程师或造价工程师的暂定结果之日起，超过</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天，未对暂定结果予以确认也未提出意见的，视为合同双方当事人已认可暂定结果。</w:t>
      </w:r>
    </w:p>
    <w:p>
      <w:pPr>
        <w:pStyle w:val="2"/>
        <w:shd w:val="clear" w:color="000000" w:fill="auto"/>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86.2  </w:t>
      </w:r>
      <w:r>
        <w:rPr>
          <w:rFonts w:ascii="仿宋" w:hAnsi="仿宋" w:eastAsia="仿宋" w:cs="仿宋"/>
          <w:b/>
          <w:bCs/>
          <w:color w:val="auto"/>
          <w:sz w:val="24"/>
          <w:szCs w:val="24"/>
          <w:highlight w:val="none"/>
          <w:u w:val="dotted"/>
        </w:rPr>
        <w:t xml:space="preserve">                                                                                                        </w:t>
      </w:r>
    </w:p>
    <w:p>
      <w:pPr>
        <w:pStyle w:val="2"/>
        <w:shd w:val="clear" w:color="000000" w:fill="auto"/>
        <w:tabs>
          <w:tab w:val="left" w:pos="1320"/>
        </w:tabs>
        <w:adjustRightInd w:val="0"/>
        <w:snapToGrid w:val="0"/>
        <w:spacing w:line="360" w:lineRule="auto"/>
        <w:ind w:left="1680" w:leftChars="800"/>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2041216" behindDoc="0" locked="0" layoutInCell="1" allowOverlap="1">
                <wp:simplePos x="0" y="0"/>
                <wp:positionH relativeFrom="column">
                  <wp:posOffset>-114300</wp:posOffset>
                </wp:positionH>
                <wp:positionV relativeFrom="paragraph">
                  <wp:posOffset>26670</wp:posOffset>
                </wp:positionV>
                <wp:extent cx="800100" cy="373380"/>
                <wp:effectExtent l="0" t="0" r="0" b="0"/>
                <wp:wrapNone/>
                <wp:docPr id="374" name="文本框 378"/>
                <wp:cNvGraphicFramePr/>
                <a:graphic xmlns:a="http://schemas.openxmlformats.org/drawingml/2006/main">
                  <a:graphicData uri="http://schemas.microsoft.com/office/word/2010/wordprocessingShape">
                    <wps:wsp>
                      <wps:cNvSpPr txBox="1"/>
                      <wps:spPr>
                        <a:xfrm>
                          <a:off x="0" y="0"/>
                          <a:ext cx="800100" cy="37338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双方协商</w:t>
                            </w:r>
                          </w:p>
                        </w:txbxContent>
                      </wps:txbx>
                      <wps:bodyPr upright="1"/>
                    </wps:wsp>
                  </a:graphicData>
                </a:graphic>
              </wp:anchor>
            </w:drawing>
          </mc:Choice>
          <mc:Fallback>
            <w:pict>
              <v:shape id="文本框 378" o:spid="_x0000_s1026" o:spt="202" type="#_x0000_t202" style="position:absolute;left:0pt;margin-left:-9pt;margin-top:2.1pt;height:29.4pt;width:63pt;z-index:252041216;mso-width-relative:page;mso-height-relative:page;" filled="f" stroked="f" coordsize="21600,21600" o:gfxdata="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b9mWnUAAAA&#10;CAEAAA8AAAAAAAAAAQAgAAAAIgAAAGRycy9kb3ducmV2LnhtbFBLAQIUABQAAAAIAIdO4kB8TP6x&#10;rwEAAFEDAAAOAAAAAAAAAAEAIAAAACMBAABkcnMvZTJvRG9jLnhtbFBLBQYAAAAABgAGAFkBAABE&#10;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双方协商</w:t>
                      </w:r>
                    </w:p>
                  </w:txbxContent>
                </v:textbox>
              </v:shape>
            </w:pict>
          </mc:Fallback>
        </mc:AlternateContent>
      </w:r>
      <w:r>
        <w:rPr>
          <w:rFonts w:hint="eastAsia" w:ascii="仿宋" w:hAnsi="仿宋" w:eastAsia="仿宋" w:cs="仿宋"/>
          <w:color w:val="auto"/>
          <w:sz w:val="24"/>
          <w:szCs w:val="24"/>
          <w:highlight w:val="none"/>
        </w:rPr>
        <w:t>争议发生后的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天内，合同双方当事人可进一步进行协商。协商达成一致的，合同双方当事人应签订书面协议，并将结果抄送监理工程师或造价工程师；协商仍不能达成一致的，按照第</w:t>
      </w:r>
      <w:r>
        <w:rPr>
          <w:rFonts w:ascii="仿宋" w:hAnsi="仿宋" w:eastAsia="仿宋" w:cs="仿宋"/>
          <w:color w:val="auto"/>
          <w:sz w:val="24"/>
          <w:szCs w:val="24"/>
          <w:highlight w:val="none"/>
        </w:rPr>
        <w:t>86.3</w:t>
      </w:r>
      <w:r>
        <w:rPr>
          <w:rFonts w:hint="eastAsia" w:ascii="仿宋" w:hAnsi="仿宋" w:eastAsia="仿宋" w:cs="仿宋"/>
          <w:color w:val="auto"/>
          <w:sz w:val="24"/>
          <w:szCs w:val="24"/>
          <w:highlight w:val="none"/>
        </w:rPr>
        <w:t>款至第</w:t>
      </w:r>
      <w:r>
        <w:rPr>
          <w:rFonts w:ascii="仿宋" w:hAnsi="仿宋" w:eastAsia="仿宋" w:cs="仿宋"/>
          <w:color w:val="auto"/>
          <w:sz w:val="24"/>
          <w:szCs w:val="24"/>
          <w:highlight w:val="none"/>
        </w:rPr>
        <w:t>86.6</w:t>
      </w:r>
      <w:r>
        <w:rPr>
          <w:rFonts w:hint="eastAsia" w:ascii="仿宋" w:hAnsi="仿宋" w:eastAsia="仿宋" w:cs="仿宋"/>
          <w:color w:val="auto"/>
          <w:sz w:val="24"/>
          <w:szCs w:val="24"/>
          <w:highlight w:val="none"/>
        </w:rPr>
        <w:t>款规定进行调解或认定、仲裁或诉讼。</w:t>
      </w:r>
    </w:p>
    <w:p>
      <w:pPr>
        <w:pStyle w:val="2"/>
        <w:shd w:val="clear" w:color="000000" w:fill="auto"/>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86.3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42240" behindDoc="0" locked="0" layoutInCell="1" allowOverlap="1">
                <wp:simplePos x="0" y="0"/>
                <wp:positionH relativeFrom="column">
                  <wp:posOffset>-114300</wp:posOffset>
                </wp:positionH>
                <wp:positionV relativeFrom="paragraph">
                  <wp:posOffset>11430</wp:posOffset>
                </wp:positionV>
                <wp:extent cx="1028700" cy="325120"/>
                <wp:effectExtent l="0" t="0" r="0" b="0"/>
                <wp:wrapNone/>
                <wp:docPr id="375" name="文本框 379"/>
                <wp:cNvGraphicFramePr/>
                <a:graphic xmlns:a="http://schemas.openxmlformats.org/drawingml/2006/main">
                  <a:graphicData uri="http://schemas.microsoft.com/office/word/2010/wordprocessingShape">
                    <wps:wsp>
                      <wps:cNvSpPr txBox="1"/>
                      <wps:spPr>
                        <a:xfrm>
                          <a:off x="0" y="0"/>
                          <a:ext cx="1028700" cy="32512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解决争议方式</w:t>
                            </w:r>
                          </w:p>
                        </w:txbxContent>
                      </wps:txbx>
                      <wps:bodyPr upright="1"/>
                    </wps:wsp>
                  </a:graphicData>
                </a:graphic>
              </wp:anchor>
            </w:drawing>
          </mc:Choice>
          <mc:Fallback>
            <w:pict>
              <v:shape id="文本框 379" o:spid="_x0000_s1026" o:spt="202" type="#_x0000_t202" style="position:absolute;left:0pt;margin-left:-9pt;margin-top:0.9pt;height:25.6pt;width:81pt;z-index:252042240;mso-width-relative:page;mso-height-relative:page;" filled="f" stroked="f" coordsize="21600,21600" o:gfxdata="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TV4CIdQA&#10;AAAIAQAADwAAAAAAAAABACAAAAAiAAAAZHJzL2Rvd25yZXYueG1sUEsBAhQAFAAAAAgAh07iQHLL&#10;CKCxAQAAUgMAAA4AAAAAAAAAAQAgAAAAIw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解决争议方式</w:t>
                      </w:r>
                    </w:p>
                  </w:txbxContent>
                </v:textbox>
              </v:shape>
            </w:pict>
          </mc:Fallback>
        </mc:AlternateContent>
      </w:r>
      <w:r>
        <w:rPr>
          <w:rFonts w:hint="eastAsia" w:ascii="仿宋" w:hAnsi="仿宋" w:eastAsia="仿宋" w:cs="仿宋"/>
          <w:color w:val="auto"/>
          <w:sz w:val="24"/>
          <w:szCs w:val="24"/>
          <w:highlight w:val="none"/>
        </w:rPr>
        <w:t>合同双方当事人没有按照第</w:t>
      </w:r>
      <w:r>
        <w:rPr>
          <w:rFonts w:ascii="仿宋" w:hAnsi="仿宋" w:eastAsia="仿宋" w:cs="仿宋"/>
          <w:color w:val="auto"/>
          <w:sz w:val="24"/>
          <w:szCs w:val="24"/>
          <w:highlight w:val="none"/>
        </w:rPr>
        <w:t>86.2</w:t>
      </w:r>
      <w:r>
        <w:rPr>
          <w:rFonts w:hint="eastAsia" w:ascii="仿宋" w:hAnsi="仿宋" w:eastAsia="仿宋" w:cs="仿宋"/>
          <w:color w:val="auto"/>
          <w:sz w:val="24"/>
          <w:szCs w:val="24"/>
          <w:highlight w:val="none"/>
        </w:rPr>
        <w:t>款规定进一步协商的，或虽然协商但未在规定期限内达成一致的，合同双方或一方当事人可在争议发生后的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天内，将争议提交争议调解或认定机构处理，或直接按照专用条款第</w:t>
      </w:r>
      <w:r>
        <w:rPr>
          <w:rFonts w:ascii="仿宋" w:hAnsi="仿宋" w:eastAsia="仿宋" w:cs="仿宋"/>
          <w:color w:val="auto"/>
          <w:sz w:val="24"/>
          <w:szCs w:val="24"/>
          <w:highlight w:val="none"/>
        </w:rPr>
        <w:t>86.6</w:t>
      </w:r>
      <w:r>
        <w:rPr>
          <w:rFonts w:hint="eastAsia" w:ascii="仿宋" w:hAnsi="仿宋" w:eastAsia="仿宋" w:cs="仿宋"/>
          <w:color w:val="auto"/>
          <w:sz w:val="24"/>
          <w:szCs w:val="24"/>
          <w:highlight w:val="none"/>
        </w:rPr>
        <w:t>款规定提请仲裁或诉讼。</w:t>
      </w:r>
    </w:p>
    <w:p>
      <w:pPr>
        <w:pStyle w:val="2"/>
        <w:shd w:val="clear" w:color="000000" w:fill="auto"/>
        <w:tabs>
          <w:tab w:val="left" w:pos="1320"/>
        </w:tabs>
        <w:adjustRightInd w:val="0"/>
        <w:snapToGrid w:val="0"/>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86.4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43264" behindDoc="0" locked="0" layoutInCell="1" allowOverlap="1">
                <wp:simplePos x="0" y="0"/>
                <wp:positionH relativeFrom="column">
                  <wp:posOffset>-114300</wp:posOffset>
                </wp:positionH>
                <wp:positionV relativeFrom="paragraph">
                  <wp:posOffset>59690</wp:posOffset>
                </wp:positionV>
                <wp:extent cx="1028700" cy="378460"/>
                <wp:effectExtent l="0" t="0" r="0" b="0"/>
                <wp:wrapNone/>
                <wp:docPr id="376" name="文本框 380"/>
                <wp:cNvGraphicFramePr/>
                <a:graphic xmlns:a="http://schemas.openxmlformats.org/drawingml/2006/main">
                  <a:graphicData uri="http://schemas.microsoft.com/office/word/2010/wordprocessingShape">
                    <wps:wsp>
                      <wps:cNvSpPr txBox="1"/>
                      <wps:spPr>
                        <a:xfrm>
                          <a:off x="0" y="0"/>
                          <a:ext cx="1028700" cy="37846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w:t>
                            </w:r>
                          </w:p>
                        </w:txbxContent>
                      </wps:txbx>
                      <wps:bodyPr upright="1"/>
                    </wps:wsp>
                  </a:graphicData>
                </a:graphic>
              </wp:anchor>
            </w:drawing>
          </mc:Choice>
          <mc:Fallback>
            <w:pict>
              <v:shape id="文本框 380" o:spid="_x0000_s1026" o:spt="202" type="#_x0000_t202" style="position:absolute;left:0pt;margin-left:-9pt;margin-top:4.7pt;height:29.8pt;width:81pt;z-index:252043264;mso-width-relative:page;mso-height-relative:page;" filled="f" stroked="f" coordsize="21600,21600" o:gfxdata="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c4X5nVAAAA&#10;CAEAAA8AAAAAAAAAAQAgAAAAIgAAAGRycy9kb3ducmV2LnhtbFBLAQIUABQAAAAIAIdO4kACXabj&#10;rgEAAFIDAAAOAAAAAAAAAAEAIAAAACQBAABkcnMvZTJvRG9jLnhtbFBLBQYAAAAABgAGAFkBAABE&#10;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w:t>
                      </w:r>
                    </w:p>
                  </w:txbxContent>
                </v:textbox>
              </v:shape>
            </w:pict>
          </mc:Fallback>
        </mc:AlternateContent>
      </w:r>
      <w:r>
        <w:rPr>
          <w:rFonts w:hint="eastAsia" w:ascii="仿宋" w:hAnsi="仿宋" w:eastAsia="仿宋" w:cs="仿宋"/>
          <w:color w:val="auto"/>
          <w:sz w:val="24"/>
          <w:szCs w:val="24"/>
          <w:highlight w:val="none"/>
        </w:rPr>
        <w:t>争议调解或认定机构在收到争议调解或认定请求后，可组织调查、勘察、计量等工作，合同双方当事人应为其开展工作提供便利和协助。争议调解或认定机构应就争议做出书面调解或认定结果，并通知合同双方当事人。除合同双方当事人认可并在专用条款约定外，下列机构为争议调解或认定机构：</w:t>
      </w:r>
    </w:p>
    <w:p>
      <w:pPr>
        <w:pStyle w:val="2"/>
        <w:shd w:val="clear" w:color="000000" w:fill="auto"/>
        <w:adjustRightInd w:val="0"/>
        <w:snapToGrid w:val="0"/>
        <w:spacing w:line="360" w:lineRule="auto"/>
        <w:ind w:left="162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rPr>
        <w:t>建设工程安全监督机构，负责有关工程安全方面争议的调解或认定；</w:t>
      </w:r>
    </w:p>
    <w:p>
      <w:pPr>
        <w:pStyle w:val="2"/>
        <w:shd w:val="clear" w:color="000000" w:fill="auto"/>
        <w:adjustRightInd w:val="0"/>
        <w:snapToGrid w:val="0"/>
        <w:spacing w:line="360" w:lineRule="auto"/>
        <w:ind w:left="162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(2) </w:t>
      </w:r>
      <w:r>
        <w:rPr>
          <w:rFonts w:hint="eastAsia" w:ascii="仿宋" w:hAnsi="仿宋" w:eastAsia="仿宋" w:cs="仿宋"/>
          <w:color w:val="auto"/>
          <w:sz w:val="24"/>
          <w:szCs w:val="24"/>
          <w:highlight w:val="none"/>
        </w:rPr>
        <w:t>建设工程质量监督机构，负责有关工程质量方面争议的调解或认定；</w:t>
      </w:r>
    </w:p>
    <w:p>
      <w:pPr>
        <w:pStyle w:val="2"/>
        <w:shd w:val="clear" w:color="000000" w:fill="auto"/>
        <w:adjustRightInd w:val="0"/>
        <w:snapToGrid w:val="0"/>
        <w:spacing w:line="360" w:lineRule="auto"/>
        <w:ind w:left="1620"/>
        <w:rPr>
          <w:rFonts w:ascii="仿宋" w:hAnsi="仿宋" w:eastAsia="仿宋" w:cs="Times New Roman"/>
          <w:b/>
          <w:bCs/>
          <w:color w:val="auto"/>
          <w:sz w:val="24"/>
          <w:szCs w:val="24"/>
          <w:highlight w:val="none"/>
        </w:rPr>
      </w:pPr>
      <w:r>
        <w:rPr>
          <w:rFonts w:ascii="仿宋" w:hAnsi="仿宋" w:eastAsia="仿宋" w:cs="仿宋"/>
          <w:color w:val="auto"/>
          <w:sz w:val="24"/>
          <w:szCs w:val="24"/>
          <w:highlight w:val="none"/>
        </w:rPr>
        <w:t xml:space="preserve">(3) </w:t>
      </w:r>
      <w:r>
        <w:rPr>
          <w:rFonts w:hint="eastAsia" w:ascii="仿宋" w:hAnsi="仿宋" w:eastAsia="仿宋" w:cs="仿宋"/>
          <w:color w:val="auto"/>
          <w:sz w:val="24"/>
          <w:szCs w:val="24"/>
          <w:highlight w:val="none"/>
        </w:rPr>
        <w:t>建设工程造价管理机构，负责有关工程造价方面争议的调解或认定。</w:t>
      </w:r>
    </w:p>
    <w:p>
      <w:pPr>
        <w:pStyle w:val="2"/>
        <w:shd w:val="clear" w:color="000000" w:fill="auto"/>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86.5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44288" behindDoc="0" locked="0" layoutInCell="1" allowOverlap="1">
                <wp:simplePos x="0" y="0"/>
                <wp:positionH relativeFrom="column">
                  <wp:posOffset>-114300</wp:posOffset>
                </wp:positionH>
                <wp:positionV relativeFrom="paragraph">
                  <wp:posOffset>32385</wp:posOffset>
                </wp:positionV>
                <wp:extent cx="914400" cy="464820"/>
                <wp:effectExtent l="0" t="0" r="0" b="0"/>
                <wp:wrapNone/>
                <wp:docPr id="377" name="文本框 381"/>
                <wp:cNvGraphicFramePr/>
                <a:graphic xmlns:a="http://schemas.openxmlformats.org/drawingml/2006/main">
                  <a:graphicData uri="http://schemas.microsoft.com/office/word/2010/wordprocessingShape">
                    <wps:wsp>
                      <wps:cNvSpPr txBox="1"/>
                      <wps:spPr>
                        <a:xfrm>
                          <a:off x="0" y="0"/>
                          <a:ext cx="914400" cy="46482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调解或认定结果的确认</w:t>
                            </w:r>
                          </w:p>
                        </w:txbxContent>
                      </wps:txbx>
                      <wps:bodyPr upright="1"/>
                    </wps:wsp>
                  </a:graphicData>
                </a:graphic>
              </wp:anchor>
            </w:drawing>
          </mc:Choice>
          <mc:Fallback>
            <w:pict>
              <v:shape id="文本框 381" o:spid="_x0000_s1026" o:spt="202" type="#_x0000_t202" style="position:absolute;left:0pt;margin-left:-9pt;margin-top:2.55pt;height:36.6pt;width:72pt;z-index:252044288;mso-width-relative:page;mso-height-relative:page;" filled="f" stroked="f" coordsize="21600,21600" o:gfxdata="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Zba03V&#10;AAAACAEAAA8AAAAAAAAAAQAgAAAAIgAAAGRycy9kb3ducmV2LnhtbFBLAQIUABQAAAAIAIdO4kCW&#10;VrCHsQEAAFEDAAAOAAAAAAAAAAEAIAAAACQBAABkcnMvZTJvRG9jLnhtbFBLBQYAAAAABgAGAFkB&#10;AABH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调解或认定结果的确认</w:t>
                      </w:r>
                    </w:p>
                  </w:txbxContent>
                </v:textbox>
              </v:shape>
            </w:pict>
          </mc:Fallback>
        </mc:AlternateContent>
      </w:r>
      <w:r>
        <w:rPr>
          <w:rFonts w:hint="eastAsia" w:ascii="仿宋" w:hAnsi="仿宋" w:eastAsia="仿宋" w:cs="仿宋"/>
          <w:color w:val="auto"/>
          <w:sz w:val="24"/>
          <w:szCs w:val="24"/>
          <w:highlight w:val="none"/>
        </w:rPr>
        <w:t>合同双方当事人应在收到争议调解或认定机构书面结果后的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天内，对调解或认定结果以书面形式予以确认。</w:t>
      </w:r>
    </w:p>
    <w:p>
      <w:pPr>
        <w:pStyle w:val="2"/>
        <w:shd w:val="clear" w:color="000000" w:fill="auto"/>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86.6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45312" behindDoc="0" locked="0" layoutInCell="1" allowOverlap="1">
                <wp:simplePos x="0" y="0"/>
                <wp:positionH relativeFrom="column">
                  <wp:posOffset>-114300</wp:posOffset>
                </wp:positionH>
                <wp:positionV relativeFrom="paragraph">
                  <wp:posOffset>12065</wp:posOffset>
                </wp:positionV>
                <wp:extent cx="1028700" cy="334645"/>
                <wp:effectExtent l="0" t="0" r="0" b="0"/>
                <wp:wrapNone/>
                <wp:docPr id="378" name="文本框 382"/>
                <wp:cNvGraphicFramePr/>
                <a:graphic xmlns:a="http://schemas.openxmlformats.org/drawingml/2006/main">
                  <a:graphicData uri="http://schemas.microsoft.com/office/word/2010/wordprocessingShape">
                    <wps:wsp>
                      <wps:cNvSpPr txBox="1"/>
                      <wps:spPr>
                        <a:xfrm>
                          <a:off x="0" y="0"/>
                          <a:ext cx="1028700" cy="33464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仲裁或诉讼</w:t>
                            </w:r>
                          </w:p>
                        </w:txbxContent>
                      </wps:txbx>
                      <wps:bodyPr upright="1"/>
                    </wps:wsp>
                  </a:graphicData>
                </a:graphic>
              </wp:anchor>
            </w:drawing>
          </mc:Choice>
          <mc:Fallback>
            <w:pict>
              <v:shape id="文本框 382" o:spid="_x0000_s1026" o:spt="202" type="#_x0000_t202" style="position:absolute;left:0pt;margin-left:-9pt;margin-top:0.95pt;height:26.35pt;width:81pt;z-index:252045312;mso-width-relative:page;mso-height-relative:page;" filled="f" stroked="f" coordsize="21600,21600" o:gfxdata="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YJ+rI1QAA&#10;AAgBAAAPAAAAAAAAAAEAIAAAACIAAABkcnMvZG93bnJldi54bWxQSwECFAAUAAAACACHTuJAeSK3&#10;rq8BAABSAwAADgAAAAAAAAABACAAAAAkAQAAZHJzL2Uyb0RvYy54bWxQSwUGAAAAAAYABgBZAQAA&#10;R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仲裁或诉讼</w:t>
                      </w:r>
                    </w:p>
                  </w:txbxContent>
                </v:textbox>
              </v:shape>
            </w:pict>
          </mc:Fallback>
        </mc:AlternateContent>
      </w:r>
      <w:r>
        <w:rPr>
          <w:rFonts w:hint="eastAsia" w:ascii="仿宋" w:hAnsi="仿宋" w:eastAsia="仿宋" w:cs="仿宋"/>
          <w:color w:val="auto"/>
          <w:sz w:val="24"/>
          <w:szCs w:val="24"/>
          <w:highlight w:val="none"/>
        </w:rPr>
        <w:t>若合同双方或一方当事人在收到争议调解或认定机构的书面结果后明确表示不同意，或在</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天内没有书面确认，任何一方均可按照专用条款约定的下列任一种方式解决争议：</w:t>
      </w:r>
    </w:p>
    <w:p>
      <w:pPr>
        <w:pStyle w:val="2"/>
        <w:shd w:val="clear" w:color="000000" w:fill="auto"/>
        <w:adjustRightInd w:val="0"/>
        <w:snapToGrid w:val="0"/>
        <w:spacing w:line="360" w:lineRule="auto"/>
        <w:ind w:left="162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rPr>
        <w:t>向约定的仲裁委员会申请仲裁；</w:t>
      </w:r>
    </w:p>
    <w:p>
      <w:pPr>
        <w:pStyle w:val="2"/>
        <w:shd w:val="clear" w:color="000000" w:fill="auto"/>
        <w:adjustRightInd w:val="0"/>
        <w:snapToGrid w:val="0"/>
        <w:spacing w:line="360" w:lineRule="auto"/>
        <w:ind w:left="162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(2) </w:t>
      </w:r>
      <w:r>
        <w:rPr>
          <w:rFonts w:hint="eastAsia" w:ascii="仿宋" w:hAnsi="仿宋" w:eastAsia="仿宋" w:cs="仿宋"/>
          <w:color w:val="auto"/>
          <w:sz w:val="24"/>
          <w:szCs w:val="24"/>
          <w:highlight w:val="none"/>
        </w:rPr>
        <w:t>向有管辖权的人民法院提起诉讼。</w:t>
      </w:r>
    </w:p>
    <w:p>
      <w:pPr>
        <w:pStyle w:val="2"/>
        <w:shd w:val="clear" w:color="000000" w:fill="auto"/>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86.7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46336" behindDoc="0" locked="0" layoutInCell="1" allowOverlap="1">
                <wp:simplePos x="0" y="0"/>
                <wp:positionH relativeFrom="column">
                  <wp:posOffset>-114300</wp:posOffset>
                </wp:positionH>
                <wp:positionV relativeFrom="paragraph">
                  <wp:posOffset>15875</wp:posOffset>
                </wp:positionV>
                <wp:extent cx="914400" cy="460375"/>
                <wp:effectExtent l="0" t="0" r="0" b="0"/>
                <wp:wrapNone/>
                <wp:docPr id="379" name="文本框 383"/>
                <wp:cNvGraphicFramePr/>
                <a:graphic xmlns:a="http://schemas.openxmlformats.org/drawingml/2006/main">
                  <a:graphicData uri="http://schemas.microsoft.com/office/word/2010/wordprocessingShape">
                    <wps:wsp>
                      <wps:cNvSpPr txBox="1"/>
                      <wps:spPr>
                        <a:xfrm>
                          <a:off x="0" y="0"/>
                          <a:ext cx="914400" cy="46037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争议期间继续施工</w:t>
                            </w:r>
                          </w:p>
                        </w:txbxContent>
                      </wps:txbx>
                      <wps:bodyPr upright="1"/>
                    </wps:wsp>
                  </a:graphicData>
                </a:graphic>
              </wp:anchor>
            </w:drawing>
          </mc:Choice>
          <mc:Fallback>
            <w:pict>
              <v:shape id="文本框 383" o:spid="_x0000_s1026" o:spt="202" type="#_x0000_t202" style="position:absolute;left:0pt;margin-left:-9pt;margin-top:1.25pt;height:36.25pt;width:72pt;z-index:252046336;mso-width-relative:page;mso-height-relative:page;" filled="f" stroked="f" coordsize="21600,21600" o:gfxdata="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CuoOVNUA&#10;AAAIAQAADwAAAAAAAAABACAAAAAiAAAAZHJzL2Rvd25yZXYueG1sUEsBAhQAFAAAAAgAh07iQLFn&#10;o5+wAQAAUQMAAA4AAAAAAAAAAQAgAAAAJA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争议期间继续施工</w:t>
                      </w:r>
                    </w:p>
                  </w:txbxContent>
                </v:textbox>
              </v:shape>
            </w:pict>
          </mc:Fallback>
        </mc:AlternateContent>
      </w:r>
      <w:r>
        <w:rPr>
          <w:rFonts w:hint="eastAsia" w:ascii="仿宋" w:hAnsi="仿宋" w:eastAsia="仿宋" w:cs="仿宋"/>
          <w:color w:val="auto"/>
          <w:sz w:val="24"/>
          <w:szCs w:val="24"/>
          <w:highlight w:val="none"/>
        </w:rPr>
        <w:t>争议期间，除下列情况停止施工外，合同双方当事人都应继续履行合同，保持工程连续施工，保护好已完工程：</w:t>
      </w:r>
    </w:p>
    <w:p>
      <w:pPr>
        <w:pStyle w:val="2"/>
        <w:shd w:val="clear" w:color="000000" w:fill="auto"/>
        <w:adjustRightInd w:val="0"/>
        <w:snapToGrid w:val="0"/>
        <w:spacing w:line="360" w:lineRule="auto"/>
        <w:ind w:left="162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rPr>
        <w:t>合同双方当事人协商同意；</w:t>
      </w:r>
    </w:p>
    <w:p>
      <w:pPr>
        <w:pStyle w:val="2"/>
        <w:shd w:val="clear" w:color="000000" w:fill="auto"/>
        <w:adjustRightInd w:val="0"/>
        <w:snapToGrid w:val="0"/>
        <w:spacing w:line="360" w:lineRule="auto"/>
        <w:ind w:left="162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(2) </w:t>
      </w:r>
      <w:r>
        <w:rPr>
          <w:rFonts w:hint="eastAsia" w:ascii="仿宋" w:hAnsi="仿宋" w:eastAsia="仿宋" w:cs="仿宋"/>
          <w:color w:val="auto"/>
          <w:sz w:val="24"/>
          <w:szCs w:val="24"/>
          <w:highlight w:val="none"/>
        </w:rPr>
        <w:t>合同一方当事人违约导致合同无法履行；</w:t>
      </w:r>
    </w:p>
    <w:p>
      <w:pPr>
        <w:pStyle w:val="2"/>
        <w:shd w:val="clear" w:color="000000" w:fill="auto"/>
        <w:adjustRightInd w:val="0"/>
        <w:snapToGrid w:val="0"/>
        <w:spacing w:line="360" w:lineRule="auto"/>
        <w:ind w:left="162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(3) </w:t>
      </w:r>
      <w:r>
        <w:rPr>
          <w:rFonts w:hint="eastAsia" w:ascii="仿宋" w:hAnsi="仿宋" w:eastAsia="仿宋" w:cs="仿宋"/>
          <w:color w:val="auto"/>
          <w:sz w:val="24"/>
          <w:szCs w:val="24"/>
          <w:highlight w:val="none"/>
        </w:rPr>
        <w:t>工程造价管理机构调解需要，且合同双方当事人同意；</w:t>
      </w:r>
    </w:p>
    <w:p>
      <w:pPr>
        <w:pStyle w:val="2"/>
        <w:shd w:val="clear" w:color="000000" w:fill="auto"/>
        <w:adjustRightInd w:val="0"/>
        <w:snapToGrid w:val="0"/>
        <w:spacing w:line="360" w:lineRule="auto"/>
        <w:ind w:left="162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(4) </w:t>
      </w:r>
      <w:r>
        <w:rPr>
          <w:rFonts w:hint="eastAsia" w:ascii="仿宋" w:hAnsi="仿宋" w:eastAsia="仿宋" w:cs="仿宋"/>
          <w:color w:val="auto"/>
          <w:sz w:val="24"/>
          <w:szCs w:val="24"/>
          <w:highlight w:val="none"/>
        </w:rPr>
        <w:t>仲裁委员会仲裁需要，且合同双方当事人同意：</w:t>
      </w:r>
    </w:p>
    <w:p>
      <w:pPr>
        <w:pStyle w:val="2"/>
        <w:shd w:val="clear" w:color="000000" w:fill="auto"/>
        <w:adjustRightInd w:val="0"/>
        <w:snapToGrid w:val="0"/>
        <w:spacing w:line="360" w:lineRule="auto"/>
        <w:ind w:firstLine="1560" w:firstLineChars="65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(5) </w:t>
      </w:r>
      <w:r>
        <w:rPr>
          <w:rFonts w:hint="eastAsia" w:ascii="仿宋" w:hAnsi="仿宋" w:eastAsia="仿宋" w:cs="仿宋"/>
          <w:color w:val="auto"/>
          <w:sz w:val="24"/>
          <w:szCs w:val="24"/>
          <w:highlight w:val="none"/>
        </w:rPr>
        <w:t>人民法院诉讼需要。</w:t>
      </w:r>
    </w:p>
    <w:p>
      <w:pPr>
        <w:pStyle w:val="2"/>
        <w:shd w:val="clear" w:color="000000" w:fill="auto"/>
        <w:tabs>
          <w:tab w:val="left" w:pos="1620"/>
        </w:tabs>
        <w:adjustRightInd w:val="0"/>
        <w:snapToGrid w:val="0"/>
        <w:spacing w:line="240" w:lineRule="exact"/>
        <w:ind w:right="-24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393" w:name="_Toc10624912"/>
      <w:bookmarkStart w:id="394" w:name="_Toc29846"/>
      <w:bookmarkStart w:id="395" w:name="_Toc469384071"/>
      <w:r>
        <w:rPr>
          <w:rFonts w:ascii="仿宋" w:hAnsi="仿宋" w:eastAsia="仿宋" w:cs="仿宋"/>
          <w:b/>
          <w:bCs/>
          <w:color w:val="auto"/>
          <w:sz w:val="24"/>
          <w:szCs w:val="24"/>
          <w:highlight w:val="none"/>
        </w:rPr>
        <w:t xml:space="preserve">87  </w:t>
      </w:r>
      <w:r>
        <w:rPr>
          <w:rFonts w:hint="eastAsia" w:ascii="仿宋" w:hAnsi="仿宋" w:eastAsia="仿宋" w:cs="仿宋"/>
          <w:b/>
          <w:bCs/>
          <w:color w:val="auto"/>
          <w:sz w:val="24"/>
          <w:szCs w:val="24"/>
          <w:highlight w:val="none"/>
        </w:rPr>
        <w:t>合同解除</w:t>
      </w:r>
      <w:bookmarkEnd w:id="393"/>
      <w:bookmarkEnd w:id="394"/>
      <w:bookmarkEnd w:id="395"/>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87.1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47360" behindDoc="0" locked="0" layoutInCell="1" allowOverlap="1">
                <wp:simplePos x="0" y="0"/>
                <wp:positionH relativeFrom="column">
                  <wp:posOffset>-114300</wp:posOffset>
                </wp:positionH>
                <wp:positionV relativeFrom="paragraph">
                  <wp:posOffset>-3810</wp:posOffset>
                </wp:positionV>
                <wp:extent cx="1028700" cy="263525"/>
                <wp:effectExtent l="0" t="0" r="0" b="0"/>
                <wp:wrapNone/>
                <wp:docPr id="380" name="文本框 384"/>
                <wp:cNvGraphicFramePr/>
                <a:graphic xmlns:a="http://schemas.openxmlformats.org/drawingml/2006/main">
                  <a:graphicData uri="http://schemas.microsoft.com/office/word/2010/wordprocessingShape">
                    <wps:wsp>
                      <wps:cNvSpPr txBox="1"/>
                      <wps:spPr>
                        <a:xfrm>
                          <a:off x="0" y="0"/>
                          <a:ext cx="1028700" cy="26352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w:t>
                            </w:r>
                          </w:p>
                        </w:txbxContent>
                      </wps:txbx>
                      <wps:bodyPr upright="1"/>
                    </wps:wsp>
                  </a:graphicData>
                </a:graphic>
              </wp:anchor>
            </w:drawing>
          </mc:Choice>
          <mc:Fallback>
            <w:pict>
              <v:shape id="文本框 384" o:spid="_x0000_s1026" o:spt="202" type="#_x0000_t202" style="position:absolute;left:0pt;margin-left:-9pt;margin-top:-0.3pt;height:20.75pt;width:81pt;z-index:252047360;mso-width-relative:page;mso-height-relative:page;" filled="f" stroked="f" coordsize="21600,21600" o:gfxdata="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rsm6bUAAAA&#10;CAEAAA8AAAAAAAAAAQAgAAAAIgAAAGRycy9kb3ducmV2LnhtbFBLAQIUABQAAAAIAIdO4kBapM2O&#10;rwEAAFIDAAAOAAAAAAAAAAEAIAAAACMBAABkcnMvZTJvRG9jLnhtbFBLBQYAAAAABgAGAFkBAABE&#10;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w:t>
                      </w:r>
                    </w:p>
                  </w:txbxContent>
                </v:textbox>
              </v:shape>
            </w:pict>
          </mc:Fallback>
        </mc:AlternateContent>
      </w:r>
      <w:r>
        <w:rPr>
          <w:rFonts w:hint="eastAsia" w:ascii="仿宋" w:hAnsi="仿宋" w:eastAsia="仿宋" w:cs="仿宋"/>
          <w:color w:val="auto"/>
          <w:sz w:val="24"/>
          <w:szCs w:val="24"/>
          <w:highlight w:val="none"/>
        </w:rPr>
        <w:t>合同双方当事人协商一致，可以解除合同。</w:t>
      </w:r>
    </w:p>
    <w:p>
      <w:pPr>
        <w:shd w:val="clear" w:color="000000" w:fill="auto"/>
        <w:rPr>
          <w:rFonts w:cs="Times New Roman"/>
          <w:color w:val="auto"/>
          <w:highlight w:val="none"/>
        </w:rPr>
      </w:pPr>
    </w:p>
    <w:p>
      <w:pPr>
        <w:pStyle w:val="2"/>
        <w:shd w:val="clear" w:color="000000" w:fill="auto"/>
        <w:tabs>
          <w:tab w:val="left" w:pos="1320"/>
        </w:tabs>
        <w:adjustRightInd w:val="0"/>
        <w:snapToGrid w:val="0"/>
        <w:spacing w:line="360" w:lineRule="auto"/>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48384" behindDoc="0" locked="0" layoutInCell="1" allowOverlap="1">
                <wp:simplePos x="0" y="0"/>
                <wp:positionH relativeFrom="column">
                  <wp:posOffset>-114300</wp:posOffset>
                </wp:positionH>
                <wp:positionV relativeFrom="paragraph">
                  <wp:posOffset>291465</wp:posOffset>
                </wp:positionV>
                <wp:extent cx="914400" cy="495300"/>
                <wp:effectExtent l="0" t="0" r="0" b="0"/>
                <wp:wrapNone/>
                <wp:docPr id="381" name="文本框 38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不可抗力导致解除</w:t>
                            </w:r>
                          </w:p>
                        </w:txbxContent>
                      </wps:txbx>
                      <wps:bodyPr upright="1"/>
                    </wps:wsp>
                  </a:graphicData>
                </a:graphic>
              </wp:anchor>
            </w:drawing>
          </mc:Choice>
          <mc:Fallback>
            <w:pict>
              <v:shape id="文本框 385" o:spid="_x0000_s1026" o:spt="202" type="#_x0000_t202" style="position:absolute;left:0pt;margin-left:-9pt;margin-top:22.95pt;height:39pt;width:72pt;z-index:252048384;mso-width-relative:page;mso-height-relative:page;" filled="f" stroked="f" coordsize="21600,21600" o:gfxdata="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6Pj5&#10;1wAAAAoBAAAPAAAAAAAAAAEAIAAAACIAAABkcnMvZG93bnJldi54bWxQSwECFAAUAAAACACHTuJA&#10;muprJrABAABRAwAADgAAAAAAAAABACAAAAAmAQAAZHJzL2Uyb0RvYy54bWxQSwUGAAAAAAYABgBZ&#10;AQAASA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不可抗力导致解除</w:t>
                      </w:r>
                    </w:p>
                  </w:txbxContent>
                </v:textbox>
              </v:shape>
            </w:pict>
          </mc:Fallback>
        </mc:AlternateContent>
      </w:r>
      <w:r>
        <w:rPr>
          <w:rFonts w:ascii="仿宋" w:hAnsi="仿宋" w:eastAsia="仿宋" w:cs="仿宋"/>
          <w:b/>
          <w:bCs/>
          <w:color w:val="auto"/>
          <w:sz w:val="24"/>
          <w:szCs w:val="24"/>
          <w:highlight w:val="none"/>
        </w:rPr>
        <w:t xml:space="preserve">87.2  </w:t>
      </w:r>
      <w:r>
        <w:rPr>
          <w:rFonts w:ascii="仿宋" w:hAnsi="仿宋" w:eastAsia="仿宋" w:cs="仿宋"/>
          <w:b/>
          <w:bCs/>
          <w:color w:val="auto"/>
          <w:sz w:val="24"/>
          <w:szCs w:val="24"/>
          <w:highlight w:val="none"/>
          <w:u w:val="dotted"/>
        </w:rPr>
        <w:t xml:space="preserve">  </w:t>
      </w:r>
      <w:r>
        <w:rPr>
          <w:rFonts w:ascii="仿宋" w:hAnsi="仿宋" w:eastAsia="仿宋" w:cs="仿宋"/>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因不可抗力事件致使合同无法继续履行的，合同双方当事人可以解除合同。</w:t>
      </w:r>
    </w:p>
    <w:p>
      <w:pPr>
        <w:shd w:val="clear" w:color="000000" w:fill="auto"/>
        <w:rPr>
          <w:rFonts w:cs="Times New Roman"/>
          <w:color w:val="auto"/>
          <w:highlight w:val="none"/>
        </w:rPr>
      </w:pPr>
    </w:p>
    <w:p>
      <w:pPr>
        <w:pStyle w:val="2"/>
        <w:shd w:val="clear" w:color="000000" w:fill="auto"/>
        <w:tabs>
          <w:tab w:val="left" w:pos="1320"/>
        </w:tabs>
        <w:adjustRightInd w:val="0"/>
        <w:snapToGrid w:val="0"/>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87.3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49408" behindDoc="0" locked="0" layoutInCell="1" allowOverlap="1">
                <wp:simplePos x="0" y="0"/>
                <wp:positionH relativeFrom="column">
                  <wp:posOffset>-114300</wp:posOffset>
                </wp:positionH>
                <wp:positionV relativeFrom="paragraph">
                  <wp:posOffset>37465</wp:posOffset>
                </wp:positionV>
                <wp:extent cx="914400" cy="404495"/>
                <wp:effectExtent l="0" t="0" r="0" b="0"/>
                <wp:wrapNone/>
                <wp:docPr id="382" name="文本框 386"/>
                <wp:cNvGraphicFramePr/>
                <a:graphic xmlns:a="http://schemas.openxmlformats.org/drawingml/2006/main">
                  <a:graphicData uri="http://schemas.microsoft.com/office/word/2010/wordprocessingShape">
                    <wps:wsp>
                      <wps:cNvSpPr txBox="1"/>
                      <wps:spPr>
                        <a:xfrm>
                          <a:off x="0" y="0"/>
                          <a:ext cx="914400" cy="40449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w:t>
                            </w:r>
                          </w:p>
                        </w:txbxContent>
                      </wps:txbx>
                      <wps:bodyPr upright="1"/>
                    </wps:wsp>
                  </a:graphicData>
                </a:graphic>
              </wp:anchor>
            </w:drawing>
          </mc:Choice>
          <mc:Fallback>
            <w:pict>
              <v:shape id="文本框 386" o:spid="_x0000_s1026" o:spt="202" type="#_x0000_t202" style="position:absolute;left:0pt;margin-left:-9pt;margin-top:2.95pt;height:31.85pt;width:72pt;z-index:252049408;mso-width-relative:page;mso-height-relative:page;" filled="f" stroked="f" coordsize="21600,21600" o:gfxdata="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Ct/8+dUA&#10;AAAIAQAADwAAAAAAAAABACAAAAAiAAAAZHJzL2Rvd25yZXYueG1sUEsBAhQAFAAAAAgAh07iQABV&#10;XZmwAQAAUQMAAA4AAAAAAAAAAQAgAAAAJA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w:t>
                      </w:r>
                    </w:p>
                  </w:txbxContent>
                </v:textbox>
              </v:shape>
            </w:pict>
          </mc:Fallback>
        </mc:AlternateContent>
      </w:r>
      <w:r>
        <w:rPr>
          <w:rFonts w:hint="eastAsia" w:ascii="仿宋" w:hAnsi="仿宋" w:eastAsia="仿宋" w:cs="仿宋"/>
          <w:color w:val="auto"/>
          <w:sz w:val="24"/>
          <w:szCs w:val="24"/>
          <w:highlight w:val="none"/>
        </w:rPr>
        <w:t>承包人有下列情形之一者，发包人可以解除合同：</w:t>
      </w:r>
    </w:p>
    <w:p>
      <w:pPr>
        <w:pStyle w:val="2"/>
        <w:numPr>
          <w:ilvl w:val="0"/>
          <w:numId w:val="23"/>
        </w:numPr>
        <w:shd w:val="clear" w:color="000000" w:fill="auto"/>
        <w:adjustRightInd w:val="0"/>
        <w:snapToGrid w:val="0"/>
        <w:spacing w:line="360" w:lineRule="auto"/>
        <w:ind w:left="1618" w:leftChars="770" w:hanging="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承包人未能按照第</w:t>
      </w:r>
      <w:r>
        <w:rPr>
          <w:rFonts w:ascii="仿宋" w:hAnsi="仿宋" w:eastAsia="仿宋" w:cs="仿宋"/>
          <w:color w:val="auto"/>
          <w:sz w:val="24"/>
          <w:szCs w:val="24"/>
          <w:highlight w:val="none"/>
        </w:rPr>
        <w:t>34.2</w:t>
      </w:r>
      <w:r>
        <w:rPr>
          <w:rFonts w:hint="eastAsia" w:ascii="仿宋" w:hAnsi="仿宋" w:eastAsia="仿宋" w:cs="仿宋"/>
          <w:color w:val="auto"/>
          <w:sz w:val="24"/>
          <w:szCs w:val="24"/>
          <w:highlight w:val="none"/>
        </w:rPr>
        <w:t>款规定的开工期限内开工，经监理工程师催告后的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天内仍未开工的；</w:t>
      </w:r>
    </w:p>
    <w:p>
      <w:pPr>
        <w:pStyle w:val="2"/>
        <w:numPr>
          <w:ilvl w:val="0"/>
          <w:numId w:val="23"/>
        </w:numPr>
        <w:shd w:val="clear" w:color="000000" w:fill="auto"/>
        <w:adjustRightInd w:val="0"/>
        <w:snapToGrid w:val="0"/>
        <w:spacing w:line="360" w:lineRule="auto"/>
        <w:ind w:left="1621" w:leftChars="771" w:hanging="2"/>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按照第</w:t>
      </w:r>
      <w:r>
        <w:rPr>
          <w:rFonts w:ascii="仿宋" w:hAnsi="仿宋" w:eastAsia="仿宋" w:cs="仿宋"/>
          <w:color w:val="auto"/>
          <w:sz w:val="24"/>
          <w:szCs w:val="24"/>
          <w:highlight w:val="none"/>
        </w:rPr>
        <w:t>33</w:t>
      </w:r>
      <w:r>
        <w:rPr>
          <w:rFonts w:hint="eastAsia" w:ascii="仿宋" w:hAnsi="仿宋" w:eastAsia="仿宋" w:cs="仿宋"/>
          <w:color w:val="auto"/>
          <w:sz w:val="24"/>
          <w:szCs w:val="24"/>
          <w:highlight w:val="none"/>
        </w:rPr>
        <w:t>条规定的进度计划未表明有停工且监理工程师也未按照第</w:t>
      </w:r>
      <w:r>
        <w:rPr>
          <w:rFonts w:ascii="仿宋" w:hAnsi="仿宋" w:eastAsia="仿宋" w:cs="仿宋"/>
          <w:color w:val="auto"/>
          <w:sz w:val="24"/>
          <w:szCs w:val="24"/>
          <w:highlight w:val="none"/>
        </w:rPr>
        <w:t>35.1</w:t>
      </w:r>
      <w:r>
        <w:rPr>
          <w:rFonts w:hint="eastAsia" w:ascii="仿宋" w:hAnsi="仿宋" w:eastAsia="仿宋" w:cs="仿宋"/>
          <w:color w:val="auto"/>
          <w:sz w:val="24"/>
          <w:szCs w:val="24"/>
          <w:highlight w:val="none"/>
        </w:rPr>
        <w:t>款规定发出暂停施工令，但承包人停止施工时间持续达</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天或累计停止施工时间达</w:t>
      </w:r>
      <w:r>
        <w:rPr>
          <w:rFonts w:ascii="仿宋" w:hAnsi="仿宋" w:eastAsia="仿宋" w:cs="仿宋"/>
          <w:color w:val="auto"/>
          <w:sz w:val="24"/>
          <w:szCs w:val="24"/>
          <w:highlight w:val="none"/>
        </w:rPr>
        <w:t>70</w:t>
      </w:r>
      <w:r>
        <w:rPr>
          <w:rFonts w:hint="eastAsia" w:ascii="仿宋" w:hAnsi="仿宋" w:eastAsia="仿宋" w:cs="仿宋"/>
          <w:color w:val="auto"/>
          <w:sz w:val="24"/>
          <w:szCs w:val="24"/>
          <w:highlight w:val="none"/>
        </w:rPr>
        <w:t>天的；</w:t>
      </w:r>
    </w:p>
    <w:p>
      <w:pPr>
        <w:pStyle w:val="2"/>
        <w:numPr>
          <w:ilvl w:val="0"/>
          <w:numId w:val="23"/>
        </w:numPr>
        <w:shd w:val="clear" w:color="000000" w:fill="auto"/>
        <w:tabs>
          <w:tab w:val="left" w:pos="1680"/>
          <w:tab w:val="clear" w:pos="1560"/>
        </w:tabs>
        <w:adjustRightInd w:val="0"/>
        <w:snapToGrid w:val="0"/>
        <w:spacing w:line="360" w:lineRule="auto"/>
        <w:ind w:left="1659" w:leftChars="770" w:hanging="42"/>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承包人违反第</w:t>
      </w:r>
      <w:r>
        <w:rPr>
          <w:rFonts w:ascii="仿宋" w:hAnsi="仿宋" w:eastAsia="仿宋" w:cs="仿宋"/>
          <w:color w:val="auto"/>
          <w:sz w:val="24"/>
          <w:szCs w:val="24"/>
          <w:highlight w:val="none"/>
        </w:rPr>
        <w:t>18.1</w:t>
      </w:r>
      <w:r>
        <w:rPr>
          <w:rFonts w:hint="eastAsia" w:ascii="仿宋" w:hAnsi="仿宋" w:eastAsia="仿宋" w:cs="仿宋"/>
          <w:color w:val="auto"/>
          <w:sz w:val="24"/>
          <w:szCs w:val="24"/>
          <w:highlight w:val="none"/>
        </w:rPr>
        <w:t>款或第</w:t>
      </w:r>
      <w:r>
        <w:rPr>
          <w:rFonts w:ascii="仿宋" w:hAnsi="仿宋" w:eastAsia="仿宋" w:cs="仿宋"/>
          <w:color w:val="auto"/>
          <w:sz w:val="24"/>
          <w:szCs w:val="24"/>
          <w:highlight w:val="none"/>
        </w:rPr>
        <w:t>51.4</w:t>
      </w:r>
      <w:r>
        <w:rPr>
          <w:rFonts w:hint="eastAsia" w:ascii="仿宋" w:hAnsi="仿宋" w:eastAsia="仿宋" w:cs="仿宋"/>
          <w:color w:val="auto"/>
          <w:sz w:val="24"/>
          <w:szCs w:val="24"/>
          <w:highlight w:val="none"/>
        </w:rPr>
        <w:t>款规定未经监理工程师批准，私自将已按照合同约定进入施工现场的施工设备、临时设施或材料运出施工现场的；</w:t>
      </w:r>
    </w:p>
    <w:p>
      <w:pPr>
        <w:pStyle w:val="2"/>
        <w:numPr>
          <w:ilvl w:val="0"/>
          <w:numId w:val="23"/>
        </w:numPr>
        <w:shd w:val="clear" w:color="000000" w:fill="auto"/>
        <w:adjustRightInd w:val="0"/>
        <w:snapToGrid w:val="0"/>
        <w:spacing w:line="360" w:lineRule="auto"/>
        <w:ind w:left="1678" w:leftChars="799" w:firstLine="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承包人拖延完工且能偿付的误期赔偿费已达到专用条款约定最高限额的；</w:t>
      </w:r>
      <w:r>
        <w:rPr>
          <w:rFonts w:ascii="仿宋" w:hAnsi="仿宋" w:eastAsia="仿宋" w:cs="仿宋"/>
          <w:color w:val="auto"/>
          <w:sz w:val="24"/>
          <w:szCs w:val="24"/>
          <w:highlight w:val="none"/>
        </w:rPr>
        <w:t xml:space="preserve"> </w:t>
      </w:r>
    </w:p>
    <w:p>
      <w:pPr>
        <w:pStyle w:val="2"/>
        <w:numPr>
          <w:ilvl w:val="0"/>
          <w:numId w:val="23"/>
        </w:numPr>
        <w:shd w:val="clear" w:color="000000" w:fill="auto"/>
        <w:adjustRightInd w:val="0"/>
        <w:snapToGrid w:val="0"/>
        <w:spacing w:line="360" w:lineRule="auto"/>
        <w:ind w:left="2096" w:leftChars="771" w:hanging="477" w:hangingChars="19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承包人转包工程、违法分包或未经许可擅自分包工程的；</w:t>
      </w:r>
    </w:p>
    <w:p>
      <w:pPr>
        <w:pStyle w:val="2"/>
        <w:numPr>
          <w:ilvl w:val="0"/>
          <w:numId w:val="23"/>
        </w:numPr>
        <w:shd w:val="clear" w:color="000000" w:fill="auto"/>
        <w:adjustRightInd w:val="0"/>
        <w:snapToGrid w:val="0"/>
        <w:spacing w:line="360" w:lineRule="auto"/>
        <w:ind w:left="1617" w:leftChars="770" w:firstLine="2"/>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承包人未按照合同约定或监理工程师的指令，经监理工程师书面指出后仍未按要求改正的；</w:t>
      </w:r>
    </w:p>
    <w:p>
      <w:pPr>
        <w:pStyle w:val="2"/>
        <w:numPr>
          <w:ilvl w:val="0"/>
          <w:numId w:val="23"/>
        </w:numPr>
        <w:shd w:val="clear" w:color="000000" w:fill="auto"/>
        <w:adjustRightInd w:val="0"/>
        <w:snapToGrid w:val="0"/>
        <w:spacing w:line="360" w:lineRule="auto"/>
        <w:ind w:left="2096" w:leftChars="771" w:hanging="477" w:hangingChars="19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承包人履行合同期间有欺诈行为的；</w:t>
      </w:r>
    </w:p>
    <w:p>
      <w:pPr>
        <w:pStyle w:val="2"/>
        <w:numPr>
          <w:ilvl w:val="0"/>
          <w:numId w:val="23"/>
        </w:numPr>
        <w:shd w:val="clear" w:color="000000" w:fill="auto"/>
        <w:adjustRightInd w:val="0"/>
        <w:snapToGrid w:val="0"/>
        <w:spacing w:line="360" w:lineRule="auto"/>
        <w:ind w:left="1618" w:leftChars="770" w:hanging="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承包人向任何人付给或企图付给任何贿赂、礼品、赏金、回扣或其他贵重物品，以引诱或报偿他人，但付给承包人相关人员的奖励则属例外；</w:t>
      </w:r>
    </w:p>
    <w:p>
      <w:pPr>
        <w:pStyle w:val="2"/>
        <w:shd w:val="clear" w:color="000000" w:fill="auto"/>
        <w:adjustRightInd w:val="0"/>
        <w:snapToGrid w:val="0"/>
        <w:spacing w:line="360" w:lineRule="auto"/>
        <w:ind w:left="1617"/>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(9)</w:t>
      </w:r>
      <w:r>
        <w:rPr>
          <w:rFonts w:hint="eastAsia" w:ascii="仿宋" w:hAnsi="仿宋" w:eastAsia="仿宋" w:cs="仿宋"/>
          <w:color w:val="auto"/>
          <w:sz w:val="24"/>
          <w:szCs w:val="24"/>
          <w:highlight w:val="none"/>
        </w:rPr>
        <w:t>承包人在缺陷责任期内未能对发生的缺陷进行修复，且又拒绝按照监理工程师指令再进行修补的；</w:t>
      </w:r>
    </w:p>
    <w:p>
      <w:pPr>
        <w:pStyle w:val="2"/>
        <w:shd w:val="clear" w:color="000000" w:fill="auto"/>
        <w:adjustRightInd w:val="0"/>
        <w:snapToGrid w:val="0"/>
        <w:spacing w:line="360" w:lineRule="auto"/>
        <w:ind w:left="1680" w:leftChars="8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(10)</w:t>
      </w:r>
      <w:r>
        <w:rPr>
          <w:rFonts w:hint="eastAsia" w:ascii="仿宋" w:hAnsi="仿宋" w:eastAsia="仿宋" w:cs="仿宋"/>
          <w:color w:val="auto"/>
          <w:sz w:val="24"/>
          <w:szCs w:val="24"/>
          <w:highlight w:val="none"/>
        </w:rPr>
        <w:t>承包人无法继续履行、明确表示或以行为表明不履行合同约定主要义务的；</w:t>
      </w:r>
    </w:p>
    <w:p>
      <w:pPr>
        <w:pStyle w:val="2"/>
        <w:shd w:val="clear" w:color="000000" w:fill="auto"/>
        <w:adjustRightInd w:val="0"/>
        <w:snapToGrid w:val="0"/>
        <w:spacing w:line="360" w:lineRule="auto"/>
        <w:ind w:left="168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(11)</w:t>
      </w:r>
      <w:r>
        <w:rPr>
          <w:rFonts w:hint="eastAsia" w:ascii="仿宋" w:hAnsi="仿宋" w:eastAsia="仿宋" w:cs="仿宋"/>
          <w:color w:val="auto"/>
          <w:sz w:val="24"/>
          <w:szCs w:val="24"/>
          <w:highlight w:val="none"/>
        </w:rPr>
        <w:t>承包人延迟履行合同约定主要义务，经催告后在合理期限内仍未履行的；</w:t>
      </w:r>
    </w:p>
    <w:p>
      <w:pPr>
        <w:pStyle w:val="2"/>
        <w:shd w:val="clear" w:color="000000" w:fill="auto"/>
        <w:adjustRightInd w:val="0"/>
        <w:snapToGrid w:val="0"/>
        <w:spacing w:line="360" w:lineRule="auto"/>
        <w:ind w:left="1619"/>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(12)</w:t>
      </w:r>
      <w:r>
        <w:rPr>
          <w:rFonts w:hint="eastAsia" w:ascii="仿宋" w:hAnsi="仿宋" w:eastAsia="仿宋" w:cs="仿宋"/>
          <w:color w:val="auto"/>
          <w:sz w:val="24"/>
          <w:szCs w:val="24"/>
          <w:highlight w:val="none"/>
        </w:rPr>
        <w:t>承包人破产或清偿的，但以机构重组或联合为目的的除外；</w:t>
      </w:r>
    </w:p>
    <w:p>
      <w:pPr>
        <w:shd w:val="clear" w:color="000000" w:fill="auto"/>
        <w:spacing w:line="360" w:lineRule="auto"/>
        <w:ind w:left="1680" w:hanging="1680" w:hangingChars="800"/>
        <w:rPr>
          <w:rFonts w:ascii="仿宋" w:hAnsi="仿宋" w:eastAsia="仿宋" w:cs="Times New Roman"/>
          <w:color w:val="auto"/>
          <w:sz w:val="24"/>
          <w:szCs w:val="24"/>
          <w:highlight w:val="none"/>
        </w:rPr>
      </w:pPr>
      <w:r>
        <w:rPr>
          <w:color w:val="auto"/>
          <w:highlight w:val="none"/>
        </w:rPr>
        <w:t xml:space="preserve">               </w:t>
      </w:r>
      <w:r>
        <w:rPr>
          <w:rFonts w:ascii="仿宋" w:hAnsi="仿宋" w:eastAsia="仿宋" w:cs="仿宋"/>
          <w:color w:val="auto"/>
          <w:sz w:val="24"/>
          <w:szCs w:val="24"/>
          <w:highlight w:val="none"/>
        </w:rPr>
        <w:t>(13)</w:t>
      </w:r>
      <w:r>
        <w:rPr>
          <w:rFonts w:hint="eastAsia" w:ascii="仿宋" w:hAnsi="仿宋" w:eastAsia="仿宋" w:cs="仿宋"/>
          <w:color w:val="auto"/>
          <w:sz w:val="24"/>
          <w:szCs w:val="24"/>
          <w:highlight w:val="none"/>
        </w:rPr>
        <w:t>承包人被认为是严重违反合同的其他违约行为。</w:t>
      </w:r>
    </w:p>
    <w:p>
      <w:pPr>
        <w:pStyle w:val="2"/>
        <w:shd w:val="clear" w:color="000000" w:fill="auto"/>
        <w:adjustRightInd w:val="0"/>
        <w:snapToGrid w:val="0"/>
        <w:spacing w:line="360" w:lineRule="auto"/>
        <w:ind w:left="1619" w:leftChars="771"/>
        <w:rPr>
          <w:rFonts w:ascii="仿宋" w:hAnsi="仿宋" w:eastAsia="仿宋" w:cs="Times New Roman"/>
          <w:b/>
          <w:bCs/>
          <w:color w:val="auto"/>
          <w:sz w:val="24"/>
          <w:szCs w:val="24"/>
          <w:highlight w:val="none"/>
        </w:rPr>
      </w:pPr>
      <w:r>
        <w:rPr>
          <w:rFonts w:hint="eastAsia" w:ascii="仿宋" w:hAnsi="仿宋" w:eastAsia="仿宋" w:cs="仿宋"/>
          <w:color w:val="auto"/>
          <w:sz w:val="24"/>
          <w:szCs w:val="24"/>
          <w:highlight w:val="none"/>
        </w:rPr>
        <w:t>在这种情况下，发包人可自行或委托第三方实施、完成合同工程或其任何部分，并可使用根据第</w:t>
      </w:r>
      <w:r>
        <w:rPr>
          <w:rFonts w:ascii="仿宋" w:hAnsi="仿宋" w:eastAsia="仿宋" w:cs="仿宋"/>
          <w:color w:val="auto"/>
          <w:sz w:val="24"/>
          <w:szCs w:val="24"/>
          <w:highlight w:val="none"/>
        </w:rPr>
        <w:t>18.2</w:t>
      </w:r>
      <w:r>
        <w:rPr>
          <w:rFonts w:hint="eastAsia" w:ascii="仿宋" w:hAnsi="仿宋" w:eastAsia="仿宋" w:cs="仿宋"/>
          <w:color w:val="auto"/>
          <w:sz w:val="24"/>
          <w:szCs w:val="24"/>
          <w:highlight w:val="none"/>
        </w:rPr>
        <w:t>款留下的承包人临时工程，直至永久工程完工为止。</w:t>
      </w:r>
    </w:p>
    <w:p>
      <w:pPr>
        <w:pStyle w:val="2"/>
        <w:shd w:val="clear" w:color="000000" w:fill="auto"/>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87.4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50432" behindDoc="0" locked="0" layoutInCell="1" allowOverlap="1">
                <wp:simplePos x="0" y="0"/>
                <wp:positionH relativeFrom="column">
                  <wp:posOffset>-114300</wp:posOffset>
                </wp:positionH>
                <wp:positionV relativeFrom="paragraph">
                  <wp:posOffset>29845</wp:posOffset>
                </wp:positionV>
                <wp:extent cx="914400" cy="503555"/>
                <wp:effectExtent l="0" t="0" r="0" b="0"/>
                <wp:wrapNone/>
                <wp:docPr id="383" name="文本框 387"/>
                <wp:cNvGraphicFramePr/>
                <a:graphic xmlns:a="http://schemas.openxmlformats.org/drawingml/2006/main">
                  <a:graphicData uri="http://schemas.microsoft.com/office/word/2010/wordprocessingShape">
                    <wps:wsp>
                      <wps:cNvSpPr txBox="1"/>
                      <wps:spPr>
                        <a:xfrm>
                          <a:off x="0" y="0"/>
                          <a:ext cx="914400" cy="50355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w:t>
                            </w:r>
                          </w:p>
                        </w:txbxContent>
                      </wps:txbx>
                      <wps:bodyPr upright="1"/>
                    </wps:wsp>
                  </a:graphicData>
                </a:graphic>
              </wp:anchor>
            </w:drawing>
          </mc:Choice>
          <mc:Fallback>
            <w:pict>
              <v:shape id="文本框 387" o:spid="_x0000_s1026" o:spt="202" type="#_x0000_t202" style="position:absolute;left:0pt;margin-left:-9pt;margin-top:2.35pt;height:39.65pt;width:72pt;z-index:252050432;mso-width-relative:page;mso-height-relative:page;" filled="f" stroked="f" coordsize="21600,21600" o:gfxdata="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yY8uONUA&#10;AAAIAQAADwAAAAAAAAABACAAAAAiAAAAZHJzL2Rvd25yZXYueG1sUEsBAhQAFAAAAAgAh07iQHyf&#10;Q2WwAQAAUQMAAA4AAAAAAAAAAQAgAAAAJA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w:t>
                      </w:r>
                    </w:p>
                  </w:txbxContent>
                </v:textbox>
              </v:shape>
            </w:pict>
          </mc:Fallback>
        </mc:AlternateContent>
      </w:r>
      <w:r>
        <w:rPr>
          <w:rFonts w:hint="eastAsia" w:ascii="仿宋" w:hAnsi="仿宋" w:eastAsia="仿宋" w:cs="仿宋"/>
          <w:color w:val="auto"/>
          <w:sz w:val="24"/>
          <w:szCs w:val="24"/>
          <w:highlight w:val="none"/>
        </w:rPr>
        <w:t>发包人有下列情形之一者，承包人可以解除合同：</w:t>
      </w:r>
    </w:p>
    <w:p>
      <w:pPr>
        <w:pStyle w:val="2"/>
        <w:numPr>
          <w:ilvl w:val="0"/>
          <w:numId w:val="24"/>
        </w:numPr>
        <w:shd w:val="clear" w:color="000000" w:fill="auto"/>
        <w:tabs>
          <w:tab w:val="left" w:pos="2160"/>
        </w:tabs>
        <w:adjustRightInd w:val="0"/>
        <w:snapToGrid w:val="0"/>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非承包人原因未按照第</w:t>
      </w:r>
      <w:r>
        <w:rPr>
          <w:rFonts w:ascii="仿宋" w:hAnsi="仿宋" w:eastAsia="仿宋" w:cs="仿宋"/>
          <w:color w:val="auto"/>
          <w:sz w:val="24"/>
          <w:szCs w:val="24"/>
          <w:highlight w:val="none"/>
        </w:rPr>
        <w:t>34.2</w:t>
      </w:r>
      <w:r>
        <w:rPr>
          <w:rFonts w:hint="eastAsia" w:ascii="仿宋" w:hAnsi="仿宋" w:eastAsia="仿宋" w:cs="仿宋"/>
          <w:color w:val="auto"/>
          <w:sz w:val="24"/>
          <w:szCs w:val="24"/>
          <w:highlight w:val="none"/>
        </w:rPr>
        <w:t>款规定期限内发出开工令，经承包人催告后</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天内仍未发出开工令的；</w:t>
      </w:r>
    </w:p>
    <w:p>
      <w:pPr>
        <w:pStyle w:val="2"/>
        <w:numPr>
          <w:ilvl w:val="0"/>
          <w:numId w:val="24"/>
        </w:numPr>
        <w:shd w:val="clear" w:color="000000" w:fill="auto"/>
        <w:tabs>
          <w:tab w:val="left" w:pos="2160"/>
        </w:tabs>
        <w:adjustRightInd w:val="0"/>
        <w:snapToGrid w:val="0"/>
        <w:spacing w:line="360" w:lineRule="auto"/>
        <w:ind w:left="1620" w:leftChars="771" w:hanging="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按照第</w:t>
      </w:r>
      <w:r>
        <w:rPr>
          <w:rFonts w:ascii="仿宋" w:hAnsi="仿宋" w:eastAsia="仿宋" w:cs="仿宋"/>
          <w:color w:val="auto"/>
          <w:sz w:val="24"/>
          <w:szCs w:val="24"/>
          <w:highlight w:val="none"/>
        </w:rPr>
        <w:t>35.3</w:t>
      </w:r>
      <w:r>
        <w:rPr>
          <w:rFonts w:hint="eastAsia" w:ascii="仿宋" w:hAnsi="仿宋" w:eastAsia="仿宋" w:cs="仿宋"/>
          <w:color w:val="auto"/>
          <w:sz w:val="24"/>
          <w:szCs w:val="24"/>
          <w:highlight w:val="none"/>
        </w:rPr>
        <w:t>款规定非承包人原因造成暂停施工持续</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天以上或累计停工时间超过了</w:t>
      </w:r>
      <w:r>
        <w:rPr>
          <w:rFonts w:ascii="仿宋" w:hAnsi="仿宋" w:eastAsia="仿宋" w:cs="仿宋"/>
          <w:color w:val="auto"/>
          <w:sz w:val="24"/>
          <w:szCs w:val="24"/>
          <w:highlight w:val="none"/>
        </w:rPr>
        <w:t>70</w:t>
      </w:r>
      <w:r>
        <w:rPr>
          <w:rFonts w:hint="eastAsia" w:ascii="仿宋" w:hAnsi="仿宋" w:eastAsia="仿宋" w:cs="仿宋"/>
          <w:color w:val="auto"/>
          <w:sz w:val="24"/>
          <w:szCs w:val="24"/>
          <w:highlight w:val="none"/>
        </w:rPr>
        <w:t>天的；</w:t>
      </w:r>
      <w:r>
        <w:rPr>
          <w:rFonts w:ascii="仿宋" w:hAnsi="仿宋" w:eastAsia="仿宋" w:cs="仿宋"/>
          <w:color w:val="auto"/>
          <w:sz w:val="24"/>
          <w:szCs w:val="24"/>
          <w:highlight w:val="none"/>
        </w:rPr>
        <w:t xml:space="preserve">           </w:t>
      </w:r>
    </w:p>
    <w:p>
      <w:pPr>
        <w:pStyle w:val="2"/>
        <w:numPr>
          <w:ilvl w:val="0"/>
          <w:numId w:val="24"/>
        </w:numPr>
        <w:shd w:val="clear" w:color="000000" w:fill="auto"/>
        <w:tabs>
          <w:tab w:val="left" w:pos="1800"/>
        </w:tabs>
        <w:adjustRightInd w:val="0"/>
        <w:snapToGrid w:val="0"/>
        <w:spacing w:line="360" w:lineRule="auto"/>
        <w:ind w:left="1620" w:leftChars="771" w:hanging="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发包人按照第</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条规定提供的施工设计图纸存在缺陷或按照第</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条规定供应的材料和工程设备不符合强制性标准，致使承包人无法施工，经承包人催告后</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天内仍未修正或更换的；</w:t>
      </w:r>
    </w:p>
    <w:p>
      <w:pPr>
        <w:pStyle w:val="2"/>
        <w:numPr>
          <w:ilvl w:val="0"/>
          <w:numId w:val="24"/>
        </w:numPr>
        <w:shd w:val="clear" w:color="000000" w:fill="auto"/>
        <w:tabs>
          <w:tab w:val="left" w:pos="2160"/>
          <w:tab w:val="clear" w:pos="1560"/>
        </w:tabs>
        <w:adjustRightInd w:val="0"/>
        <w:snapToGrid w:val="0"/>
        <w:spacing w:line="360" w:lineRule="auto"/>
        <w:ind w:left="1620" w:leftChars="771" w:hanging="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监理工程师未按照合同约定及时发出工作指令，导致承包人无法继续施工的；</w:t>
      </w:r>
      <w:r>
        <w:rPr>
          <w:rFonts w:ascii="仿宋" w:hAnsi="仿宋" w:eastAsia="仿宋" w:cs="仿宋"/>
          <w:color w:val="auto"/>
          <w:sz w:val="24"/>
          <w:szCs w:val="24"/>
          <w:highlight w:val="none"/>
        </w:rPr>
        <w:t xml:space="preserve"> </w:t>
      </w:r>
    </w:p>
    <w:p>
      <w:pPr>
        <w:pStyle w:val="2"/>
        <w:numPr>
          <w:ilvl w:val="0"/>
          <w:numId w:val="24"/>
        </w:numPr>
        <w:shd w:val="clear" w:color="000000" w:fill="auto"/>
        <w:tabs>
          <w:tab w:val="left" w:pos="2160"/>
        </w:tabs>
        <w:adjustRightInd w:val="0"/>
        <w:snapToGrid w:val="0"/>
        <w:spacing w:line="360" w:lineRule="auto"/>
        <w:ind w:left="1620" w:leftChars="771" w:hanging="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发包人未按照第</w:t>
      </w:r>
      <w:r>
        <w:rPr>
          <w:rFonts w:ascii="仿宋" w:hAnsi="仿宋" w:eastAsia="仿宋" w:cs="仿宋"/>
          <w:color w:val="auto"/>
          <w:sz w:val="24"/>
          <w:szCs w:val="24"/>
          <w:highlight w:val="none"/>
        </w:rPr>
        <w:t>78.1</w:t>
      </w:r>
      <w:r>
        <w:rPr>
          <w:rFonts w:hint="eastAsia" w:ascii="仿宋" w:hAnsi="仿宋" w:eastAsia="仿宋" w:cs="仿宋"/>
          <w:color w:val="auto"/>
          <w:sz w:val="24"/>
          <w:szCs w:val="24"/>
          <w:highlight w:val="none"/>
        </w:rPr>
        <w:t>款规定向承包人支付工程款，经承包人催告后</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天内仍未支付的；</w:t>
      </w:r>
    </w:p>
    <w:p>
      <w:pPr>
        <w:pStyle w:val="2"/>
        <w:numPr>
          <w:ilvl w:val="0"/>
          <w:numId w:val="24"/>
        </w:numPr>
        <w:shd w:val="clear" w:color="000000" w:fill="auto"/>
        <w:tabs>
          <w:tab w:val="left" w:pos="2160"/>
        </w:tabs>
        <w:adjustRightInd w:val="0"/>
        <w:snapToGrid w:val="0"/>
        <w:spacing w:line="360" w:lineRule="auto"/>
        <w:ind w:left="1620" w:leftChars="771" w:hanging="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发包人无法继续履行、明确表示或以行为表明不履行合同约定主要义务的；</w:t>
      </w:r>
    </w:p>
    <w:p>
      <w:pPr>
        <w:pStyle w:val="2"/>
        <w:shd w:val="clear" w:color="000000" w:fill="auto"/>
        <w:tabs>
          <w:tab w:val="left" w:pos="2160"/>
        </w:tabs>
        <w:adjustRightInd w:val="0"/>
        <w:snapToGrid w:val="0"/>
        <w:spacing w:line="360" w:lineRule="auto"/>
        <w:ind w:left="1619"/>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发包人延迟履行合同约定主要义务，经催告后在合理期限内仍未履行的；</w:t>
      </w:r>
    </w:p>
    <w:p>
      <w:pPr>
        <w:pStyle w:val="2"/>
        <w:shd w:val="clear" w:color="000000" w:fill="auto"/>
        <w:tabs>
          <w:tab w:val="left" w:pos="2160"/>
        </w:tabs>
        <w:adjustRightInd w:val="0"/>
        <w:snapToGrid w:val="0"/>
        <w:spacing w:line="360" w:lineRule="auto"/>
        <w:ind w:left="1619"/>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(8)</w:t>
      </w:r>
      <w:r>
        <w:rPr>
          <w:rFonts w:hint="eastAsia" w:ascii="仿宋" w:hAnsi="仿宋" w:eastAsia="仿宋" w:cs="仿宋"/>
          <w:color w:val="auto"/>
          <w:sz w:val="24"/>
          <w:szCs w:val="24"/>
          <w:highlight w:val="none"/>
        </w:rPr>
        <w:t>发包人破产或清偿的，但以机构重组或联合为目的的除外；</w:t>
      </w:r>
    </w:p>
    <w:p>
      <w:pPr>
        <w:pStyle w:val="2"/>
        <w:shd w:val="clear" w:color="000000" w:fill="auto"/>
        <w:tabs>
          <w:tab w:val="left" w:pos="2160"/>
        </w:tabs>
        <w:adjustRightInd w:val="0"/>
        <w:snapToGrid w:val="0"/>
        <w:spacing w:line="360" w:lineRule="auto"/>
        <w:ind w:left="1619"/>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(9)</w:t>
      </w:r>
      <w:r>
        <w:rPr>
          <w:rFonts w:hint="eastAsia" w:ascii="仿宋" w:hAnsi="仿宋" w:eastAsia="仿宋" w:cs="仿宋"/>
          <w:color w:val="auto"/>
          <w:sz w:val="24"/>
          <w:szCs w:val="24"/>
          <w:highlight w:val="none"/>
        </w:rPr>
        <w:t>发包人被认为是严重违反合同的其他违约行为。</w:t>
      </w:r>
    </w:p>
    <w:p>
      <w:pPr>
        <w:pStyle w:val="2"/>
        <w:shd w:val="clear" w:color="000000" w:fill="auto"/>
        <w:tabs>
          <w:tab w:val="left" w:pos="1320"/>
        </w:tabs>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2051456" behindDoc="0" locked="0" layoutInCell="1" allowOverlap="1">
                <wp:simplePos x="0" y="0"/>
                <wp:positionH relativeFrom="column">
                  <wp:posOffset>-114300</wp:posOffset>
                </wp:positionH>
                <wp:positionV relativeFrom="paragraph">
                  <wp:posOffset>202565</wp:posOffset>
                </wp:positionV>
                <wp:extent cx="914400" cy="396240"/>
                <wp:effectExtent l="0" t="0" r="0" b="0"/>
                <wp:wrapNone/>
                <wp:docPr id="384" name="文本框 38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书面通知合同解除</w:t>
                            </w:r>
                          </w:p>
                        </w:txbxContent>
                      </wps:txbx>
                      <wps:bodyPr upright="1"/>
                    </wps:wsp>
                  </a:graphicData>
                </a:graphic>
              </wp:anchor>
            </w:drawing>
          </mc:Choice>
          <mc:Fallback>
            <w:pict>
              <v:shape id="文本框 388" o:spid="_x0000_s1026" o:spt="202" type="#_x0000_t202" style="position:absolute;left:0pt;margin-left:-9pt;margin-top:15.95pt;height:31.2pt;width:72pt;z-index:252051456;mso-width-relative:page;mso-height-relative:page;" filled="f" stroked="f" coordsize="21600,21600" o:gfxdata="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WQ1uI&#10;1wAAAAkBAAAPAAAAAAAAAAEAIAAAACIAAABkcnMvZG93bnJldi54bWxQSwECFAAUAAAACACHTuJA&#10;7WxN17ABAABRAwAADgAAAAAAAAABACAAAAAmAQAAZHJzL2Uyb0RvYy54bWxQSwUGAAAAAAYABgBZ&#10;AQAASA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书面通知合同解除</w:t>
                      </w:r>
                    </w:p>
                  </w:txbxContent>
                </v:textbox>
              </v:shape>
            </w:pict>
          </mc:Fallback>
        </mc:AlternateContent>
      </w:r>
      <w:r>
        <w:rPr>
          <w:rFonts w:ascii="仿宋" w:hAnsi="仿宋" w:eastAsia="仿宋" w:cs="仿宋"/>
          <w:b/>
          <w:bCs/>
          <w:color w:val="auto"/>
          <w:sz w:val="24"/>
          <w:szCs w:val="24"/>
          <w:highlight w:val="none"/>
        </w:rPr>
        <w:t xml:space="preserve">87.5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87.2</w:t>
      </w:r>
      <w:r>
        <w:rPr>
          <w:rFonts w:hint="eastAsia" w:ascii="仿宋" w:hAnsi="仿宋" w:eastAsia="仿宋" w:cs="仿宋"/>
          <w:color w:val="auto"/>
          <w:sz w:val="24"/>
          <w:szCs w:val="24"/>
          <w:highlight w:val="none"/>
        </w:rPr>
        <w:t>款至第</w:t>
      </w:r>
      <w:r>
        <w:rPr>
          <w:rFonts w:ascii="仿宋" w:hAnsi="仿宋" w:eastAsia="仿宋" w:cs="仿宋"/>
          <w:color w:val="auto"/>
          <w:sz w:val="24"/>
          <w:szCs w:val="24"/>
          <w:highlight w:val="none"/>
        </w:rPr>
        <w:t>87.4</w:t>
      </w:r>
      <w:r>
        <w:rPr>
          <w:rFonts w:hint="eastAsia" w:ascii="仿宋" w:hAnsi="仿宋" w:eastAsia="仿宋" w:cs="仿宋"/>
          <w:color w:val="auto"/>
          <w:sz w:val="24"/>
          <w:szCs w:val="24"/>
          <w:highlight w:val="none"/>
        </w:rPr>
        <w:t>款规定要求解除合同的，解除方应以书面形式向另一方当事人发出解除合同的通知，另一方当事人收到通知时合同即告解除。对解除合同有争议的，应按照第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条规定处理。</w:t>
      </w:r>
    </w:p>
    <w:p>
      <w:pPr>
        <w:pStyle w:val="2"/>
        <w:shd w:val="clear" w:color="000000" w:fill="auto"/>
        <w:tabs>
          <w:tab w:val="left" w:pos="1320"/>
        </w:tabs>
        <w:adjustRightInd w:val="0"/>
        <w:snapToGrid w:val="0"/>
        <w:spacing w:line="48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87.6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52480" behindDoc="0" locked="0" layoutInCell="1" allowOverlap="1">
                <wp:simplePos x="0" y="0"/>
                <wp:positionH relativeFrom="column">
                  <wp:posOffset>-114300</wp:posOffset>
                </wp:positionH>
                <wp:positionV relativeFrom="paragraph">
                  <wp:posOffset>6985</wp:posOffset>
                </wp:positionV>
                <wp:extent cx="914400" cy="594360"/>
                <wp:effectExtent l="0" t="0" r="0" b="0"/>
                <wp:wrapNone/>
                <wp:docPr id="385" name="文本框 389"/>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合同解除后双方的责任和义务</w:t>
                            </w:r>
                          </w:p>
                        </w:txbxContent>
                      </wps:txbx>
                      <wps:bodyPr upright="1"/>
                    </wps:wsp>
                  </a:graphicData>
                </a:graphic>
              </wp:anchor>
            </w:drawing>
          </mc:Choice>
          <mc:Fallback>
            <w:pict>
              <v:shape id="文本框 389" o:spid="_x0000_s1026" o:spt="202" type="#_x0000_t202" style="position:absolute;left:0pt;margin-left:-9pt;margin-top:0.55pt;height:46.8pt;width:72pt;z-index:252052480;mso-width-relative:page;mso-height-relative:page;" filled="f" stroked="f" coordsize="21600,21600" o:gfxdata="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DGpytQA&#10;AAAIAQAADwAAAAAAAAABACAAAAAiAAAAZHJzL2Rvd25yZXYueG1sUEsBAhQAFAAAAAgAh07iQCQv&#10;/EexAQAAUQMAAA4AAAAAAAAAAQAgAAAAIw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合同解除后双方的责任和义务</w:t>
                      </w:r>
                    </w:p>
                  </w:txbxContent>
                </v:textbox>
              </v:shape>
            </w:pict>
          </mc:Fallback>
        </mc:AlternateContent>
      </w:r>
      <w:r>
        <w:rPr>
          <w:rFonts w:hint="eastAsia" w:ascii="仿宋" w:hAnsi="仿宋" w:eastAsia="仿宋" w:cs="仿宋"/>
          <w:color w:val="auto"/>
          <w:sz w:val="24"/>
          <w:szCs w:val="24"/>
          <w:highlight w:val="none"/>
        </w:rPr>
        <w:t>合同一旦解除，承包人应立即停止施工，保证现场安全，保护已完工程和已购材料、工程设备，尽快撤离现场，并将所有与本合同有关的施工文件、设计文件移交给监理工程师。发包人应为承包人的撤离提供便利和协助。</w:t>
      </w:r>
    </w:p>
    <w:p>
      <w:pPr>
        <w:pStyle w:val="2"/>
        <w:shd w:val="clear" w:color="000000" w:fill="auto"/>
        <w:adjustRightInd w:val="0"/>
        <w:snapToGrid w:val="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396" w:name="_Toc6074"/>
      <w:bookmarkStart w:id="397" w:name="_Toc469384072"/>
      <w:bookmarkStart w:id="398" w:name="_Toc10624913"/>
      <w:r>
        <w:rPr>
          <w:rFonts w:ascii="仿宋" w:hAnsi="仿宋" w:eastAsia="仿宋" w:cs="仿宋"/>
          <w:b/>
          <w:bCs/>
          <w:color w:val="auto"/>
          <w:sz w:val="24"/>
          <w:szCs w:val="24"/>
          <w:highlight w:val="none"/>
        </w:rPr>
        <w:t xml:space="preserve">88  </w:t>
      </w:r>
      <w:r>
        <w:rPr>
          <w:rFonts w:hint="eastAsia" w:ascii="仿宋" w:hAnsi="仿宋" w:eastAsia="仿宋" w:cs="仿宋"/>
          <w:b/>
          <w:bCs/>
          <w:color w:val="auto"/>
          <w:sz w:val="24"/>
          <w:szCs w:val="24"/>
          <w:highlight w:val="none"/>
        </w:rPr>
        <w:t>合同解除的支付</w:t>
      </w:r>
      <w:bookmarkEnd w:id="396"/>
      <w:bookmarkEnd w:id="397"/>
      <w:bookmarkEnd w:id="398"/>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2053504" behindDoc="0" locked="0" layoutInCell="1" allowOverlap="1">
                <wp:simplePos x="0" y="0"/>
                <wp:positionH relativeFrom="column">
                  <wp:posOffset>-66675</wp:posOffset>
                </wp:positionH>
                <wp:positionV relativeFrom="paragraph">
                  <wp:posOffset>188595</wp:posOffset>
                </wp:positionV>
                <wp:extent cx="914400" cy="396240"/>
                <wp:effectExtent l="0" t="0" r="0" b="0"/>
                <wp:wrapNone/>
                <wp:docPr id="386" name="文本框 39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协商一致解除的支付</w:t>
                            </w:r>
                          </w:p>
                        </w:txbxContent>
                      </wps:txbx>
                      <wps:bodyPr upright="1"/>
                    </wps:wsp>
                  </a:graphicData>
                </a:graphic>
              </wp:anchor>
            </w:drawing>
          </mc:Choice>
          <mc:Fallback>
            <w:pict>
              <v:shape id="文本框 390" o:spid="_x0000_s1026" o:spt="202" type="#_x0000_t202" style="position:absolute;left:0pt;margin-left:-5.25pt;margin-top:14.85pt;height:31.2pt;width:72pt;z-index:252053504;mso-width-relative:page;mso-height-relative:page;" filled="f" stroked="f" coordsize="21600,21600" o:gfxdata="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OZEZdYA&#10;AAAJAQAADwAAAAAAAAABACAAAAAiAAAAZHJzL2Rvd25yZXYueG1sUEsBAhQAFAAAAAgAh07iQLl+&#10;EHyvAQAAUQMAAA4AAAAAAAAAAQAgAAAAJQ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协商一致解除的支付</w:t>
                      </w:r>
                    </w:p>
                  </w:txbxContent>
                </v:textbox>
              </v:shape>
            </w:pict>
          </mc:Fallback>
        </mc:AlternateContent>
      </w:r>
      <w:r>
        <w:rPr>
          <w:rFonts w:ascii="仿宋" w:hAnsi="仿宋" w:eastAsia="仿宋" w:cs="仿宋"/>
          <w:b/>
          <w:bCs/>
          <w:color w:val="auto"/>
          <w:sz w:val="24"/>
          <w:szCs w:val="24"/>
          <w:highlight w:val="none"/>
        </w:rPr>
        <w:t xml:space="preserve">88.1     </w:t>
      </w:r>
    </w:p>
    <w:p>
      <w:pPr>
        <w:pStyle w:val="2"/>
        <w:shd w:val="clear" w:color="000000" w:fill="auto"/>
        <w:adjustRightInd w:val="0"/>
        <w:snapToGrid w:val="0"/>
        <w:spacing w:line="360" w:lineRule="auto"/>
        <w:ind w:firstLine="1680" w:firstLineChars="7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87.1</w:t>
      </w:r>
      <w:r>
        <w:rPr>
          <w:rFonts w:hint="eastAsia" w:ascii="仿宋" w:hAnsi="仿宋" w:eastAsia="仿宋" w:cs="仿宋"/>
          <w:color w:val="auto"/>
          <w:sz w:val="24"/>
          <w:szCs w:val="24"/>
          <w:highlight w:val="none"/>
        </w:rPr>
        <w:t>款规定解除合同的，按照达成的协议办理结算和支付工程款。</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88.2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54528"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387" name="文本框 391"/>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不可抗力解除的支付</w:t>
                            </w:r>
                          </w:p>
                        </w:txbxContent>
                      </wps:txbx>
                      <wps:bodyPr upright="1"/>
                    </wps:wsp>
                  </a:graphicData>
                </a:graphic>
              </wp:anchor>
            </w:drawing>
          </mc:Choice>
          <mc:Fallback>
            <w:pict>
              <v:shape id="文本框 391" o:spid="_x0000_s1026" o:spt="202" type="#_x0000_t202" style="position:absolute;left:0pt;margin-left:-9pt;margin-top:1.25pt;height:54.6pt;width:72pt;z-index:252054528;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D7j7fW&#10;AAAACQEAAA8AAAAAAAAAAQAgAAAAIgAAAGRycy9kb3ducmV2LnhtbFBLAQIUABQAAAAIAIdO4kAL&#10;vbFpsAEAAFEDAAAOAAAAAAAAAAEAIAAAACUBAABkcnMvZTJvRG9jLnhtbFBLBQYAAAAABgAGAFkB&#10;AABH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不可抗力解除的支付</w:t>
                      </w:r>
                    </w:p>
                  </w:txbxContent>
                </v:textbox>
              </v:shape>
            </w:pict>
          </mc:Fallback>
        </mc:AlternateContent>
      </w: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87.2</w:t>
      </w:r>
      <w:r>
        <w:rPr>
          <w:rFonts w:hint="eastAsia" w:ascii="仿宋" w:hAnsi="仿宋" w:eastAsia="仿宋" w:cs="仿宋"/>
          <w:color w:val="auto"/>
          <w:sz w:val="24"/>
          <w:szCs w:val="24"/>
          <w:highlight w:val="none"/>
        </w:rPr>
        <w:t>款规定解除合同的，发包人应向承包人支付合同解除之日前已完成工程但尚未支付的工程款。此外，发包人还应支付下列款项：</w:t>
      </w:r>
    </w:p>
    <w:p>
      <w:pPr>
        <w:pStyle w:val="2"/>
        <w:numPr>
          <w:ilvl w:val="0"/>
          <w:numId w:val="25"/>
        </w:numPr>
        <w:shd w:val="clear" w:color="000000" w:fill="auto"/>
        <w:adjustRightInd w:val="0"/>
        <w:snapToGrid w:val="0"/>
        <w:spacing w:line="360" w:lineRule="auto"/>
        <w:ind w:left="2096" w:leftChars="771" w:hanging="477" w:hangingChars="19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已实施或部分实施的措施项目应付款项；</w:t>
      </w:r>
    </w:p>
    <w:p>
      <w:pPr>
        <w:pStyle w:val="2"/>
        <w:numPr>
          <w:ilvl w:val="0"/>
          <w:numId w:val="25"/>
        </w:numPr>
        <w:shd w:val="clear" w:color="000000" w:fill="auto"/>
        <w:adjustRightInd w:val="0"/>
        <w:snapToGrid w:val="0"/>
        <w:spacing w:line="360" w:lineRule="auto"/>
        <w:ind w:left="1618" w:leftChars="770" w:hanging="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承包人为合同工程合理订购且已交付的材料和工程设备货款。发包人一经支付此项货款，该材料和工程设备即成为发包人的财产；</w:t>
      </w:r>
    </w:p>
    <w:p>
      <w:pPr>
        <w:pStyle w:val="2"/>
        <w:numPr>
          <w:ilvl w:val="0"/>
          <w:numId w:val="25"/>
        </w:numPr>
        <w:shd w:val="clear" w:color="000000" w:fill="auto"/>
        <w:adjustRightInd w:val="0"/>
        <w:snapToGrid w:val="0"/>
        <w:spacing w:line="360" w:lineRule="auto"/>
        <w:ind w:left="1618" w:leftChars="770" w:hanging="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承包人为完成合同工程而预期开支的任何合理款项，且该项款项未包括在本款其他各项支付之内；</w:t>
      </w:r>
    </w:p>
    <w:p>
      <w:pPr>
        <w:pStyle w:val="2"/>
        <w:numPr>
          <w:ilvl w:val="0"/>
          <w:numId w:val="25"/>
        </w:numPr>
        <w:shd w:val="clear" w:color="000000" w:fill="auto"/>
        <w:adjustRightInd w:val="0"/>
        <w:snapToGrid w:val="0"/>
        <w:spacing w:line="360" w:lineRule="auto"/>
        <w:ind w:left="2096" w:leftChars="771" w:hanging="477" w:hangingChars="19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31.3</w:t>
      </w:r>
      <w:r>
        <w:rPr>
          <w:rFonts w:hint="eastAsia" w:ascii="仿宋" w:hAnsi="仿宋" w:eastAsia="仿宋" w:cs="仿宋"/>
          <w:color w:val="auto"/>
          <w:sz w:val="24"/>
          <w:szCs w:val="24"/>
          <w:highlight w:val="none"/>
        </w:rPr>
        <w:t>款规定的任何工作应支付的款项；</w:t>
      </w:r>
    </w:p>
    <w:p>
      <w:pPr>
        <w:pStyle w:val="2"/>
        <w:numPr>
          <w:ilvl w:val="0"/>
          <w:numId w:val="25"/>
        </w:numPr>
        <w:shd w:val="clear" w:color="000000" w:fill="auto"/>
        <w:tabs>
          <w:tab w:val="left" w:pos="1980"/>
        </w:tabs>
        <w:adjustRightInd w:val="0"/>
        <w:snapToGrid w:val="0"/>
        <w:spacing w:line="360" w:lineRule="auto"/>
        <w:ind w:left="1618" w:leftChars="770" w:hanging="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87.6</w:t>
      </w:r>
      <w:r>
        <w:rPr>
          <w:rFonts w:hint="eastAsia" w:ascii="仿宋" w:hAnsi="仿宋" w:eastAsia="仿宋" w:cs="仿宋"/>
          <w:color w:val="auto"/>
          <w:sz w:val="24"/>
          <w:szCs w:val="24"/>
          <w:highlight w:val="none"/>
        </w:rPr>
        <w:t>款规定承包人撤离现场所需的合理款项，包括雇员遣送费和临时工程拆除、施工设备运离现场的款项。</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合同双方当事人按照第</w:t>
      </w:r>
      <w:r>
        <w:rPr>
          <w:rFonts w:ascii="仿宋" w:hAnsi="仿宋" w:eastAsia="仿宋" w:cs="仿宋"/>
          <w:color w:val="auto"/>
          <w:sz w:val="24"/>
          <w:szCs w:val="24"/>
          <w:highlight w:val="none"/>
        </w:rPr>
        <w:t>82</w:t>
      </w:r>
      <w:r>
        <w:rPr>
          <w:rFonts w:hint="eastAsia" w:ascii="仿宋" w:hAnsi="仿宋" w:eastAsia="仿宋" w:cs="仿宋"/>
          <w:color w:val="auto"/>
          <w:sz w:val="24"/>
          <w:szCs w:val="24"/>
          <w:highlight w:val="none"/>
        </w:rPr>
        <w:t>条、第</w:t>
      </w:r>
      <w:r>
        <w:rPr>
          <w:rFonts w:ascii="仿宋" w:hAnsi="仿宋" w:eastAsia="仿宋" w:cs="仿宋"/>
          <w:color w:val="auto"/>
          <w:sz w:val="24"/>
          <w:szCs w:val="24"/>
          <w:highlight w:val="none"/>
        </w:rPr>
        <w:t>83</w:t>
      </w:r>
      <w:r>
        <w:rPr>
          <w:rFonts w:hint="eastAsia" w:ascii="仿宋" w:hAnsi="仿宋" w:eastAsia="仿宋" w:cs="仿宋"/>
          <w:color w:val="auto"/>
          <w:sz w:val="24"/>
          <w:szCs w:val="24"/>
          <w:highlight w:val="none"/>
        </w:rPr>
        <w:t>条规定办理结算工程款，但应扣除合同解除之日前发包人向承包人收回的任何款项。如果发包人应扣除的款项超过了应支付的款项，则承包人应在合同解除后的</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天内将其差额退还给发包人。</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88.3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2055552" behindDoc="0" locked="0" layoutInCell="1" allowOverlap="1">
                <wp:simplePos x="0" y="0"/>
                <wp:positionH relativeFrom="column">
                  <wp:posOffset>-114300</wp:posOffset>
                </wp:positionH>
                <wp:positionV relativeFrom="paragraph">
                  <wp:posOffset>49530</wp:posOffset>
                </wp:positionV>
                <wp:extent cx="914400" cy="693420"/>
                <wp:effectExtent l="0" t="0" r="0" b="0"/>
                <wp:wrapNone/>
                <wp:docPr id="388" name="文本框 392"/>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因承包人的原因解除的支付</w:t>
                            </w:r>
                          </w:p>
                        </w:txbxContent>
                      </wps:txbx>
                      <wps:bodyPr upright="1"/>
                    </wps:wsp>
                  </a:graphicData>
                </a:graphic>
              </wp:anchor>
            </w:drawing>
          </mc:Choice>
          <mc:Fallback>
            <w:pict>
              <v:shape id="文本框 392" o:spid="_x0000_s1026" o:spt="202" type="#_x0000_t202" style="position:absolute;left:0pt;margin-left:-9pt;margin-top:3.9pt;height:54.6pt;width:72pt;z-index:252055552;mso-width-relative:page;mso-height-relative:page;" filled="f" stroked="f" coordsize="21600,21600" o:gfxdata="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kBr53W&#10;AAAACQEAAA8AAAAAAAAAAQAgAAAAIgAAAGRycy9kb3ducmV2LnhtbFBLAQIUABQAAAAIAIdO4kB1&#10;OoD2sAEAAFEDAAAOAAAAAAAAAAEAIAAAACUBAABkcnMvZTJvRG9jLnhtbFBLBQYAAAAABgAGAFkB&#10;AABH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因承包人的原因解除的支付</w:t>
                      </w:r>
                    </w:p>
                  </w:txbxContent>
                </v:textbox>
              </v:shape>
            </w:pict>
          </mc:Fallback>
        </mc:AlternateContent>
      </w: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87.3</w:t>
      </w:r>
      <w:r>
        <w:rPr>
          <w:rFonts w:hint="eastAsia" w:ascii="仿宋" w:hAnsi="仿宋" w:eastAsia="仿宋" w:cs="仿宋"/>
          <w:color w:val="auto"/>
          <w:sz w:val="24"/>
          <w:szCs w:val="24"/>
          <w:highlight w:val="none"/>
        </w:rPr>
        <w:t>款规定解除合同的，发包人暂停向承包人支付任何款项，造价工程师应在合同解除后</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核实合同解除时承包人已完成的全部工程款以及已运至现场的材料和工程设备货款，并扣除误期赔偿费（如有）和发包人已支付给承包人的各项款项，同时将结果通知承包人并抄报发包人。合同双方当事人应在收到核实结果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天内予以确认或提出意见，并按照第</w:t>
      </w:r>
      <w:r>
        <w:rPr>
          <w:rFonts w:ascii="仿宋" w:hAnsi="仿宋" w:eastAsia="仿宋" w:cs="仿宋"/>
          <w:color w:val="auto"/>
          <w:sz w:val="24"/>
          <w:szCs w:val="24"/>
          <w:highlight w:val="none"/>
        </w:rPr>
        <w:t>82.4</w:t>
      </w:r>
      <w:r>
        <w:rPr>
          <w:rFonts w:hint="eastAsia" w:ascii="仿宋" w:hAnsi="仿宋" w:eastAsia="仿宋" w:cs="仿宋"/>
          <w:color w:val="auto"/>
          <w:sz w:val="24"/>
          <w:szCs w:val="24"/>
          <w:highlight w:val="none"/>
        </w:rPr>
        <w:t>款规定办理结算工程款。如果发包人应扣除的款项超过了应支付的款项，则承包人应在合同解除后的</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天内将其差额退还给发包人。</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88.4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jc w:val="left"/>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56576" behindDoc="0" locked="0" layoutInCell="1" allowOverlap="1">
                <wp:simplePos x="0" y="0"/>
                <wp:positionH relativeFrom="column">
                  <wp:posOffset>-114300</wp:posOffset>
                </wp:positionH>
                <wp:positionV relativeFrom="paragraph">
                  <wp:posOffset>45720</wp:posOffset>
                </wp:positionV>
                <wp:extent cx="914400" cy="463550"/>
                <wp:effectExtent l="0" t="0" r="0" b="0"/>
                <wp:wrapNone/>
                <wp:docPr id="389" name="文本框 393"/>
                <wp:cNvGraphicFramePr/>
                <a:graphic xmlns:a="http://schemas.openxmlformats.org/drawingml/2006/main">
                  <a:graphicData uri="http://schemas.microsoft.com/office/word/2010/wordprocessingShape">
                    <wps:wsp>
                      <wps:cNvSpPr txBox="1"/>
                      <wps:spPr>
                        <a:xfrm>
                          <a:off x="0" y="0"/>
                          <a:ext cx="914400" cy="46355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因发包人的原因解除的支付</w:t>
                            </w:r>
                          </w:p>
                        </w:txbxContent>
                      </wps:txbx>
                      <wps:bodyPr upright="1"/>
                    </wps:wsp>
                  </a:graphicData>
                </a:graphic>
              </wp:anchor>
            </w:drawing>
          </mc:Choice>
          <mc:Fallback>
            <w:pict>
              <v:shape id="文本框 393" o:spid="_x0000_s1026" o:spt="202" type="#_x0000_t202" style="position:absolute;left:0pt;margin-left:-9pt;margin-top:3.6pt;height:36.5pt;width:72pt;z-index:252056576;mso-width-relative:page;mso-height-relative:page;" filled="f" stroked="f" coordsize="21600,21600" o:gfxdata="UEsDBAoAAAAAAIdO4kAAAAAAAAAAAAAAAAAEAAAAZHJzL1BLAwQUAAAACACHTuJAA9E29d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APRNvXV&#10;AAAACAEAAA8AAAAAAAAAAQAgAAAAIgAAAGRycy9kb3ducmV2LnhtbFBLAQIUABQAAAAIAIdO4kAN&#10;jegbsQEAAFEDAAAOAAAAAAAAAAEAIAAAACQBAABkcnMvZTJvRG9jLnhtbFBLBQYAAAAABgAGAFkB&#10;AABH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因发包人的原因解除的支付</w:t>
                      </w:r>
                    </w:p>
                  </w:txbxContent>
                </v:textbox>
              </v:shape>
            </w:pict>
          </mc:Fallback>
        </mc:AlternateContent>
      </w: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87.4</w:t>
      </w:r>
      <w:r>
        <w:rPr>
          <w:rFonts w:hint="eastAsia" w:ascii="仿宋" w:hAnsi="仿宋" w:eastAsia="仿宋" w:cs="仿宋"/>
          <w:color w:val="auto"/>
          <w:sz w:val="24"/>
          <w:szCs w:val="24"/>
          <w:highlight w:val="none"/>
        </w:rPr>
        <w:t>款规定解除合同的，发包人除应按照第</w:t>
      </w:r>
      <w:r>
        <w:rPr>
          <w:rFonts w:ascii="仿宋" w:hAnsi="仿宋" w:eastAsia="仿宋" w:cs="仿宋"/>
          <w:color w:val="auto"/>
          <w:sz w:val="24"/>
          <w:szCs w:val="24"/>
          <w:highlight w:val="none"/>
        </w:rPr>
        <w:t>88.2</w:t>
      </w:r>
      <w:r>
        <w:rPr>
          <w:rFonts w:hint="eastAsia" w:ascii="仿宋" w:hAnsi="仿宋" w:eastAsia="仿宋" w:cs="仿宋"/>
          <w:color w:val="auto"/>
          <w:sz w:val="24"/>
          <w:szCs w:val="24"/>
          <w:highlight w:val="none"/>
        </w:rPr>
        <w:t>款规定向承包人支付各项款项外，还应支付给承包人由于解除合同而引起的损失或损害的款项。该笔款项由承包人提出，造价工程师核实后与合同双方当事人协商确定，并在确定后的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天内由造价工程师向发包人签发支付证书，抄送承包人。协商不能达成一致的，按照第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条规定处理。</w:t>
      </w:r>
    </w:p>
    <w:p>
      <w:pPr>
        <w:pStyle w:val="2"/>
        <w:shd w:val="clear" w:color="000000" w:fill="auto"/>
        <w:adjustRightInd w:val="0"/>
        <w:snapToGrid w:val="0"/>
        <w:spacing w:line="360" w:lineRule="auto"/>
        <w:jc w:val="left"/>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adjustRightInd w:val="0"/>
        <w:snapToGrid w:val="0"/>
        <w:spacing w:line="360" w:lineRule="auto"/>
        <w:jc w:val="left"/>
        <w:outlineLvl w:val="2"/>
        <w:rPr>
          <w:rFonts w:ascii="仿宋" w:hAnsi="仿宋" w:eastAsia="仿宋" w:cs="Times New Roman"/>
          <w:b/>
          <w:bCs/>
          <w:color w:val="auto"/>
          <w:sz w:val="24"/>
          <w:szCs w:val="24"/>
          <w:highlight w:val="none"/>
        </w:rPr>
      </w:pPr>
      <w:bookmarkStart w:id="399" w:name="_Toc10624914"/>
      <w:bookmarkStart w:id="400" w:name="_Toc1609"/>
      <w:bookmarkStart w:id="401" w:name="_Toc469384073"/>
      <w:r>
        <w:rPr>
          <w:rFonts w:ascii="仿宋" w:hAnsi="仿宋" w:eastAsia="仿宋" w:cs="仿宋"/>
          <w:b/>
          <w:bCs/>
          <w:color w:val="auto"/>
          <w:sz w:val="24"/>
          <w:szCs w:val="24"/>
          <w:highlight w:val="none"/>
        </w:rPr>
        <w:t xml:space="preserve">89  </w:t>
      </w:r>
      <w:r>
        <w:rPr>
          <w:rFonts w:hint="eastAsia" w:ascii="仿宋" w:hAnsi="仿宋" w:eastAsia="仿宋" w:cs="仿宋"/>
          <w:b/>
          <w:bCs/>
          <w:color w:val="auto"/>
          <w:sz w:val="24"/>
          <w:szCs w:val="24"/>
          <w:highlight w:val="none"/>
        </w:rPr>
        <w:t>合同终止</w:t>
      </w:r>
      <w:bookmarkEnd w:id="399"/>
      <w:bookmarkEnd w:id="400"/>
      <w:bookmarkEnd w:id="401"/>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89.1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57600"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90" name="文本框 39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合同解除后的终止</w:t>
                            </w:r>
                          </w:p>
                        </w:txbxContent>
                      </wps:txbx>
                      <wps:bodyPr upright="1"/>
                    </wps:wsp>
                  </a:graphicData>
                </a:graphic>
              </wp:anchor>
            </w:drawing>
          </mc:Choice>
          <mc:Fallback>
            <w:pict>
              <v:shape id="文本框 394" o:spid="_x0000_s1026" o:spt="202" type="#_x0000_t202" style="position:absolute;left:0pt;margin-left:-9pt;margin-top:1.25pt;height:31.2pt;width:72pt;z-index:252057600;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8/wcNUA&#10;AAAIAQAADwAAAAAAAAABACAAAAAiAAAAZHJzL2Rvd25yZXYueG1sUEsBAhQAFAAAAAgAh07iQJpb&#10;Ny2wAQAAUQMAAA4AAAAAAAAAAQAgAAAAJA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合同解除后的终止</w:t>
                      </w:r>
                    </w:p>
                  </w:txbxContent>
                </v:textbox>
              </v:shape>
            </w:pict>
          </mc:Fallback>
        </mc:AlternateContent>
      </w:r>
      <w:r>
        <w:rPr>
          <w:rFonts w:hint="eastAsia" w:ascii="仿宋" w:hAnsi="仿宋" w:eastAsia="仿宋" w:cs="仿宋"/>
          <w:color w:val="auto"/>
          <w:sz w:val="24"/>
          <w:szCs w:val="24"/>
          <w:highlight w:val="none"/>
        </w:rPr>
        <w:t>合同解除后，除合同双方当事人享有第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条至第</w:t>
      </w:r>
      <w:r>
        <w:rPr>
          <w:rFonts w:ascii="仿宋" w:hAnsi="仿宋" w:eastAsia="仿宋" w:cs="仿宋"/>
          <w:color w:val="auto"/>
          <w:sz w:val="24"/>
          <w:szCs w:val="24"/>
          <w:highlight w:val="none"/>
        </w:rPr>
        <w:t>88</w:t>
      </w:r>
      <w:r>
        <w:rPr>
          <w:rFonts w:hint="eastAsia" w:ascii="仿宋" w:hAnsi="仿宋" w:eastAsia="仿宋" w:cs="仿宋"/>
          <w:color w:val="auto"/>
          <w:sz w:val="24"/>
          <w:szCs w:val="24"/>
          <w:highlight w:val="none"/>
        </w:rPr>
        <w:t>条规定的权利外，本合同即告终止，但不因一方当事人在此以前的任何违约而损害另一方当事人应享有的权利，也不影响合同双方当事人履行本合同结算和清算条款的效力。</w:t>
      </w:r>
    </w:p>
    <w:p>
      <w:pPr>
        <w:pStyle w:val="2"/>
        <w:shd w:val="clear" w:color="000000" w:fill="auto"/>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89.2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58624" behindDoc="0" locked="0" layoutInCell="1" allowOverlap="1">
                <wp:simplePos x="0" y="0"/>
                <wp:positionH relativeFrom="column">
                  <wp:posOffset>-114300</wp:posOffset>
                </wp:positionH>
                <wp:positionV relativeFrom="paragraph">
                  <wp:posOffset>635</wp:posOffset>
                </wp:positionV>
                <wp:extent cx="914400" cy="851535"/>
                <wp:effectExtent l="0" t="0" r="0" b="0"/>
                <wp:wrapNone/>
                <wp:docPr id="391" name="文本框 395"/>
                <wp:cNvGraphicFramePr/>
                <a:graphic xmlns:a="http://schemas.openxmlformats.org/drawingml/2006/main">
                  <a:graphicData uri="http://schemas.microsoft.com/office/word/2010/wordprocessingShape">
                    <wps:wsp>
                      <wps:cNvSpPr txBox="1"/>
                      <wps:spPr>
                        <a:xfrm>
                          <a:off x="0" y="0"/>
                          <a:ext cx="914400" cy="85153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双方履行完全部义务后的终止</w:t>
                            </w:r>
                          </w:p>
                        </w:txbxContent>
                      </wps:txbx>
                      <wps:bodyPr upright="1"/>
                    </wps:wsp>
                  </a:graphicData>
                </a:graphic>
              </wp:anchor>
            </w:drawing>
          </mc:Choice>
          <mc:Fallback>
            <w:pict>
              <v:shape id="文本框 395" o:spid="_x0000_s1026" o:spt="202" type="#_x0000_t202" style="position:absolute;left:0pt;margin-left:-9pt;margin-top:0.05pt;height:67.05pt;width:72pt;z-index:252058624;mso-width-relative:page;mso-height-relative:page;" filled="f" stroked="f" coordsize="21600,21600" o:gfxdata="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N/Cqn7V&#10;AAAACAEAAA8AAAAAAAAAAQAgAAAAIgAAAGRycy9kb3ducmV2LnhtbFBLAQIUABQAAAAIAIdO4kD1&#10;tE3SsQEAAFEDAAAOAAAAAAAAAAEAIAAAACQBAABkcnMvZTJvRG9jLnhtbFBLBQYAAAAABgAGAFkB&#10;AABH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双方履行完全部义务后的终止</w:t>
                      </w:r>
                    </w:p>
                  </w:txbxContent>
                </v:textbox>
              </v:shape>
            </w:pict>
          </mc:Fallback>
        </mc:AlternateContent>
      </w:r>
      <w:r>
        <w:rPr>
          <w:rFonts w:hint="eastAsia" w:ascii="仿宋" w:hAnsi="仿宋" w:eastAsia="仿宋" w:cs="仿宋"/>
          <w:color w:val="auto"/>
          <w:sz w:val="24"/>
          <w:szCs w:val="24"/>
          <w:highlight w:val="none"/>
        </w:rPr>
        <w:t>除第</w:t>
      </w:r>
      <w:r>
        <w:rPr>
          <w:rFonts w:ascii="仿宋" w:hAnsi="仿宋" w:eastAsia="仿宋" w:cs="仿宋"/>
          <w:color w:val="auto"/>
          <w:sz w:val="24"/>
          <w:szCs w:val="24"/>
          <w:highlight w:val="none"/>
        </w:rPr>
        <w:t>59</w:t>
      </w:r>
      <w:r>
        <w:rPr>
          <w:rFonts w:hint="eastAsia" w:ascii="仿宋" w:hAnsi="仿宋" w:eastAsia="仿宋" w:cs="仿宋"/>
          <w:color w:val="auto"/>
          <w:sz w:val="24"/>
          <w:szCs w:val="24"/>
          <w:highlight w:val="none"/>
        </w:rPr>
        <w:t>条和第</w:t>
      </w:r>
      <w:r>
        <w:rPr>
          <w:rFonts w:ascii="仿宋" w:hAnsi="仿宋" w:eastAsia="仿宋" w:cs="仿宋"/>
          <w:color w:val="auto"/>
          <w:sz w:val="24"/>
          <w:szCs w:val="24"/>
          <w:highlight w:val="none"/>
        </w:rPr>
        <w:t>84</w:t>
      </w:r>
      <w:r>
        <w:rPr>
          <w:rFonts w:hint="eastAsia" w:ascii="仿宋" w:hAnsi="仿宋" w:eastAsia="仿宋" w:cs="仿宋"/>
          <w:color w:val="auto"/>
          <w:sz w:val="24"/>
          <w:szCs w:val="24"/>
          <w:highlight w:val="none"/>
        </w:rPr>
        <w:t>条规定的质量保修条款外，合同双方当事人履行完本合同全部义务，发包人向承包人支付完竣工结算款，承包人向发包人交付竣工工程后，本合同即告终止。</w:t>
      </w:r>
    </w:p>
    <w:p>
      <w:pPr>
        <w:pStyle w:val="2"/>
        <w:shd w:val="clear" w:color="000000" w:fill="auto"/>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89.3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59648"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392" name="文本框 396"/>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合同终止后双方的义务</w:t>
                            </w:r>
                          </w:p>
                        </w:txbxContent>
                      </wps:txbx>
                      <wps:bodyPr upright="1"/>
                    </wps:wsp>
                  </a:graphicData>
                </a:graphic>
              </wp:anchor>
            </w:drawing>
          </mc:Choice>
          <mc:Fallback>
            <w:pict>
              <v:shape id="文本框 396" o:spid="_x0000_s1026" o:spt="202" type="#_x0000_t202" style="position:absolute;left:0pt;margin-left:-9pt;margin-top:1.05pt;height:32.75pt;width:72pt;z-index:252059648;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nEyWpNUA&#10;AAAIAQAADwAAAAAAAAABACAAAAAiAAAAZHJzL2Rvd25yZXYueG1sUEsBAhQAFAAAAAgAh07iQNgz&#10;kwqwAQAAUQMAAA4AAAAAAAAAAQAgAAAAJA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合同终止后双方的义务</w:t>
                      </w:r>
                    </w:p>
                  </w:txbxContent>
                </v:textbox>
              </v:shape>
            </w:pict>
          </mc:Fallback>
        </mc:AlternateContent>
      </w:r>
      <w:r>
        <w:rPr>
          <w:rFonts w:hint="eastAsia" w:ascii="仿宋" w:hAnsi="仿宋" w:eastAsia="仿宋" w:cs="仿宋"/>
          <w:color w:val="auto"/>
          <w:sz w:val="24"/>
          <w:szCs w:val="24"/>
          <w:highlight w:val="none"/>
        </w:rPr>
        <w:t>本合同的权利义务终止后，合同双方当事人仍应遵循诚实信用原则，继续履行合同约定的通知、协助、保密等义务。</w:t>
      </w:r>
    </w:p>
    <w:p>
      <w:pPr>
        <w:pStyle w:val="2"/>
        <w:shd w:val="clear" w:color="000000" w:fill="auto"/>
        <w:adjustRightInd w:val="0"/>
        <w:snapToGrid w:val="0"/>
        <w:spacing w:line="480" w:lineRule="auto"/>
        <w:ind w:right="-238"/>
        <w:rPr>
          <w:rFonts w:ascii="仿宋" w:hAnsi="仿宋" w:eastAsia="仿宋" w:cs="仿宋"/>
          <w:color w:val="auto"/>
          <w:sz w:val="24"/>
          <w:szCs w:val="24"/>
          <w:highlight w:val="none"/>
          <w:u w:val="single"/>
        </w:rPr>
      </w:pPr>
      <w:r>
        <w:rPr>
          <w:rFonts w:ascii="仿宋" w:hAnsi="仿宋" w:eastAsia="仿宋" w:cs="仿宋"/>
          <w:color w:val="auto"/>
          <w:sz w:val="24"/>
          <w:szCs w:val="24"/>
          <w:highlight w:val="none"/>
          <w:u w:val="single"/>
        </w:rPr>
        <w:t xml:space="preserve">                                                                                 </w:t>
      </w:r>
    </w:p>
    <w:p>
      <w:pPr>
        <w:shd w:val="clear" w:color="000000" w:fill="auto"/>
        <w:ind w:firstLine="2951" w:firstLineChars="1225"/>
        <w:outlineLvl w:val="1"/>
        <w:rPr>
          <w:rFonts w:ascii="仿宋" w:hAnsi="仿宋" w:eastAsia="仿宋" w:cs="Times New Roman"/>
          <w:b/>
          <w:bCs/>
          <w:color w:val="auto"/>
          <w:sz w:val="24"/>
          <w:szCs w:val="24"/>
          <w:highlight w:val="none"/>
        </w:rPr>
      </w:pPr>
      <w:bookmarkStart w:id="402" w:name="_Toc6857"/>
      <w:bookmarkStart w:id="403" w:name="_Toc24919"/>
      <w:r>
        <w:rPr>
          <w:rFonts w:hint="eastAsia" w:ascii="仿宋" w:hAnsi="仿宋" w:eastAsia="仿宋" w:cs="仿宋"/>
          <w:b/>
          <w:bCs/>
          <w:color w:val="auto"/>
          <w:sz w:val="24"/>
          <w:szCs w:val="24"/>
          <w:highlight w:val="none"/>
        </w:rPr>
        <w:t>八、违</w:t>
      </w:r>
      <w:r>
        <w:rPr>
          <w:rFonts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rPr>
        <w:t>约</w:t>
      </w:r>
      <w:r>
        <w:rPr>
          <w:rFonts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rPr>
        <w:t>责</w:t>
      </w:r>
      <w:r>
        <w:rPr>
          <w:rFonts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rPr>
        <w:t>任</w:t>
      </w:r>
      <w:bookmarkEnd w:id="402"/>
      <w:bookmarkEnd w:id="403"/>
    </w:p>
    <w:p>
      <w:pPr>
        <w:shd w:val="clear" w:color="000000" w:fill="auto"/>
        <w:jc w:val="left"/>
        <w:rPr>
          <w:rFonts w:cs="Times New Roman"/>
          <w:color w:val="auto"/>
          <w:highlight w:val="none"/>
        </w:rPr>
      </w:pPr>
    </w:p>
    <w:p>
      <w:pPr>
        <w:pStyle w:val="2"/>
        <w:shd w:val="clear" w:color="000000" w:fill="auto"/>
        <w:adjustRightInd w:val="0"/>
        <w:snapToGrid w:val="0"/>
        <w:spacing w:line="360" w:lineRule="auto"/>
        <w:jc w:val="left"/>
        <w:outlineLvl w:val="2"/>
        <w:rPr>
          <w:rFonts w:ascii="仿宋" w:hAnsi="仿宋" w:eastAsia="仿宋" w:cs="Times New Roman"/>
          <w:b/>
          <w:bCs/>
          <w:color w:val="auto"/>
          <w:sz w:val="24"/>
          <w:szCs w:val="24"/>
          <w:highlight w:val="none"/>
        </w:rPr>
      </w:pPr>
      <w:bookmarkStart w:id="404" w:name="_Toc10624915"/>
      <w:bookmarkStart w:id="405" w:name="_Toc4074"/>
      <w:r>
        <w:rPr>
          <w:rFonts w:hint="eastAsia" w:ascii="仿宋" w:hAnsi="仿宋" w:eastAsia="仿宋" w:cs="仿宋"/>
          <w:color w:val="auto"/>
          <w:sz w:val="24"/>
          <w:szCs w:val="24"/>
          <w:highlight w:val="none"/>
        </w:rPr>
        <w:t>★</w:t>
      </w:r>
      <w:r>
        <w:rPr>
          <w:rFonts w:ascii="仿宋" w:hAnsi="仿宋" w:eastAsia="仿宋" w:cs="仿宋"/>
          <w:b/>
          <w:bCs/>
          <w:color w:val="auto"/>
          <w:sz w:val="24"/>
          <w:szCs w:val="24"/>
          <w:highlight w:val="none"/>
        </w:rPr>
        <w:t xml:space="preserve">90  </w:t>
      </w:r>
      <w:r>
        <w:rPr>
          <w:rFonts w:hint="eastAsia" w:ascii="仿宋" w:hAnsi="仿宋" w:eastAsia="仿宋" w:cs="仿宋"/>
          <w:b/>
          <w:bCs/>
          <w:color w:val="auto"/>
          <w:sz w:val="24"/>
          <w:szCs w:val="24"/>
          <w:highlight w:val="none"/>
        </w:rPr>
        <w:t>承包人的违约责任</w:t>
      </w:r>
      <w:bookmarkEnd w:id="404"/>
      <w:bookmarkEnd w:id="405"/>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90.1</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7705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09" name="文本框 39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w:t>
                            </w:r>
                          </w:p>
                        </w:txbxContent>
                      </wps:txbx>
                      <wps:bodyPr upright="1"/>
                    </wps:wsp>
                  </a:graphicData>
                </a:graphic>
              </wp:anchor>
            </w:drawing>
          </mc:Choice>
          <mc:Fallback>
            <w:pict>
              <v:shape id="文本框 397" o:spid="_x0000_s1026" o:spt="202" type="#_x0000_t202" style="position:absolute;left:0pt;margin-left:-9pt;margin-top:1.25pt;height:31.2pt;width:72pt;z-index:25207705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8/wcNUA&#10;AAAIAQAADwAAAAAAAAABACAAAAAiAAAAZHJzL2Rvd25yZXYueG1sUEsBAhQAFAAAAAgAh07iQGeH&#10;yQWwAQAAUQMAAA4AAAAAAAAAAQAgAAAAJA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w:t>
                      </w:r>
                    </w:p>
                  </w:txbxContent>
                </v:textbox>
              </v:shape>
            </w:pict>
          </mc:Fallback>
        </mc:AlternateContent>
      </w:r>
      <w:r>
        <w:rPr>
          <w:rFonts w:hint="eastAsia" w:ascii="仿宋" w:hAnsi="仿宋" w:eastAsia="仿宋" w:cs="仿宋"/>
          <w:color w:val="auto"/>
          <w:sz w:val="24"/>
          <w:szCs w:val="24"/>
          <w:highlight w:val="none"/>
        </w:rPr>
        <w:t>因承包人违反本合同约定给发包人造成损失的，承包人应当赔偿发包人损失。</w:t>
      </w:r>
    </w:p>
    <w:p>
      <w:pPr>
        <w:shd w:val="clear" w:color="000000" w:fill="auto"/>
        <w:adjustRightInd w:val="0"/>
        <w:snapToGrid w:val="0"/>
        <w:spacing w:line="360" w:lineRule="auto"/>
        <w:rPr>
          <w:rFonts w:ascii="仿宋" w:hAnsi="仿宋" w:eastAsia="仿宋" w:cs="Times New Roman"/>
          <w:b/>
          <w:bCs/>
          <w:color w:val="auto"/>
          <w:sz w:val="24"/>
          <w:szCs w:val="24"/>
          <w:highlight w:val="none"/>
        </w:rPr>
      </w:pPr>
    </w:p>
    <w:p>
      <w:pPr>
        <w:shd w:val="clear" w:color="000000" w:fill="auto"/>
        <w:spacing w:line="360" w:lineRule="auto"/>
        <w:ind w:left="2300" w:leftChars="27" w:hanging="2243" w:hangingChars="931"/>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90.2  </w:t>
      </w:r>
      <w:r>
        <w:rPr>
          <w:rFonts w:ascii="仿宋" w:hAnsi="仿宋" w:eastAsia="仿宋" w:cs="仿宋"/>
          <w:b/>
          <w:bCs/>
          <w:color w:val="auto"/>
          <w:sz w:val="24"/>
          <w:szCs w:val="24"/>
          <w:highlight w:val="none"/>
          <w:u w:val="dotted"/>
        </w:rPr>
        <w:t xml:space="preserve">                                                                                </w:t>
      </w:r>
    </w:p>
    <w:p>
      <w:pPr>
        <w:shd w:val="clear" w:color="000000" w:fill="auto"/>
        <w:spacing w:line="360" w:lineRule="auto"/>
        <w:ind w:left="2012" w:leftChars="27" w:hanging="1955" w:hangingChars="93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78080"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410" name="文本框 398"/>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承包人责任承担费用</w:t>
                            </w:r>
                          </w:p>
                          <w:p>
                            <w:pPr>
                              <w:spacing w:line="240" w:lineRule="exact"/>
                              <w:rPr>
                                <w:rFonts w:ascii="楷体_GB2312" w:hAnsi="宋体" w:eastAsia="楷体_GB2312" w:cs="Times New Roman"/>
                                <w:b/>
                                <w:bCs/>
                                <w:sz w:val="18"/>
                                <w:szCs w:val="18"/>
                              </w:rPr>
                            </w:pPr>
                          </w:p>
                          <w:p>
                            <w:pPr>
                              <w:spacing w:line="240" w:lineRule="exact"/>
                              <w:rPr>
                                <w:rFonts w:ascii="楷体_GB2312" w:hAnsi="宋体" w:eastAsia="楷体_GB2312" w:cs="Times New Roman"/>
                                <w:b/>
                                <w:bCs/>
                                <w:sz w:val="18"/>
                                <w:szCs w:val="18"/>
                              </w:rPr>
                            </w:pPr>
                          </w:p>
                        </w:txbxContent>
                      </wps:txbx>
                      <wps:bodyPr upright="1"/>
                    </wps:wsp>
                  </a:graphicData>
                </a:graphic>
              </wp:anchor>
            </w:drawing>
          </mc:Choice>
          <mc:Fallback>
            <w:pict>
              <v:shape id="文本框 398" o:spid="_x0000_s1026" o:spt="202" type="#_x0000_t202" style="position:absolute;left:0pt;margin-left:-9pt;margin-top:1.05pt;height:32.75pt;width:72pt;z-index:252078080;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cTJak1QAA&#10;AAgBAAAPAAAAAAAAAAEAIAAAACIAAABkcnMvZG93bnJldi54bWxQSwECFAAUAAAACACHTuJAzG8q&#10;868BAABRAwAADgAAAAAAAAABACAAAAAkAQAAZHJzL2Uyb0RvYy54bWxQSwUGAAAAAAYABgBZAQAA&#10;R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承包人责任承担费用</w:t>
                      </w:r>
                    </w:p>
                    <w:p>
                      <w:pPr>
                        <w:spacing w:line="240" w:lineRule="exact"/>
                        <w:rPr>
                          <w:rFonts w:ascii="楷体_GB2312" w:hAnsi="宋体" w:eastAsia="楷体_GB2312" w:cs="Times New Roman"/>
                          <w:b/>
                          <w:bCs/>
                          <w:sz w:val="18"/>
                          <w:szCs w:val="18"/>
                        </w:rPr>
                      </w:pPr>
                    </w:p>
                    <w:p>
                      <w:pPr>
                        <w:spacing w:line="240" w:lineRule="exact"/>
                        <w:rPr>
                          <w:rFonts w:ascii="楷体_GB2312" w:hAnsi="宋体" w:eastAsia="楷体_GB2312" w:cs="Times New Roman"/>
                          <w:b/>
                          <w:bCs/>
                          <w:sz w:val="18"/>
                          <w:szCs w:val="18"/>
                        </w:rPr>
                      </w:pPr>
                    </w:p>
                  </w:txbxContent>
                </v:textbox>
              </v:shape>
            </w:pict>
          </mc:Fallback>
        </mc:AlternateConten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承包人向发包人的索赔不成立时，承包人应赔偿发包人由此发生的费用。</w:t>
      </w:r>
    </w:p>
    <w:p>
      <w:pPr>
        <w:shd w:val="clear" w:color="000000" w:fill="auto"/>
        <w:spacing w:line="360" w:lineRule="auto"/>
        <w:ind w:left="2291" w:leftChars="27" w:hanging="2234" w:hangingChars="931"/>
        <w:rPr>
          <w:rFonts w:ascii="仿宋" w:hAnsi="仿宋" w:eastAsia="仿宋" w:cs="Times New Roman"/>
          <w:color w:val="auto"/>
          <w:sz w:val="24"/>
          <w:szCs w:val="24"/>
          <w:highlight w:val="none"/>
        </w:rPr>
      </w:pPr>
    </w:p>
    <w:p>
      <w:pPr>
        <w:pStyle w:val="2"/>
        <w:shd w:val="clear" w:color="000000" w:fill="auto"/>
        <w:adjustRightInd w:val="0"/>
        <w:snapToGrid w:val="0"/>
        <w:spacing w:line="360" w:lineRule="auto"/>
        <w:ind w:firstLine="120" w:firstLineChars="50"/>
        <w:jc w:val="left"/>
        <w:outlineLvl w:val="2"/>
        <w:rPr>
          <w:rFonts w:ascii="仿宋" w:hAnsi="仿宋" w:eastAsia="仿宋" w:cs="Times New Roman"/>
          <w:b/>
          <w:bCs/>
          <w:color w:val="auto"/>
          <w:sz w:val="24"/>
          <w:szCs w:val="24"/>
          <w:highlight w:val="none"/>
        </w:rPr>
      </w:pPr>
      <w:bookmarkStart w:id="406" w:name="_Toc489260630"/>
      <w:bookmarkStart w:id="407" w:name="_Toc26926"/>
      <w:bookmarkStart w:id="408" w:name="_Toc10624916"/>
      <w:r>
        <w:rPr>
          <w:rFonts w:hint="eastAsia" w:ascii="仿宋" w:hAnsi="仿宋" w:eastAsia="仿宋" w:cs="仿宋"/>
          <w:color w:val="auto"/>
          <w:sz w:val="24"/>
          <w:szCs w:val="24"/>
          <w:highlight w:val="none"/>
        </w:rPr>
        <w:t>★</w:t>
      </w:r>
      <w:r>
        <w:rPr>
          <w:rFonts w:ascii="仿宋" w:hAnsi="仿宋" w:eastAsia="仿宋" w:cs="仿宋"/>
          <w:b/>
          <w:bCs/>
          <w:color w:val="auto"/>
          <w:sz w:val="24"/>
          <w:szCs w:val="24"/>
          <w:highlight w:val="none"/>
        </w:rPr>
        <w:t xml:space="preserve">91 </w:t>
      </w:r>
      <w:r>
        <w:rPr>
          <w:rFonts w:hint="eastAsia" w:ascii="仿宋" w:hAnsi="仿宋" w:eastAsia="仿宋" w:cs="仿宋"/>
          <w:b/>
          <w:bCs/>
          <w:color w:val="auto"/>
          <w:sz w:val="24"/>
          <w:szCs w:val="24"/>
          <w:highlight w:val="none"/>
        </w:rPr>
        <w:t>发包人的违约责任</w:t>
      </w:r>
      <w:bookmarkEnd w:id="406"/>
      <w:bookmarkEnd w:id="407"/>
      <w:bookmarkEnd w:id="408"/>
    </w:p>
    <w:p>
      <w:pPr>
        <w:pStyle w:val="2"/>
        <w:shd w:val="clear" w:color="000000" w:fill="auto"/>
        <w:adjustRightInd w:val="0"/>
        <w:snapToGrid w:val="0"/>
        <w:spacing w:line="360" w:lineRule="auto"/>
        <w:ind w:firstLine="118" w:firstLineChars="49"/>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91.1 </w:t>
      </w:r>
    </w:p>
    <w:p>
      <w:pPr>
        <w:shd w:val="clear" w:color="000000" w:fill="auto"/>
        <w:adjustRightInd w:val="0"/>
        <w:snapToGrid w:val="0"/>
        <w:spacing w:line="360" w:lineRule="auto"/>
        <w:ind w:left="1035" w:leftChars="493"/>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207910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11" name="文本框 39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w:t>
                            </w:r>
                          </w:p>
                        </w:txbxContent>
                      </wps:txbx>
                      <wps:bodyPr upright="1"/>
                    </wps:wsp>
                  </a:graphicData>
                </a:graphic>
              </wp:anchor>
            </w:drawing>
          </mc:Choice>
          <mc:Fallback>
            <w:pict>
              <v:shape id="文本框 399" o:spid="_x0000_s1026" o:spt="202" type="#_x0000_t202" style="position:absolute;left:0pt;margin-left:-9pt;margin-top:1.25pt;height:31.2pt;width:72pt;z-index:25207910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8/wcNUA&#10;AAAIAQAADwAAAAAAAAABACAAAAAiAAAAZHJzL2Rvd25yZXYueG1sUEsBAhQAFAAAAAgAh07iQKoK&#10;fPewAQAAUQMAAA4AAAAAAAAAAQAgAAAAJA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w:t>
                      </w:r>
                    </w:p>
                  </w:txbxContent>
                </v:textbox>
              </v:shape>
            </w:pict>
          </mc:Fallback>
        </mc:AlternateConten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因发包人违反本合同约定造成承包人损失的，发包人应予以赔偿。</w:t>
      </w:r>
    </w:p>
    <w:p>
      <w:pPr>
        <w:shd w:val="clear" w:color="000000" w:fill="auto"/>
        <w:adjustRightInd w:val="0"/>
        <w:snapToGrid w:val="0"/>
        <w:spacing w:line="360" w:lineRule="auto"/>
        <w:ind w:left="1035" w:leftChars="493" w:firstLine="361" w:firstLineChars="150"/>
        <w:rPr>
          <w:rFonts w:ascii="仿宋" w:hAnsi="仿宋" w:eastAsia="仿宋" w:cs="Times New Roman"/>
          <w:b/>
          <w:bCs/>
          <w:color w:val="auto"/>
          <w:sz w:val="24"/>
          <w:szCs w:val="24"/>
          <w:highlight w:val="none"/>
        </w:rPr>
      </w:pPr>
    </w:p>
    <w:p>
      <w:pPr>
        <w:shd w:val="clear" w:color="000000" w:fill="auto"/>
        <w:spacing w:line="360" w:lineRule="auto"/>
        <w:ind w:left="2300" w:leftChars="27" w:hanging="2243" w:hangingChars="931"/>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91.2  </w:t>
      </w:r>
      <w:r>
        <w:rPr>
          <w:rFonts w:ascii="仿宋" w:hAnsi="仿宋" w:eastAsia="仿宋" w:cs="仿宋"/>
          <w:b/>
          <w:bCs/>
          <w:color w:val="auto"/>
          <w:sz w:val="24"/>
          <w:szCs w:val="24"/>
          <w:highlight w:val="none"/>
          <w:u w:val="dotted"/>
        </w:rPr>
        <w:t xml:space="preserve">                                                                                </w:t>
      </w:r>
    </w:p>
    <w:p>
      <w:pPr>
        <w:shd w:val="clear" w:color="000000" w:fill="auto"/>
        <w:adjustRightInd w:val="0"/>
        <w:snapToGrid w:val="0"/>
        <w:spacing w:line="360" w:lineRule="auto"/>
        <w:ind w:left="214" w:leftChars="102"/>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80128"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412" name="文本框 400"/>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发包人责任承担费用</w:t>
                            </w:r>
                          </w:p>
                        </w:txbxContent>
                      </wps:txbx>
                      <wps:bodyPr upright="1"/>
                    </wps:wsp>
                  </a:graphicData>
                </a:graphic>
              </wp:anchor>
            </w:drawing>
          </mc:Choice>
          <mc:Fallback>
            <w:pict>
              <v:shape id="文本框 400" o:spid="_x0000_s1026" o:spt="202" type="#_x0000_t202" style="position:absolute;left:0pt;margin-left:-9pt;margin-top:1.05pt;height:32.75pt;width:72pt;z-index:252080128;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nEyWpNUAAAAI&#10;AQAADwAAAAAAAAABACAAAAAiAAAAZHJzL2Rvd25yZXYueG1sUEsBAhQAFAAAAAgAh07iQOrqbLCt&#10;AQAAUQMAAA4AAAAAAAAAAQAgAAAAJAEAAGRycy9lMm9Eb2MueG1sUEsFBgAAAAAGAAYAWQEAAEMF&#10;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发包人责任承担费用</w:t>
                      </w:r>
                    </w:p>
                  </w:txbxContent>
                </v:textbox>
              </v:shape>
            </w:pict>
          </mc:Fallback>
        </mc:AlternateConten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发包人向承包人的索赔不成立时，发包人应赔偿承包人由此发生的费用。</w:t>
      </w:r>
    </w:p>
    <w:p>
      <w:pPr>
        <w:shd w:val="clear" w:color="000000" w:fill="auto"/>
        <w:adjustRightInd w:val="0"/>
        <w:snapToGrid w:val="0"/>
        <w:spacing w:line="360" w:lineRule="auto"/>
        <w:rPr>
          <w:rFonts w:ascii="仿宋" w:hAnsi="仿宋" w:eastAsia="仿宋" w:cs="Times New Roman"/>
          <w:b/>
          <w:bCs/>
          <w:color w:val="auto"/>
          <w:sz w:val="24"/>
          <w:szCs w:val="24"/>
          <w:highlight w:val="none"/>
          <w:u w:val="dotted"/>
        </w:rPr>
      </w:pPr>
    </w:p>
    <w:p>
      <w:pPr>
        <w:shd w:val="clear" w:color="000000" w:fill="auto"/>
        <w:spacing w:line="360" w:lineRule="auto"/>
        <w:ind w:left="210" w:leftChars="100"/>
        <w:outlineLvl w:val="2"/>
        <w:rPr>
          <w:rFonts w:ascii="仿宋" w:hAnsi="仿宋" w:eastAsia="仿宋" w:cs="Times New Roman"/>
          <w:b/>
          <w:bCs/>
          <w:color w:val="auto"/>
          <w:sz w:val="24"/>
          <w:szCs w:val="24"/>
          <w:highlight w:val="none"/>
        </w:rPr>
      </w:pPr>
      <w:bookmarkStart w:id="409" w:name="_Toc489260631"/>
      <w:bookmarkStart w:id="410" w:name="_Toc10624917"/>
      <w:bookmarkStart w:id="411" w:name="_Toc473"/>
      <w:r>
        <w:rPr>
          <w:rFonts w:hint="eastAsia" w:ascii="仿宋" w:hAnsi="仿宋" w:eastAsia="仿宋" w:cs="仿宋"/>
          <w:color w:val="auto"/>
          <w:sz w:val="24"/>
          <w:szCs w:val="24"/>
          <w:highlight w:val="none"/>
        </w:rPr>
        <w:t>★</w:t>
      </w:r>
      <w:r>
        <w:rPr>
          <w:rFonts w:ascii="仿宋" w:hAnsi="仿宋" w:eastAsia="仿宋" w:cs="仿宋"/>
          <w:b/>
          <w:bCs/>
          <w:color w:val="auto"/>
          <w:sz w:val="24"/>
          <w:szCs w:val="24"/>
          <w:highlight w:val="none"/>
        </w:rPr>
        <w:t xml:space="preserve">92  </w:t>
      </w:r>
      <w:r>
        <w:rPr>
          <w:rFonts w:hint="eastAsia" w:ascii="仿宋" w:hAnsi="仿宋" w:eastAsia="仿宋" w:cs="仿宋"/>
          <w:b/>
          <w:bCs/>
          <w:color w:val="auto"/>
          <w:sz w:val="24"/>
          <w:szCs w:val="24"/>
          <w:highlight w:val="none"/>
        </w:rPr>
        <w:t>除外责任</w:t>
      </w:r>
      <w:bookmarkEnd w:id="409"/>
      <w:bookmarkEnd w:id="410"/>
      <w:bookmarkEnd w:id="411"/>
    </w:p>
    <w:p>
      <w:pPr>
        <w:shd w:val="clear" w:color="000000" w:fill="auto"/>
        <w:adjustRightInd w:val="0"/>
        <w:snapToGrid w:val="0"/>
        <w:spacing w:line="360" w:lineRule="auto"/>
        <w:ind w:firstLine="840" w:firstLineChars="400"/>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81152"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13" name="文本框 40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非发、承包人责任</w:t>
                            </w:r>
                          </w:p>
                        </w:txbxContent>
                      </wps:txbx>
                      <wps:bodyPr upright="1"/>
                    </wps:wsp>
                  </a:graphicData>
                </a:graphic>
              </wp:anchor>
            </w:drawing>
          </mc:Choice>
          <mc:Fallback>
            <w:pict>
              <v:shape id="文本框 401" o:spid="_x0000_s1026" o:spt="202" type="#_x0000_t202" style="position:absolute;left:0pt;margin-left:-9pt;margin-top:1.25pt;height:31.2pt;width:72pt;z-index:252081152;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Pz/Bw1QAA&#10;AAgBAAAPAAAAAAAAAAEAIAAAACIAAABkcnMvZG93bnJldi54bWxQSwECFAAUAAAACACHTuJAjI86&#10;tK8BAABRAwAADgAAAAAAAAABACAAAAAkAQAAZHJzL2Uyb0RvYy54bWxQSwUGAAAAAAYABgBZAQAA&#10;R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非发、承包人责任</w:t>
                      </w:r>
                    </w:p>
                  </w:txbxContent>
                </v:textbox>
              </v:shape>
            </w:pict>
          </mc:Fallback>
        </mc:AlternateConten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非承包人的原因，且承包人无过错，而产生的各类损失，承包人不承担赔偿责任。</w:t>
      </w:r>
    </w:p>
    <w:p>
      <w:pPr>
        <w:shd w:val="clear" w:color="000000" w:fill="auto"/>
        <w:adjustRightInd w:val="0"/>
        <w:snapToGrid w:val="0"/>
        <w:spacing w:line="360" w:lineRule="auto"/>
        <w:ind w:left="1556" w:leftChars="74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因不可抗力导致本合同全部或部分不能履行时，双方各自承担其因此而造成的损失、损害。</w:t>
      </w:r>
    </w:p>
    <w:p>
      <w:pPr>
        <w:shd w:val="clear" w:color="000000" w:fill="auto"/>
        <w:rPr>
          <w:rFonts w:cs="Times New Roman"/>
          <w:color w:val="auto"/>
          <w:highlight w:val="none"/>
        </w:rPr>
      </w:pPr>
    </w:p>
    <w:p>
      <w:pPr>
        <w:pStyle w:val="2"/>
        <w:shd w:val="clear" w:color="000000" w:fill="auto"/>
        <w:adjustRightInd w:val="0"/>
        <w:snapToGrid w:val="0"/>
        <w:spacing w:line="480" w:lineRule="auto"/>
        <w:ind w:right="-238"/>
        <w:rPr>
          <w:rFonts w:ascii="仿宋" w:hAnsi="仿宋" w:eastAsia="仿宋" w:cs="Times New Roman"/>
          <w:color w:val="auto"/>
          <w:sz w:val="24"/>
          <w:szCs w:val="24"/>
          <w:highlight w:val="none"/>
          <w:u w:val="single"/>
        </w:rPr>
      </w:pPr>
      <w:r>
        <w:rPr>
          <w:rFonts w:ascii="仿宋" w:hAnsi="仿宋" w:eastAsia="仿宋" w:cs="仿宋"/>
          <w:color w:val="auto"/>
          <w:sz w:val="24"/>
          <w:szCs w:val="24"/>
          <w:highlight w:val="none"/>
          <w:u w:val="single"/>
        </w:rPr>
        <w:t xml:space="preserve">                                                                                 </w:t>
      </w:r>
    </w:p>
    <w:p>
      <w:pPr>
        <w:pStyle w:val="2"/>
        <w:shd w:val="clear" w:color="000000" w:fill="auto"/>
        <w:adjustRightInd w:val="0"/>
        <w:snapToGrid w:val="0"/>
        <w:spacing w:line="360" w:lineRule="auto"/>
        <w:ind w:firstLine="3004" w:firstLineChars="1247"/>
        <w:outlineLvl w:val="1"/>
        <w:rPr>
          <w:rFonts w:ascii="仿宋" w:hAnsi="仿宋" w:eastAsia="仿宋" w:cs="Times New Roman"/>
          <w:b/>
          <w:bCs/>
          <w:color w:val="auto"/>
          <w:sz w:val="24"/>
          <w:szCs w:val="24"/>
          <w:highlight w:val="none"/>
        </w:rPr>
      </w:pPr>
      <w:bookmarkStart w:id="412" w:name="_Toc10624918"/>
      <w:bookmarkStart w:id="413" w:name="_Toc469384074"/>
      <w:bookmarkStart w:id="414" w:name="_Toc4134"/>
      <w:bookmarkStart w:id="415" w:name="_Toc23031"/>
      <w:r>
        <w:rPr>
          <w:rFonts w:hint="eastAsia" w:ascii="仿宋" w:hAnsi="仿宋" w:eastAsia="仿宋" w:cs="仿宋"/>
          <w:b/>
          <w:bCs/>
          <w:color w:val="auto"/>
          <w:sz w:val="24"/>
          <w:szCs w:val="24"/>
          <w:highlight w:val="none"/>
        </w:rPr>
        <w:t>九、其</w:t>
      </w:r>
      <w:r>
        <w:rPr>
          <w:rFonts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rPr>
        <w:t>他</w:t>
      </w:r>
      <w:bookmarkEnd w:id="412"/>
      <w:bookmarkEnd w:id="413"/>
      <w:bookmarkEnd w:id="414"/>
      <w:bookmarkEnd w:id="415"/>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416" w:name="_Toc469384075"/>
      <w:bookmarkStart w:id="417" w:name="_Toc10624919"/>
      <w:bookmarkStart w:id="418" w:name="_Toc19267"/>
      <w:r>
        <w:rPr>
          <w:rFonts w:ascii="仿宋" w:hAnsi="仿宋" w:eastAsia="仿宋" w:cs="仿宋"/>
          <w:b/>
          <w:bCs/>
          <w:color w:val="auto"/>
          <w:sz w:val="24"/>
          <w:szCs w:val="24"/>
          <w:highlight w:val="none"/>
        </w:rPr>
        <w:t xml:space="preserve">93  </w:t>
      </w:r>
      <w:r>
        <w:rPr>
          <w:rFonts w:hint="eastAsia" w:ascii="仿宋" w:hAnsi="仿宋" w:eastAsia="仿宋" w:cs="仿宋"/>
          <w:b/>
          <w:bCs/>
          <w:color w:val="auto"/>
          <w:sz w:val="24"/>
          <w:szCs w:val="24"/>
          <w:highlight w:val="none"/>
        </w:rPr>
        <w:t>缴纳税费</w:t>
      </w:r>
      <w:bookmarkEnd w:id="416"/>
      <w:bookmarkEnd w:id="417"/>
      <w:bookmarkEnd w:id="418"/>
    </w:p>
    <w:p>
      <w:pPr>
        <w:pStyle w:val="2"/>
        <w:shd w:val="clear" w:color="000000" w:fill="auto"/>
        <w:tabs>
          <w:tab w:val="left" w:pos="1320"/>
        </w:tabs>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93.1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w:t>
      </w:r>
      <w:r>
        <w:rPr>
          <w:color w:val="auto"/>
          <w:highlight w:val="none"/>
        </w:rPr>
        <mc:AlternateContent>
          <mc:Choice Requires="wps">
            <w:drawing>
              <wp:anchor distT="0" distB="0" distL="114300" distR="114300" simplePos="0" relativeHeight="252060672" behindDoc="0" locked="0" layoutInCell="1" allowOverlap="1">
                <wp:simplePos x="0" y="0"/>
                <wp:positionH relativeFrom="column">
                  <wp:posOffset>-114300</wp:posOffset>
                </wp:positionH>
                <wp:positionV relativeFrom="paragraph">
                  <wp:posOffset>635</wp:posOffset>
                </wp:positionV>
                <wp:extent cx="914400" cy="484505"/>
                <wp:effectExtent l="0" t="0" r="0" b="0"/>
                <wp:wrapNone/>
                <wp:docPr id="393" name="文本框 402"/>
                <wp:cNvGraphicFramePr/>
                <a:graphic xmlns:a="http://schemas.openxmlformats.org/drawingml/2006/main">
                  <a:graphicData uri="http://schemas.microsoft.com/office/word/2010/wordprocessingShape">
                    <wps:wsp>
                      <wps:cNvSpPr txBox="1"/>
                      <wps:spPr>
                        <a:xfrm>
                          <a:off x="0" y="0"/>
                          <a:ext cx="914400" cy="48450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约定缴纳一切税费</w:t>
                            </w:r>
                          </w:p>
                        </w:txbxContent>
                      </wps:txbx>
                      <wps:bodyPr upright="1"/>
                    </wps:wsp>
                  </a:graphicData>
                </a:graphic>
              </wp:anchor>
            </w:drawing>
          </mc:Choice>
          <mc:Fallback>
            <w:pict>
              <v:shape id="文本框 402" o:spid="_x0000_s1026" o:spt="202" type="#_x0000_t202" style="position:absolute;left:0pt;margin-left:-9pt;margin-top:0.05pt;height:38.15pt;width:72pt;z-index:252060672;mso-width-relative:page;mso-height-relative:page;" filled="f" stroked="f" coordsize="21600,21600" o:gfxdata="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AKWgr1AAA&#10;AAcBAAAPAAAAAAAAAAEAIAAAACIAAABkcnMvZG93bnJldi54bWxQSwECFAAUAAAACACHTuJAqvVc&#10;XLABAABRAwAADgAAAAAAAAABACAAAAAjAQAAZHJzL2Uyb0RvYy54bWxQSwUGAAAAAAYABgBZAQAA&#10;R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约定缴纳一切税费</w:t>
                      </w:r>
                    </w:p>
                  </w:txbxContent>
                </v:textbox>
              </v:shape>
            </w:pict>
          </mc:Fallback>
        </mc:AlternateContent>
      </w:r>
      <w:r>
        <w:rPr>
          <w:rFonts w:hint="eastAsia" w:ascii="仿宋" w:hAnsi="仿宋" w:eastAsia="仿宋" w:cs="仿宋"/>
          <w:color w:val="auto"/>
          <w:sz w:val="24"/>
          <w:szCs w:val="24"/>
          <w:highlight w:val="none"/>
        </w:rPr>
        <w:t>应按照国家现行税法和有关部门现行规定缴纳合同工程需缴的一切税费。</w:t>
      </w:r>
    </w:p>
    <w:p>
      <w:pPr>
        <w:pStyle w:val="2"/>
        <w:shd w:val="clear" w:color="000000" w:fill="auto"/>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93.2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61696" behindDoc="0" locked="0" layoutInCell="1" allowOverlap="1">
                <wp:simplePos x="0" y="0"/>
                <wp:positionH relativeFrom="column">
                  <wp:posOffset>-114300</wp:posOffset>
                </wp:positionH>
                <wp:positionV relativeFrom="paragraph">
                  <wp:posOffset>32385</wp:posOffset>
                </wp:positionV>
                <wp:extent cx="914400" cy="396240"/>
                <wp:effectExtent l="0" t="0" r="0" b="0"/>
                <wp:wrapNone/>
                <wp:docPr id="394" name="文本框 40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没交或少交税费的责任</w:t>
                            </w:r>
                          </w:p>
                        </w:txbxContent>
                      </wps:txbx>
                      <wps:bodyPr upright="1"/>
                    </wps:wsp>
                  </a:graphicData>
                </a:graphic>
              </wp:anchor>
            </w:drawing>
          </mc:Choice>
          <mc:Fallback>
            <w:pict>
              <v:shape id="文本框 403" o:spid="_x0000_s1026" o:spt="202" type="#_x0000_t202" style="position:absolute;left:0pt;margin-left:-9pt;margin-top:2.55pt;height:31.2pt;width:72pt;z-index:252061696;mso-width-relative:page;mso-height-relative:page;" filled="f" stroked="f" coordsize="21600,21600" o:gfxdata="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qo/Iz1QAA&#10;AAgBAAAPAAAAAAAAAAEAIAAAACIAAABkcnMvZG93bnJldi54bWxQSwECFAAUAAAACACHTuJAyclh&#10;4q8BAABRAwAADgAAAAAAAAABACAAAAAkAQAAZHJzL2Uyb0RvYy54bWxQSwUGAAAAAAYABgBZAQAA&#10;R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没交或少交税费的责任</w:t>
                      </w:r>
                    </w:p>
                  </w:txbxContent>
                </v:textbox>
              </v:shape>
            </w:pict>
          </mc:Fallback>
        </mc:AlternateContent>
      </w:r>
      <w:r>
        <w:rPr>
          <w:rFonts w:hint="eastAsia" w:ascii="仿宋" w:hAnsi="仿宋" w:eastAsia="仿宋" w:cs="仿宋"/>
          <w:color w:val="auto"/>
          <w:sz w:val="24"/>
          <w:szCs w:val="24"/>
          <w:highlight w:val="none"/>
        </w:rPr>
        <w:t>合同任何一方当事人没交或少交合同工程需缴税费的，违法方应足额补交，并承担相应的法律责任；给另一方当事人造成损失的，违法方应赔偿损失。</w:t>
      </w:r>
    </w:p>
    <w:p>
      <w:pPr>
        <w:pStyle w:val="2"/>
        <w:shd w:val="clear" w:color="000000" w:fill="auto"/>
        <w:adjustRightInd w:val="0"/>
        <w:snapToGrid w:val="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line="360" w:lineRule="auto"/>
        <w:rPr>
          <w:rFonts w:ascii="仿宋" w:hAnsi="仿宋" w:eastAsia="仿宋" w:cs="Times New Roman"/>
          <w:b/>
          <w:bCs/>
          <w:color w:val="auto"/>
          <w:sz w:val="24"/>
          <w:szCs w:val="24"/>
          <w:highlight w:val="none"/>
        </w:rPr>
      </w:pP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419" w:name="_Toc23315"/>
      <w:bookmarkStart w:id="420" w:name="_Toc10624920"/>
      <w:bookmarkStart w:id="421" w:name="_Toc469384076"/>
      <w:r>
        <w:rPr>
          <w:rFonts w:ascii="仿宋" w:hAnsi="仿宋" w:eastAsia="仿宋" w:cs="仿宋"/>
          <w:b/>
          <w:bCs/>
          <w:color w:val="auto"/>
          <w:sz w:val="24"/>
          <w:szCs w:val="24"/>
          <w:highlight w:val="none"/>
        </w:rPr>
        <w:t xml:space="preserve">94  </w:t>
      </w:r>
      <w:r>
        <w:rPr>
          <w:rFonts w:hint="eastAsia" w:ascii="仿宋" w:hAnsi="仿宋" w:eastAsia="仿宋" w:cs="仿宋"/>
          <w:b/>
          <w:bCs/>
          <w:color w:val="auto"/>
          <w:sz w:val="24"/>
          <w:szCs w:val="24"/>
          <w:highlight w:val="none"/>
        </w:rPr>
        <w:t>保密要求</w:t>
      </w:r>
      <w:bookmarkEnd w:id="419"/>
      <w:bookmarkEnd w:id="420"/>
      <w:bookmarkEnd w:id="421"/>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94.1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62720" behindDoc="0" locked="0" layoutInCell="1" allowOverlap="1">
                <wp:simplePos x="0" y="0"/>
                <wp:positionH relativeFrom="column">
                  <wp:posOffset>-114300</wp:posOffset>
                </wp:positionH>
                <wp:positionV relativeFrom="paragraph">
                  <wp:posOffset>34290</wp:posOffset>
                </wp:positionV>
                <wp:extent cx="914400" cy="594360"/>
                <wp:effectExtent l="0" t="0" r="0" b="0"/>
                <wp:wrapNone/>
                <wp:docPr id="395" name="文本框 404"/>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提供保密信息和履行保密义务</w:t>
                            </w:r>
                          </w:p>
                        </w:txbxContent>
                      </wps:txbx>
                      <wps:bodyPr upright="1"/>
                    </wps:wsp>
                  </a:graphicData>
                </a:graphic>
              </wp:anchor>
            </w:drawing>
          </mc:Choice>
          <mc:Fallback>
            <w:pict>
              <v:shape id="文本框 404" o:spid="_x0000_s1026" o:spt="202" type="#_x0000_t202" style="position:absolute;left:0pt;margin-left:-9pt;margin-top:2.7pt;height:46.8pt;width:72pt;z-index:252062720;mso-width-relative:page;mso-height-relative:page;" filled="f" stroked="f" coordsize="21600,21600" o:gfxdata="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tmtfXV&#10;AAAACAEAAA8AAAAAAAAAAQAgAAAAIgAAAGRycy9kb3ducmV2LnhtbFBLAQIUABQAAAAIAIdO4kBl&#10;VVVrsQEAAFEDAAAOAAAAAAAAAAEAIAAAACQBAABkcnMvZTJvRG9jLnhtbFBLBQYAAAAABgAGAFkB&#10;AABH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提供保密信息和履行保密义务</w:t>
                      </w:r>
                    </w:p>
                  </w:txbxContent>
                </v:textbox>
              </v:shape>
            </w:pict>
          </mc:Fallback>
        </mc:AlternateContent>
      </w:r>
      <w:r>
        <w:rPr>
          <w:rFonts w:hint="eastAsia" w:ascii="仿宋" w:hAnsi="仿宋" w:eastAsia="仿宋" w:cs="仿宋"/>
          <w:color w:val="auto"/>
          <w:sz w:val="24"/>
          <w:szCs w:val="24"/>
          <w:highlight w:val="none"/>
        </w:rPr>
        <w:t>合同双方当事人应在专用条款约定期限内提供保密信息。自收到对方当事人提供的保密信息之日起，合同双方当事人应履行保密义务。合同双方当事人履行保密义务，并不因本合同终止而结束。</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94.2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63744" behindDoc="0" locked="0" layoutInCell="1" allowOverlap="1">
                <wp:simplePos x="0" y="0"/>
                <wp:positionH relativeFrom="column">
                  <wp:posOffset>-114300</wp:posOffset>
                </wp:positionH>
                <wp:positionV relativeFrom="paragraph">
                  <wp:posOffset>68580</wp:posOffset>
                </wp:positionV>
                <wp:extent cx="914400" cy="495300"/>
                <wp:effectExtent l="0" t="0" r="0" b="0"/>
                <wp:wrapNone/>
                <wp:docPr id="396" name="文本框 40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保密信息知悉权限</w:t>
                            </w:r>
                          </w:p>
                        </w:txbxContent>
                      </wps:txbx>
                      <wps:bodyPr upright="1"/>
                    </wps:wsp>
                  </a:graphicData>
                </a:graphic>
              </wp:anchor>
            </w:drawing>
          </mc:Choice>
          <mc:Fallback>
            <w:pict>
              <v:shape id="文本框 405" o:spid="_x0000_s1026" o:spt="202" type="#_x0000_t202" style="position:absolute;left:0pt;margin-left:-9pt;margin-top:5.4pt;height:39pt;width:72pt;z-index:252063744;mso-width-relative:page;mso-height-relative:page;" filled="f" stroked="f" coordsize="21600,21600" o:gfxdata="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AWKC71QAA&#10;AAkBAAAPAAAAAAAAAAEAIAAAACIAAABkcnMvZG93bnJldi54bWxQSwECFAAUAAAACACHTuJAHxLW&#10;z68BAABRAwAADgAAAAAAAAABACAAAAAkAQAAZHJzL2Uyb0RvYy54bWxQSwUGAAAAAAYABgBZAQAA&#10;R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保密信息知悉权限</w:t>
                      </w:r>
                    </w:p>
                  </w:txbxContent>
                </v:textbox>
              </v:shape>
            </w:pict>
          </mc:Fallback>
        </mc:AlternateContent>
      </w:r>
      <w:r>
        <w:rPr>
          <w:rFonts w:hint="eastAsia" w:ascii="仿宋" w:hAnsi="仿宋" w:eastAsia="仿宋" w:cs="仿宋"/>
          <w:color w:val="auto"/>
          <w:sz w:val="24"/>
          <w:szCs w:val="24"/>
          <w:highlight w:val="none"/>
        </w:rPr>
        <w:t>合同双方当事人仅允许因履行本合同而使用另一方当事人提供的保密信息。除合同双方当事人书面委派履行本合同应知悉保密信息的人员外，合同任何一方当事人不得将另一方当事人相关的或属于另一方当事人所有的保密信息泄露或提供给第三方，也不得超出允许范围从另一方当事人复制、摘录或转移任何保密信息。任何保密信息的公布，均应事先征得提供方的书面同意。</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94.3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64768" behindDoc="0" locked="0" layoutInCell="1" allowOverlap="1">
                <wp:simplePos x="0" y="0"/>
                <wp:positionH relativeFrom="column">
                  <wp:posOffset>-114300</wp:posOffset>
                </wp:positionH>
                <wp:positionV relativeFrom="paragraph">
                  <wp:posOffset>3175</wp:posOffset>
                </wp:positionV>
                <wp:extent cx="1028700" cy="300990"/>
                <wp:effectExtent l="0" t="0" r="0" b="0"/>
                <wp:wrapNone/>
                <wp:docPr id="397" name="文本框 406"/>
                <wp:cNvGraphicFramePr/>
                <a:graphic xmlns:a="http://schemas.openxmlformats.org/drawingml/2006/main">
                  <a:graphicData uri="http://schemas.microsoft.com/office/word/2010/wordprocessingShape">
                    <wps:wsp>
                      <wps:cNvSpPr txBox="1"/>
                      <wps:spPr>
                        <a:xfrm>
                          <a:off x="0" y="0"/>
                          <a:ext cx="1028700" cy="30099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签订保密协议</w:t>
                            </w:r>
                          </w:p>
                        </w:txbxContent>
                      </wps:txbx>
                      <wps:bodyPr upright="1"/>
                    </wps:wsp>
                  </a:graphicData>
                </a:graphic>
              </wp:anchor>
            </w:drawing>
          </mc:Choice>
          <mc:Fallback>
            <w:pict>
              <v:shape id="文本框 406" o:spid="_x0000_s1026" o:spt="202" type="#_x0000_t202" style="position:absolute;left:0pt;margin-left:-9pt;margin-top:0.25pt;height:23.7pt;width:81pt;z-index:252064768;mso-width-relative:page;mso-height-relative:page;" filled="f" stroked="f" coordsize="21600,21600" o:gfxdata="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ucmCo1AAA&#10;AAcBAAAPAAAAAAAAAAEAIAAAACIAAABkcnMvZG93bnJldi54bWxQSwECFAAUAAAACACHTuJAaX4/&#10;H7ABAABSAwAADgAAAAAAAAABACAAAAAjAQAAZHJzL2Uyb0RvYy54bWxQSwUGAAAAAAYABgBZAQAA&#10;R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签订保密协议</w:t>
                      </w:r>
                    </w:p>
                  </w:txbxContent>
                </v:textbox>
              </v:shape>
            </w:pict>
          </mc:Fallback>
        </mc:AlternateContent>
      </w:r>
      <w:r>
        <w:rPr>
          <w:rFonts w:hint="eastAsia" w:ascii="仿宋" w:hAnsi="仿宋" w:eastAsia="仿宋" w:cs="仿宋"/>
          <w:color w:val="auto"/>
          <w:sz w:val="24"/>
          <w:szCs w:val="24"/>
          <w:highlight w:val="none"/>
        </w:rPr>
        <w:t>合同双方当事人应与履行本合同知悉保密信息的人员签订保密协议，并将其中一份及时提交给另一方当事人。合同双方当事人应以保护自身秘密的谨慎态度采取有效措施保护另一方当事人的保密信息，避免保密信息被不当公开或使用。合同任何一方当事人发现有第三方盗用或滥用另一方当事人保密信息的，应及时通知另一方当事人。</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94.4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65792" behindDoc="0" locked="0" layoutInCell="1" allowOverlap="1">
                <wp:simplePos x="0" y="0"/>
                <wp:positionH relativeFrom="column">
                  <wp:posOffset>-114300</wp:posOffset>
                </wp:positionH>
                <wp:positionV relativeFrom="paragraph">
                  <wp:posOffset>65405</wp:posOffset>
                </wp:positionV>
                <wp:extent cx="914400" cy="727710"/>
                <wp:effectExtent l="0" t="0" r="0" b="0"/>
                <wp:wrapNone/>
                <wp:docPr id="398" name="文本框 407"/>
                <wp:cNvGraphicFramePr/>
                <a:graphic xmlns:a="http://schemas.openxmlformats.org/drawingml/2006/main">
                  <a:graphicData uri="http://schemas.microsoft.com/office/word/2010/wordprocessingShape">
                    <wps:wsp>
                      <wps:cNvSpPr txBox="1"/>
                      <wps:spPr>
                        <a:xfrm>
                          <a:off x="0" y="0"/>
                          <a:ext cx="914400" cy="72771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配合政府要求并做好保密工作</w:t>
                            </w:r>
                          </w:p>
                        </w:txbxContent>
                      </wps:txbx>
                      <wps:bodyPr upright="1"/>
                    </wps:wsp>
                  </a:graphicData>
                </a:graphic>
              </wp:anchor>
            </w:drawing>
          </mc:Choice>
          <mc:Fallback>
            <w:pict>
              <v:shape id="文本框 407" o:spid="_x0000_s1026" o:spt="202" type="#_x0000_t202" style="position:absolute;left:0pt;margin-left:-9pt;margin-top:5.15pt;height:57.3pt;width:72pt;z-index:252065792;mso-width-relative:page;mso-height-relative:page;" filled="f" stroked="f" coordsize="21600,21600" o:gfxdata="UEsDBAoAAAAAAIdO4kAAAAAAAAAAAAAAAAAEAAAAZHJzL1BLAwQUAAAACACHTuJAiehvZ9Y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Inob2fW&#10;AAAACgEAAA8AAAAAAAAAAQAgAAAAIgAAAGRycy9kb3ducmV2LnhtbFBLAQIUABQAAAAIAIdO4kCP&#10;uxO8sAEAAFEDAAAOAAAAAAAAAAEAIAAAACUBAABkcnMvZTJvRG9jLnhtbFBLBQYAAAAABgAGAFkB&#10;AABH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配合政府要求并做好保密工作</w:t>
                      </w:r>
                    </w:p>
                  </w:txbxContent>
                </v:textbox>
              </v:shape>
            </w:pict>
          </mc:Fallback>
        </mc:AlternateContent>
      </w:r>
      <w:r>
        <w:rPr>
          <w:rFonts w:hint="eastAsia" w:ascii="仿宋" w:hAnsi="仿宋" w:eastAsia="仿宋" w:cs="仿宋"/>
          <w:color w:val="auto"/>
          <w:sz w:val="24"/>
          <w:szCs w:val="24"/>
          <w:highlight w:val="none"/>
        </w:rPr>
        <w:t>如果法律或政府执法、监督管理等有要求，合同双方当事人应予配合和支持，并提供需要的保密信息。需提供另一方当事人保密信息的，应立即书面通知另一方当事人，以便另一方当事人及时履行义务。若另一方当事人未能及时作出回应的，除依法应提供另一方当事人信息外，应积极维护另一方当事人合法权益。</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94.5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66816" behindDoc="0" locked="0" layoutInCell="1" allowOverlap="1">
                <wp:simplePos x="0" y="0"/>
                <wp:positionH relativeFrom="column">
                  <wp:posOffset>-114300</wp:posOffset>
                </wp:positionH>
                <wp:positionV relativeFrom="paragraph">
                  <wp:posOffset>22225</wp:posOffset>
                </wp:positionV>
                <wp:extent cx="914400" cy="495300"/>
                <wp:effectExtent l="0" t="0" r="0" b="0"/>
                <wp:wrapNone/>
                <wp:docPr id="399" name="文本框 40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书面说明保密程度</w:t>
                            </w:r>
                          </w:p>
                        </w:txbxContent>
                      </wps:txbx>
                      <wps:bodyPr upright="1"/>
                    </wps:wsp>
                  </a:graphicData>
                </a:graphic>
              </wp:anchor>
            </w:drawing>
          </mc:Choice>
          <mc:Fallback>
            <w:pict>
              <v:shape id="文本框 408" o:spid="_x0000_s1026" o:spt="202" type="#_x0000_t202" style="position:absolute;left:0pt;margin-left:-9pt;margin-top:1.75pt;height:39pt;width:72pt;z-index:252066816;mso-width-relative:page;mso-height-relative:page;" filled="f" stroked="f" coordsize="21600,21600" o:gfxdata="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YFIzo1QAA&#10;AAgBAAAPAAAAAAAAAAEAIAAAACIAAABkcnMvZG93bnJldi54bWxQSwECFAAUAAAACACHTuJAt5y/&#10;3a8BAABRAwAADgAAAAAAAAABACAAAAAkAQAAZHJzL2Uyb0RvYy54bWxQSwUGAAAAAAYABgBZAQAA&#10;R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书面说明保密程度</w:t>
                      </w:r>
                    </w:p>
                  </w:txbxContent>
                </v:textbox>
              </v:shape>
            </w:pict>
          </mc:Fallback>
        </mc:AlternateContent>
      </w:r>
      <w:r>
        <w:rPr>
          <w:rFonts w:hint="eastAsia" w:ascii="仿宋" w:hAnsi="仿宋" w:eastAsia="仿宋" w:cs="仿宋"/>
          <w:color w:val="auto"/>
          <w:sz w:val="24"/>
          <w:szCs w:val="24"/>
          <w:highlight w:val="none"/>
        </w:rPr>
        <w:t>保密信息应由提供方以书面形式说明保密程度；以口头形式提供的，则提供方应在提供后</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天内以书面形式予以确认。保密信息不但包括合同双方当事人确认的信息，还包括与材料和工程设备产品、价格、工程设计、图纸、技术、工艺和财务等相关信息。但不包括下述信息：</w:t>
      </w:r>
    </w:p>
    <w:p>
      <w:pPr>
        <w:pStyle w:val="2"/>
        <w:numPr>
          <w:ilvl w:val="0"/>
          <w:numId w:val="26"/>
        </w:numPr>
        <w:shd w:val="clear" w:color="000000" w:fill="auto"/>
        <w:tabs>
          <w:tab w:val="left" w:pos="1620"/>
          <w:tab w:val="left" w:pos="2340"/>
          <w:tab w:val="left" w:pos="2700"/>
        </w:tabs>
        <w:adjustRightInd w:val="0"/>
        <w:snapToGrid w:val="0"/>
        <w:spacing w:line="360" w:lineRule="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提供前已由合同双方当事人所持有的；</w:t>
      </w:r>
    </w:p>
    <w:p>
      <w:pPr>
        <w:pStyle w:val="2"/>
        <w:numPr>
          <w:ilvl w:val="0"/>
          <w:numId w:val="26"/>
        </w:numPr>
        <w:shd w:val="clear" w:color="000000" w:fill="auto"/>
        <w:tabs>
          <w:tab w:val="left" w:pos="1620"/>
          <w:tab w:val="left" w:pos="2340"/>
          <w:tab w:val="left" w:pos="2700"/>
        </w:tabs>
        <w:adjustRightInd w:val="0"/>
        <w:snapToGrid w:val="0"/>
        <w:spacing w:line="360" w:lineRule="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已公开发表或非对方当事人原因向公众公开的；</w:t>
      </w:r>
    </w:p>
    <w:p>
      <w:pPr>
        <w:pStyle w:val="2"/>
        <w:numPr>
          <w:ilvl w:val="0"/>
          <w:numId w:val="26"/>
        </w:numPr>
        <w:shd w:val="clear" w:color="000000" w:fill="auto"/>
        <w:tabs>
          <w:tab w:val="left" w:pos="1620"/>
          <w:tab w:val="left" w:pos="2340"/>
          <w:tab w:val="left" w:pos="2700"/>
        </w:tabs>
        <w:adjustRightInd w:val="0"/>
        <w:snapToGrid w:val="0"/>
        <w:spacing w:line="360" w:lineRule="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已由各相关方书面同意其公开的；</w:t>
      </w:r>
    </w:p>
    <w:p>
      <w:pPr>
        <w:pStyle w:val="2"/>
        <w:numPr>
          <w:ilvl w:val="0"/>
          <w:numId w:val="26"/>
        </w:numPr>
        <w:shd w:val="clear" w:color="000000" w:fill="auto"/>
        <w:tabs>
          <w:tab w:val="left" w:pos="1620"/>
          <w:tab w:val="left" w:pos="2340"/>
          <w:tab w:val="left" w:pos="2700"/>
        </w:tabs>
        <w:adjustRightInd w:val="0"/>
        <w:snapToGrid w:val="0"/>
        <w:spacing w:line="360" w:lineRule="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在未获取保密信息前由对方当事人独立开发的；</w:t>
      </w:r>
    </w:p>
    <w:p>
      <w:pPr>
        <w:pStyle w:val="2"/>
        <w:numPr>
          <w:ilvl w:val="0"/>
          <w:numId w:val="26"/>
        </w:numPr>
        <w:shd w:val="clear" w:color="000000" w:fill="auto"/>
        <w:tabs>
          <w:tab w:val="left" w:pos="1620"/>
          <w:tab w:val="left" w:pos="2340"/>
          <w:tab w:val="left" w:pos="2700"/>
        </w:tabs>
        <w:adjustRightInd w:val="0"/>
        <w:snapToGrid w:val="0"/>
        <w:spacing w:line="360" w:lineRule="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对方当事人从对保密信息不承担保密义务的第三方处合法获得的。</w:t>
      </w:r>
    </w:p>
    <w:p>
      <w:pPr>
        <w:pStyle w:val="2"/>
        <w:shd w:val="clear" w:color="000000" w:fill="auto"/>
        <w:tabs>
          <w:tab w:val="left" w:pos="1620"/>
        </w:tabs>
        <w:adjustRightInd w:val="0"/>
        <w:snapToGrid w:val="0"/>
        <w:spacing w:line="240" w:lineRule="exact"/>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422" w:name="_Toc20127"/>
      <w:bookmarkStart w:id="423" w:name="_Toc10624921"/>
      <w:bookmarkStart w:id="424" w:name="_Toc469384077"/>
      <w:r>
        <w:rPr>
          <w:rFonts w:ascii="仿宋" w:hAnsi="仿宋" w:eastAsia="仿宋" w:cs="仿宋"/>
          <w:b/>
          <w:bCs/>
          <w:color w:val="auto"/>
          <w:sz w:val="24"/>
          <w:szCs w:val="24"/>
          <w:highlight w:val="none"/>
        </w:rPr>
        <w:t xml:space="preserve">95 </w:t>
      </w:r>
      <w:r>
        <w:rPr>
          <w:rFonts w:hint="eastAsia" w:ascii="仿宋" w:hAnsi="仿宋" w:eastAsia="仿宋" w:cs="仿宋"/>
          <w:b/>
          <w:bCs/>
          <w:color w:val="auto"/>
          <w:sz w:val="24"/>
          <w:szCs w:val="24"/>
          <w:highlight w:val="none"/>
        </w:rPr>
        <w:t>廉政建设</w:t>
      </w:r>
      <w:bookmarkEnd w:id="422"/>
      <w:bookmarkEnd w:id="423"/>
      <w:bookmarkEnd w:id="424"/>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95.1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67840"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400" name="文本框 409"/>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廉政建设</w:t>
                            </w:r>
                          </w:p>
                        </w:txbxContent>
                      </wps:txbx>
                      <wps:bodyPr upright="1"/>
                    </wps:wsp>
                  </a:graphicData>
                </a:graphic>
              </wp:anchor>
            </w:drawing>
          </mc:Choice>
          <mc:Fallback>
            <w:pict>
              <v:shape id="文本框 409" o:spid="_x0000_s1026" o:spt="202" type="#_x0000_t202" style="position:absolute;left:0pt;margin-left:-9pt;margin-top:1.25pt;height:23.4pt;width:63pt;z-index:252067840;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WHbJHVAAAA&#10;CAEAAA8AAAAAAAAAAQAgAAAAIgAAAGRycy9kb3ducmV2LnhtbFBLAQIUABQAAAAIAIdO4kDFIpQu&#10;rgEAAFEDAAAOAAAAAAAAAAEAIAAAACQBAABkcnMvZTJvRG9jLnhtbFBLBQYAAAAABgAGAFkBAABE&#10;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廉政建设</w:t>
                      </w:r>
                    </w:p>
                  </w:txbxContent>
                </v:textbox>
              </v:shape>
            </w:pict>
          </mc:Fallback>
        </mc:AlternateContent>
      </w:r>
      <w:r>
        <w:rPr>
          <w:rFonts w:hint="eastAsia" w:ascii="仿宋" w:hAnsi="仿宋" w:eastAsia="仿宋" w:cs="仿宋"/>
          <w:color w:val="auto"/>
          <w:sz w:val="24"/>
          <w:szCs w:val="24"/>
          <w:highlight w:val="none"/>
        </w:rPr>
        <w:t>合同双方当事人在签订本合同时，应同时签订廉政合同，作为本合同的附件。合同双方当事人在合同履行期间应遵守国家和政府有关廉政方面的规定和要求，禁止任何腐败行为。</w:t>
      </w:r>
    </w:p>
    <w:p>
      <w:pPr>
        <w:pStyle w:val="2"/>
        <w:shd w:val="clear" w:color="000000" w:fill="auto"/>
        <w:adjustRightInd w:val="0"/>
        <w:snapToGrid w:val="0"/>
        <w:spacing w:line="36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95.2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68864" behindDoc="0" locked="0" layoutInCell="1" allowOverlap="1">
                <wp:simplePos x="0" y="0"/>
                <wp:positionH relativeFrom="column">
                  <wp:posOffset>-114300</wp:posOffset>
                </wp:positionH>
                <wp:positionV relativeFrom="paragraph">
                  <wp:posOffset>53975</wp:posOffset>
                </wp:positionV>
                <wp:extent cx="800100" cy="316865"/>
                <wp:effectExtent l="0" t="0" r="0" b="0"/>
                <wp:wrapNone/>
                <wp:docPr id="401" name="文本框 410"/>
                <wp:cNvGraphicFramePr/>
                <a:graphic xmlns:a="http://schemas.openxmlformats.org/drawingml/2006/main">
                  <a:graphicData uri="http://schemas.microsoft.com/office/word/2010/wordprocessingShape">
                    <wps:wsp>
                      <wps:cNvSpPr txBox="1"/>
                      <wps:spPr>
                        <a:xfrm>
                          <a:off x="0" y="0"/>
                          <a:ext cx="800100" cy="31686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违反责任</w:t>
                            </w:r>
                          </w:p>
                        </w:txbxContent>
                      </wps:txbx>
                      <wps:bodyPr upright="1"/>
                    </wps:wsp>
                  </a:graphicData>
                </a:graphic>
              </wp:anchor>
            </w:drawing>
          </mc:Choice>
          <mc:Fallback>
            <w:pict>
              <v:shape id="文本框 410" o:spid="_x0000_s1026" o:spt="202" type="#_x0000_t202" style="position:absolute;left:0pt;margin-left:-9pt;margin-top:4.25pt;height:24.95pt;width:63pt;z-index:252068864;mso-width-relative:page;mso-height-relative:page;" filled="f" stroked="f" coordsize="21600,21600" o:gfxdata="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Ncx2CfUAAAACAEA&#10;AA8AAAAAAAAAAQAgAAAAIgAAAGRycy9kb3ducmV2LnhtbFBLAQIUABQAAAAIAIdO4kA+SUzarAEA&#10;AFEDAAAOAAAAAAAAAAEAIAAAACMBAABkcnMvZTJvRG9jLnhtbFBLBQYAAAAABgAGAFkBAABBBQAA&#10;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违反责任</w:t>
                      </w:r>
                    </w:p>
                  </w:txbxContent>
                </v:textbox>
              </v:shape>
            </w:pict>
          </mc:Fallback>
        </mc:AlternateContent>
      </w:r>
      <w:r>
        <w:rPr>
          <w:rFonts w:hint="eastAsia" w:ascii="仿宋" w:hAnsi="仿宋" w:eastAsia="仿宋" w:cs="仿宋"/>
          <w:color w:val="auto"/>
          <w:sz w:val="24"/>
          <w:szCs w:val="24"/>
          <w:highlight w:val="none"/>
        </w:rPr>
        <w:t>如果承包人违反廉政建设有关规定，采用不正当手段，贿赂或变相贿赂了包括监理工程师、造价工程师在内的发包人工作人员，以求获得或已获得不当利益的，则发包人除保留追究其工作人员责任外，因承包人上述行为造成发包人损失或工程损害的，承包人应予赔偿，并承担相应的法律责任。发包人有权按照第</w:t>
      </w:r>
      <w:r>
        <w:rPr>
          <w:rFonts w:ascii="仿宋" w:hAnsi="仿宋" w:eastAsia="仿宋" w:cs="仿宋"/>
          <w:color w:val="auto"/>
          <w:sz w:val="24"/>
          <w:szCs w:val="24"/>
          <w:highlight w:val="none"/>
        </w:rPr>
        <w:t>87.3</w:t>
      </w:r>
      <w:r>
        <w:rPr>
          <w:rFonts w:hint="eastAsia" w:ascii="仿宋" w:hAnsi="仿宋" w:eastAsia="仿宋" w:cs="仿宋"/>
          <w:color w:val="auto"/>
          <w:sz w:val="24"/>
          <w:szCs w:val="24"/>
          <w:highlight w:val="none"/>
        </w:rPr>
        <w:t>款规定解除合同，并按照第</w:t>
      </w:r>
      <w:r>
        <w:rPr>
          <w:rFonts w:ascii="仿宋" w:hAnsi="仿宋" w:eastAsia="仿宋" w:cs="仿宋"/>
          <w:color w:val="auto"/>
          <w:sz w:val="24"/>
          <w:szCs w:val="24"/>
          <w:highlight w:val="none"/>
        </w:rPr>
        <w:t>88.3</w:t>
      </w:r>
      <w:r>
        <w:rPr>
          <w:rFonts w:hint="eastAsia" w:ascii="仿宋" w:hAnsi="仿宋" w:eastAsia="仿宋" w:cs="仿宋"/>
          <w:color w:val="auto"/>
          <w:sz w:val="24"/>
          <w:szCs w:val="24"/>
          <w:highlight w:val="none"/>
        </w:rPr>
        <w:t>款规定办理合同解除的支付。</w:t>
      </w:r>
    </w:p>
    <w:p>
      <w:pPr>
        <w:pStyle w:val="2"/>
        <w:shd w:val="clear" w:color="000000" w:fill="auto"/>
        <w:adjustRightInd w:val="0"/>
        <w:snapToGrid w:val="0"/>
        <w:spacing w:line="240" w:lineRule="exact"/>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425" w:name="_Toc469384078"/>
      <w:bookmarkStart w:id="426" w:name="_Toc6072"/>
      <w:bookmarkStart w:id="427" w:name="_Toc10624922"/>
      <w:r>
        <w:rPr>
          <w:rFonts w:ascii="仿宋" w:hAnsi="仿宋" w:eastAsia="仿宋" w:cs="仿宋"/>
          <w:b/>
          <w:bCs/>
          <w:color w:val="auto"/>
          <w:sz w:val="24"/>
          <w:szCs w:val="24"/>
          <w:highlight w:val="none"/>
        </w:rPr>
        <w:t xml:space="preserve">96  </w:t>
      </w:r>
      <w:r>
        <w:rPr>
          <w:rFonts w:hint="eastAsia" w:ascii="仿宋" w:hAnsi="仿宋" w:eastAsia="仿宋" w:cs="仿宋"/>
          <w:b/>
          <w:bCs/>
          <w:color w:val="auto"/>
          <w:sz w:val="24"/>
          <w:szCs w:val="24"/>
          <w:highlight w:val="none"/>
        </w:rPr>
        <w:t>禁止转让</w:t>
      </w:r>
      <w:bookmarkEnd w:id="425"/>
      <w:bookmarkEnd w:id="426"/>
      <w:bookmarkEnd w:id="427"/>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96.1     </w:t>
      </w:r>
    </w:p>
    <w:p>
      <w:pPr>
        <w:shd w:val="clear" w:color="000000" w:fill="auto"/>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69888"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402" name="文本框 411"/>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履行合同</w:t>
                            </w:r>
                          </w:p>
                        </w:txbxContent>
                      </wps:txbx>
                      <wps:bodyPr upright="1"/>
                    </wps:wsp>
                  </a:graphicData>
                </a:graphic>
              </wp:anchor>
            </w:drawing>
          </mc:Choice>
          <mc:Fallback>
            <w:pict>
              <v:shape id="文本框 411" o:spid="_x0000_s1026" o:spt="202" type="#_x0000_t202" style="position:absolute;left:0pt;margin-left:-9pt;margin-top:1.25pt;height:23.4pt;width:63pt;z-index:252069888;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Fh2yR1QAA&#10;AAgBAAAPAAAAAAAAAAEAIAAAACIAAABkcnMvZG93bnJldi54bWxQSwECFAAUAAAACACHTuJAkTDJ&#10;ha8BAABRAwAADgAAAAAAAAABACAAAAAkAQAAZHJzL2Uyb0RvYy54bWxQSwUGAAAAAAYABgBZAQAA&#10;RQUAAAAA&#10;">
                <v:fill on="f" focussize="0,0"/>
                <v:stroke on="f"/>
                <v:imagedata o:title=""/>
                <o:lock v:ext="edit" aspectratio="f"/>
                <v:textbo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履行合同</w:t>
                      </w:r>
                    </w:p>
                  </w:txbxContent>
                </v:textbox>
              </v:shape>
            </w:pict>
          </mc:Fallback>
        </mc:AlternateContent>
      </w:r>
      <w:r>
        <w:rPr>
          <w:rFonts w:hint="eastAsia" w:ascii="仿宋" w:hAnsi="仿宋" w:eastAsia="仿宋" w:cs="仿宋"/>
          <w:color w:val="auto"/>
          <w:sz w:val="24"/>
          <w:szCs w:val="24"/>
          <w:highlight w:val="none"/>
        </w:rPr>
        <w:t>本合同一经签署，合同双方当事人均应按照本合同规定行使各自的权利、履行各自的义务。</w:t>
      </w:r>
    </w:p>
    <w:p>
      <w:pPr>
        <w:pStyle w:val="2"/>
        <w:shd w:val="clear" w:color="000000" w:fill="auto"/>
        <w:adjustRightInd w:val="0"/>
        <w:snapToGrid w:val="0"/>
        <w:spacing w:line="48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96.2  </w:t>
      </w:r>
      <w:r>
        <w:rPr>
          <w:rFonts w:ascii="仿宋" w:hAnsi="仿宋" w:eastAsia="仿宋" w:cs="仿宋"/>
          <w:b/>
          <w:bCs/>
          <w:color w:val="auto"/>
          <w:sz w:val="24"/>
          <w:szCs w:val="24"/>
          <w:highlight w:val="none"/>
          <w:u w:val="dotted"/>
        </w:rPr>
        <w:t xml:space="preserve">                                                                                                       </w:t>
      </w:r>
    </w:p>
    <w:p>
      <w:pPr>
        <w:shd w:val="clear" w:color="000000" w:fill="auto"/>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70912" behindDoc="0" locked="0" layoutInCell="1" allowOverlap="1">
                <wp:simplePos x="0" y="0"/>
                <wp:positionH relativeFrom="column">
                  <wp:posOffset>-114300</wp:posOffset>
                </wp:positionH>
                <wp:positionV relativeFrom="paragraph">
                  <wp:posOffset>98425</wp:posOffset>
                </wp:positionV>
                <wp:extent cx="800100" cy="297180"/>
                <wp:effectExtent l="0" t="0" r="0" b="0"/>
                <wp:wrapNone/>
                <wp:docPr id="403" name="文本框 412"/>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不得转让</w:t>
                            </w:r>
                          </w:p>
                        </w:txbxContent>
                      </wps:txbx>
                      <wps:bodyPr upright="1"/>
                    </wps:wsp>
                  </a:graphicData>
                </a:graphic>
              </wp:anchor>
            </w:drawing>
          </mc:Choice>
          <mc:Fallback>
            <w:pict>
              <v:shape id="文本框 412" o:spid="_x0000_s1026" o:spt="202" type="#_x0000_t202" style="position:absolute;left:0pt;margin-left:-9pt;margin-top:7.75pt;height:23.4pt;width:63pt;z-index:252070912;mso-width-relative:page;mso-height-relative:page;" filled="f" stroked="f" coordsize="21600,21600" o:gfxdata="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AEeyaNYA&#10;AAAJAQAADwAAAAAAAAABACAAAAAiAAAAZHJzL2Rvd25yZXYueG1sUEsBAhQAFAAAAAgAh07iQK5+&#10;5JOvAQAAUQMAAA4AAAAAAAAAAQAgAAAAJQ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不得转让</w:t>
                      </w:r>
                    </w:p>
                  </w:txbxContent>
                </v:textbox>
              </v:shape>
            </w:pict>
          </mc:Fallback>
        </mc:AlternateContent>
      </w:r>
      <w:r>
        <w:rPr>
          <w:rFonts w:hint="eastAsia" w:ascii="仿宋" w:hAnsi="仿宋" w:eastAsia="仿宋" w:cs="仿宋"/>
          <w:color w:val="auto"/>
          <w:sz w:val="24"/>
          <w:szCs w:val="24"/>
          <w:highlight w:val="none"/>
        </w:rPr>
        <w:t>除合同另有约定外，未经另一方当事人同意，合同一方当事人不得将本合同的全部或部分权利、义务转让给第三方。</w:t>
      </w:r>
    </w:p>
    <w:p>
      <w:pPr>
        <w:pStyle w:val="2"/>
        <w:shd w:val="clear" w:color="000000" w:fill="auto"/>
        <w:adjustRightInd w:val="0"/>
        <w:snapToGrid w:val="0"/>
        <w:spacing w:line="48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428" w:name="_Toc22257"/>
      <w:bookmarkStart w:id="429" w:name="_Toc10624923"/>
      <w:bookmarkStart w:id="430" w:name="_Toc469384079"/>
      <w:r>
        <w:rPr>
          <w:rFonts w:ascii="仿宋" w:hAnsi="仿宋" w:eastAsia="仿宋" w:cs="仿宋"/>
          <w:b/>
          <w:bCs/>
          <w:color w:val="auto"/>
          <w:sz w:val="24"/>
          <w:szCs w:val="24"/>
          <w:highlight w:val="none"/>
        </w:rPr>
        <w:t xml:space="preserve">97  </w:t>
      </w:r>
      <w:r>
        <w:rPr>
          <w:rFonts w:hint="eastAsia" w:ascii="仿宋" w:hAnsi="仿宋" w:eastAsia="仿宋" w:cs="仿宋"/>
          <w:b/>
          <w:bCs/>
          <w:color w:val="auto"/>
          <w:sz w:val="24"/>
          <w:szCs w:val="24"/>
          <w:highlight w:val="none"/>
        </w:rPr>
        <w:t>合同份数</w:t>
      </w:r>
      <w:bookmarkEnd w:id="428"/>
      <w:bookmarkEnd w:id="429"/>
      <w:bookmarkEnd w:id="430"/>
    </w:p>
    <w:p>
      <w:pPr>
        <w:pStyle w:val="2"/>
        <w:shd w:val="clear" w:color="000000" w:fill="auto"/>
        <w:adjustRightInd w:val="0"/>
        <w:snapToGrid w:val="0"/>
        <w:spacing w:line="360" w:lineRule="auto"/>
        <w:ind w:left="1581" w:hanging="1581" w:hangingChars="656"/>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97.1        </w:t>
      </w:r>
    </w:p>
    <w:p>
      <w:pPr>
        <w:pStyle w:val="2"/>
        <w:shd w:val="clear" w:color="000000" w:fill="auto"/>
        <w:adjustRightInd w:val="0"/>
        <w:snapToGrid w:val="0"/>
        <w:spacing w:line="360" w:lineRule="auto"/>
        <w:ind w:left="1682" w:leftChars="800" w:hanging="2"/>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71936" behindDoc="0" locked="0" layoutInCell="1" allowOverlap="1">
                <wp:simplePos x="0" y="0"/>
                <wp:positionH relativeFrom="column">
                  <wp:posOffset>-66675</wp:posOffset>
                </wp:positionH>
                <wp:positionV relativeFrom="paragraph">
                  <wp:posOffset>10160</wp:posOffset>
                </wp:positionV>
                <wp:extent cx="914400" cy="396240"/>
                <wp:effectExtent l="0" t="0" r="0" b="0"/>
                <wp:wrapNone/>
                <wp:docPr id="404" name="文本框 41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约定提供合同文本</w:t>
                            </w:r>
                          </w:p>
                        </w:txbxContent>
                      </wps:txbx>
                      <wps:bodyPr upright="1"/>
                    </wps:wsp>
                  </a:graphicData>
                </a:graphic>
              </wp:anchor>
            </w:drawing>
          </mc:Choice>
          <mc:Fallback>
            <w:pict>
              <v:shape id="文本框 413" o:spid="_x0000_s1026" o:spt="202" type="#_x0000_t202" style="position:absolute;left:0pt;margin-left:-5.25pt;margin-top:0.8pt;height:31.2pt;width:72pt;z-index:252071936;mso-width-relative:page;mso-height-relative:page;" filled="f" stroked="f" coordsize="21600,21600" o:gfxdata="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CWIfx1AAA&#10;AAgBAAAPAAAAAAAAAAEAIAAAACIAAABkcnMvZG93bnJldi54bWxQSwECFAAUAAAACACHTuJAm9CQ&#10;AbABAABRAwAADgAAAAAAAAABACAAAAAjAQAAZHJzL2Uyb0RvYy54bWxQSwUGAAAAAAYABgBZAQAA&#10;R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约定提供合同文本</w:t>
                      </w:r>
                    </w:p>
                  </w:txbxContent>
                </v:textbox>
              </v:shape>
            </w:pict>
          </mc:Fallback>
        </mc:AlternateContent>
      </w:r>
      <w:r>
        <w:rPr>
          <w:rFonts w:hint="eastAsia" w:ascii="仿宋" w:hAnsi="仿宋" w:eastAsia="仿宋" w:cs="仿宋"/>
          <w:color w:val="auto"/>
          <w:sz w:val="24"/>
          <w:szCs w:val="24"/>
          <w:highlight w:val="none"/>
        </w:rPr>
        <w:t>除专用条款另有约定外，发包人应按照第</w:t>
      </w:r>
      <w:r>
        <w:rPr>
          <w:rFonts w:ascii="仿宋" w:hAnsi="仿宋" w:eastAsia="仿宋" w:cs="仿宋"/>
          <w:color w:val="auto"/>
          <w:sz w:val="24"/>
          <w:szCs w:val="24"/>
          <w:highlight w:val="none"/>
        </w:rPr>
        <w:t>94.2</w:t>
      </w:r>
      <w:r>
        <w:rPr>
          <w:rFonts w:hint="eastAsia" w:ascii="仿宋" w:hAnsi="仿宋" w:eastAsia="仿宋" w:cs="仿宋"/>
          <w:color w:val="auto"/>
          <w:sz w:val="24"/>
          <w:szCs w:val="24"/>
          <w:highlight w:val="none"/>
        </w:rPr>
        <w:t>款规定的份数免费为承包人提供合同文本。</w:t>
      </w:r>
    </w:p>
    <w:p>
      <w:pPr>
        <w:pStyle w:val="2"/>
        <w:shd w:val="clear" w:color="000000" w:fill="auto"/>
        <w:adjustRightInd w:val="0"/>
        <w:snapToGrid w:val="0"/>
        <w:spacing w:line="48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97.2  </w:t>
      </w:r>
      <w:r>
        <w:rPr>
          <w:rFonts w:ascii="仿宋" w:hAnsi="仿宋" w:eastAsia="仿宋" w:cs="仿宋"/>
          <w:b/>
          <w:bCs/>
          <w:color w:val="auto"/>
          <w:sz w:val="24"/>
          <w:szCs w:val="24"/>
          <w:highlight w:val="none"/>
          <w:u w:val="dotted"/>
        </w:rPr>
        <w:t xml:space="preserve"> </w:t>
      </w:r>
      <w:r>
        <w:rPr>
          <w:rFonts w:ascii="仿宋" w:hAnsi="仿宋" w:eastAsia="仿宋" w:cs="仿宋"/>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72960" behindDoc="0" locked="0" layoutInCell="1" allowOverlap="1">
                <wp:simplePos x="0" y="0"/>
                <wp:positionH relativeFrom="column">
                  <wp:posOffset>-114300</wp:posOffset>
                </wp:positionH>
                <wp:positionV relativeFrom="paragraph">
                  <wp:posOffset>8255</wp:posOffset>
                </wp:positionV>
                <wp:extent cx="800100" cy="299720"/>
                <wp:effectExtent l="0" t="0" r="0" b="0"/>
                <wp:wrapNone/>
                <wp:docPr id="405" name="文本框 414"/>
                <wp:cNvGraphicFramePr/>
                <a:graphic xmlns:a="http://schemas.openxmlformats.org/drawingml/2006/main">
                  <a:graphicData uri="http://schemas.microsoft.com/office/word/2010/wordprocessingShape">
                    <wps:wsp>
                      <wps:cNvSpPr txBox="1"/>
                      <wps:spPr>
                        <a:xfrm>
                          <a:off x="0" y="0"/>
                          <a:ext cx="800100" cy="29972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正副本效力</w:t>
                            </w:r>
                          </w:p>
                        </w:txbxContent>
                      </wps:txbx>
                      <wps:bodyPr upright="1"/>
                    </wps:wsp>
                  </a:graphicData>
                </a:graphic>
              </wp:anchor>
            </w:drawing>
          </mc:Choice>
          <mc:Fallback>
            <w:pict>
              <v:shape id="文本框 414" o:spid="_x0000_s1026" o:spt="202" type="#_x0000_t202" style="position:absolute;left:0pt;margin-left:-9pt;margin-top:0.65pt;height:23.6pt;width:63pt;z-index:252072960;mso-width-relative:page;mso-height-relative:page;" filled="f" stroked="f" coordsize="21600,21600" o:gfxdata="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Mf3b61AAA&#10;AAgBAAAPAAAAAAAAAAEAIAAAACIAAABkcnMvZG93bnJldi54bWxQSwECFAAUAAAACACHTuJA/C++&#10;i7ABAABRAwAADgAAAAAAAAABACAAAAAjAQAAZHJzL2Uyb0RvYy54bWxQSwUGAAAAAAYABgBZAQAA&#10;R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正副本效力</w:t>
                      </w:r>
                    </w:p>
                  </w:txbxContent>
                </v:textbox>
              </v:shape>
            </w:pict>
          </mc:Fallback>
        </mc:AlternateContent>
      </w:r>
      <w:r>
        <w:rPr>
          <w:rFonts w:hint="eastAsia" w:ascii="仿宋" w:hAnsi="仿宋" w:eastAsia="仿宋" w:cs="仿宋"/>
          <w:color w:val="auto"/>
          <w:sz w:val="24"/>
          <w:szCs w:val="24"/>
          <w:highlight w:val="none"/>
        </w:rPr>
        <w:t>本合同正、副本份数，由合同双方当事人根据需要在专用条款中约定。正本与副本具有同等效力，当正本与副本不一致时，以正本为准。</w:t>
      </w:r>
    </w:p>
    <w:p>
      <w:pPr>
        <w:pStyle w:val="2"/>
        <w:shd w:val="clear" w:color="000000" w:fill="auto"/>
        <w:adjustRightInd w:val="0"/>
        <w:snapToGrid w:val="0"/>
        <w:spacing w:line="480" w:lineRule="auto"/>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adjustRightInd w:val="0"/>
        <w:snapToGrid w:val="0"/>
        <w:spacing w:line="360" w:lineRule="auto"/>
        <w:outlineLvl w:val="2"/>
        <w:rPr>
          <w:rFonts w:ascii="仿宋" w:hAnsi="仿宋" w:eastAsia="仿宋" w:cs="Times New Roman"/>
          <w:b/>
          <w:bCs/>
          <w:color w:val="auto"/>
          <w:sz w:val="24"/>
          <w:szCs w:val="24"/>
          <w:highlight w:val="none"/>
        </w:rPr>
      </w:pPr>
      <w:bookmarkStart w:id="431" w:name="_Toc469384080"/>
      <w:bookmarkStart w:id="432" w:name="_Toc10624924"/>
      <w:bookmarkStart w:id="433" w:name="_Toc19153"/>
      <w:r>
        <w:rPr>
          <w:rFonts w:ascii="仿宋" w:hAnsi="仿宋" w:eastAsia="仿宋" w:cs="仿宋"/>
          <w:b/>
          <w:bCs/>
          <w:color w:val="auto"/>
          <w:sz w:val="24"/>
          <w:szCs w:val="24"/>
          <w:highlight w:val="none"/>
        </w:rPr>
        <w:t xml:space="preserve">98  </w:t>
      </w:r>
      <w:r>
        <w:rPr>
          <w:rFonts w:hint="eastAsia" w:ascii="仿宋" w:hAnsi="仿宋" w:eastAsia="仿宋" w:cs="仿宋"/>
          <w:b/>
          <w:bCs/>
          <w:color w:val="auto"/>
          <w:sz w:val="24"/>
          <w:szCs w:val="24"/>
          <w:highlight w:val="none"/>
        </w:rPr>
        <w:t>合同</w:t>
      </w:r>
      <w:bookmarkEnd w:id="431"/>
      <w:r>
        <w:rPr>
          <w:rFonts w:hint="eastAsia" w:ascii="仿宋" w:hAnsi="仿宋" w:eastAsia="仿宋" w:cs="仿宋"/>
          <w:b/>
          <w:bCs/>
          <w:color w:val="auto"/>
          <w:sz w:val="24"/>
          <w:szCs w:val="24"/>
          <w:highlight w:val="none"/>
        </w:rPr>
        <w:t>管理</w:t>
      </w:r>
      <w:bookmarkEnd w:id="432"/>
      <w:bookmarkEnd w:id="433"/>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2073984" behindDoc="0" locked="0" layoutInCell="1" allowOverlap="1">
                <wp:simplePos x="0" y="0"/>
                <wp:positionH relativeFrom="column">
                  <wp:posOffset>-114300</wp:posOffset>
                </wp:positionH>
                <wp:positionV relativeFrom="paragraph">
                  <wp:posOffset>208915</wp:posOffset>
                </wp:positionV>
                <wp:extent cx="1039495" cy="529590"/>
                <wp:effectExtent l="0" t="0" r="0" b="0"/>
                <wp:wrapNone/>
                <wp:docPr id="406" name="文本框 415"/>
                <wp:cNvGraphicFramePr/>
                <a:graphic xmlns:a="http://schemas.openxmlformats.org/drawingml/2006/main">
                  <a:graphicData uri="http://schemas.microsoft.com/office/word/2010/wordprocessingShape">
                    <wps:wsp>
                      <wps:cNvSpPr txBox="1"/>
                      <wps:spPr>
                        <a:xfrm>
                          <a:off x="0" y="0"/>
                          <a:ext cx="1039495" cy="52959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合同管理</w:t>
                            </w:r>
                          </w:p>
                          <w:p>
                            <w:pPr>
                              <w:spacing w:line="240" w:lineRule="exact"/>
                              <w:rPr>
                                <w:rFonts w:ascii="楷体_GB2312" w:hAnsi="宋体" w:eastAsia="楷体_GB2312" w:cs="Times New Roman"/>
                                <w:b/>
                                <w:bCs/>
                                <w:sz w:val="18"/>
                                <w:szCs w:val="18"/>
                              </w:rPr>
                            </w:pPr>
                          </w:p>
                        </w:txbxContent>
                      </wps:txbx>
                      <wps:bodyPr upright="1"/>
                    </wps:wsp>
                  </a:graphicData>
                </a:graphic>
              </wp:anchor>
            </w:drawing>
          </mc:Choice>
          <mc:Fallback>
            <w:pict>
              <v:shape id="文本框 415" o:spid="_x0000_s1026" o:spt="202" type="#_x0000_t202" style="position:absolute;left:0pt;margin-left:-9pt;margin-top:16.45pt;height:41.7pt;width:81.85pt;z-index:252073984;mso-width-relative:page;mso-height-relative:page;" filled="f" stroked="f" coordsize="21600,21600" o:gfxdata="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Eu6&#10;rNjYAAAACgEAAA8AAAAAAAAAAQAgAAAAIgAAAGRycy9kb3ducmV2LnhtbFBLAQIUABQAAAAIAIdO&#10;4kBud/OXsQEAAFIDAAAOAAAAAAAAAAEAIAAAACcBAABkcnMvZTJvRG9jLnhtbFBLBQYAAAAABgAG&#10;AFkBAABK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合同管理</w:t>
                      </w:r>
                    </w:p>
                    <w:p>
                      <w:pPr>
                        <w:spacing w:line="240" w:lineRule="exact"/>
                        <w:rPr>
                          <w:rFonts w:ascii="楷体_GB2312" w:hAnsi="宋体" w:eastAsia="楷体_GB2312" w:cs="Times New Roman"/>
                          <w:b/>
                          <w:bCs/>
                          <w:sz w:val="18"/>
                          <w:szCs w:val="18"/>
                        </w:rPr>
                      </w:pPr>
                    </w:p>
                  </w:txbxContent>
                </v:textbox>
              </v:shape>
            </w:pict>
          </mc:Fallback>
        </mc:AlternateContent>
      </w:r>
      <w:r>
        <w:rPr>
          <w:rFonts w:ascii="仿宋" w:hAnsi="仿宋" w:eastAsia="仿宋" w:cs="仿宋"/>
          <w:b/>
          <w:bCs/>
          <w:color w:val="auto"/>
          <w:sz w:val="24"/>
          <w:szCs w:val="24"/>
          <w:highlight w:val="none"/>
        </w:rPr>
        <w:t xml:space="preserve">98.1  </w:t>
      </w:r>
    </w:p>
    <w:p>
      <w:pPr>
        <w:shd w:val="clear" w:color="000000" w:fill="auto"/>
        <w:spacing w:line="360" w:lineRule="auto"/>
        <w:ind w:left="2088" w:leftChars="798" w:hanging="412" w:hangingChars="172"/>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合同双方当事人应按照第</w:t>
      </w:r>
      <w:r>
        <w:rPr>
          <w:rFonts w:ascii="仿宋" w:hAnsi="仿宋" w:eastAsia="仿宋" w:cs="仿宋"/>
          <w:color w:val="auto"/>
          <w:sz w:val="24"/>
          <w:szCs w:val="24"/>
          <w:highlight w:val="none"/>
        </w:rPr>
        <w:t>22</w:t>
      </w:r>
      <w:r>
        <w:rPr>
          <w:rFonts w:hint="eastAsia" w:ascii="仿宋" w:hAnsi="仿宋" w:eastAsia="仿宋" w:cs="仿宋"/>
          <w:color w:val="auto"/>
          <w:sz w:val="24"/>
          <w:szCs w:val="24"/>
          <w:highlight w:val="none"/>
        </w:rPr>
        <w:t>条至第</w:t>
      </w:r>
      <w:r>
        <w:rPr>
          <w:rFonts w:ascii="仿宋" w:hAnsi="仿宋" w:eastAsia="仿宋" w:cs="仿宋"/>
          <w:color w:val="auto"/>
          <w:sz w:val="24"/>
          <w:szCs w:val="24"/>
          <w:highlight w:val="none"/>
        </w:rPr>
        <w:t>25</w:t>
      </w:r>
      <w:r>
        <w:rPr>
          <w:rFonts w:hint="eastAsia" w:ascii="仿宋" w:hAnsi="仿宋" w:eastAsia="仿宋" w:cs="仿宋"/>
          <w:color w:val="auto"/>
          <w:sz w:val="24"/>
          <w:szCs w:val="24"/>
          <w:highlight w:val="none"/>
        </w:rPr>
        <w:t>条的职责划分，督促各自人员认真履行合同</w:t>
      </w:r>
    </w:p>
    <w:p>
      <w:pPr>
        <w:shd w:val="clear" w:color="000000" w:fill="auto"/>
        <w:spacing w:line="360" w:lineRule="auto"/>
        <w:ind w:firstLine="1680" w:firstLineChars="7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管理职责，加强合同管理。</w:t>
      </w:r>
    </w:p>
    <w:p>
      <w:pPr>
        <w:shd w:val="clear" w:color="000000" w:fill="auto"/>
        <w:spacing w:line="360" w:lineRule="auto"/>
        <w:ind w:left="1680" w:leftChars="700" w:hanging="210" w:hangingChars="100"/>
        <w:rPr>
          <w:rFonts w:cs="Times New Roman"/>
          <w:color w:val="auto"/>
          <w:highlight w:val="none"/>
        </w:rPr>
      </w:pPr>
      <w:r>
        <w:rPr>
          <w:color w:val="auto"/>
          <w:highlight w:val="none"/>
        </w:rPr>
        <w:t xml:space="preserve">  </w:t>
      </w:r>
      <w:r>
        <w:rPr>
          <w:rFonts w:hint="eastAsia" w:ascii="仿宋" w:hAnsi="仿宋" w:eastAsia="仿宋" w:cs="仿宋"/>
          <w:color w:val="auto"/>
          <w:sz w:val="24"/>
          <w:szCs w:val="24"/>
          <w:highlight w:val="none"/>
        </w:rPr>
        <w:t>涉及国有资金投资的工程，建设行政主管部门、工程造价管理机构应依据建设行政主管部门存档合同实施合同监督管理；合同双方当事人应随时接受执法人员对本合同的监督管理，并为监督管理活动提供配合和协助。</w:t>
      </w:r>
      <w:r>
        <w:rPr>
          <w:rFonts w:ascii="仿宋" w:hAnsi="仿宋" w:eastAsia="仿宋" w:cs="仿宋"/>
          <w:color w:val="auto"/>
          <w:sz w:val="24"/>
          <w:szCs w:val="24"/>
          <w:highlight w:val="none"/>
        </w:rPr>
        <w:t xml:space="preserve">   </w:t>
      </w:r>
    </w:p>
    <w:p>
      <w:pPr>
        <w:pStyle w:val="2"/>
        <w:shd w:val="clear" w:color="000000" w:fill="auto"/>
        <w:adjustRightInd w:val="0"/>
        <w:snapToGrid w:val="0"/>
        <w:spacing w:line="480" w:lineRule="auto"/>
        <w:jc w:val="left"/>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shd w:val="clear" w:color="000000" w:fill="auto"/>
        <w:rPr>
          <w:rFonts w:ascii="宋体" w:cs="Times New Roman"/>
          <w:b/>
          <w:bCs/>
          <w:color w:val="auto"/>
          <w:kern w:val="0"/>
          <w:sz w:val="36"/>
          <w:szCs w:val="36"/>
          <w:highlight w:val="none"/>
        </w:rPr>
      </w:pPr>
    </w:p>
    <w:p>
      <w:pPr>
        <w:shd w:val="clear" w:color="000000" w:fill="auto"/>
        <w:rPr>
          <w:rFonts w:ascii="宋体" w:cs="Times New Roman"/>
          <w:b/>
          <w:bCs/>
          <w:color w:val="auto"/>
          <w:kern w:val="0"/>
          <w:sz w:val="36"/>
          <w:szCs w:val="36"/>
          <w:highlight w:val="none"/>
        </w:rPr>
      </w:pPr>
    </w:p>
    <w:p>
      <w:pPr>
        <w:shd w:val="clear" w:color="000000" w:fill="auto"/>
        <w:rPr>
          <w:rFonts w:ascii="宋体" w:cs="Times New Roman"/>
          <w:b/>
          <w:bCs/>
          <w:color w:val="auto"/>
          <w:kern w:val="0"/>
          <w:sz w:val="36"/>
          <w:szCs w:val="36"/>
          <w:highlight w:val="none"/>
        </w:rPr>
      </w:pPr>
    </w:p>
    <w:p>
      <w:pPr>
        <w:shd w:val="clear" w:color="000000" w:fill="auto"/>
        <w:rPr>
          <w:rFonts w:ascii="宋体" w:cs="Times New Roman"/>
          <w:b/>
          <w:bCs/>
          <w:color w:val="auto"/>
          <w:kern w:val="0"/>
          <w:sz w:val="36"/>
          <w:szCs w:val="36"/>
          <w:highlight w:val="none"/>
        </w:rPr>
      </w:pPr>
    </w:p>
    <w:p>
      <w:pPr>
        <w:shd w:val="clear" w:color="000000" w:fill="auto"/>
        <w:rPr>
          <w:rFonts w:ascii="宋体" w:cs="Times New Roman"/>
          <w:b/>
          <w:bCs/>
          <w:color w:val="auto"/>
          <w:kern w:val="0"/>
          <w:sz w:val="36"/>
          <w:szCs w:val="36"/>
          <w:highlight w:val="none"/>
        </w:rPr>
      </w:pPr>
    </w:p>
    <w:p>
      <w:pPr>
        <w:pStyle w:val="3"/>
        <w:shd w:val="clear" w:color="000000" w:fill="auto"/>
        <w:tabs>
          <w:tab w:val="left" w:pos="420"/>
          <w:tab w:val="clear" w:pos="432"/>
        </w:tabs>
        <w:ind w:left="433" w:leftChars="206" w:firstLine="177" w:firstLineChars="49"/>
        <w:jc w:val="center"/>
        <w:rPr>
          <w:rFonts w:hAnsi="宋体" w:cs="Times New Roman"/>
          <w:b/>
          <w:bCs/>
          <w:color w:val="auto"/>
          <w:sz w:val="36"/>
          <w:szCs w:val="36"/>
          <w:highlight w:val="none"/>
        </w:rPr>
      </w:pPr>
      <w:bookmarkStart w:id="434" w:name="_Toc469384081"/>
      <w:bookmarkStart w:id="435" w:name="_Toc10624925"/>
      <w:r>
        <w:rPr>
          <w:rFonts w:hint="eastAsia" w:hAnsi="宋体"/>
          <w:b/>
          <w:bCs/>
          <w:color w:val="auto"/>
          <w:sz w:val="36"/>
          <w:szCs w:val="36"/>
          <w:highlight w:val="none"/>
        </w:rPr>
        <w:br w:type="page"/>
      </w:r>
      <w:bookmarkStart w:id="436" w:name="_Toc19707"/>
      <w:bookmarkStart w:id="437" w:name="_Toc2925"/>
      <w:r>
        <w:rPr>
          <w:rFonts w:hint="eastAsia" w:hAnsi="宋体"/>
          <w:b/>
          <w:bCs/>
          <w:color w:val="auto"/>
          <w:sz w:val="36"/>
          <w:szCs w:val="36"/>
          <w:highlight w:val="none"/>
        </w:rPr>
        <w:t>第三部分</w:t>
      </w:r>
      <w:r>
        <w:rPr>
          <w:rFonts w:hAnsi="宋体"/>
          <w:b/>
          <w:bCs/>
          <w:color w:val="auto"/>
          <w:sz w:val="36"/>
          <w:szCs w:val="36"/>
          <w:highlight w:val="none"/>
        </w:rPr>
        <w:t xml:space="preserve">    </w:t>
      </w:r>
      <w:r>
        <w:rPr>
          <w:rFonts w:hint="eastAsia" w:hAnsi="宋体"/>
          <w:b/>
          <w:bCs/>
          <w:color w:val="auto"/>
          <w:sz w:val="36"/>
          <w:szCs w:val="36"/>
          <w:highlight w:val="none"/>
        </w:rPr>
        <w:t>专用条款</w:t>
      </w:r>
      <w:bookmarkEnd w:id="434"/>
      <w:bookmarkEnd w:id="435"/>
      <w:bookmarkEnd w:id="436"/>
      <w:bookmarkEnd w:id="437"/>
    </w:p>
    <w:p>
      <w:pPr>
        <w:shd w:val="clear" w:color="000000" w:fill="auto"/>
        <w:jc w:val="center"/>
        <w:rPr>
          <w:rFonts w:ascii="宋体" w:cs="Times New Roman"/>
          <w:b/>
          <w:bCs/>
          <w:color w:val="auto"/>
          <w:sz w:val="24"/>
          <w:szCs w:val="24"/>
          <w:highlight w:val="none"/>
        </w:rPr>
      </w:pP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438" w:name="_Toc469384082"/>
      <w:bookmarkStart w:id="439" w:name="_Toc25107"/>
      <w:bookmarkStart w:id="440" w:name="_Toc10624926"/>
      <w:bookmarkStart w:id="441" w:name="_Toc12092"/>
      <w:r>
        <w:rPr>
          <w:rFonts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rPr>
        <w:t>．定义</w:t>
      </w:r>
      <w:bookmarkEnd w:id="438"/>
      <w:bookmarkEnd w:id="439"/>
      <w:bookmarkEnd w:id="440"/>
      <w:bookmarkEnd w:id="441"/>
      <w:r>
        <w:rPr>
          <w:rFonts w:ascii="仿宋" w:hAnsi="仿宋" w:eastAsia="仿宋" w:cs="仿宋"/>
          <w:b/>
          <w:bCs/>
          <w:color w:val="auto"/>
          <w:sz w:val="24"/>
          <w:szCs w:val="24"/>
          <w:highlight w:val="none"/>
        </w:rPr>
        <w:t xml:space="preserve"> </w:t>
      </w:r>
    </w:p>
    <w:p>
      <w:pPr>
        <w:shd w:val="clear" w:color="000000" w:fill="auto"/>
        <w:autoSpaceDE w:val="0"/>
        <w:autoSpaceDN w:val="0"/>
        <w:adjustRightInd w:val="0"/>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1.43 单位工程</w:t>
      </w:r>
    </w:p>
    <w:p>
      <w:pPr>
        <w:shd w:val="clear" w:color="000000" w:fill="auto"/>
        <w:autoSpaceDE w:val="0"/>
        <w:autoSpaceDN w:val="0"/>
        <w:adjustRightInd w:val="0"/>
        <w:spacing w:line="360" w:lineRule="auto"/>
        <w:ind w:firstLine="360" w:firstLineChars="150"/>
        <w:jc w:val="lef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名称：</w:t>
      </w:r>
      <w:r>
        <w:rPr>
          <w:rFonts w:hint="eastAsia" w:ascii="宋体" w:hAnsi="宋体" w:cs="宋体"/>
          <w:color w:val="auto"/>
          <w:kern w:val="0"/>
          <w:sz w:val="24"/>
          <w:szCs w:val="24"/>
          <w:highlight w:val="none"/>
          <w:u w:val="single"/>
        </w:rPr>
        <w:t xml:space="preserve">    /       </w:t>
      </w:r>
    </w:p>
    <w:p>
      <w:pPr>
        <w:shd w:val="clear" w:color="000000" w:fill="auto"/>
        <w:autoSpaceDE w:val="0"/>
        <w:autoSpaceDN w:val="0"/>
        <w:adjustRightInd w:val="0"/>
        <w:spacing w:line="360" w:lineRule="auto"/>
        <w:ind w:firstLine="360" w:firstLineChars="15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内容：</w:t>
      </w:r>
      <w:r>
        <w:rPr>
          <w:rFonts w:hint="eastAsia" w:ascii="宋体" w:hAnsi="宋体" w:cs="宋体"/>
          <w:color w:val="auto"/>
          <w:kern w:val="0"/>
          <w:sz w:val="24"/>
          <w:szCs w:val="24"/>
          <w:highlight w:val="none"/>
          <w:u w:val="single"/>
        </w:rPr>
        <w:t xml:space="preserve">    /       </w:t>
      </w:r>
    </w:p>
    <w:p>
      <w:pPr>
        <w:shd w:val="clear" w:color="000000" w:fill="auto"/>
        <w:autoSpaceDE w:val="0"/>
        <w:autoSpaceDN w:val="0"/>
        <w:adjustRightInd w:val="0"/>
        <w:spacing w:line="360" w:lineRule="auto"/>
        <w:ind w:firstLine="360" w:firstLineChars="150"/>
        <w:jc w:val="lef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范围：</w:t>
      </w:r>
      <w:r>
        <w:rPr>
          <w:rFonts w:hint="eastAsia" w:ascii="宋体" w:hAnsi="宋体" w:cs="宋体"/>
          <w:color w:val="auto"/>
          <w:kern w:val="0"/>
          <w:sz w:val="24"/>
          <w:szCs w:val="24"/>
          <w:highlight w:val="none"/>
          <w:u w:val="single"/>
        </w:rPr>
        <w:t xml:space="preserve">    /       </w:t>
      </w:r>
    </w:p>
    <w:p>
      <w:pPr>
        <w:shd w:val="clear" w:color="000000" w:fill="auto"/>
        <w:autoSpaceDE w:val="0"/>
        <w:autoSpaceDN w:val="0"/>
        <w:adjustRightInd w:val="0"/>
        <w:spacing w:line="360" w:lineRule="auto"/>
        <w:ind w:firstLine="240" w:firstLineChars="1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1.53  所采用的书面形式包括： </w:t>
      </w:r>
    </w:p>
    <w:p>
      <w:pPr>
        <w:shd w:val="clear" w:color="000000" w:fill="auto"/>
        <w:autoSpaceDE w:val="0"/>
        <w:autoSpaceDN w:val="0"/>
        <w:adjustRightInd w:val="0"/>
        <w:spacing w:line="360" w:lineRule="auto"/>
        <w:ind w:firstLine="360" w:firstLineChars="150"/>
        <w:jc w:val="left"/>
        <w:rPr>
          <w:rFonts w:ascii="宋体" w:hAnsi="宋体" w:cs="宋体"/>
          <w:color w:val="auto"/>
          <w:kern w:val="0"/>
          <w:sz w:val="24"/>
          <w:szCs w:val="24"/>
          <w:highlight w:val="none"/>
        </w:rPr>
      </w:pP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文书； </w:t>
      </w:r>
    </w:p>
    <w:p>
      <w:pPr>
        <w:shd w:val="clear" w:color="000000" w:fill="auto"/>
        <w:autoSpaceDE w:val="0"/>
        <w:autoSpaceDN w:val="0"/>
        <w:adjustRightInd w:val="0"/>
        <w:spacing w:line="360" w:lineRule="auto"/>
        <w:ind w:firstLine="360" w:firstLineChars="150"/>
        <w:jc w:val="left"/>
        <w:rPr>
          <w:rFonts w:ascii="宋体" w:hAnsi="宋体" w:cs="宋体"/>
          <w:color w:val="auto"/>
          <w:kern w:val="0"/>
          <w:sz w:val="24"/>
          <w:szCs w:val="24"/>
          <w:highlight w:val="none"/>
        </w:rPr>
      </w:pP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信件； </w:t>
      </w:r>
    </w:p>
    <w:p>
      <w:pPr>
        <w:shd w:val="clear" w:color="000000" w:fill="auto"/>
        <w:autoSpaceDE w:val="0"/>
        <w:autoSpaceDN w:val="0"/>
        <w:adjustRightInd w:val="0"/>
        <w:spacing w:line="360" w:lineRule="auto"/>
        <w:ind w:firstLine="360" w:firstLineChars="15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电报； </w:t>
      </w:r>
    </w:p>
    <w:p>
      <w:pPr>
        <w:shd w:val="clear" w:color="000000" w:fill="auto"/>
        <w:autoSpaceDE w:val="0"/>
        <w:autoSpaceDN w:val="0"/>
        <w:adjustRightInd w:val="0"/>
        <w:spacing w:line="360" w:lineRule="auto"/>
        <w:ind w:firstLine="360" w:firstLineChars="15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传真； </w:t>
      </w:r>
    </w:p>
    <w:p>
      <w:pPr>
        <w:shd w:val="clear" w:color="000000" w:fill="auto"/>
        <w:autoSpaceDE w:val="0"/>
        <w:autoSpaceDN w:val="0"/>
        <w:adjustRightInd w:val="0"/>
        <w:spacing w:line="360" w:lineRule="auto"/>
        <w:ind w:firstLine="360" w:firstLineChars="15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电子邮件； </w:t>
      </w:r>
    </w:p>
    <w:p>
      <w:pPr>
        <w:shd w:val="clear" w:color="000000" w:fill="auto"/>
        <w:autoSpaceDE w:val="0"/>
        <w:autoSpaceDN w:val="0"/>
        <w:adjustRightInd w:val="0"/>
        <w:spacing w:line="360" w:lineRule="auto"/>
        <w:ind w:firstLine="360" w:firstLineChars="150"/>
        <w:jc w:val="lef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其他：</w:t>
      </w:r>
      <w:r>
        <w:rPr>
          <w:rFonts w:hint="eastAsia" w:ascii="宋体" w:hAnsi="宋体" w:cs="宋体"/>
          <w:color w:val="auto"/>
          <w:kern w:val="0"/>
          <w:sz w:val="24"/>
          <w:szCs w:val="24"/>
          <w:highlight w:val="none"/>
          <w:u w:val="single"/>
        </w:rPr>
        <w:t xml:space="preserve">    /        </w:t>
      </w:r>
    </w:p>
    <w:p>
      <w:pPr>
        <w:pStyle w:val="4"/>
        <w:numPr>
          <w:ilvl w:val="0"/>
          <w:numId w:val="0"/>
        </w:numPr>
        <w:shd w:val="clear" w:color="000000" w:fill="auto"/>
        <w:tabs>
          <w:tab w:val="left" w:pos="420"/>
        </w:tabs>
        <w:spacing w:before="0" w:line="360" w:lineRule="auto"/>
        <w:rPr>
          <w:rFonts w:ascii="仿宋" w:hAnsi="仿宋" w:eastAsia="仿宋" w:cs="仿宋"/>
          <w:b/>
          <w:bCs/>
          <w:color w:val="auto"/>
          <w:sz w:val="24"/>
          <w:szCs w:val="24"/>
          <w:highlight w:val="none"/>
        </w:rPr>
      </w:pPr>
      <w:bookmarkStart w:id="442" w:name="_Toc10624927"/>
      <w:bookmarkStart w:id="443" w:name="_Toc28982"/>
      <w:bookmarkStart w:id="444" w:name="_Toc469384083"/>
      <w:bookmarkStart w:id="445" w:name="_Toc19372"/>
      <w:r>
        <w:rPr>
          <w:rFonts w:ascii="仿宋" w:hAnsi="仿宋" w:eastAsia="仿宋" w:cs="仿宋"/>
          <w:b/>
          <w:bCs/>
          <w:color w:val="auto"/>
          <w:sz w:val="24"/>
          <w:szCs w:val="24"/>
          <w:highlight w:val="none"/>
        </w:rPr>
        <w:t>2．合同文件及解释</w:t>
      </w:r>
      <w:bookmarkEnd w:id="442"/>
      <w:bookmarkEnd w:id="443"/>
      <w:bookmarkEnd w:id="444"/>
      <w:bookmarkEnd w:id="445"/>
      <w:r>
        <w:rPr>
          <w:rFonts w:ascii="仿宋" w:hAnsi="仿宋" w:eastAsia="仿宋" w:cs="仿宋"/>
          <w:b/>
          <w:bCs/>
          <w:color w:val="auto"/>
          <w:sz w:val="24"/>
          <w:szCs w:val="24"/>
          <w:highlight w:val="none"/>
        </w:rPr>
        <w:t xml:space="preserve"> </w:t>
      </w:r>
    </w:p>
    <w:p>
      <w:pPr>
        <w:shd w:val="clear" w:color="000000" w:fill="auto"/>
        <w:spacing w:line="360" w:lineRule="auto"/>
        <w:ind w:firstLine="240" w:firstLineChars="1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2.2（10）组成合同的其他文件：</w:t>
      </w:r>
    </w:p>
    <w:p>
      <w:pPr>
        <w:shd w:val="clear" w:color="000000" w:fill="auto"/>
        <w:spacing w:line="360" w:lineRule="auto"/>
        <w:ind w:firstLine="240" w:firstLineChars="1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①经双方确认进入合同的其他文件。</w:t>
      </w:r>
    </w:p>
    <w:p>
      <w:pPr>
        <w:pStyle w:val="4"/>
        <w:numPr>
          <w:ilvl w:val="0"/>
          <w:numId w:val="0"/>
        </w:numPr>
        <w:shd w:val="clear" w:color="000000" w:fill="auto"/>
        <w:tabs>
          <w:tab w:val="left" w:pos="420"/>
        </w:tabs>
        <w:spacing w:before="0" w:line="360" w:lineRule="auto"/>
        <w:rPr>
          <w:rFonts w:ascii="仿宋" w:hAnsi="仿宋" w:eastAsia="仿宋" w:cs="仿宋"/>
          <w:b/>
          <w:bCs/>
          <w:color w:val="auto"/>
          <w:sz w:val="24"/>
          <w:szCs w:val="24"/>
          <w:highlight w:val="none"/>
        </w:rPr>
      </w:pPr>
      <w:bookmarkStart w:id="446" w:name="_Toc13561"/>
      <w:bookmarkStart w:id="447" w:name="_Toc3447"/>
      <w:bookmarkStart w:id="448" w:name="_Toc10624928"/>
      <w:bookmarkStart w:id="449" w:name="_Toc469384084"/>
      <w:r>
        <w:rPr>
          <w:rFonts w:ascii="仿宋" w:hAnsi="仿宋" w:eastAsia="仿宋" w:cs="仿宋"/>
          <w:b/>
          <w:bCs/>
          <w:color w:val="auto"/>
          <w:sz w:val="24"/>
          <w:szCs w:val="24"/>
          <w:highlight w:val="none"/>
        </w:rPr>
        <w:t>4．语言及适用的法律、标准与规范</w:t>
      </w:r>
      <w:bookmarkEnd w:id="446"/>
      <w:bookmarkEnd w:id="447"/>
      <w:bookmarkEnd w:id="448"/>
      <w:bookmarkEnd w:id="449"/>
      <w:r>
        <w:rPr>
          <w:rFonts w:ascii="仿宋" w:hAnsi="仿宋" w:eastAsia="仿宋" w:cs="仿宋"/>
          <w:b/>
          <w:bCs/>
          <w:color w:val="auto"/>
          <w:sz w:val="24"/>
          <w:szCs w:val="24"/>
          <w:highlight w:val="none"/>
        </w:rPr>
        <w:t xml:space="preserve"> </w:t>
      </w:r>
    </w:p>
    <w:p>
      <w:pPr>
        <w:shd w:val="clear" w:color="000000" w:fill="auto"/>
        <w:spacing w:line="360" w:lineRule="auto"/>
        <w:ind w:firstLine="240" w:firstLineChars="1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4.3 约定适用的标准、规范的名称：</w:t>
      </w:r>
      <w:r>
        <w:rPr>
          <w:rFonts w:hint="eastAsia" w:ascii="宋体" w:hAnsi="宋体" w:cs="宋体"/>
          <w:color w:val="auto"/>
          <w:kern w:val="0"/>
          <w:sz w:val="24"/>
          <w:szCs w:val="24"/>
          <w:highlight w:val="none"/>
          <w:u w:val="single"/>
        </w:rPr>
        <w:t>材料、设备、施工、验收须达到现行与本工程相关和适用于本工程的中华人民共和国以及广东省或行业的工程建设标准、规范的要求。如施工期间国家或地方标准、规范发生变动，承包人应按新标准、规范执行。</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450" w:name="_Toc10624929"/>
      <w:bookmarkStart w:id="451" w:name="_Toc14000"/>
      <w:bookmarkStart w:id="452" w:name="_Toc16607"/>
      <w:bookmarkStart w:id="453" w:name="_Toc469384085"/>
      <w:r>
        <w:rPr>
          <w:rFonts w:ascii="仿宋" w:hAnsi="仿宋" w:eastAsia="仿宋" w:cs="仿宋"/>
          <w:b/>
          <w:bCs/>
          <w:color w:val="auto"/>
          <w:sz w:val="24"/>
          <w:szCs w:val="24"/>
          <w:highlight w:val="none"/>
        </w:rPr>
        <w:t xml:space="preserve">5. </w:t>
      </w:r>
      <w:r>
        <w:rPr>
          <w:rFonts w:hint="eastAsia" w:ascii="仿宋" w:hAnsi="仿宋" w:eastAsia="仿宋" w:cs="仿宋"/>
          <w:b/>
          <w:bCs/>
          <w:color w:val="auto"/>
          <w:sz w:val="24"/>
          <w:szCs w:val="24"/>
          <w:highlight w:val="none"/>
        </w:rPr>
        <w:t>施工设计图纸</w:t>
      </w:r>
      <w:bookmarkEnd w:id="450"/>
      <w:bookmarkEnd w:id="451"/>
      <w:bookmarkEnd w:id="452"/>
      <w:bookmarkEnd w:id="453"/>
    </w:p>
    <w:p>
      <w:pPr>
        <w:shd w:val="clear" w:color="000000" w:fill="auto"/>
        <w:spacing w:line="360" w:lineRule="auto"/>
        <w:outlineLvl w:val="2"/>
        <w:rPr>
          <w:rFonts w:ascii="宋体" w:hAnsi="宋体" w:cs="宋体"/>
          <w:color w:val="auto"/>
          <w:sz w:val="24"/>
          <w:szCs w:val="24"/>
          <w:highlight w:val="none"/>
        </w:rPr>
      </w:pPr>
      <w:r>
        <w:rPr>
          <w:rFonts w:hint="eastAsia" w:ascii="宋体" w:hAnsi="宋体" w:cs="宋体"/>
          <w:color w:val="auto"/>
          <w:sz w:val="24"/>
          <w:szCs w:val="24"/>
          <w:highlight w:val="none"/>
        </w:rPr>
        <w:t xml:space="preserve">  </w:t>
      </w:r>
      <w:bookmarkStart w:id="454" w:name="_Toc16185"/>
      <w:bookmarkStart w:id="455" w:name="_Toc15691"/>
      <w:bookmarkStart w:id="456" w:name="_Toc22416"/>
      <w:r>
        <w:rPr>
          <w:rFonts w:hint="eastAsia" w:ascii="宋体" w:hAnsi="宋体" w:cs="宋体"/>
          <w:color w:val="auto"/>
          <w:sz w:val="24"/>
          <w:szCs w:val="24"/>
          <w:highlight w:val="none"/>
        </w:rPr>
        <w:t>5.1 发包人提供施工设计图纸</w:t>
      </w:r>
      <w:bookmarkEnd w:id="454"/>
      <w:bookmarkEnd w:id="455"/>
      <w:bookmarkEnd w:id="456"/>
    </w:p>
    <w:p>
      <w:pPr>
        <w:shd w:val="clear" w:color="000000" w:fill="auto"/>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（1）提供的时间：</w:t>
      </w:r>
      <w:r>
        <w:rPr>
          <w:rFonts w:hint="eastAsia" w:ascii="宋体" w:hAnsi="宋体" w:cs="宋体"/>
          <w:color w:val="auto"/>
          <w:sz w:val="24"/>
          <w:szCs w:val="24"/>
          <w:highlight w:val="none"/>
          <w:u w:val="single"/>
        </w:rPr>
        <w:t xml:space="preserve">  </w:t>
      </w:r>
      <w:r>
        <w:rPr>
          <w:rFonts w:hint="eastAsia" w:ascii="宋体" w:hAnsi="宋体" w:cs="宋体"/>
          <w:color w:val="auto"/>
          <w:kern w:val="0"/>
          <w:sz w:val="24"/>
          <w:szCs w:val="24"/>
          <w:highlight w:val="none"/>
          <w:u w:val="single"/>
        </w:rPr>
        <w:t xml:space="preserve"> 开工前5天。</w:t>
      </w:r>
      <w:r>
        <w:rPr>
          <w:rFonts w:hint="eastAsia" w:ascii="宋体" w:hAnsi="宋体" w:cs="宋体"/>
          <w:color w:val="auto"/>
          <w:sz w:val="24"/>
          <w:szCs w:val="24"/>
          <w:highlight w:val="none"/>
          <w:u w:val="single"/>
        </w:rPr>
        <w:t xml:space="preserve">    </w:t>
      </w:r>
    </w:p>
    <w:p>
      <w:pPr>
        <w:shd w:val="clear" w:color="000000" w:fill="auto"/>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（2）提供的数量：</w:t>
      </w:r>
      <w:r>
        <w:rPr>
          <w:rFonts w:hint="eastAsia" w:ascii="宋体" w:hAnsi="宋体" w:cs="宋体"/>
          <w:color w:val="auto"/>
          <w:sz w:val="24"/>
          <w:szCs w:val="24"/>
          <w:highlight w:val="none"/>
          <w:u w:val="single"/>
        </w:rPr>
        <w:t xml:space="preserve">  </w:t>
      </w:r>
      <w:r>
        <w:rPr>
          <w:rFonts w:hint="eastAsia" w:ascii="宋体" w:hAnsi="宋体" w:cs="宋体"/>
          <w:color w:val="auto"/>
          <w:kern w:val="0"/>
          <w:sz w:val="24"/>
          <w:szCs w:val="24"/>
          <w:highlight w:val="none"/>
          <w:u w:val="single"/>
        </w:rPr>
        <w:t xml:space="preserve">   3套（不含标准图集），承包人应负责竣工图的编制及验收，费用已包含在投标报价中，发包人不另行计量支付。</w:t>
      </w:r>
      <w:r>
        <w:rPr>
          <w:rFonts w:hint="eastAsia" w:ascii="宋体" w:hAnsi="宋体" w:cs="宋体"/>
          <w:color w:val="auto"/>
          <w:sz w:val="24"/>
          <w:szCs w:val="24"/>
          <w:highlight w:val="none"/>
          <w:u w:val="single"/>
        </w:rPr>
        <w:t xml:space="preserve">   </w:t>
      </w:r>
    </w:p>
    <w:p>
      <w:pPr>
        <w:shd w:val="clear" w:color="000000" w:fill="auto"/>
        <w:spacing w:line="360" w:lineRule="auto"/>
        <w:outlineLvl w:val="2"/>
        <w:rPr>
          <w:rFonts w:ascii="宋体" w:hAnsi="宋体" w:cs="宋体"/>
          <w:color w:val="auto"/>
          <w:sz w:val="24"/>
          <w:szCs w:val="24"/>
          <w:highlight w:val="none"/>
        </w:rPr>
      </w:pPr>
      <w:r>
        <w:rPr>
          <w:rFonts w:hint="eastAsia" w:ascii="宋体" w:hAnsi="宋体" w:cs="宋体"/>
          <w:color w:val="auto"/>
          <w:sz w:val="24"/>
          <w:szCs w:val="24"/>
          <w:highlight w:val="none"/>
        </w:rPr>
        <w:t xml:space="preserve">  </w:t>
      </w:r>
      <w:bookmarkStart w:id="457" w:name="_Toc28318"/>
      <w:bookmarkStart w:id="458" w:name="_Toc2713"/>
      <w:bookmarkStart w:id="459" w:name="_Toc25734"/>
      <w:r>
        <w:rPr>
          <w:rFonts w:hint="eastAsia" w:ascii="宋体" w:hAnsi="宋体" w:cs="宋体"/>
          <w:color w:val="auto"/>
          <w:sz w:val="24"/>
          <w:szCs w:val="24"/>
          <w:highlight w:val="none"/>
        </w:rPr>
        <w:t>5.2 承包人提供施工设计图纸</w:t>
      </w:r>
      <w:bookmarkEnd w:id="457"/>
      <w:bookmarkEnd w:id="458"/>
      <w:bookmarkEnd w:id="459"/>
    </w:p>
    <w:p>
      <w:pPr>
        <w:shd w:val="clear" w:color="000000" w:fill="auto"/>
        <w:spacing w:line="360" w:lineRule="auto"/>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（1）提供的时间：</w:t>
      </w:r>
      <w:r>
        <w:rPr>
          <w:rFonts w:hint="eastAsia" w:ascii="宋体" w:hAnsi="宋体" w:cs="宋体"/>
          <w:color w:val="auto"/>
          <w:sz w:val="24"/>
          <w:szCs w:val="24"/>
          <w:highlight w:val="none"/>
          <w:u w:val="single"/>
        </w:rPr>
        <w:t xml:space="preserve"> </w:t>
      </w:r>
      <w:r>
        <w:rPr>
          <w:rFonts w:hint="eastAsia" w:ascii="宋体" w:hAnsi="宋体" w:cs="宋体"/>
          <w:color w:val="auto"/>
          <w:kern w:val="0"/>
          <w:sz w:val="24"/>
          <w:szCs w:val="24"/>
          <w:highlight w:val="none"/>
          <w:u w:val="single"/>
        </w:rPr>
        <w:t xml:space="preserve">  按照监理工程师的要求。 </w:t>
      </w:r>
      <w:r>
        <w:rPr>
          <w:rFonts w:hint="eastAsia" w:ascii="宋体" w:hAnsi="宋体" w:cs="宋体"/>
          <w:color w:val="auto"/>
          <w:sz w:val="24"/>
          <w:szCs w:val="24"/>
          <w:highlight w:val="none"/>
          <w:u w:val="single"/>
        </w:rPr>
        <w:t xml:space="preserve">  </w:t>
      </w:r>
    </w:p>
    <w:p>
      <w:pPr>
        <w:shd w:val="clear" w:color="000000" w:fill="auto"/>
        <w:spacing w:line="360" w:lineRule="auto"/>
        <w:rPr>
          <w:rFonts w:ascii="宋体" w:hAnsi="宋体" w:cs="宋体"/>
          <w:color w:val="auto"/>
          <w:kern w:val="0"/>
          <w:sz w:val="24"/>
          <w:szCs w:val="24"/>
          <w:highlight w:val="none"/>
          <w:u w:val="single"/>
        </w:rPr>
      </w:pPr>
      <w:r>
        <w:rPr>
          <w:rFonts w:hint="eastAsia" w:ascii="宋体" w:hAnsi="宋体" w:cs="宋体"/>
          <w:color w:val="auto"/>
          <w:sz w:val="24"/>
          <w:szCs w:val="24"/>
          <w:highlight w:val="none"/>
        </w:rPr>
        <w:t xml:space="preserve">  （2）提供的数量：</w:t>
      </w:r>
      <w:r>
        <w:rPr>
          <w:rFonts w:hint="eastAsia" w:ascii="宋体" w:hAnsi="宋体" w:cs="宋体"/>
          <w:color w:val="auto"/>
          <w:sz w:val="24"/>
          <w:szCs w:val="24"/>
          <w:highlight w:val="none"/>
          <w:u w:val="single"/>
        </w:rPr>
        <w:t xml:space="preserve"> </w:t>
      </w:r>
      <w:r>
        <w:rPr>
          <w:rFonts w:hint="eastAsia" w:ascii="宋体" w:hAnsi="宋体" w:cs="宋体"/>
          <w:color w:val="auto"/>
          <w:kern w:val="0"/>
          <w:sz w:val="24"/>
          <w:szCs w:val="24"/>
          <w:highlight w:val="none"/>
          <w:u w:val="single"/>
        </w:rPr>
        <w:t xml:space="preserve">  按照监理工程师的要求。   </w:t>
      </w:r>
    </w:p>
    <w:p>
      <w:pPr>
        <w:shd w:val="clear" w:color="000000" w:fill="auto"/>
        <w:spacing w:line="360" w:lineRule="auto"/>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（3）监理工程师答复的时间：</w:t>
      </w:r>
      <w:r>
        <w:rPr>
          <w:rFonts w:hint="eastAsia" w:ascii="宋体" w:hAnsi="宋体" w:cs="宋体"/>
          <w:color w:val="auto"/>
          <w:sz w:val="24"/>
          <w:szCs w:val="24"/>
          <w:highlight w:val="none"/>
          <w:u w:val="single"/>
        </w:rPr>
        <w:t xml:space="preserve"> </w:t>
      </w:r>
      <w:r>
        <w:rPr>
          <w:rFonts w:hint="eastAsia" w:ascii="宋体" w:hAnsi="宋体" w:cs="宋体"/>
          <w:color w:val="auto"/>
          <w:kern w:val="0"/>
          <w:sz w:val="24"/>
          <w:szCs w:val="24"/>
          <w:highlight w:val="none"/>
          <w:u w:val="single"/>
        </w:rPr>
        <w:t xml:space="preserve">  承包人还应提供必要的计算书、技术资料等供监理工程师批准，承包人提供的施工图纸应按监理工程师规定的格式和图幅绘制，监理工程师在收到图纸及相关技术资料后的14天内应予批准或提出修改要求，承包人按监理工程师提出的要求作出修改，重新向监理工程师提交，监理工程师在7天内批准或提出进一步修改意见。</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460" w:name="_Toc10624930"/>
      <w:bookmarkStart w:id="461" w:name="_Toc469384086"/>
      <w:bookmarkStart w:id="462" w:name="_Toc2553"/>
      <w:bookmarkStart w:id="463" w:name="_Toc4964"/>
      <w:r>
        <w:rPr>
          <w:rFonts w:ascii="仿宋" w:hAnsi="仿宋" w:eastAsia="仿宋" w:cs="仿宋"/>
          <w:b/>
          <w:bCs/>
          <w:color w:val="auto"/>
          <w:sz w:val="24"/>
          <w:szCs w:val="24"/>
          <w:highlight w:val="none"/>
        </w:rPr>
        <w:t xml:space="preserve">6. </w:t>
      </w:r>
      <w:r>
        <w:rPr>
          <w:rFonts w:hint="eastAsia" w:ascii="仿宋" w:hAnsi="仿宋" w:eastAsia="仿宋" w:cs="仿宋"/>
          <w:b/>
          <w:bCs/>
          <w:color w:val="auto"/>
          <w:sz w:val="24"/>
          <w:szCs w:val="24"/>
          <w:highlight w:val="none"/>
        </w:rPr>
        <w:t>通信联络</w:t>
      </w:r>
      <w:bookmarkEnd w:id="460"/>
      <w:bookmarkEnd w:id="461"/>
      <w:bookmarkEnd w:id="462"/>
      <w:bookmarkEnd w:id="463"/>
    </w:p>
    <w:p>
      <w:pPr>
        <w:shd w:val="clear" w:color="000000" w:fill="auto"/>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6.2各方通讯地址、收件人及其他送达方式</w:t>
      </w:r>
    </w:p>
    <w:p>
      <w:pPr>
        <w:numPr>
          <w:ilvl w:val="0"/>
          <w:numId w:val="27"/>
        </w:numPr>
        <w:shd w:val="clear" w:color="000000" w:fill="auto"/>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各方通讯地址和收件人：</w:t>
      </w:r>
    </w:p>
    <w:p>
      <w:pPr>
        <w:shd w:val="clear" w:color="000000" w:fill="auto"/>
        <w:spacing w:line="360" w:lineRule="auto"/>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发包人：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广州番禺职业技术学院</w:t>
      </w:r>
      <w:r>
        <w:rPr>
          <w:rFonts w:hint="eastAsia" w:ascii="宋体" w:hAnsi="宋体" w:cs="宋体"/>
          <w:color w:val="auto"/>
          <w:sz w:val="24"/>
          <w:szCs w:val="24"/>
          <w:highlight w:val="none"/>
          <w:u w:val="single"/>
        </w:rPr>
        <w:t xml:space="preserve">   </w:t>
      </w:r>
    </w:p>
    <w:p>
      <w:pPr>
        <w:shd w:val="clear" w:color="000000" w:fill="auto"/>
        <w:spacing w:line="360" w:lineRule="auto"/>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通讯地址：</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广州市番禺区市良路1342号</w:t>
      </w:r>
      <w:r>
        <w:rPr>
          <w:rFonts w:hint="eastAsia" w:ascii="宋体" w:hAnsi="宋体" w:cs="宋体"/>
          <w:color w:val="auto"/>
          <w:sz w:val="24"/>
          <w:szCs w:val="24"/>
          <w:highlight w:val="none"/>
        </w:rPr>
        <w:t xml:space="preserve">   收件人：</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邮政编码：</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p>
    <w:p>
      <w:pPr>
        <w:shd w:val="clear" w:color="000000" w:fill="auto"/>
        <w:spacing w:line="360" w:lineRule="auto"/>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 xml:space="preserve">承包人：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pPr>
        <w:shd w:val="clear" w:color="000000" w:fill="auto"/>
        <w:spacing w:line="360" w:lineRule="auto"/>
        <w:ind w:firstLine="240" w:firstLineChars="100"/>
        <w:rPr>
          <w:rFonts w:ascii="宋体" w:hAnsi="宋体" w:cs="宋体"/>
          <w:color w:val="auto"/>
          <w:sz w:val="24"/>
          <w:szCs w:val="24"/>
          <w:highlight w:val="none"/>
          <w:u w:val="single"/>
        </w:rPr>
      </w:pPr>
      <w:r>
        <w:rPr>
          <w:rFonts w:hint="eastAsia" w:ascii="宋体" w:hAnsi="宋体" w:cs="宋体"/>
          <w:color w:val="auto"/>
          <w:sz w:val="24"/>
          <w:szCs w:val="24"/>
          <w:highlight w:val="none"/>
        </w:rPr>
        <w:t>通讯地址：</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收件人：</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邮政编码：</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 xml:space="preserve">                 </w:t>
      </w:r>
    </w:p>
    <w:p>
      <w:pPr>
        <w:shd w:val="clear" w:color="000000" w:fill="auto"/>
        <w:spacing w:line="360" w:lineRule="auto"/>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监理人：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pPr>
        <w:shd w:val="clear" w:color="000000" w:fill="auto"/>
        <w:spacing w:line="360" w:lineRule="auto"/>
        <w:ind w:firstLine="240" w:firstLineChars="100"/>
        <w:rPr>
          <w:rFonts w:ascii="宋体" w:hAnsi="宋体" w:cs="宋体"/>
          <w:color w:val="auto"/>
          <w:sz w:val="24"/>
          <w:szCs w:val="24"/>
          <w:highlight w:val="none"/>
          <w:u w:val="single"/>
        </w:rPr>
      </w:pPr>
      <w:r>
        <w:rPr>
          <w:rFonts w:hint="eastAsia" w:ascii="宋体" w:hAnsi="宋体" w:cs="宋体"/>
          <w:color w:val="auto"/>
          <w:sz w:val="24"/>
          <w:szCs w:val="24"/>
          <w:highlight w:val="none"/>
        </w:rPr>
        <w:t>通讯地址：</w:t>
      </w:r>
      <w:r>
        <w:rPr>
          <w:rFonts w:hint="eastAsia" w:ascii="宋体" w:hAnsi="宋体" w:cs="Times New Roman"/>
          <w:color w:val="auto"/>
          <w:highlight w:val="none"/>
          <w:u w:val="singl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收件人：</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邮政编码：</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 xml:space="preserve">               </w:t>
      </w:r>
    </w:p>
    <w:p>
      <w:pPr>
        <w:shd w:val="clear" w:color="000000" w:fill="auto"/>
        <w:spacing w:line="360" w:lineRule="auto"/>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 xml:space="preserve">工程造价咨询人（如有）：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pPr>
        <w:shd w:val="clear" w:color="000000" w:fill="auto"/>
        <w:spacing w:line="360" w:lineRule="auto"/>
        <w:ind w:firstLine="240" w:firstLineChars="100"/>
        <w:rPr>
          <w:rFonts w:ascii="宋体" w:hAnsi="宋体" w:cs="宋体"/>
          <w:color w:val="auto"/>
          <w:sz w:val="24"/>
          <w:szCs w:val="24"/>
          <w:highlight w:val="none"/>
          <w:u w:val="single"/>
        </w:rPr>
      </w:pPr>
      <w:r>
        <w:rPr>
          <w:rFonts w:hint="eastAsia" w:ascii="宋体" w:hAnsi="宋体" w:cs="宋体"/>
          <w:color w:val="auto"/>
          <w:sz w:val="24"/>
          <w:szCs w:val="24"/>
          <w:highlight w:val="none"/>
        </w:rPr>
        <w:t>通讯地址：</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收件人：</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邮政编码：</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 xml:space="preserve">                 </w:t>
      </w:r>
    </w:p>
    <w:p>
      <w:pPr>
        <w:numPr>
          <w:ilvl w:val="0"/>
          <w:numId w:val="27"/>
        </w:numPr>
        <w:shd w:val="clear" w:color="000000" w:fill="auto"/>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视为送达的其他方式：</w:t>
      </w:r>
      <w:r>
        <w:rPr>
          <w:rFonts w:hint="eastAsia" w:ascii="宋体" w:hAnsi="宋体" w:cs="宋体"/>
          <w:color w:val="auto"/>
          <w:sz w:val="24"/>
          <w:szCs w:val="24"/>
          <w:highlight w:val="none"/>
          <w:u w:val="single"/>
        </w:rPr>
        <w:t xml:space="preserve"> </w:t>
      </w:r>
      <w:r>
        <w:rPr>
          <w:rFonts w:hint="eastAsia" w:ascii="宋体" w:hAnsi="宋体" w:cs="宋体"/>
          <w:color w:val="auto"/>
          <w:kern w:val="0"/>
          <w:sz w:val="24"/>
          <w:szCs w:val="24"/>
          <w:highlight w:val="none"/>
          <w:u w:val="single"/>
        </w:rPr>
        <w:t xml:space="preserve">  无 </w:t>
      </w:r>
      <w:r>
        <w:rPr>
          <w:rFonts w:hint="eastAsia" w:ascii="宋体" w:hAnsi="宋体" w:cs="宋体"/>
          <w:color w:val="auto"/>
          <w:sz w:val="24"/>
          <w:szCs w:val="24"/>
          <w:highlight w:val="none"/>
          <w:u w:val="single"/>
        </w:rPr>
        <w:t xml:space="preserve">  </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464" w:name="_Toc10624931"/>
      <w:bookmarkStart w:id="465" w:name="_Toc469384087"/>
      <w:bookmarkStart w:id="466" w:name="_Toc13905"/>
      <w:bookmarkStart w:id="467" w:name="_Toc18335"/>
      <w:r>
        <w:rPr>
          <w:rFonts w:ascii="仿宋" w:hAnsi="仿宋" w:eastAsia="仿宋" w:cs="仿宋"/>
          <w:b/>
          <w:bCs/>
          <w:color w:val="auto"/>
          <w:sz w:val="24"/>
          <w:szCs w:val="24"/>
          <w:highlight w:val="none"/>
        </w:rPr>
        <w:t xml:space="preserve">7. </w:t>
      </w:r>
      <w:r>
        <w:rPr>
          <w:rFonts w:hint="eastAsia" w:ascii="仿宋" w:hAnsi="仿宋" w:eastAsia="仿宋" w:cs="仿宋"/>
          <w:b/>
          <w:bCs/>
          <w:color w:val="auto"/>
          <w:sz w:val="24"/>
          <w:szCs w:val="24"/>
          <w:highlight w:val="none"/>
        </w:rPr>
        <w:t>工程分包</w:t>
      </w:r>
      <w:bookmarkEnd w:id="464"/>
      <w:bookmarkEnd w:id="465"/>
      <w:bookmarkEnd w:id="466"/>
      <w:bookmarkEnd w:id="467"/>
    </w:p>
    <w:p>
      <w:pPr>
        <w:shd w:val="clear" w:color="000000" w:fill="auto"/>
        <w:spacing w:line="360" w:lineRule="auto"/>
        <w:ind w:left="119"/>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7.2 指定分包工程名称：</w:t>
      </w:r>
      <w:r>
        <w:rPr>
          <w:rFonts w:hint="eastAsia" w:ascii="宋体" w:hAnsi="宋体" w:cs="宋体"/>
          <w:color w:val="auto"/>
          <w:sz w:val="24"/>
          <w:szCs w:val="24"/>
          <w:highlight w:val="none"/>
          <w:u w:val="single"/>
        </w:rPr>
        <w:t xml:space="preserve"> </w:t>
      </w:r>
      <w:r>
        <w:rPr>
          <w:rFonts w:hint="eastAsia" w:ascii="宋体" w:hAnsi="宋体" w:cs="宋体"/>
          <w:color w:val="auto"/>
          <w:kern w:val="0"/>
          <w:sz w:val="24"/>
          <w:szCs w:val="24"/>
          <w:highlight w:val="none"/>
          <w:u w:val="single"/>
        </w:rPr>
        <w:t xml:space="preserve">  无 </w:t>
      </w:r>
      <w:r>
        <w:rPr>
          <w:rFonts w:hint="eastAsia" w:ascii="宋体" w:hAnsi="宋体" w:cs="宋体"/>
          <w:color w:val="auto"/>
          <w:sz w:val="24"/>
          <w:szCs w:val="24"/>
          <w:highlight w:val="none"/>
          <w:u w:val="single"/>
        </w:rPr>
        <w:t xml:space="preserve">  </w:t>
      </w:r>
    </w:p>
    <w:p>
      <w:pPr>
        <w:shd w:val="clear" w:color="000000" w:fill="auto"/>
        <w:spacing w:line="360" w:lineRule="auto"/>
        <w:ind w:left="119"/>
        <w:rPr>
          <w:rFonts w:ascii="宋体" w:hAnsi="宋体" w:cs="宋体"/>
          <w:color w:val="auto"/>
          <w:sz w:val="24"/>
          <w:szCs w:val="24"/>
          <w:highlight w:val="none"/>
          <w:u w:val="single"/>
        </w:rPr>
      </w:pPr>
      <w:r>
        <w:rPr>
          <w:rFonts w:hint="eastAsia" w:ascii="宋体" w:hAnsi="宋体" w:cs="宋体"/>
          <w:color w:val="auto"/>
          <w:sz w:val="24"/>
          <w:szCs w:val="24"/>
          <w:highlight w:val="none"/>
        </w:rPr>
        <w:t>7.4 分包工程款的支付方式：</w:t>
      </w:r>
      <w:r>
        <w:rPr>
          <w:rFonts w:hint="eastAsia" w:ascii="宋体" w:hAnsi="宋体" w:cs="宋体"/>
          <w:color w:val="auto"/>
          <w:sz w:val="24"/>
          <w:szCs w:val="24"/>
          <w:highlight w:val="none"/>
          <w:u w:val="single"/>
        </w:rPr>
        <w:t xml:space="preserve"> </w:t>
      </w:r>
      <w:r>
        <w:rPr>
          <w:rFonts w:hint="eastAsia" w:ascii="宋体" w:hAnsi="宋体" w:cs="宋体"/>
          <w:color w:val="auto"/>
          <w:kern w:val="0"/>
          <w:sz w:val="24"/>
          <w:szCs w:val="24"/>
          <w:highlight w:val="none"/>
          <w:u w:val="single"/>
        </w:rPr>
        <w:t xml:space="preserve">  无 </w:t>
      </w:r>
      <w:r>
        <w:rPr>
          <w:rFonts w:hint="eastAsia" w:ascii="宋体" w:hAnsi="宋体" w:cs="宋体"/>
          <w:color w:val="auto"/>
          <w:sz w:val="24"/>
          <w:szCs w:val="24"/>
          <w:highlight w:val="none"/>
          <w:u w:val="single"/>
        </w:rPr>
        <w:t xml:space="preserve">  </w:t>
      </w:r>
    </w:p>
    <w:p>
      <w:pPr>
        <w:shd w:val="clear" w:color="000000" w:fill="auto"/>
        <w:spacing w:line="360" w:lineRule="auto"/>
        <w:ind w:firstLine="120" w:firstLineChars="5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将8.1款修改为如下内容：</w:t>
      </w:r>
    </w:p>
    <w:p>
      <w:pPr>
        <w:pStyle w:val="2"/>
        <w:spacing w:line="360" w:lineRule="auto"/>
        <w:ind w:firstLine="480" w:firstLineChars="200"/>
        <w:rPr>
          <w:rFonts w:hAnsi="宋体"/>
          <w:color w:val="auto"/>
          <w:sz w:val="24"/>
          <w:szCs w:val="24"/>
          <w:highlight w:val="none"/>
          <w:u w:val="single"/>
        </w:rPr>
      </w:pPr>
      <w:r>
        <w:rPr>
          <w:rFonts w:hint="eastAsia" w:hAnsi="宋体"/>
          <w:color w:val="auto"/>
          <w:sz w:val="24"/>
          <w:szCs w:val="24"/>
          <w:highlight w:val="none"/>
          <w:u w:val="single"/>
        </w:rPr>
        <w:t>发包人应按照第19.2款第（4）点规定向承包人提供有关资料（如有）。此资料作为招标文件的组成部分，与招标文件一并发布。发包人对其提供的上述资料的真实性、准确性和完整性负责。因发包人提供上述资料错误导致承包人发生损失的，发包人应承担由此增加的费用和（或）延误的工期，并向承包人支付合理成本费用。</w:t>
      </w:r>
    </w:p>
    <w:p>
      <w:pPr>
        <w:pStyle w:val="2"/>
        <w:spacing w:line="360" w:lineRule="auto"/>
        <w:ind w:firstLine="480" w:firstLineChars="200"/>
        <w:rPr>
          <w:rFonts w:hAnsi="宋体"/>
          <w:color w:val="auto"/>
          <w:sz w:val="24"/>
          <w:szCs w:val="24"/>
          <w:highlight w:val="none"/>
          <w:u w:val="single"/>
        </w:rPr>
      </w:pPr>
      <w:r>
        <w:rPr>
          <w:rFonts w:hint="eastAsia" w:hAnsi="宋体"/>
          <w:color w:val="auto"/>
          <w:sz w:val="24"/>
          <w:szCs w:val="24"/>
          <w:highlight w:val="none"/>
          <w:u w:val="single"/>
        </w:rPr>
        <w:t>将通用条款中所有的“合理利润”均修改为“合理成本费用”。</w:t>
      </w:r>
    </w:p>
    <w:p>
      <w:pPr>
        <w:pStyle w:val="4"/>
        <w:numPr>
          <w:ilvl w:val="0"/>
          <w:numId w:val="0"/>
        </w:numPr>
        <w:shd w:val="clear" w:color="000000" w:fill="auto"/>
        <w:tabs>
          <w:tab w:val="left" w:pos="420"/>
        </w:tabs>
        <w:spacing w:before="0" w:line="360" w:lineRule="auto"/>
        <w:rPr>
          <w:rFonts w:ascii="仿宋" w:hAnsi="仿宋" w:eastAsia="仿宋" w:cs="仿宋"/>
          <w:color w:val="auto"/>
          <w:sz w:val="24"/>
          <w:szCs w:val="24"/>
          <w:highlight w:val="none"/>
        </w:rPr>
      </w:pPr>
      <w:bookmarkStart w:id="468" w:name="_Toc10624932"/>
      <w:bookmarkStart w:id="469" w:name="_Toc5666"/>
      <w:bookmarkStart w:id="470" w:name="_Toc4508"/>
      <w:bookmarkStart w:id="471" w:name="_Toc469384088"/>
      <w:r>
        <w:rPr>
          <w:rFonts w:ascii="仿宋" w:hAnsi="仿宋" w:eastAsia="仿宋" w:cs="仿宋"/>
          <w:b/>
          <w:bCs/>
          <w:color w:val="auto"/>
          <w:sz w:val="24"/>
          <w:szCs w:val="24"/>
          <w:highlight w:val="none"/>
        </w:rPr>
        <w:t xml:space="preserve">13. </w:t>
      </w:r>
      <w:r>
        <w:rPr>
          <w:rFonts w:hint="eastAsia" w:ascii="仿宋" w:hAnsi="仿宋" w:eastAsia="仿宋" w:cs="仿宋"/>
          <w:b/>
          <w:bCs/>
          <w:color w:val="auto"/>
          <w:sz w:val="24"/>
          <w:szCs w:val="24"/>
          <w:highlight w:val="none"/>
        </w:rPr>
        <w:t>交通运输</w:t>
      </w:r>
      <w:bookmarkEnd w:id="468"/>
      <w:bookmarkEnd w:id="469"/>
      <w:bookmarkEnd w:id="470"/>
      <w:bookmarkEnd w:id="471"/>
      <w:r>
        <w:rPr>
          <w:rFonts w:ascii="仿宋" w:hAnsi="仿宋" w:eastAsia="仿宋" w:cs="仿宋"/>
          <w:color w:val="auto"/>
          <w:sz w:val="24"/>
          <w:szCs w:val="24"/>
          <w:highlight w:val="none"/>
        </w:rPr>
        <w:t xml:space="preserve"> </w:t>
      </w:r>
    </w:p>
    <w:p>
      <w:pPr>
        <w:shd w:val="clear" w:color="000000" w:fill="auto"/>
        <w:spacing w:line="360" w:lineRule="auto"/>
        <w:ind w:left="119"/>
        <w:rPr>
          <w:rFonts w:ascii="宋体" w:hAnsi="宋体" w:cs="宋体"/>
          <w:color w:val="auto"/>
          <w:sz w:val="24"/>
          <w:szCs w:val="24"/>
          <w:highlight w:val="none"/>
          <w:u w:val="single"/>
        </w:rPr>
      </w:pPr>
      <w:r>
        <w:rPr>
          <w:rFonts w:hint="eastAsia" w:ascii="宋体" w:hAnsi="宋体" w:cs="宋体"/>
          <w:color w:val="auto"/>
          <w:sz w:val="24"/>
          <w:szCs w:val="24"/>
          <w:highlight w:val="none"/>
        </w:rPr>
        <w:t>13.1 办理道路通行权和修建场外设施的费用：</w:t>
      </w:r>
      <w:r>
        <w:rPr>
          <w:rFonts w:hint="eastAsia" w:ascii="宋体" w:hAnsi="宋体"/>
          <w:color w:val="auto"/>
          <w:sz w:val="24"/>
          <w:highlight w:val="none"/>
          <w:u w:val="single"/>
        </w:rPr>
        <w:t xml:space="preserve">承包人自行解决并承担相应费用    </w:t>
      </w:r>
    </w:p>
    <w:p>
      <w:pPr>
        <w:shd w:val="clear" w:color="000000" w:fill="auto"/>
        <w:spacing w:line="360" w:lineRule="auto"/>
        <w:ind w:left="119"/>
        <w:rPr>
          <w:rFonts w:ascii="宋体" w:hAnsi="宋体" w:cs="宋体"/>
          <w:color w:val="auto"/>
          <w:sz w:val="24"/>
          <w:szCs w:val="24"/>
          <w:highlight w:val="none"/>
          <w:u w:val="single"/>
        </w:rPr>
      </w:pPr>
      <w:r>
        <w:rPr>
          <w:rFonts w:hint="eastAsia" w:ascii="宋体" w:hAnsi="宋体" w:cs="宋体"/>
          <w:color w:val="auto"/>
          <w:sz w:val="24"/>
          <w:szCs w:val="24"/>
          <w:highlight w:val="none"/>
        </w:rPr>
        <w:t>13.2 修建场内临时道路和交通设施的费用：</w:t>
      </w:r>
      <w:r>
        <w:rPr>
          <w:rFonts w:hint="eastAsia" w:ascii="宋体" w:hAnsi="宋体"/>
          <w:color w:val="auto"/>
          <w:sz w:val="24"/>
          <w:highlight w:val="none"/>
          <w:u w:val="single"/>
        </w:rPr>
        <w:t xml:space="preserve"> 承包人自行解决并承担相应费用。    </w:t>
      </w:r>
    </w:p>
    <w:p>
      <w:pPr>
        <w:shd w:val="clear" w:color="000000" w:fill="auto"/>
        <w:spacing w:line="360" w:lineRule="auto"/>
        <w:ind w:left="119"/>
        <w:rPr>
          <w:color w:val="auto"/>
          <w:highlight w:val="none"/>
        </w:rPr>
      </w:pPr>
      <w:r>
        <w:rPr>
          <w:rFonts w:hint="eastAsia" w:ascii="宋体" w:hAnsi="宋体" w:cs="宋体"/>
          <w:color w:val="auto"/>
          <w:sz w:val="24"/>
          <w:szCs w:val="24"/>
          <w:highlight w:val="none"/>
        </w:rPr>
        <w:t>13.4 运输超大件和超重件的费用：</w:t>
      </w:r>
      <w:r>
        <w:rPr>
          <w:rFonts w:hint="eastAsia" w:ascii="宋体" w:hAnsi="宋体"/>
          <w:color w:val="auto"/>
          <w:sz w:val="24"/>
          <w:highlight w:val="none"/>
          <w:u w:val="single"/>
        </w:rPr>
        <w:t xml:space="preserve">  承包人自行解决并承担相应费用。    </w:t>
      </w:r>
    </w:p>
    <w:p>
      <w:pPr>
        <w:shd w:val="clear" w:color="000000" w:fill="auto"/>
        <w:spacing w:line="360" w:lineRule="auto"/>
        <w:ind w:left="119"/>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增加13.7款内容如下：</w:t>
      </w:r>
    </w:p>
    <w:p>
      <w:pPr>
        <w:shd w:val="clear" w:color="000000" w:fill="auto"/>
        <w:spacing w:line="360" w:lineRule="auto"/>
        <w:ind w:left="119"/>
        <w:rPr>
          <w:color w:val="auto"/>
          <w:highlight w:val="none"/>
        </w:rPr>
      </w:pPr>
      <w:r>
        <w:rPr>
          <w:rFonts w:hint="eastAsia" w:ascii="宋体" w:hAnsi="宋体" w:cs="宋体"/>
          <w:color w:val="auto"/>
          <w:sz w:val="24"/>
          <w:szCs w:val="24"/>
          <w:highlight w:val="none"/>
          <w:u w:val="single"/>
        </w:rPr>
        <w:t xml:space="preserve">  13.7 除合同另有规定外，施工场地的专用和临时道路的维修保养由承包人负责，费用已包含在投标报价中，发包人不另行计量支付。如承包人未履行职责，则视为违约，发包人根据费用从承包人进度款中相应扣除。</w:t>
      </w:r>
    </w:p>
    <w:p>
      <w:pPr>
        <w:pStyle w:val="4"/>
        <w:numPr>
          <w:ilvl w:val="0"/>
          <w:numId w:val="0"/>
        </w:numPr>
        <w:shd w:val="clear" w:color="000000" w:fill="auto"/>
        <w:tabs>
          <w:tab w:val="left" w:pos="420"/>
        </w:tabs>
        <w:spacing w:before="0" w:line="360" w:lineRule="auto"/>
        <w:rPr>
          <w:rFonts w:ascii="仿宋" w:hAnsi="仿宋" w:eastAsia="仿宋" w:cs="仿宋"/>
          <w:b/>
          <w:bCs/>
          <w:color w:val="auto"/>
          <w:sz w:val="24"/>
          <w:szCs w:val="24"/>
          <w:highlight w:val="none"/>
        </w:rPr>
      </w:pPr>
      <w:bookmarkStart w:id="472" w:name="_Toc22354"/>
      <w:bookmarkStart w:id="473" w:name="_Toc469384089"/>
      <w:bookmarkStart w:id="474" w:name="_Toc28297"/>
      <w:bookmarkStart w:id="475" w:name="_Toc10624933"/>
      <w:r>
        <w:rPr>
          <w:rFonts w:ascii="仿宋" w:hAnsi="仿宋" w:eastAsia="仿宋" w:cs="仿宋"/>
          <w:b/>
          <w:bCs/>
          <w:color w:val="auto"/>
          <w:sz w:val="24"/>
          <w:szCs w:val="24"/>
          <w:highlight w:val="none"/>
        </w:rPr>
        <w:t xml:space="preserve">14. </w:t>
      </w:r>
      <w:r>
        <w:rPr>
          <w:rFonts w:hint="eastAsia" w:ascii="仿宋" w:hAnsi="仿宋" w:eastAsia="仿宋" w:cs="仿宋"/>
          <w:b/>
          <w:bCs/>
          <w:color w:val="auto"/>
          <w:sz w:val="24"/>
          <w:szCs w:val="24"/>
          <w:highlight w:val="none"/>
        </w:rPr>
        <w:t>专项批准事件的签认</w:t>
      </w:r>
      <w:bookmarkEnd w:id="472"/>
      <w:bookmarkEnd w:id="473"/>
      <w:bookmarkEnd w:id="474"/>
      <w:bookmarkEnd w:id="475"/>
    </w:p>
    <w:p>
      <w:pPr>
        <w:shd w:val="clear" w:color="000000" w:fill="auto"/>
        <w:spacing w:line="360" w:lineRule="auto"/>
        <w:ind w:left="120"/>
        <w:rPr>
          <w:rFonts w:ascii="宋体" w:hAnsi="宋体" w:cs="宋体"/>
          <w:color w:val="auto"/>
          <w:sz w:val="24"/>
          <w:szCs w:val="24"/>
          <w:highlight w:val="none"/>
        </w:rPr>
      </w:pPr>
      <w:r>
        <w:rPr>
          <w:rFonts w:hint="eastAsia" w:ascii="宋体" w:hAnsi="宋体" w:cs="宋体"/>
          <w:color w:val="auto"/>
          <w:sz w:val="24"/>
          <w:szCs w:val="24"/>
          <w:highlight w:val="none"/>
        </w:rPr>
        <w:t xml:space="preserve"> 14.2 专项批准事件的签认人选</w:t>
      </w:r>
    </w:p>
    <w:p>
      <w:pPr>
        <w:numPr>
          <w:ilvl w:val="0"/>
          <w:numId w:val="28"/>
        </w:numPr>
        <w:shd w:val="clear" w:color="000000" w:fill="auto"/>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监理工程师：</w:t>
      </w:r>
    </w:p>
    <w:p>
      <w:pPr>
        <w:shd w:val="clear" w:color="000000" w:fill="auto"/>
        <w:spacing w:line="360" w:lineRule="auto"/>
        <w:ind w:left="240"/>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姓名：</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印章样式： /         签字样式：</w:t>
      </w:r>
      <w:r>
        <w:rPr>
          <w:rFonts w:hint="eastAsia" w:ascii="宋体" w:hAnsi="宋体" w:cs="宋体"/>
          <w:color w:val="auto"/>
          <w:sz w:val="24"/>
          <w:szCs w:val="24"/>
          <w:highlight w:val="none"/>
          <w:u w:val="single"/>
        </w:rPr>
        <w:t xml:space="preserve"> / </w:t>
      </w:r>
    </w:p>
    <w:p>
      <w:pPr>
        <w:numPr>
          <w:ilvl w:val="0"/>
          <w:numId w:val="28"/>
        </w:numPr>
        <w:shd w:val="clear" w:color="000000" w:fill="auto"/>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造价工程师：</w:t>
      </w:r>
    </w:p>
    <w:p>
      <w:pPr>
        <w:shd w:val="clear" w:color="000000" w:fill="auto"/>
        <w:spacing w:line="360" w:lineRule="auto"/>
        <w:ind w:left="239" w:leftChars="114" w:firstLine="120" w:firstLineChars="50"/>
        <w:rPr>
          <w:rFonts w:ascii="宋体" w:hAnsi="宋体" w:cs="宋体"/>
          <w:color w:val="auto"/>
          <w:sz w:val="24"/>
          <w:szCs w:val="24"/>
          <w:highlight w:val="none"/>
          <w:u w:val="single"/>
        </w:rPr>
      </w:pPr>
      <w:r>
        <w:rPr>
          <w:rFonts w:hint="eastAsia" w:ascii="宋体" w:hAnsi="宋体" w:cs="宋体"/>
          <w:color w:val="auto"/>
          <w:sz w:val="24"/>
          <w:szCs w:val="24"/>
          <w:highlight w:val="none"/>
        </w:rPr>
        <w:t>姓名：</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印章样式：  /          签字样式：</w:t>
      </w:r>
      <w:r>
        <w:rPr>
          <w:rFonts w:hint="eastAsia" w:ascii="宋体" w:hAnsi="宋体" w:cs="宋体"/>
          <w:color w:val="auto"/>
          <w:sz w:val="24"/>
          <w:szCs w:val="24"/>
          <w:highlight w:val="none"/>
          <w:u w:val="single"/>
        </w:rPr>
        <w:t xml:space="preserve"> / </w:t>
      </w:r>
    </w:p>
    <w:p>
      <w:pPr>
        <w:numPr>
          <w:ilvl w:val="0"/>
          <w:numId w:val="28"/>
        </w:numPr>
        <w:shd w:val="clear" w:color="000000" w:fill="auto"/>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建造师：</w:t>
      </w:r>
    </w:p>
    <w:p>
      <w:pPr>
        <w:shd w:val="clear" w:color="000000" w:fill="auto"/>
        <w:spacing w:line="360" w:lineRule="auto"/>
        <w:ind w:left="239" w:leftChars="114" w:firstLine="120" w:firstLineChars="50"/>
        <w:rPr>
          <w:rFonts w:ascii="宋体" w:hAnsi="宋体" w:cs="宋体"/>
          <w:color w:val="auto"/>
          <w:sz w:val="24"/>
          <w:szCs w:val="24"/>
          <w:highlight w:val="none"/>
          <w:u w:val="single"/>
        </w:rPr>
      </w:pPr>
      <w:r>
        <w:rPr>
          <w:rFonts w:hint="eastAsia" w:ascii="宋体" w:hAnsi="宋体" w:cs="宋体"/>
          <w:color w:val="auto"/>
          <w:sz w:val="24"/>
          <w:szCs w:val="24"/>
          <w:highlight w:val="none"/>
        </w:rPr>
        <w:t>姓名：</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印章样式：  /          签字样式：</w:t>
      </w:r>
      <w:r>
        <w:rPr>
          <w:rFonts w:hint="eastAsia" w:ascii="宋体" w:hAnsi="宋体" w:cs="宋体"/>
          <w:color w:val="auto"/>
          <w:sz w:val="24"/>
          <w:szCs w:val="24"/>
          <w:highlight w:val="none"/>
          <w:u w:val="single"/>
        </w:rPr>
        <w:t xml:space="preserve"> / </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将18.3款修改为如下内容：</w:t>
      </w:r>
    </w:p>
    <w:p>
      <w:pPr>
        <w:pStyle w:val="2"/>
        <w:spacing w:line="360" w:lineRule="auto"/>
        <w:ind w:firstLine="480" w:firstLineChars="200"/>
        <w:rPr>
          <w:color w:val="auto"/>
          <w:highlight w:val="none"/>
        </w:rPr>
      </w:pPr>
      <w:r>
        <w:rPr>
          <w:rFonts w:hint="eastAsia" w:hAnsi="宋体"/>
          <w:color w:val="auto"/>
          <w:sz w:val="24"/>
          <w:szCs w:val="24"/>
          <w:highlight w:val="none"/>
          <w:u w:val="single"/>
        </w:rPr>
        <w:t>如果承包人依据第87.4款规定的情形解除合同，则承包人有权要求发包人支付已完工程款，并赔偿因此造成的损失。发包人应为承包人撤出现场提供便利和协助。如发包人未付完相关款项，承包人有权通过法律途径向发包人追索，但不得留置施工现场。</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476" w:name="_Toc469384090"/>
      <w:bookmarkStart w:id="477" w:name="_Toc1100"/>
      <w:bookmarkStart w:id="478" w:name="_Toc10624934"/>
      <w:bookmarkStart w:id="479" w:name="_Toc6727"/>
      <w:r>
        <w:rPr>
          <w:rFonts w:ascii="仿宋" w:hAnsi="仿宋" w:eastAsia="仿宋" w:cs="仿宋"/>
          <w:b/>
          <w:bCs/>
          <w:color w:val="auto"/>
          <w:sz w:val="24"/>
          <w:szCs w:val="24"/>
          <w:highlight w:val="none"/>
        </w:rPr>
        <w:t xml:space="preserve">19. </w:t>
      </w:r>
      <w:r>
        <w:rPr>
          <w:rFonts w:hint="eastAsia" w:ascii="仿宋" w:hAnsi="仿宋" w:eastAsia="仿宋" w:cs="仿宋"/>
          <w:b/>
          <w:bCs/>
          <w:color w:val="auto"/>
          <w:sz w:val="24"/>
          <w:szCs w:val="24"/>
          <w:highlight w:val="none"/>
        </w:rPr>
        <w:t>发包人</w:t>
      </w:r>
      <w:bookmarkEnd w:id="476"/>
      <w:bookmarkEnd w:id="477"/>
      <w:bookmarkEnd w:id="478"/>
      <w:bookmarkEnd w:id="479"/>
    </w:p>
    <w:p>
      <w:pPr>
        <w:shd w:val="clear" w:color="000000" w:fill="auto"/>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19.2 发包人完成下列工作的约定</w:t>
      </w:r>
    </w:p>
    <w:p>
      <w:pPr>
        <w:numPr>
          <w:ilvl w:val="0"/>
          <w:numId w:val="29"/>
        </w:numPr>
        <w:shd w:val="clear" w:color="000000" w:fill="auto"/>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rPr>
        <w:t>办理土地征用、拆迁、平整施工场地等工作的时间：</w:t>
      </w:r>
      <w:r>
        <w:rPr>
          <w:rFonts w:hint="eastAsia" w:ascii="宋体" w:hAnsi="宋体" w:cs="宋体"/>
          <w:color w:val="auto"/>
          <w:sz w:val="24"/>
          <w:szCs w:val="24"/>
          <w:highlight w:val="none"/>
          <w:u w:val="single"/>
        </w:rPr>
        <w:t>本工程开工前，场地清理、平整等工作由承包人负责办理，费用已包含在投标报价中，发包人不另行计量支付。</w:t>
      </w:r>
    </w:p>
    <w:p>
      <w:pPr>
        <w:numPr>
          <w:ilvl w:val="0"/>
          <w:numId w:val="29"/>
        </w:numPr>
        <w:shd w:val="clear" w:color="000000" w:fill="auto"/>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rPr>
        <w:t>完成施工所需水、电、通讯线路接驳的时间及地点：</w:t>
      </w:r>
      <w:r>
        <w:rPr>
          <w:rFonts w:hint="eastAsia" w:ascii="宋体" w:hAnsi="宋体" w:cs="宋体"/>
          <w:color w:val="auto"/>
          <w:sz w:val="24"/>
          <w:szCs w:val="24"/>
          <w:highlight w:val="none"/>
          <w:u w:val="single"/>
        </w:rPr>
        <w:t>本工程施工场地已具备水电条件，发包人按发包人单位或国家、地方有关规定的标准向承包人计取相关费用，通讯设施由承包人自行负责，所有费用已包含在投标报价中，发包人不另行计量支付。</w:t>
      </w:r>
    </w:p>
    <w:p>
      <w:pPr>
        <w:numPr>
          <w:ilvl w:val="0"/>
          <w:numId w:val="29"/>
        </w:numPr>
        <w:shd w:val="clear" w:color="000000" w:fill="auto"/>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开通施工现场与城乡公共道路间的通道的时间：</w:t>
      </w:r>
      <w:r>
        <w:rPr>
          <w:rFonts w:hint="eastAsia" w:ascii="宋体" w:hAnsi="宋体" w:cs="宋体"/>
          <w:color w:val="auto"/>
          <w:sz w:val="24"/>
          <w:szCs w:val="24"/>
          <w:highlight w:val="none"/>
          <w:u w:val="single"/>
          <w:lang w:val="en-US" w:eastAsia="zh-CN"/>
        </w:rPr>
        <w:t>/</w:t>
      </w:r>
    </w:p>
    <w:p>
      <w:pPr>
        <w:numPr>
          <w:ilvl w:val="0"/>
          <w:numId w:val="29"/>
        </w:numPr>
        <w:shd w:val="clear" w:color="000000" w:fill="auto"/>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提供施工所需的有关资料的时间：</w:t>
      </w:r>
      <w:r>
        <w:rPr>
          <w:rFonts w:hint="eastAsia" w:ascii="宋体" w:hAnsi="宋体" w:cs="宋体"/>
          <w:color w:val="auto"/>
          <w:sz w:val="24"/>
          <w:szCs w:val="24"/>
          <w:highlight w:val="none"/>
          <w:u w:val="single"/>
        </w:rPr>
        <w:t>由承包人根据施工的需要确定，相关费用已包含在投标报价中，发包人不另行计量支付。</w:t>
      </w:r>
    </w:p>
    <w:p>
      <w:pPr>
        <w:numPr>
          <w:ilvl w:val="0"/>
          <w:numId w:val="29"/>
        </w:numPr>
        <w:shd w:val="clear" w:color="000000" w:fill="auto"/>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rPr>
        <w:t>办理施工所需的有关证件和批准手续的时间：</w:t>
      </w:r>
      <w:r>
        <w:rPr>
          <w:rFonts w:hint="eastAsia" w:ascii="宋体" w:hAnsi="宋体"/>
          <w:color w:val="auto"/>
          <w:sz w:val="24"/>
          <w:highlight w:val="none"/>
          <w:u w:val="single"/>
        </w:rPr>
        <w:t>有关施工所需证件、文件由承包人办理，同时承包人也应协助发包人办理施工许可证，费用已包含投标报价中。</w:t>
      </w:r>
    </w:p>
    <w:p>
      <w:pPr>
        <w:numPr>
          <w:ilvl w:val="0"/>
          <w:numId w:val="29"/>
        </w:numPr>
        <w:shd w:val="clear" w:color="000000" w:fill="auto"/>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rPr>
        <w:t>现场交验的时间：</w:t>
      </w:r>
      <w:r>
        <w:rPr>
          <w:rFonts w:hint="eastAsia" w:ascii="宋体" w:hAnsi="宋体" w:cs="宋体"/>
          <w:color w:val="auto"/>
          <w:sz w:val="24"/>
          <w:szCs w:val="24"/>
          <w:highlight w:val="none"/>
          <w:u w:val="single"/>
        </w:rPr>
        <w:t>开工前进行，具体时间由发包人以书面形式通知承包人。</w:t>
      </w:r>
    </w:p>
    <w:p>
      <w:pPr>
        <w:numPr>
          <w:ilvl w:val="0"/>
          <w:numId w:val="29"/>
        </w:numPr>
        <w:shd w:val="clear" w:color="000000" w:fill="auto"/>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提供标准与规范的时间：</w:t>
      </w:r>
      <w:r>
        <w:rPr>
          <w:rFonts w:hint="eastAsia" w:ascii="宋体" w:hAnsi="宋体" w:cs="宋体"/>
          <w:color w:val="auto"/>
          <w:sz w:val="24"/>
          <w:szCs w:val="24"/>
          <w:highlight w:val="none"/>
          <w:u w:val="single"/>
        </w:rPr>
        <w:t xml:space="preserve"> 不提供，承包人自备。</w:t>
      </w:r>
    </w:p>
    <w:p>
      <w:pPr>
        <w:numPr>
          <w:ilvl w:val="0"/>
          <w:numId w:val="29"/>
        </w:numPr>
        <w:shd w:val="clear" w:color="000000" w:fill="auto"/>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组织图纸会审和设计交底的时间：</w:t>
      </w:r>
      <w:r>
        <w:rPr>
          <w:rFonts w:hint="eastAsia" w:ascii="宋体" w:hAnsi="宋体" w:cs="宋体"/>
          <w:color w:val="auto"/>
          <w:sz w:val="24"/>
          <w:szCs w:val="24"/>
          <w:highlight w:val="none"/>
          <w:u w:val="single"/>
        </w:rPr>
        <w:t xml:space="preserve">开工前进行，具体时间由发包人以书面形式通知承包人。 </w:t>
      </w:r>
    </w:p>
    <w:p>
      <w:pPr>
        <w:numPr>
          <w:ilvl w:val="0"/>
          <w:numId w:val="29"/>
        </w:numPr>
        <w:shd w:val="clear" w:color="000000" w:fill="auto"/>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协调处理施工周围场地系问题和邻近建筑物等保护工作的约定：</w:t>
      </w:r>
      <w:r>
        <w:rPr>
          <w:rFonts w:hint="eastAsia" w:ascii="宋体" w:hAnsi="宋体" w:cs="宋体"/>
          <w:color w:val="auto"/>
          <w:sz w:val="24"/>
          <w:szCs w:val="24"/>
          <w:highlight w:val="none"/>
          <w:u w:val="single"/>
        </w:rPr>
        <w:t xml:space="preserve">发包人协助承包人做好上述保护工作的协调处理，除文物保护外，其它保护工作费用已包含在承包人的投标报价中。  </w:t>
      </w:r>
      <w:r>
        <w:rPr>
          <w:rFonts w:hint="eastAsia" w:ascii="宋体" w:hAnsi="宋体" w:cs="宋体"/>
          <w:color w:val="auto"/>
          <w:sz w:val="24"/>
          <w:szCs w:val="24"/>
          <w:highlight w:val="none"/>
        </w:rPr>
        <w:t xml:space="preserve">                </w:t>
      </w:r>
    </w:p>
    <w:p>
      <w:pPr>
        <w:shd w:val="clear" w:color="000000" w:fill="auto"/>
        <w:spacing w:line="360" w:lineRule="auto"/>
        <w:ind w:left="120"/>
        <w:rPr>
          <w:rFonts w:ascii="宋体" w:hAnsi="宋体" w:cs="宋体"/>
          <w:color w:val="auto"/>
          <w:sz w:val="24"/>
          <w:szCs w:val="24"/>
          <w:highlight w:val="none"/>
        </w:rPr>
      </w:pPr>
      <w:r>
        <w:rPr>
          <w:rFonts w:hint="eastAsia" w:ascii="宋体" w:hAnsi="宋体" w:cs="宋体"/>
          <w:color w:val="auto"/>
          <w:sz w:val="24"/>
          <w:szCs w:val="24"/>
          <w:highlight w:val="none"/>
        </w:rPr>
        <w:t xml:space="preserve"> 委托承包人办理的工作有：</w:t>
      </w:r>
      <w:r>
        <w:rPr>
          <w:rFonts w:hint="eastAsia" w:ascii="宋体" w:hAnsi="宋体" w:cs="宋体"/>
          <w:color w:val="auto"/>
          <w:sz w:val="24"/>
          <w:szCs w:val="24"/>
          <w:highlight w:val="none"/>
          <w:u w:val="single"/>
        </w:rPr>
        <w:t xml:space="preserve">发包人有权随时根据工程需要将部分工作委托给承包人办理，承包人须接受并积极执行。   </w:t>
      </w:r>
      <w:r>
        <w:rPr>
          <w:rFonts w:hint="eastAsia" w:ascii="宋体" w:hAnsi="宋体" w:cs="宋体"/>
          <w:color w:val="auto"/>
          <w:sz w:val="24"/>
          <w:szCs w:val="24"/>
          <w:highlight w:val="none"/>
        </w:rPr>
        <w:t xml:space="preserve">                  </w:t>
      </w:r>
    </w:p>
    <w:p>
      <w:pPr>
        <w:shd w:val="clear" w:color="000000" w:fill="auto"/>
        <w:spacing w:line="360" w:lineRule="auto"/>
        <w:ind w:left="120"/>
        <w:rPr>
          <w:rFonts w:ascii="宋体" w:hAnsi="宋体" w:cs="宋体"/>
          <w:strike/>
          <w:color w:val="auto"/>
          <w:sz w:val="24"/>
          <w:szCs w:val="24"/>
          <w:highlight w:val="none"/>
          <w:u w:val="single"/>
        </w:rPr>
      </w:pPr>
      <w:r>
        <w:rPr>
          <w:rFonts w:hint="eastAsia" w:ascii="宋体" w:hAnsi="宋体" w:cs="宋体"/>
          <w:color w:val="auto"/>
          <w:sz w:val="24"/>
          <w:szCs w:val="24"/>
          <w:highlight w:val="none"/>
        </w:rPr>
        <w:t>19.3 提供施工场地的时间：</w:t>
      </w:r>
      <w:r>
        <w:rPr>
          <w:rFonts w:hint="eastAsia" w:ascii="宋体" w:hAnsi="宋体" w:cs="宋体"/>
          <w:color w:val="auto"/>
          <w:sz w:val="24"/>
          <w:szCs w:val="24"/>
          <w:highlight w:val="none"/>
          <w:u w:val="single"/>
        </w:rPr>
        <w:t xml:space="preserve"> 发包人根据实际情况，分期移交施工场地给承包人。</w:t>
      </w:r>
    </w:p>
    <w:p>
      <w:pPr>
        <w:shd w:val="clear" w:color="000000" w:fill="auto"/>
        <w:spacing w:line="360" w:lineRule="auto"/>
        <w:ind w:left="120"/>
        <w:rPr>
          <w:rFonts w:ascii="宋体" w:hAnsi="宋体" w:cs="宋体"/>
          <w:color w:val="auto"/>
          <w:sz w:val="24"/>
          <w:szCs w:val="24"/>
          <w:highlight w:val="none"/>
        </w:rPr>
      </w:pPr>
      <w:r>
        <w:rPr>
          <w:rFonts w:hint="eastAsia" w:ascii="宋体" w:hAnsi="宋体" w:cs="宋体"/>
          <w:color w:val="auto"/>
          <w:sz w:val="24"/>
          <w:szCs w:val="24"/>
          <w:highlight w:val="none"/>
        </w:rPr>
        <w:t>19.4 支付款项</w:t>
      </w:r>
    </w:p>
    <w:p>
      <w:pPr>
        <w:shd w:val="clear" w:color="000000" w:fill="auto"/>
        <w:spacing w:line="360" w:lineRule="auto"/>
        <w:ind w:left="120"/>
        <w:rPr>
          <w:rFonts w:ascii="宋体" w:hAnsi="宋体" w:cs="宋体"/>
          <w:color w:val="auto"/>
          <w:sz w:val="24"/>
          <w:szCs w:val="24"/>
          <w:highlight w:val="none"/>
        </w:rPr>
      </w:pPr>
      <w:r>
        <w:rPr>
          <w:rFonts w:hint="eastAsia" w:ascii="宋体" w:hAnsi="宋体" w:cs="宋体"/>
          <w:color w:val="auto"/>
          <w:sz w:val="24"/>
          <w:szCs w:val="24"/>
          <w:highlight w:val="none"/>
        </w:rPr>
        <w:t>（1） 工程款支付期限</w:t>
      </w:r>
    </w:p>
    <w:p>
      <w:pPr>
        <w:shd w:val="clear" w:color="000000" w:fill="auto"/>
        <w:spacing w:line="360" w:lineRule="auto"/>
        <w:ind w:firstLine="240" w:firstLineChars="100"/>
        <w:rPr>
          <w:rFonts w:ascii="宋体" w:hAnsi="宋体" w:cs="宋体"/>
          <w:color w:val="auto"/>
          <w:kern w:val="0"/>
          <w:sz w:val="24"/>
          <w:szCs w:val="24"/>
          <w:highlight w:val="none"/>
        </w:rPr>
      </w:pP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按通用条款第81.3款、第83.3款等规定期限支付。</w:t>
      </w:r>
    </w:p>
    <w:p>
      <w:pPr>
        <w:shd w:val="clear" w:color="000000" w:fill="auto"/>
        <w:spacing w:line="360" w:lineRule="auto"/>
        <w:ind w:firstLine="240" w:firstLineChars="1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另作约定：</w:t>
      </w:r>
      <w:r>
        <w:rPr>
          <w:rFonts w:hint="eastAsia" w:ascii="宋体" w:hAnsi="宋体" w:cs="宋体"/>
          <w:color w:val="auto"/>
          <w:kern w:val="0"/>
          <w:sz w:val="24"/>
          <w:szCs w:val="24"/>
          <w:highlight w:val="none"/>
          <w:u w:val="single"/>
        </w:rPr>
        <w:t xml:space="preserve">   /        </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（2） 工程款支付方式</w:t>
      </w:r>
      <w:r>
        <w:rPr>
          <w:rFonts w:hint="eastAsia" w:ascii="宋体" w:hAnsi="宋体" w:cs="宋体"/>
          <w:color w:val="auto"/>
          <w:kern w:val="0"/>
          <w:sz w:val="24"/>
          <w:szCs w:val="24"/>
          <w:highlight w:val="none"/>
        </w:rPr>
        <w:tab/>
      </w:r>
    </w:p>
    <w:p>
      <w:pPr>
        <w:shd w:val="clear" w:color="000000" w:fill="auto"/>
        <w:spacing w:line="360" w:lineRule="auto"/>
        <w:ind w:firstLine="240" w:firstLineChars="100"/>
        <w:rPr>
          <w:rFonts w:ascii="宋体" w:hAnsi="宋体" w:cs="宋体"/>
          <w:color w:val="auto"/>
          <w:kern w:val="0"/>
          <w:sz w:val="24"/>
          <w:szCs w:val="24"/>
          <w:highlight w:val="none"/>
        </w:rPr>
      </w:pP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按协议书所注明的银行账户转账。</w:t>
      </w:r>
    </w:p>
    <w:p>
      <w:pPr>
        <w:shd w:val="clear" w:color="000000" w:fill="auto"/>
        <w:spacing w:line="360" w:lineRule="auto"/>
        <w:ind w:firstLine="240" w:firstLineChars="1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支票支付。</w:t>
      </w:r>
    </w:p>
    <w:p>
      <w:pPr>
        <w:shd w:val="clear" w:color="000000" w:fill="auto"/>
        <w:spacing w:line="360" w:lineRule="auto"/>
        <w:ind w:firstLine="240" w:firstLineChars="1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其他方式：</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 xml:space="preserve">            </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将19.7款修改为如下内容：</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u w:val="single"/>
        </w:rPr>
        <w:t>发包人未能正确完成本合同约定的全部义务，导致工期延误,由发包人和承包人双方友好协商后，承包人向发包人提出书面申请，经发包人同意后，工期顺延，费用不予补偿。</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480" w:name="_Toc13802"/>
      <w:bookmarkStart w:id="481" w:name="_Toc469384091"/>
      <w:bookmarkStart w:id="482" w:name="_Toc13421"/>
      <w:bookmarkStart w:id="483" w:name="_Toc10624935"/>
      <w:r>
        <w:rPr>
          <w:rFonts w:ascii="仿宋" w:hAnsi="仿宋" w:eastAsia="仿宋" w:cs="仿宋"/>
          <w:b/>
          <w:bCs/>
          <w:color w:val="auto"/>
          <w:sz w:val="24"/>
          <w:szCs w:val="24"/>
          <w:highlight w:val="none"/>
        </w:rPr>
        <w:t xml:space="preserve">20. </w:t>
      </w:r>
      <w:r>
        <w:rPr>
          <w:rFonts w:hint="eastAsia" w:ascii="仿宋" w:hAnsi="仿宋" w:eastAsia="仿宋" w:cs="仿宋"/>
          <w:b/>
          <w:bCs/>
          <w:color w:val="auto"/>
          <w:sz w:val="24"/>
          <w:szCs w:val="24"/>
          <w:highlight w:val="none"/>
        </w:rPr>
        <w:t>承包人</w:t>
      </w:r>
      <w:bookmarkEnd w:id="480"/>
      <w:bookmarkEnd w:id="481"/>
      <w:bookmarkEnd w:id="482"/>
      <w:bookmarkEnd w:id="483"/>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20.1 遵守法律</w:t>
      </w:r>
    </w:p>
    <w:p>
      <w:pPr>
        <w:shd w:val="clear" w:color="000000" w:fill="auto"/>
        <w:spacing w:line="360" w:lineRule="auto"/>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承包人在本项目发包人的工程项目中存在通用条款20.1所列行为的，将被拒绝参与发包人后续工程投标。拒绝投标时限：</w:t>
      </w:r>
      <w:r>
        <w:rPr>
          <w:rFonts w:hint="eastAsia" w:ascii="宋体" w:hAnsi="宋体" w:cs="宋体"/>
          <w:color w:val="auto"/>
          <w:kern w:val="0"/>
          <w:sz w:val="24"/>
          <w:szCs w:val="24"/>
          <w:highlight w:val="none"/>
          <w:u w:val="single"/>
        </w:rPr>
        <w:t xml:space="preserve">  一年 </w:t>
      </w:r>
      <w:r>
        <w:rPr>
          <w:rFonts w:hint="eastAsia" w:ascii="宋体" w:hAnsi="宋体" w:cs="宋体"/>
          <w:color w:val="auto"/>
          <w:kern w:val="0"/>
          <w:sz w:val="24"/>
          <w:szCs w:val="24"/>
          <w:highlight w:val="none"/>
        </w:rPr>
        <w:t xml:space="preserve"> 。</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20.2 承包人完成下列工作的约定</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（3） 提交支付申请和工程款额报告期限</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黑体" w:hAnsi="黑体" w:eastAsia="黑体" w:cs="黑体"/>
          <w:color w:val="auto"/>
          <w:kern w:val="0"/>
          <w:sz w:val="24"/>
          <w:szCs w:val="24"/>
          <w:highlight w:val="none"/>
        </w:rPr>
        <w:t xml:space="preserve">■ </w:t>
      </w:r>
      <w:r>
        <w:rPr>
          <w:rFonts w:hint="eastAsia" w:ascii="宋体" w:hAnsi="宋体" w:cs="宋体"/>
          <w:color w:val="auto"/>
          <w:kern w:val="0"/>
          <w:sz w:val="24"/>
          <w:szCs w:val="24"/>
          <w:highlight w:val="none"/>
        </w:rPr>
        <w:t>按通用条款第80.2款、第81.1款、第83.1款等规定期限提交。</w:t>
      </w:r>
    </w:p>
    <w:p>
      <w:pPr>
        <w:shd w:val="clear" w:color="000000" w:fill="auto"/>
        <w:spacing w:line="360" w:lineRule="auto"/>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xml:space="preserve">  □ 另作约定：</w:t>
      </w:r>
      <w:r>
        <w:rPr>
          <w:rFonts w:hint="eastAsia" w:ascii="宋体" w:hAnsi="宋体" w:cs="宋体"/>
          <w:color w:val="auto"/>
          <w:kern w:val="0"/>
          <w:sz w:val="24"/>
          <w:szCs w:val="24"/>
          <w:highlight w:val="none"/>
          <w:u w:val="single"/>
        </w:rPr>
        <w:t xml:space="preserve">    /          </w:t>
      </w:r>
    </w:p>
    <w:p>
      <w:pPr>
        <w:shd w:val="clear" w:color="000000" w:fill="auto"/>
        <w:spacing w:line="360" w:lineRule="auto"/>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xml:space="preserve"> （5） 向发包人提供施工场地办公和生活的房屋及设施的数量和时间等要求：</w:t>
      </w:r>
      <w:r>
        <w:rPr>
          <w:rFonts w:hint="eastAsia" w:ascii="宋体" w:hAnsi="宋体" w:cs="宋体"/>
          <w:color w:val="auto"/>
          <w:kern w:val="0"/>
          <w:sz w:val="24"/>
          <w:szCs w:val="24"/>
          <w:highlight w:val="none"/>
          <w:u w:val="single"/>
        </w:rPr>
        <w:t xml:space="preserve"> / </w:t>
      </w:r>
    </w:p>
    <w:p>
      <w:pPr>
        <w:shd w:val="clear" w:color="000000" w:fill="auto"/>
        <w:spacing w:line="360" w:lineRule="auto"/>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xml:space="preserve"> （6） 办完施工场地交通、环境保护、施工噪声、</w:t>
      </w:r>
      <w:r>
        <w:rPr>
          <w:rFonts w:hint="eastAsia" w:ascii="宋体" w:hAnsi="宋体" w:cs="宋体"/>
          <w:color w:val="auto"/>
          <w:sz w:val="24"/>
          <w:szCs w:val="24"/>
          <w:highlight w:val="none"/>
        </w:rPr>
        <w:t>绿色施工安全防护</w:t>
      </w:r>
      <w:r>
        <w:rPr>
          <w:rFonts w:hint="eastAsia" w:ascii="宋体" w:hAnsi="宋体" w:cs="宋体"/>
          <w:color w:val="auto"/>
          <w:kern w:val="0"/>
          <w:sz w:val="24"/>
          <w:szCs w:val="24"/>
          <w:highlight w:val="none"/>
        </w:rPr>
        <w:t>等手续的时间：</w:t>
      </w:r>
      <w:r>
        <w:rPr>
          <w:rFonts w:hint="eastAsia" w:ascii="宋体" w:hAnsi="宋体" w:cs="宋体"/>
          <w:color w:val="auto"/>
          <w:kern w:val="0"/>
          <w:sz w:val="24"/>
          <w:szCs w:val="24"/>
          <w:highlight w:val="none"/>
          <w:u w:val="single"/>
        </w:rPr>
        <w:t xml:space="preserve">按通用条款执行。 </w:t>
      </w:r>
    </w:p>
    <w:p>
      <w:pPr>
        <w:shd w:val="clear" w:color="000000" w:fill="auto"/>
        <w:spacing w:line="360" w:lineRule="auto"/>
        <w:ind w:firstLine="120" w:firstLineChars="5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（8） 做好施工场地地下管线和邻近建筑物、构筑物（包括文物保护建筑）、古树名木保护工作的约定：</w:t>
      </w:r>
      <w:r>
        <w:rPr>
          <w:rFonts w:hint="eastAsia" w:ascii="宋体" w:hAnsi="宋体" w:cs="宋体"/>
          <w:color w:val="auto"/>
          <w:kern w:val="0"/>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kern w:val="0"/>
          <w:sz w:val="24"/>
          <w:szCs w:val="24"/>
          <w:highlight w:val="none"/>
          <w:u w:val="single"/>
        </w:rPr>
        <w:t xml:space="preserve"> </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（9） 保证施工场地的清洁和做好交工前施工现场清理工作的约定：</w:t>
      </w:r>
      <w:r>
        <w:rPr>
          <w:rFonts w:hint="eastAsia" w:ascii="宋体" w:hAnsi="宋体" w:cs="宋体"/>
          <w:color w:val="auto"/>
          <w:sz w:val="24"/>
          <w:szCs w:val="24"/>
          <w:highlight w:val="none"/>
          <w:u w:val="single"/>
        </w:rPr>
        <w:t>承包人应保持现场整洁，保证卫生要求，合理地安排临时设施，存放和处置好设备及材料，及时清运垃圾和余泥，处理好污水、余泥排放。工程完工后，承包人应立即从施工现场搬走或清除承包人的设备、材料、垃圾以及各种临时设施，并保持施工现场和工程清洁整齐，但承包人应保留他为在缺陷责任期内履行其义务而需要的材料、设备和临时设施，其费用已包含在承包人的投标报价中，不另行计量支付</w:t>
      </w:r>
      <w:r>
        <w:rPr>
          <w:rFonts w:hint="eastAsia" w:ascii="宋体" w:hAnsi="宋体" w:cs="宋体"/>
          <w:color w:val="auto"/>
          <w:kern w:val="0"/>
          <w:sz w:val="24"/>
          <w:szCs w:val="24"/>
          <w:highlight w:val="none"/>
          <w:u w:val="single"/>
        </w:rPr>
        <w:t>。</w:t>
      </w:r>
      <w:r>
        <w:rPr>
          <w:rFonts w:hint="eastAsia" w:ascii="宋体" w:hAnsi="宋体" w:cs="宋体"/>
          <w:color w:val="auto"/>
          <w:kern w:val="0"/>
          <w:sz w:val="24"/>
          <w:szCs w:val="24"/>
          <w:highlight w:val="none"/>
        </w:rPr>
        <w:t xml:space="preserve">    </w:t>
      </w:r>
    </w:p>
    <w:p>
      <w:pPr>
        <w:numPr>
          <w:ilvl w:val="0"/>
          <w:numId w:val="29"/>
        </w:num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提交竣工验收申请报告和竣工结算文件</w:t>
      </w:r>
    </w:p>
    <w:p>
      <w:pPr>
        <w:shd w:val="clear" w:color="000000" w:fill="auto"/>
        <w:spacing w:line="360" w:lineRule="auto"/>
        <w:ind w:left="12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黑体" w:hAnsi="黑体" w:eastAsia="黑体" w:cs="黑体"/>
          <w:color w:val="auto"/>
          <w:kern w:val="0"/>
          <w:sz w:val="24"/>
          <w:szCs w:val="24"/>
          <w:highlight w:val="none"/>
        </w:rPr>
        <w:t>■</w:t>
      </w:r>
      <w:r>
        <w:rPr>
          <w:rFonts w:hint="eastAsia" w:ascii="Times New Roman" w:hAnsi="Times New Roman" w:eastAsia="黑体" w:cs="Times New Roman"/>
          <w:color w:val="auto"/>
          <w:kern w:val="0"/>
          <w:sz w:val="24"/>
          <w:szCs w:val="24"/>
          <w:highlight w:val="none"/>
        </w:rPr>
        <w:t xml:space="preserve"> </w:t>
      </w:r>
      <w:r>
        <w:rPr>
          <w:rFonts w:hint="eastAsia" w:ascii="宋体" w:hAnsi="宋体" w:cs="宋体"/>
          <w:color w:val="auto"/>
          <w:kern w:val="0"/>
          <w:sz w:val="24"/>
          <w:szCs w:val="24"/>
          <w:highlight w:val="none"/>
        </w:rPr>
        <w:t>按通用条款第82.2款规定提交。</w:t>
      </w:r>
    </w:p>
    <w:p>
      <w:pPr>
        <w:shd w:val="clear" w:color="000000" w:fill="auto"/>
        <w:spacing w:line="360" w:lineRule="auto"/>
        <w:ind w:left="12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xml:space="preserve"> □ 另作约定：</w:t>
      </w:r>
      <w:r>
        <w:rPr>
          <w:rFonts w:hint="eastAsia" w:ascii="宋体" w:hAnsi="宋体" w:cs="宋体"/>
          <w:color w:val="auto"/>
          <w:kern w:val="0"/>
          <w:sz w:val="24"/>
          <w:szCs w:val="24"/>
          <w:highlight w:val="none"/>
          <w:u w:val="single"/>
        </w:rPr>
        <w:t xml:space="preserve">   /   </w:t>
      </w:r>
    </w:p>
    <w:p>
      <w:pPr>
        <w:shd w:val="clear" w:color="000000" w:fill="auto"/>
        <w:spacing w:line="360" w:lineRule="auto"/>
        <w:ind w:left="120"/>
        <w:rPr>
          <w:rFonts w:ascii="宋体" w:hAnsi="宋体" w:cs="宋体"/>
          <w:color w:val="auto"/>
          <w:kern w:val="0"/>
          <w:sz w:val="24"/>
          <w:szCs w:val="24"/>
          <w:highlight w:val="none"/>
        </w:rPr>
      </w:pPr>
      <w:r>
        <w:rPr>
          <w:rFonts w:hint="eastAsia" w:ascii="宋体" w:hAnsi="宋体" w:cs="宋体"/>
          <w:color w:val="auto"/>
          <w:kern w:val="0"/>
          <w:sz w:val="24"/>
          <w:szCs w:val="24"/>
          <w:highlight w:val="none"/>
        </w:rPr>
        <w:t>增加（11）款内容如下：</w:t>
      </w:r>
    </w:p>
    <w:p>
      <w:pPr>
        <w:shd w:val="clear" w:color="000000" w:fill="auto"/>
        <w:spacing w:line="360" w:lineRule="auto"/>
        <w:ind w:left="12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（11）</w:t>
      </w:r>
      <w:r>
        <w:rPr>
          <w:rFonts w:hint="eastAsia" w:ascii="宋体" w:hAnsi="宋体" w:cs="宋体"/>
          <w:color w:val="auto"/>
          <w:sz w:val="24"/>
          <w:szCs w:val="24"/>
          <w:highlight w:val="none"/>
          <w:u w:val="single"/>
        </w:rPr>
        <w:t>双方约定承包人应做的其他工作：</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lang w:val="en-US" w:eastAsia="zh-CN"/>
        </w:rPr>
        <w:t>A</w:t>
      </w:r>
      <w:r>
        <w:rPr>
          <w:rFonts w:hint="eastAsia" w:ascii="宋体" w:hAnsi="宋体" w:cs="宋体"/>
          <w:color w:val="auto"/>
          <w:sz w:val="24"/>
          <w:szCs w:val="24"/>
          <w:highlight w:val="none"/>
          <w:u w:val="single"/>
        </w:rPr>
        <w:t>、工人工资的支付</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1）承包人应当按照依法签订的集体合同或劳动合同约定的标准和日期按月支付工资，并不得低于当地最低工资标准。</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2）承包人支付工人工资应编制工资支付表，如实记录支付表，支付时间、支付对象、支付数额等工资支付情况并在工地现场公示，并报发包人备查。</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3）承包人应对其专业分包或劳务分包单位工资支付的情况进行监督，督促其依法支付工人工资并承担连带责任。</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4）承包人应按国家、省、市有关规定按时支付工人工资，否则，视为违约。</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如承包人因拖欠工人工资或材料商材料款而被反映到发包人处，需发包人出面协调，经发包人调查了解属实且确定为承包人责任的，每发生1次，承包人须承担一般违约责任1次；如因上述的拖欠，造成较大社会影响，或确属承包人责任且经发包人出面协调3次以上承包人仍拒不执行的，承包人除必须承担严重违约责任外，发包人还有权将其拖欠的金额从应付工程款中直接支付给被拖欠方。</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5）承包人按进度报请工程款时，须将工程款中工人工资单列。</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rPr>
        <w:t>）承包人应当建立用工管理台账，真实、准确记录工人名册、劳动合同、劳务合同、工程进度、工时、劳务承包款和工人工资支付情况等信息，并保存两年以上备查。</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lang w:val="en-US" w:eastAsia="zh-CN"/>
        </w:rPr>
        <w:t>B</w:t>
      </w:r>
      <w:r>
        <w:rPr>
          <w:rFonts w:hint="eastAsia" w:ascii="宋体" w:hAnsi="宋体" w:cs="宋体"/>
          <w:color w:val="auto"/>
          <w:sz w:val="24"/>
          <w:szCs w:val="24"/>
          <w:highlight w:val="none"/>
          <w:u w:val="single"/>
        </w:rPr>
        <w:t>、干扰与协调</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承包人应当清楚地预计到施工期间对外界可能产生的不可避免的干扰，并为此保证主动努力减少这些干扰对外界的影响。</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lang w:val="en-US" w:eastAsia="zh-CN"/>
        </w:rPr>
        <w:t>C</w:t>
      </w:r>
      <w:r>
        <w:rPr>
          <w:rFonts w:hint="eastAsia" w:ascii="宋体" w:hAnsi="宋体" w:cs="宋体"/>
          <w:color w:val="auto"/>
          <w:sz w:val="24"/>
          <w:szCs w:val="24"/>
          <w:highlight w:val="none"/>
          <w:u w:val="single"/>
        </w:rPr>
        <w:t>、其他</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1）施工场地临时设施搭拆、使用费、迁移费用、恢复费用由承包人自付，同时承包人应承担场地设施、地下管网的保护和修复费用，相关费用均包含在投标报价中。</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2）合同所附格式，先由承包人提出格式建议，经监理单位和发包人调整后按统一格式执行。</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3）根据工程需要，承包人提供和维修白天或夜间施工使用的照明、围栏设施，并负责安全保卫。承包人应按照广州市建设委员会制定的《广州市住房和城乡建设局等9部门关于印发广州市建设工程绿色施工围蔽指导图集（V2.0版）的通知》（穗建质【2020】1号）文件的要求对施工现场采取必要的围蔽设施，保持施工现场的文明、有序，同时与周边坏境进行必要的隔离，保证施工人员以及过往行人、车辆的安全，其为履行此项义务而需要的各项材料、设备和临时设施，其费用已包含在中标价格中。若承包人不按规定进行围蔽，则发包人有权扣除围蔽相关费用。若承包人未履行上述义务造成工程、财产、人身损害等，由承包人承担责任及因此所发生的一切费用。</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4）根据工程需要，承包人应采用计算机信息管理技术建立相应的信息技术网络，以便与发包人、各有关单位进行数据交换，提高工作效率。承包人应负责将网络终端接至发包人、监理单位。上述所发生的费用，由承包人承担。</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single"/>
        </w:rPr>
        <w:t>）在承包人进场后，承包人应作为本项目施工场地总负责人，负责施工场地安全和文明施工管理，承担一切安全保卫义务，依照《广东省建设厅建筑工程安全防护、文明施工措施费用管理办法》（粤建管[2007]39 号）、《广州市建设工程文明施工管理规定》（2018年广州市人民政府令第158号修）、及《建筑施工安全检查标准》（JGJ59-2011）的有关规定进行施工。</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承包人不按文明施工要求和规定进行施工，在发包人发出通知7日内，承包人应按要求进行整改，如承包人不整改或整改后仍达不到要求的，发包人有权委托第三人进行整改，所发生的费用由承包人承担，发包人可在应付的合同费用或履约保证金内直接抵扣，造成发包人损失的，承包人还应赔偿相应的损失。</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rPr>
        <w:t>）施工过程中承包人造价编制、算量（包括抽钢筋、砌筑装修、安装各专业、室外工程等）和审核均应使用正版广联达软件。</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lang w:val="en-US" w:eastAsia="zh-CN"/>
        </w:rPr>
        <w:t>7</w:t>
      </w:r>
      <w:r>
        <w:rPr>
          <w:rFonts w:hint="eastAsia" w:ascii="宋体" w:hAnsi="宋体" w:cs="宋体"/>
          <w:color w:val="auto"/>
          <w:sz w:val="24"/>
          <w:szCs w:val="24"/>
          <w:highlight w:val="none"/>
          <w:u w:val="single"/>
        </w:rPr>
        <w:t>）承包人应按本项目绿色建筑标准编制组织方案并负责办理有关手续、标示。</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lang w:val="en-US" w:eastAsia="zh-CN"/>
        </w:rPr>
        <w:t>8</w:t>
      </w:r>
      <w:r>
        <w:rPr>
          <w:rFonts w:hint="eastAsia" w:ascii="宋体" w:hAnsi="宋体" w:cs="宋体"/>
          <w:color w:val="auto"/>
          <w:sz w:val="24"/>
          <w:szCs w:val="24"/>
          <w:highlight w:val="none"/>
          <w:u w:val="single"/>
        </w:rPr>
        <w:t>）若需要，承包人应按发包人要求承担本项目需深化设计的工作，提供有关图纸、效果图等供发包人审核，并按审核意见进行修改，所有深化图纸必须满足国家相关规范要求、并能通过相关部门验收要求。深化图纸的费用已包含在投标报价中，发包人不予以计量支付。</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lang w:val="en-US" w:eastAsia="zh-CN"/>
        </w:rPr>
        <w:t>9</w:t>
      </w:r>
      <w:r>
        <w:rPr>
          <w:rFonts w:hint="eastAsia" w:ascii="宋体" w:hAnsi="宋体" w:cs="宋体"/>
          <w:color w:val="auto"/>
          <w:sz w:val="24"/>
          <w:szCs w:val="24"/>
          <w:highlight w:val="none"/>
          <w:u w:val="single"/>
        </w:rPr>
        <w:t>）承包人在领取中标通知书之前须向招标代理单位交纳招标代理服务费。招标代理费用以中标价为基数，根据国家计委2002年颁发的《招标代理服务收费管理暂行办法》（计价格【2002】1980号文）及发改价格[2011]534号文的相关规定，按工程招标类型计取。招标代理服务费已包含在投标报价中，发包人不予以计量支付。</w:t>
      </w:r>
    </w:p>
    <w:p>
      <w:pPr>
        <w:shd w:val="clear" w:color="000000" w:fill="auto"/>
        <w:spacing w:line="360" w:lineRule="auto"/>
        <w:ind w:firstLine="480" w:firstLineChars="200"/>
        <w:rPr>
          <w:color w:val="auto"/>
          <w:highlight w:val="none"/>
        </w:rPr>
      </w:pPr>
      <w:r>
        <w:rPr>
          <w:rFonts w:hint="eastAsia" w:ascii="宋体" w:hAnsi="宋体" w:cs="宋体"/>
          <w:color w:val="auto"/>
          <w:sz w:val="24"/>
          <w:szCs w:val="24"/>
          <w:highlight w:val="none"/>
          <w:u w:val="single"/>
          <w:lang w:val="en-US" w:eastAsia="zh-CN"/>
        </w:rPr>
        <w:t>10</w:t>
      </w:r>
      <w:r>
        <w:rPr>
          <w:rFonts w:hint="eastAsia" w:ascii="宋体" w:hAnsi="宋体" w:cs="宋体"/>
          <w:color w:val="auto"/>
          <w:sz w:val="24"/>
          <w:szCs w:val="24"/>
          <w:highlight w:val="none"/>
          <w:u w:val="single"/>
        </w:rPr>
        <w:t>）承包人须严格按照国家、省、市的相关防疫要求执行防疫措施，防疫用品及物资等费用已包含在综合单价中，发包人不再另行支付。如因承包人自身原因导致施工现场受疫情影响无法施工，工期不予顺延。</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合同签订并生效后，如政府部门出台疫情防控相关强制性规定或要求，则按照政府规定和要求执行。</w:t>
      </w:r>
    </w:p>
    <w:p>
      <w:pPr>
        <w:pStyle w:val="2"/>
        <w:rPr>
          <w:color w:val="auto"/>
          <w:highlight w:val="none"/>
        </w:rPr>
      </w:pPr>
    </w:p>
    <w:p>
      <w:pPr>
        <w:shd w:val="clear" w:color="000000" w:fill="auto"/>
        <w:spacing w:line="360" w:lineRule="auto"/>
        <w:ind w:left="12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20.4 承包人提供施工所需劳务、材料、国产设备、施工设备和其他物品的约定：</w:t>
      </w:r>
      <w:r>
        <w:rPr>
          <w:rFonts w:hint="eastAsia" w:ascii="宋体" w:hAnsi="宋体" w:cs="宋体"/>
          <w:color w:val="auto"/>
          <w:sz w:val="24"/>
          <w:szCs w:val="24"/>
          <w:highlight w:val="none"/>
          <w:u w:val="single"/>
        </w:rPr>
        <w:t>按通用条款的规定执行</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 </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484" w:name="_Toc9417"/>
      <w:bookmarkStart w:id="485" w:name="_Toc469384092"/>
      <w:bookmarkStart w:id="486" w:name="_Toc4893"/>
      <w:bookmarkStart w:id="487" w:name="_Toc10624936"/>
      <w:r>
        <w:rPr>
          <w:rFonts w:ascii="仿宋" w:hAnsi="仿宋" w:eastAsia="仿宋" w:cs="仿宋"/>
          <w:b/>
          <w:bCs/>
          <w:color w:val="auto"/>
          <w:sz w:val="24"/>
          <w:szCs w:val="24"/>
          <w:highlight w:val="none"/>
        </w:rPr>
        <w:t xml:space="preserve">21. </w:t>
      </w:r>
      <w:r>
        <w:rPr>
          <w:rFonts w:hint="eastAsia" w:ascii="仿宋" w:hAnsi="仿宋" w:eastAsia="仿宋" w:cs="仿宋"/>
          <w:b/>
          <w:bCs/>
          <w:color w:val="auto"/>
          <w:sz w:val="24"/>
          <w:szCs w:val="24"/>
          <w:highlight w:val="none"/>
        </w:rPr>
        <w:t>现场管理人员任命和更换</w:t>
      </w:r>
      <w:bookmarkEnd w:id="484"/>
      <w:bookmarkEnd w:id="485"/>
      <w:bookmarkEnd w:id="486"/>
      <w:bookmarkEnd w:id="487"/>
    </w:p>
    <w:p>
      <w:pPr>
        <w:shd w:val="clear" w:color="000000" w:fill="auto"/>
        <w:spacing w:line="360" w:lineRule="auto"/>
        <w:ind w:left="12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21.1 发包人现场管理人员任命和更换：</w:t>
      </w:r>
      <w:r>
        <w:rPr>
          <w:rFonts w:hint="eastAsia" w:ascii="宋体" w:hAnsi="宋体" w:cs="宋体"/>
          <w:color w:val="auto"/>
          <w:kern w:val="0"/>
          <w:sz w:val="24"/>
          <w:szCs w:val="24"/>
          <w:highlight w:val="none"/>
          <w:u w:val="single"/>
        </w:rPr>
        <w:t xml:space="preserve">  </w:t>
      </w:r>
      <w:r>
        <w:rPr>
          <w:rFonts w:hint="eastAsia" w:ascii="宋体" w:hAnsi="宋体" w:cs="宋体"/>
          <w:color w:val="auto"/>
          <w:sz w:val="24"/>
          <w:szCs w:val="24"/>
          <w:highlight w:val="none"/>
          <w:u w:val="single"/>
        </w:rPr>
        <w:t>按通用条款的规定执行。</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     </w:t>
      </w:r>
    </w:p>
    <w:p>
      <w:pPr>
        <w:shd w:val="clear" w:color="000000" w:fill="auto"/>
        <w:spacing w:line="360" w:lineRule="auto"/>
        <w:ind w:left="12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xml:space="preserve"> 21.2 承包人代表任命和更换：</w:t>
      </w:r>
    </w:p>
    <w:p>
      <w:pPr>
        <w:shd w:val="clear" w:color="000000" w:fill="auto"/>
        <w:spacing w:line="360" w:lineRule="auto"/>
        <w:ind w:left="120"/>
        <w:rPr>
          <w:rFonts w:ascii="宋体" w:hAnsi="宋体" w:cs="宋体"/>
          <w:color w:val="auto"/>
          <w:kern w:val="0"/>
          <w:sz w:val="24"/>
          <w:szCs w:val="24"/>
          <w:highlight w:val="none"/>
        </w:rPr>
      </w:pPr>
      <w:r>
        <w:rPr>
          <w:rFonts w:hint="eastAsia" w:ascii="宋体" w:hAnsi="宋体" w:cs="宋体"/>
          <w:color w:val="auto"/>
          <w:kern w:val="0"/>
          <w:sz w:val="24"/>
          <w:szCs w:val="24"/>
          <w:highlight w:val="none"/>
        </w:rPr>
        <w:t>将21.2款修改为如下内容：</w:t>
      </w:r>
    </w:p>
    <w:p>
      <w:pPr>
        <w:shd w:val="clear" w:color="000000" w:fill="auto"/>
        <w:spacing w:line="360" w:lineRule="auto"/>
        <w:ind w:left="120" w:leftChars="57"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21.2 承包人代表任命和更换：</w:t>
      </w:r>
    </w:p>
    <w:p>
      <w:pPr>
        <w:shd w:val="clear" w:color="000000" w:fill="auto"/>
        <w:spacing w:line="360" w:lineRule="auto"/>
        <w:ind w:left="120" w:leftChars="57"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承包人应任命代表承包人工作的承包人代表，该代表应为投标文件所载明的拟安排于本工程的项目经理及项目技术负责人，并在专用条款中写明，承包人不得弄虚作假，使用仅为挂靠关系不具体履行本工程项下义务的具备注册建造师资质的人员担任承包人代表。</w:t>
      </w:r>
    </w:p>
    <w:p>
      <w:pPr>
        <w:shd w:val="clear" w:color="000000" w:fill="auto"/>
        <w:spacing w:line="360" w:lineRule="auto"/>
        <w:ind w:left="120"/>
        <w:rPr>
          <w:rFonts w:ascii="宋体" w:hAnsi="宋体" w:cs="宋体"/>
          <w:color w:val="auto"/>
          <w:kern w:val="0"/>
          <w:sz w:val="24"/>
          <w:szCs w:val="24"/>
          <w:highlight w:val="none"/>
        </w:rPr>
      </w:pPr>
      <w:r>
        <w:rPr>
          <w:rFonts w:hint="eastAsia" w:ascii="宋体" w:hAnsi="宋体" w:cs="宋体"/>
          <w:color w:val="auto"/>
          <w:kern w:val="0"/>
          <w:sz w:val="24"/>
          <w:szCs w:val="24"/>
          <w:highlight w:val="none"/>
        </w:rPr>
        <w:t>承包人代表除发生下列情形之一外，不得更换：</w:t>
      </w:r>
    </w:p>
    <w:p>
      <w:pPr>
        <w:shd w:val="clear" w:color="000000" w:fill="auto"/>
        <w:spacing w:line="360" w:lineRule="auto"/>
        <w:ind w:left="120" w:leftChars="57" w:firstLine="240" w:firstLineChars="1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 因重病或重伤(持有县、区以上医院证明)两个月以上不能履行职责的；</w:t>
      </w:r>
    </w:p>
    <w:p>
      <w:pPr>
        <w:shd w:val="clear" w:color="000000" w:fill="auto"/>
        <w:spacing w:line="360" w:lineRule="auto"/>
        <w:ind w:left="120" w:leftChars="57" w:firstLine="240" w:firstLineChars="1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 死亡的；</w:t>
      </w:r>
    </w:p>
    <w:p>
      <w:pPr>
        <w:shd w:val="clear" w:color="000000" w:fill="auto"/>
        <w:spacing w:line="360" w:lineRule="auto"/>
        <w:ind w:left="120" w:leftChars="57" w:firstLine="240" w:firstLineChars="1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 主动辞职或调离原工作单位的；</w:t>
      </w:r>
    </w:p>
    <w:p>
      <w:pPr>
        <w:shd w:val="clear" w:color="000000" w:fill="auto"/>
        <w:spacing w:line="360" w:lineRule="auto"/>
        <w:ind w:left="120" w:leftChars="57" w:firstLine="240" w:firstLineChars="1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 因管理原因发生重大工程质量、安全隐患且整改不力，监理人、发包人认为该代表不称职需要更换的；</w:t>
      </w:r>
    </w:p>
    <w:p>
      <w:pPr>
        <w:shd w:val="clear" w:color="000000" w:fill="auto"/>
        <w:spacing w:line="360" w:lineRule="auto"/>
        <w:ind w:left="120" w:leftChars="57" w:firstLine="240" w:firstLineChars="1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 无能力履行合同的责任和义务，造成严重后果，委托人要求更换的；</w:t>
      </w:r>
    </w:p>
    <w:p>
      <w:pPr>
        <w:shd w:val="clear" w:color="000000" w:fill="auto"/>
        <w:spacing w:line="360" w:lineRule="auto"/>
        <w:ind w:left="120" w:leftChars="57" w:firstLine="240" w:firstLineChars="1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 因违法被责令停止执业的；</w:t>
      </w:r>
    </w:p>
    <w:p>
      <w:pPr>
        <w:shd w:val="clear" w:color="000000" w:fill="auto"/>
        <w:spacing w:line="360" w:lineRule="auto"/>
        <w:ind w:left="120" w:leftChars="57" w:firstLine="240" w:firstLineChars="1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 被司法机关羁押或判刑的。</w:t>
      </w:r>
    </w:p>
    <w:p>
      <w:pPr>
        <w:shd w:val="clear" w:color="000000" w:fill="auto"/>
        <w:spacing w:line="360" w:lineRule="auto"/>
        <w:ind w:left="120" w:leftChars="57" w:firstLine="240" w:firstLineChars="1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承包人除发生上述情形外自行更换承包人代表，其更换无效。因上述第（1）点、第(2)点原因更换承包人代表的，发包人不予以追究违约责任；因上述第（3）点、第(4)点原因更换承包人代表的，发包人将扣除工程合同款40万元/次计; 因上述第（5）点、第(6)点、第(7)点原因更换承包人代表的，发包人将扣除工程合同款100万元/次计；款项在工程结算时扣除。</w:t>
      </w:r>
    </w:p>
    <w:p>
      <w:pPr>
        <w:shd w:val="clear" w:color="000000" w:fill="auto"/>
        <w:spacing w:line="360" w:lineRule="auto"/>
        <w:ind w:left="120" w:leftChars="57" w:firstLine="240" w:firstLineChars="1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承包人如需更换承包人代表，应具备下列条件：</w:t>
      </w:r>
    </w:p>
    <w:p>
      <w:pPr>
        <w:shd w:val="clear" w:color="000000" w:fill="auto"/>
        <w:spacing w:line="360" w:lineRule="auto"/>
        <w:ind w:left="120" w:leftChars="57"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（1）新更换的承包人代表必须与投标时所报承包人代表的专业一致且资格等级一致或高于；</w:t>
      </w:r>
    </w:p>
    <w:p>
      <w:pPr>
        <w:shd w:val="clear" w:color="000000" w:fill="auto"/>
        <w:spacing w:line="360" w:lineRule="auto"/>
        <w:ind w:left="120" w:leftChars="57"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（2）不能同时在其他工程项目中服务；</w:t>
      </w:r>
    </w:p>
    <w:p>
      <w:pPr>
        <w:shd w:val="clear" w:color="000000" w:fill="auto"/>
        <w:spacing w:line="360" w:lineRule="auto"/>
        <w:ind w:left="120" w:leftChars="57" w:firstLine="360" w:firstLineChars="150"/>
        <w:rPr>
          <w:rFonts w:ascii="宋体" w:hAnsi="宋体" w:cs="宋体"/>
          <w:color w:val="auto"/>
          <w:kern w:val="0"/>
          <w:sz w:val="24"/>
          <w:szCs w:val="24"/>
          <w:highlight w:val="none"/>
        </w:rPr>
      </w:pPr>
      <w:r>
        <w:rPr>
          <w:rFonts w:hint="eastAsia" w:ascii="宋体" w:hAnsi="宋体" w:cs="宋体"/>
          <w:color w:val="auto"/>
          <w:kern w:val="0"/>
          <w:sz w:val="24"/>
          <w:szCs w:val="24"/>
          <w:highlight w:val="none"/>
        </w:rPr>
        <w:t>（3）至少提前7天以书面形式通知发包人，并征得发包人书面同意。</w:t>
      </w:r>
    </w:p>
    <w:p>
      <w:pPr>
        <w:shd w:val="clear" w:color="000000" w:fill="auto"/>
        <w:spacing w:line="360" w:lineRule="auto"/>
        <w:ind w:left="120" w:leftChars="57" w:firstLine="360" w:firstLineChars="150"/>
        <w:rPr>
          <w:rFonts w:ascii="宋体" w:hAnsi="宋体" w:cs="宋体"/>
          <w:color w:val="auto"/>
          <w:kern w:val="0"/>
          <w:sz w:val="24"/>
          <w:szCs w:val="24"/>
          <w:highlight w:val="none"/>
        </w:rPr>
      </w:pPr>
      <w:r>
        <w:rPr>
          <w:rFonts w:hint="eastAsia" w:ascii="宋体" w:hAnsi="宋体" w:cs="宋体"/>
          <w:color w:val="auto"/>
          <w:kern w:val="0"/>
          <w:sz w:val="24"/>
          <w:szCs w:val="24"/>
          <w:highlight w:val="none"/>
        </w:rPr>
        <w:t>（4）更换时间超过7天,每超过一天，承包人需向发包人支付违约金人民币10000元。</w:t>
      </w:r>
    </w:p>
    <w:p>
      <w:pPr>
        <w:shd w:val="clear" w:color="000000" w:fill="auto"/>
        <w:spacing w:line="360" w:lineRule="auto"/>
        <w:ind w:left="12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p>
    <w:p>
      <w:pPr>
        <w:shd w:val="clear" w:color="000000" w:fill="auto"/>
        <w:spacing w:line="360" w:lineRule="auto"/>
        <w:ind w:left="12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21.3 监理工程师代表任命和撤回：</w:t>
      </w:r>
      <w:r>
        <w:rPr>
          <w:rFonts w:hint="eastAsia" w:ascii="宋体" w:hAnsi="宋体" w:cs="宋体"/>
          <w:color w:val="auto"/>
          <w:kern w:val="0"/>
          <w:sz w:val="24"/>
          <w:szCs w:val="24"/>
          <w:highlight w:val="none"/>
          <w:u w:val="single"/>
        </w:rPr>
        <w:t xml:space="preserve"> </w:t>
      </w:r>
      <w:r>
        <w:rPr>
          <w:rFonts w:hint="eastAsia" w:ascii="宋体" w:hAnsi="宋体" w:cs="宋体"/>
          <w:color w:val="auto"/>
          <w:sz w:val="24"/>
          <w:szCs w:val="24"/>
          <w:highlight w:val="none"/>
          <w:u w:val="single"/>
        </w:rPr>
        <w:t>按通用条款的规定执行。</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 </w:t>
      </w:r>
    </w:p>
    <w:p>
      <w:pPr>
        <w:shd w:val="clear" w:color="000000" w:fill="auto"/>
        <w:spacing w:line="360" w:lineRule="auto"/>
        <w:ind w:left="12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造价工程师代表任命和撤回：</w:t>
      </w:r>
      <w:r>
        <w:rPr>
          <w:rFonts w:hint="eastAsia" w:ascii="宋体" w:hAnsi="宋体" w:cs="宋体"/>
          <w:color w:val="auto"/>
          <w:kern w:val="0"/>
          <w:sz w:val="24"/>
          <w:szCs w:val="24"/>
          <w:highlight w:val="none"/>
          <w:u w:val="single"/>
        </w:rPr>
        <w:t xml:space="preserve">  </w:t>
      </w:r>
      <w:r>
        <w:rPr>
          <w:rFonts w:hint="eastAsia" w:ascii="宋体" w:hAnsi="宋体" w:cs="宋体"/>
          <w:color w:val="auto"/>
          <w:sz w:val="24"/>
          <w:szCs w:val="24"/>
          <w:highlight w:val="none"/>
          <w:u w:val="single"/>
        </w:rPr>
        <w:t>按通用条款的规定执行。</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   </w:t>
      </w:r>
    </w:p>
    <w:p>
      <w:pPr>
        <w:shd w:val="clear" w:color="000000" w:fill="auto"/>
        <w:spacing w:line="360" w:lineRule="auto"/>
        <w:ind w:left="12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21.4 承包人代表授权人选任命和撤回：</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 xml:space="preserve">   </w:t>
      </w:r>
    </w:p>
    <w:p>
      <w:pPr>
        <w:shd w:val="clear" w:color="000000" w:fill="auto"/>
        <w:spacing w:line="360" w:lineRule="auto"/>
        <w:ind w:left="120"/>
        <w:rPr>
          <w:rFonts w:ascii="宋体" w:hAnsi="宋体" w:cs="宋体"/>
          <w:color w:val="auto"/>
          <w:kern w:val="0"/>
          <w:sz w:val="24"/>
          <w:szCs w:val="24"/>
          <w:highlight w:val="none"/>
        </w:rPr>
      </w:pPr>
      <w:r>
        <w:rPr>
          <w:rFonts w:hint="eastAsia" w:ascii="宋体" w:hAnsi="宋体" w:cs="宋体"/>
          <w:color w:val="auto"/>
          <w:kern w:val="0"/>
          <w:sz w:val="24"/>
          <w:szCs w:val="24"/>
          <w:highlight w:val="none"/>
        </w:rPr>
        <w:t>增加21.5款、21.6款、21.7款、21.8款如下：</w:t>
      </w:r>
    </w:p>
    <w:p>
      <w:pPr>
        <w:shd w:val="clear" w:color="000000" w:fill="auto"/>
        <w:spacing w:line="360" w:lineRule="auto"/>
        <w:ind w:left="120" w:leftChars="57"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21.5 承包人的项目负责人（即项目经理）须每月至少驻场22天指挥及处理工程现场，如若违反，发包人有权追究承包人的违约责任，即驻场每月少于22天的，每少一天（不足一天的按一天计算），承包方应向发包方支付人民币50000元的违约金。</w:t>
      </w:r>
    </w:p>
    <w:p>
      <w:pPr>
        <w:shd w:val="clear" w:color="000000" w:fill="auto"/>
        <w:spacing w:line="360" w:lineRule="auto"/>
        <w:ind w:left="120" w:leftChars="57"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21.6由发包人组织的工程会议或监理组织的每周工地例会，项目经理和项目技术负责人必须出席（经发包人批准除外），每缺席一次扣除合同价款按人民币20000元/人计，发包人作好记录，工程结算时扣除。</w:t>
      </w:r>
    </w:p>
    <w:p>
      <w:pPr>
        <w:shd w:val="clear" w:color="000000" w:fill="auto"/>
        <w:spacing w:line="360" w:lineRule="auto"/>
        <w:ind w:left="120" w:leftChars="57"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21.7若现场管理机构主要部门负责人的实际工作能力和工作表现达不到招标文件明确要求、或工作态度存在严重不足，不适应现场工作需要，发包人有权向承包人提出撤换。承包人可以提出整改意见；如发包人不予接受，则承包人必须在7天内无条件撤换，所调换来人员的资质、资历、学历、职称、业绩、实际工作能力不低于原投标书中所承诺人员的综合素质；每更换一次扣除工程合同款按人民币40万元/次计，发包人将作好记录，工程结算时扣除。</w:t>
      </w:r>
    </w:p>
    <w:p>
      <w:pPr>
        <w:shd w:val="clear" w:color="000000" w:fill="auto"/>
        <w:spacing w:line="360" w:lineRule="auto"/>
        <w:ind w:left="120" w:leftChars="57"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上述人员若是承包人提出更换且发包人同意的，更换一次扣除工程合同款按人民币20万元/次计，发包人将作好记录，工程结算时扣除。</w:t>
      </w:r>
    </w:p>
    <w:p>
      <w:pPr>
        <w:shd w:val="clear" w:color="000000" w:fill="auto"/>
        <w:spacing w:line="360" w:lineRule="auto"/>
        <w:ind w:left="120" w:leftChars="57"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更换时间超过7天,每超过一天，承包人需向发包人支付违约金人民币10000元。</w:t>
      </w:r>
    </w:p>
    <w:p>
      <w:pPr>
        <w:shd w:val="clear" w:color="000000" w:fill="auto"/>
        <w:spacing w:line="360" w:lineRule="auto"/>
        <w:ind w:left="120" w:leftChars="57"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21.8承包人以下人员，经发包人要求，须在48小时内调离本工程范围，同时，承包人应在48小时内用经发包人批准的合格人员代替调离的任何人员。承包人未按发包人要求调离人员的，每天每人次向发包人支付违约金人民币5000元。</w:t>
      </w:r>
    </w:p>
    <w:p>
      <w:pPr>
        <w:shd w:val="clear" w:color="000000" w:fill="auto"/>
        <w:spacing w:line="360" w:lineRule="auto"/>
        <w:ind w:left="120" w:leftChars="57"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（1）发包人确认无法胜任工作者，包括对工程进度及施工质量达不到合同要求负有责任的施工人员、不熟悉熟练本专业工作的施工人员、工作责任心不强的施工人员等；</w:t>
      </w:r>
    </w:p>
    <w:p>
      <w:pPr>
        <w:shd w:val="clear" w:color="000000" w:fill="auto"/>
        <w:spacing w:line="360" w:lineRule="auto"/>
        <w:ind w:left="120" w:leftChars="57"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（2）不能积极配合发包人及监理正常工作（包括领导参观等）者；</w:t>
      </w:r>
    </w:p>
    <w:p>
      <w:pPr>
        <w:shd w:val="clear" w:color="000000" w:fill="auto"/>
        <w:spacing w:line="360" w:lineRule="auto"/>
        <w:ind w:left="120" w:leftChars="57"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（3）违反发包人或承包人工地现场管理规定者；</w:t>
      </w:r>
    </w:p>
    <w:p>
      <w:pPr>
        <w:shd w:val="clear" w:color="000000" w:fill="auto"/>
        <w:spacing w:line="360" w:lineRule="auto"/>
        <w:ind w:left="120" w:leftChars="57"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（4）无证上岗者（适用于按规定必须有上岗证者）；</w:t>
      </w:r>
    </w:p>
    <w:p>
      <w:pPr>
        <w:shd w:val="clear" w:color="000000" w:fill="auto"/>
        <w:spacing w:line="360" w:lineRule="auto"/>
        <w:ind w:left="120" w:leftChars="57"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（5）与本合同规定名册不符者；</w:t>
      </w:r>
    </w:p>
    <w:p>
      <w:pPr>
        <w:shd w:val="clear" w:color="000000" w:fill="auto"/>
        <w:spacing w:line="360" w:lineRule="auto"/>
        <w:ind w:left="120" w:leftChars="57"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（6）与本工程施工无关的人员。</w:t>
      </w:r>
    </w:p>
    <w:p>
      <w:pPr>
        <w:shd w:val="clear" w:color="000000" w:fill="auto"/>
        <w:spacing w:line="360" w:lineRule="auto"/>
        <w:ind w:left="120"/>
        <w:rPr>
          <w:rFonts w:asciiTheme="minorEastAsia" w:hAnsiTheme="minorEastAsia" w:eastAsiaTheme="minorEastAsia" w:cstheme="minorEastAsia"/>
          <w:color w:val="auto"/>
          <w:kern w:val="0"/>
          <w:sz w:val="24"/>
          <w:szCs w:val="24"/>
          <w:highlight w:val="none"/>
        </w:rPr>
      </w:pPr>
    </w:p>
    <w:p>
      <w:pPr>
        <w:pStyle w:val="4"/>
        <w:numPr>
          <w:ilvl w:val="0"/>
          <w:numId w:val="0"/>
        </w:numPr>
        <w:shd w:val="clear" w:color="000000" w:fill="auto"/>
        <w:tabs>
          <w:tab w:val="left" w:pos="420"/>
        </w:tabs>
        <w:spacing w:before="0" w:line="360" w:lineRule="auto"/>
        <w:rPr>
          <w:rFonts w:asciiTheme="minorEastAsia" w:hAnsiTheme="minorEastAsia" w:eastAsiaTheme="minorEastAsia" w:cstheme="minorEastAsia"/>
          <w:b/>
          <w:bCs/>
          <w:color w:val="auto"/>
          <w:sz w:val="24"/>
          <w:szCs w:val="24"/>
          <w:highlight w:val="none"/>
        </w:rPr>
      </w:pPr>
      <w:bookmarkStart w:id="488" w:name="_Toc1307"/>
      <w:bookmarkStart w:id="489" w:name="_Toc8108"/>
      <w:bookmarkStart w:id="490" w:name="_Toc469384093"/>
      <w:bookmarkStart w:id="491" w:name="_Toc10624937"/>
      <w:r>
        <w:rPr>
          <w:rFonts w:hint="eastAsia" w:asciiTheme="minorEastAsia" w:hAnsiTheme="minorEastAsia" w:eastAsiaTheme="minorEastAsia" w:cstheme="minorEastAsia"/>
          <w:b/>
          <w:bCs/>
          <w:color w:val="auto"/>
          <w:sz w:val="24"/>
          <w:szCs w:val="24"/>
          <w:highlight w:val="none"/>
        </w:rPr>
        <w:t>22. 发包人代表</w:t>
      </w:r>
      <w:bookmarkEnd w:id="488"/>
      <w:bookmarkEnd w:id="489"/>
      <w:bookmarkEnd w:id="490"/>
      <w:bookmarkEnd w:id="491"/>
    </w:p>
    <w:p>
      <w:pPr>
        <w:shd w:val="clear" w:color="000000" w:fill="auto"/>
        <w:spacing w:line="360" w:lineRule="auto"/>
        <w:ind w:left="12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 22.1 发包人代表及其权力的限制</w:t>
      </w:r>
    </w:p>
    <w:p>
      <w:pPr>
        <w:shd w:val="clear" w:color="000000" w:fill="auto"/>
        <w:spacing w:line="360" w:lineRule="auto"/>
        <w:ind w:left="12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 （1） 发包人任命（      ）为发包人代表，其通讯方式为</w:t>
      </w:r>
    </w:p>
    <w:p>
      <w:pPr>
        <w:shd w:val="clear" w:color="000000" w:fill="auto"/>
        <w:spacing w:line="360" w:lineRule="auto"/>
        <w:ind w:left="120"/>
        <w:rPr>
          <w:rFonts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 xml:space="preserve">     通讯地址：</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eastAsia="zh-CN"/>
        </w:rPr>
        <w:t>广州市番禺区市良路1342号</w:t>
      </w:r>
      <w:r>
        <w:rPr>
          <w:rFonts w:hint="eastAsia" w:asciiTheme="minorEastAsia" w:hAnsiTheme="minorEastAsia" w:eastAsiaTheme="minorEastAsia" w:cstheme="minorEastAsia"/>
          <w:color w:val="auto"/>
          <w:kern w:val="0"/>
          <w:sz w:val="24"/>
          <w:szCs w:val="24"/>
          <w:highlight w:val="none"/>
        </w:rPr>
        <w:t xml:space="preserve"> 邮政编码：</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p>
    <w:p>
      <w:pPr>
        <w:shd w:val="clear" w:color="000000" w:fill="auto"/>
        <w:spacing w:line="360" w:lineRule="auto"/>
        <w:ind w:firstLine="240" w:firstLineChars="10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 xml:space="preserve">    联系电话：</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传真号码：</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pPr>
        <w:shd w:val="clear" w:color="000000" w:fill="auto"/>
        <w:spacing w:line="360" w:lineRule="auto"/>
        <w:ind w:firstLine="240" w:firstLineChars="10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（2） 发包人对发包人代表权力做如下限制：</w:t>
      </w:r>
      <w:r>
        <w:rPr>
          <w:rFonts w:hint="eastAsia" w:asciiTheme="minorEastAsia" w:hAnsiTheme="minorEastAsia" w:eastAsiaTheme="minorEastAsia" w:cstheme="minorEastAsia"/>
          <w:color w:val="auto"/>
          <w:sz w:val="24"/>
          <w:szCs w:val="24"/>
          <w:highlight w:val="none"/>
          <w:u w:val="single"/>
        </w:rPr>
        <w:t xml:space="preserve">  /      </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492" w:name="_Toc8336"/>
      <w:bookmarkStart w:id="493" w:name="_Toc469384094"/>
      <w:bookmarkStart w:id="494" w:name="_Toc10624938"/>
      <w:bookmarkStart w:id="495" w:name="_Toc1165"/>
      <w:r>
        <w:rPr>
          <w:rFonts w:ascii="仿宋" w:hAnsi="仿宋" w:eastAsia="仿宋" w:cs="仿宋"/>
          <w:b/>
          <w:bCs/>
          <w:color w:val="auto"/>
          <w:sz w:val="24"/>
          <w:szCs w:val="24"/>
          <w:highlight w:val="none"/>
        </w:rPr>
        <w:t xml:space="preserve">23. </w:t>
      </w:r>
      <w:r>
        <w:rPr>
          <w:rFonts w:hint="eastAsia" w:ascii="仿宋" w:hAnsi="仿宋" w:eastAsia="仿宋" w:cs="仿宋"/>
          <w:b/>
          <w:bCs/>
          <w:color w:val="auto"/>
          <w:sz w:val="24"/>
          <w:szCs w:val="24"/>
          <w:highlight w:val="none"/>
        </w:rPr>
        <w:t>监理工程师</w:t>
      </w:r>
      <w:bookmarkEnd w:id="492"/>
      <w:bookmarkEnd w:id="493"/>
      <w:bookmarkEnd w:id="494"/>
      <w:bookmarkEnd w:id="495"/>
    </w:p>
    <w:p>
      <w:pPr>
        <w:shd w:val="clear" w:color="000000" w:fill="auto"/>
        <w:spacing w:line="360" w:lineRule="auto"/>
        <w:ind w:firstLine="120" w:firstLineChars="50"/>
        <w:rPr>
          <w:rFonts w:ascii="宋体" w:hAnsi="宋体" w:cs="宋体"/>
          <w:color w:val="auto"/>
          <w:sz w:val="24"/>
          <w:szCs w:val="24"/>
          <w:highlight w:val="none"/>
        </w:rPr>
      </w:pPr>
      <w:r>
        <w:rPr>
          <w:rFonts w:hint="eastAsia" w:ascii="宋体" w:hAnsi="宋体" w:cs="宋体"/>
          <w:color w:val="auto"/>
          <w:sz w:val="24"/>
          <w:szCs w:val="24"/>
          <w:highlight w:val="none"/>
        </w:rPr>
        <w:t xml:space="preserve">  23.1 负责合同工程的监理人及任命的监理工程师</w:t>
      </w:r>
    </w:p>
    <w:p>
      <w:pPr>
        <w:shd w:val="clear" w:color="000000" w:fill="auto"/>
        <w:spacing w:line="360" w:lineRule="auto"/>
        <w:ind w:firstLine="360" w:firstLineChars="150"/>
        <w:rPr>
          <w:rFonts w:ascii="宋体" w:hAnsi="宋体" w:cs="宋体"/>
          <w:color w:val="auto"/>
          <w:sz w:val="24"/>
          <w:szCs w:val="24"/>
          <w:highlight w:val="none"/>
          <w:u w:val="single"/>
        </w:rPr>
      </w:pPr>
      <w:r>
        <w:rPr>
          <w:rFonts w:hint="eastAsia" w:ascii="宋体" w:hAnsi="宋体" w:cs="宋体"/>
          <w:color w:val="auto"/>
          <w:sz w:val="24"/>
          <w:szCs w:val="24"/>
          <w:highlight w:val="none"/>
        </w:rPr>
        <w:t>（1） 监理人：</w:t>
      </w:r>
      <w:r>
        <w:rPr>
          <w:rFonts w:hint="eastAsia" w:ascii="宋体" w:hAnsi="宋体" w:cs="宋体"/>
          <w:color w:val="auto"/>
          <w:kern w:val="0"/>
          <w:sz w:val="24"/>
          <w:szCs w:val="24"/>
          <w:highlight w:val="none"/>
          <w:u w:val="single"/>
        </w:rPr>
        <w:t xml:space="preserve">                 </w:t>
      </w:r>
      <w:r>
        <w:rPr>
          <w:rFonts w:hint="eastAsia" w:ascii="宋体" w:hAnsi="宋体" w:cs="宋体"/>
          <w:color w:val="auto"/>
          <w:sz w:val="24"/>
          <w:szCs w:val="24"/>
          <w:highlight w:val="none"/>
        </w:rPr>
        <w:t xml:space="preserve"> 法定代表人：</w:t>
      </w:r>
      <w:r>
        <w:rPr>
          <w:rFonts w:hint="eastAsia" w:ascii="宋体" w:hAnsi="宋体" w:cs="宋体"/>
          <w:color w:val="auto"/>
          <w:kern w:val="0"/>
          <w:sz w:val="24"/>
          <w:szCs w:val="24"/>
          <w:highlight w:val="none"/>
          <w:u w:val="single"/>
        </w:rPr>
        <w:t xml:space="preserve"> </w:t>
      </w:r>
      <w:r>
        <w:rPr>
          <w:rFonts w:hint="eastAsia" w:ascii="宋体" w:hAnsi="宋体" w:cs="宋体"/>
          <w:color w:val="auto"/>
          <w:sz w:val="24"/>
          <w:szCs w:val="24"/>
          <w:highlight w:val="none"/>
          <w:u w:val="single"/>
        </w:rPr>
        <w:t xml:space="preserve">  </w:t>
      </w:r>
    </w:p>
    <w:p>
      <w:pPr>
        <w:shd w:val="clear" w:color="000000" w:fill="auto"/>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（2） 任命（</w:t>
      </w:r>
      <w:r>
        <w:rPr>
          <w:rFonts w:hint="eastAsia" w:ascii="宋体" w:hAnsi="宋体" w:cs="宋体"/>
          <w:color w:val="auto"/>
          <w:kern w:val="0"/>
          <w:sz w:val="24"/>
          <w:szCs w:val="24"/>
          <w:highlight w:val="none"/>
          <w:u w:val="single"/>
        </w:rPr>
        <w:t xml:space="preserve">   </w:t>
      </w:r>
      <w:r>
        <w:rPr>
          <w:rFonts w:hint="eastAsia" w:ascii="宋体" w:hAnsi="宋体" w:cs="宋体"/>
          <w:color w:val="auto"/>
          <w:sz w:val="24"/>
          <w:szCs w:val="24"/>
          <w:highlight w:val="none"/>
        </w:rPr>
        <w:t>）为监理工程师，其通讯方式为</w:t>
      </w:r>
    </w:p>
    <w:p>
      <w:pPr>
        <w:shd w:val="clear" w:color="000000" w:fill="auto"/>
        <w:spacing w:line="360" w:lineRule="auto"/>
        <w:ind w:left="120"/>
        <w:rPr>
          <w:rFonts w:ascii="宋体" w:hAnsi="宋体" w:cs="宋体"/>
          <w:color w:val="auto"/>
          <w:kern w:val="0"/>
          <w:sz w:val="24"/>
          <w:szCs w:val="24"/>
          <w:highlight w:val="none"/>
          <w:u w:val="single"/>
        </w:rPr>
      </w:pPr>
      <w:r>
        <w:rPr>
          <w:rFonts w:hint="eastAsia" w:ascii="宋体" w:hAnsi="宋体" w:cs="宋体"/>
          <w:color w:val="auto"/>
          <w:sz w:val="24"/>
          <w:szCs w:val="24"/>
          <w:highlight w:val="none"/>
        </w:rPr>
        <w:t xml:space="preserve">     </w:t>
      </w:r>
      <w:r>
        <w:rPr>
          <w:rFonts w:hint="eastAsia" w:ascii="宋体" w:hAnsi="宋体" w:cs="宋体"/>
          <w:color w:val="auto"/>
          <w:kern w:val="0"/>
          <w:sz w:val="24"/>
          <w:szCs w:val="24"/>
          <w:highlight w:val="none"/>
        </w:rPr>
        <w:t>通讯地址：</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 邮政编码：</w:t>
      </w:r>
      <w:r>
        <w:rPr>
          <w:rFonts w:hint="eastAsia" w:ascii="宋体" w:hAnsi="宋体" w:cs="宋体"/>
          <w:color w:val="auto"/>
          <w:kern w:val="0"/>
          <w:sz w:val="24"/>
          <w:szCs w:val="24"/>
          <w:highlight w:val="none"/>
          <w:u w:val="single"/>
        </w:rPr>
        <w:t xml:space="preserve">          </w:t>
      </w:r>
    </w:p>
    <w:p>
      <w:pPr>
        <w:shd w:val="clear" w:color="000000" w:fill="auto"/>
        <w:spacing w:line="360" w:lineRule="auto"/>
        <w:ind w:firstLine="240" w:firstLineChars="100"/>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联系电话：</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传真号码：</w:t>
      </w:r>
      <w:r>
        <w:rPr>
          <w:rFonts w:hint="eastAsia" w:ascii="宋体" w:hAnsi="宋体" w:cs="宋体"/>
          <w:color w:val="auto"/>
          <w:sz w:val="24"/>
          <w:szCs w:val="24"/>
          <w:highlight w:val="none"/>
          <w:u w:val="single"/>
        </w:rPr>
        <w:t xml:space="preserve">      /       </w:t>
      </w:r>
    </w:p>
    <w:p>
      <w:pPr>
        <w:shd w:val="clear" w:color="000000" w:fill="auto"/>
        <w:spacing w:line="360" w:lineRule="auto"/>
        <w:ind w:firstLine="120" w:firstLineChars="50"/>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23.3 (12)需要发包人批准的其他事项：</w:t>
      </w:r>
      <w:r>
        <w:rPr>
          <w:rFonts w:hint="eastAsia" w:ascii="宋体" w:hAnsi="宋体" w:cs="宋体"/>
          <w:color w:val="auto"/>
          <w:sz w:val="24"/>
          <w:szCs w:val="24"/>
          <w:highlight w:val="none"/>
          <w:u w:val="single"/>
        </w:rPr>
        <w:t>采取可能会影响发包人或承包人权力和责任的行动时应在合同条款规定内,并兼顾所有条件的情况下，做出公正的处理。任何这种决定、意见、同意、表示满意、批准、确定的价值或采取的行动，均不应损害发包人，承包人的合法权益。</w:t>
      </w:r>
    </w:p>
    <w:p>
      <w:pPr>
        <w:pStyle w:val="4"/>
        <w:numPr>
          <w:ilvl w:val="0"/>
          <w:numId w:val="0"/>
        </w:numPr>
        <w:shd w:val="clear" w:color="000000" w:fill="auto"/>
        <w:tabs>
          <w:tab w:val="left" w:pos="420"/>
        </w:tabs>
        <w:spacing w:before="0"/>
        <w:rPr>
          <w:rFonts w:ascii="仿宋" w:hAnsi="仿宋" w:eastAsia="仿宋" w:cs="Times New Roman"/>
          <w:b/>
          <w:bCs/>
          <w:color w:val="auto"/>
          <w:sz w:val="24"/>
          <w:szCs w:val="24"/>
          <w:highlight w:val="none"/>
        </w:rPr>
      </w:pPr>
      <w:bookmarkStart w:id="496" w:name="_Toc2287"/>
      <w:bookmarkStart w:id="497" w:name="_Toc28516"/>
      <w:bookmarkStart w:id="498" w:name="_Toc10624939"/>
      <w:bookmarkStart w:id="499" w:name="_Toc469384095"/>
      <w:r>
        <w:rPr>
          <w:rFonts w:ascii="仿宋" w:hAnsi="仿宋" w:eastAsia="仿宋" w:cs="仿宋"/>
          <w:b/>
          <w:bCs/>
          <w:color w:val="auto"/>
          <w:sz w:val="24"/>
          <w:szCs w:val="24"/>
          <w:highlight w:val="none"/>
        </w:rPr>
        <w:t xml:space="preserve">24. </w:t>
      </w:r>
      <w:r>
        <w:rPr>
          <w:rFonts w:hint="eastAsia" w:ascii="仿宋" w:hAnsi="仿宋" w:eastAsia="仿宋" w:cs="仿宋"/>
          <w:b/>
          <w:bCs/>
          <w:color w:val="auto"/>
          <w:sz w:val="24"/>
          <w:szCs w:val="24"/>
          <w:highlight w:val="none"/>
        </w:rPr>
        <w:t>造价工程师</w:t>
      </w:r>
      <w:bookmarkEnd w:id="496"/>
      <w:bookmarkEnd w:id="497"/>
      <w:bookmarkEnd w:id="498"/>
      <w:bookmarkEnd w:id="499"/>
    </w:p>
    <w:p>
      <w:pPr>
        <w:shd w:val="clear" w:color="000000" w:fill="auto"/>
        <w:spacing w:line="360" w:lineRule="auto"/>
        <w:ind w:firstLine="120" w:firstLineChars="50"/>
        <w:rPr>
          <w:rFonts w:ascii="宋体" w:hAnsi="宋体" w:cs="宋体"/>
          <w:color w:val="auto"/>
          <w:sz w:val="24"/>
          <w:szCs w:val="24"/>
          <w:highlight w:val="none"/>
        </w:rPr>
      </w:pPr>
      <w:r>
        <w:rPr>
          <w:rFonts w:hint="eastAsia" w:ascii="宋体" w:hAnsi="宋体" w:cs="宋体"/>
          <w:color w:val="auto"/>
          <w:sz w:val="24"/>
          <w:szCs w:val="24"/>
          <w:highlight w:val="none"/>
        </w:rPr>
        <w:t xml:space="preserve">  24.1 负责合同工程的造价咨询单位及任命的造价工程师</w:t>
      </w:r>
    </w:p>
    <w:p>
      <w:pPr>
        <w:shd w:val="clear" w:color="000000" w:fill="auto"/>
        <w:spacing w:line="360" w:lineRule="auto"/>
        <w:ind w:firstLine="120" w:firstLineChars="50"/>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（1） 工程造价咨询人（如有）：</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法定代表人：</w:t>
      </w:r>
      <w:r>
        <w:rPr>
          <w:rFonts w:hint="eastAsia" w:ascii="宋体" w:hAnsi="宋体" w:cs="宋体"/>
          <w:color w:val="auto"/>
          <w:sz w:val="24"/>
          <w:szCs w:val="24"/>
          <w:highlight w:val="none"/>
          <w:u w:val="single"/>
        </w:rPr>
        <w:t xml:space="preserve">      </w:t>
      </w:r>
    </w:p>
    <w:p>
      <w:pPr>
        <w:shd w:val="clear" w:color="000000" w:fill="auto"/>
        <w:spacing w:line="360" w:lineRule="auto"/>
        <w:ind w:firstLine="120" w:firstLineChars="50"/>
        <w:rPr>
          <w:rFonts w:ascii="宋体" w:hAnsi="宋体" w:cs="宋体"/>
          <w:color w:val="auto"/>
          <w:sz w:val="24"/>
          <w:szCs w:val="24"/>
          <w:highlight w:val="none"/>
        </w:rPr>
      </w:pPr>
      <w:r>
        <w:rPr>
          <w:rFonts w:hint="eastAsia" w:ascii="宋体" w:hAnsi="宋体" w:cs="宋体"/>
          <w:color w:val="auto"/>
          <w:sz w:val="24"/>
          <w:szCs w:val="24"/>
          <w:highlight w:val="none"/>
        </w:rPr>
        <w:t xml:space="preserve">  （2） 任命（</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）为造价工程师，其通讯方式为</w:t>
      </w:r>
    </w:p>
    <w:p>
      <w:pPr>
        <w:shd w:val="clear" w:color="000000" w:fill="auto"/>
        <w:spacing w:line="360" w:lineRule="auto"/>
        <w:ind w:left="120"/>
        <w:rPr>
          <w:rFonts w:ascii="宋体" w:hAnsi="宋体" w:cs="宋体"/>
          <w:color w:val="auto"/>
          <w:kern w:val="0"/>
          <w:sz w:val="24"/>
          <w:szCs w:val="24"/>
          <w:highlight w:val="none"/>
          <w:u w:val="single"/>
        </w:rPr>
      </w:pPr>
      <w:r>
        <w:rPr>
          <w:rFonts w:hint="eastAsia" w:ascii="宋体" w:hAnsi="宋体" w:cs="宋体"/>
          <w:color w:val="auto"/>
          <w:sz w:val="24"/>
          <w:szCs w:val="24"/>
          <w:highlight w:val="none"/>
        </w:rPr>
        <w:t xml:space="preserve">      </w:t>
      </w:r>
      <w:r>
        <w:rPr>
          <w:rFonts w:hint="eastAsia" w:ascii="宋体" w:hAnsi="宋体" w:cs="宋体"/>
          <w:color w:val="auto"/>
          <w:kern w:val="0"/>
          <w:sz w:val="24"/>
          <w:szCs w:val="24"/>
          <w:highlight w:val="none"/>
        </w:rPr>
        <w:t>通讯地址：</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 邮政编码：</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w:t>
      </w:r>
      <w:r>
        <w:rPr>
          <w:rFonts w:hint="eastAsia" w:ascii="宋体" w:hAnsi="宋体" w:cs="宋体"/>
          <w:color w:val="auto"/>
          <w:kern w:val="0"/>
          <w:sz w:val="24"/>
          <w:szCs w:val="24"/>
          <w:highlight w:val="none"/>
          <w:u w:val="single"/>
        </w:rPr>
        <w:t xml:space="preserve">        </w:t>
      </w:r>
    </w:p>
    <w:p>
      <w:pPr>
        <w:shd w:val="clear" w:color="000000" w:fill="auto"/>
        <w:spacing w:line="360" w:lineRule="auto"/>
        <w:ind w:firstLine="120" w:firstLineChars="50"/>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联系电话：</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 xml:space="preserve"> 传真号码：</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 xml:space="preserve">        </w:t>
      </w:r>
    </w:p>
    <w:p>
      <w:pPr>
        <w:shd w:val="clear" w:color="000000" w:fill="auto"/>
        <w:spacing w:line="360" w:lineRule="auto"/>
        <w:ind w:firstLine="120" w:firstLineChars="50"/>
        <w:rPr>
          <w:rFonts w:ascii="宋体" w:hAnsi="宋体" w:cs="宋体"/>
          <w:color w:val="auto"/>
          <w:sz w:val="24"/>
          <w:szCs w:val="24"/>
          <w:highlight w:val="none"/>
        </w:rPr>
      </w:pPr>
      <w:r>
        <w:rPr>
          <w:rFonts w:hint="eastAsia" w:ascii="宋体" w:hAnsi="宋体" w:cs="宋体"/>
          <w:color w:val="auto"/>
          <w:sz w:val="24"/>
          <w:szCs w:val="24"/>
          <w:highlight w:val="none"/>
        </w:rPr>
        <w:t xml:space="preserve">  24.3 （7）需要发包人批准的其他事项：</w:t>
      </w:r>
      <w:r>
        <w:rPr>
          <w:rFonts w:hint="eastAsia" w:ascii="宋体" w:hAnsi="宋体" w:cs="宋体"/>
          <w:color w:val="auto"/>
          <w:sz w:val="24"/>
          <w:szCs w:val="24"/>
          <w:highlight w:val="none"/>
          <w:u w:val="single"/>
        </w:rPr>
        <w:t xml:space="preserve">采取可能会影响发包人或承包人权力和责任的行动时应在合同条款规定内,并兼顾所有条件的情况下，做出公正的处理。任何这种决定、意见、同意、表示满意、批准、确定的价值或采取的行动，均不应损害发包人，承包人的合法权益。 </w:t>
      </w:r>
      <w:r>
        <w:rPr>
          <w:rFonts w:hint="eastAsia" w:ascii="宋体" w:hAnsi="宋体" w:cs="宋体"/>
          <w:color w:val="auto"/>
          <w:sz w:val="24"/>
          <w:szCs w:val="24"/>
          <w:highlight w:val="none"/>
        </w:rPr>
        <w:t xml:space="preserve">    </w:t>
      </w:r>
    </w:p>
    <w:p>
      <w:pPr>
        <w:pStyle w:val="4"/>
        <w:numPr>
          <w:ilvl w:val="0"/>
          <w:numId w:val="0"/>
        </w:numPr>
        <w:shd w:val="clear" w:color="000000" w:fill="auto"/>
        <w:tabs>
          <w:tab w:val="left" w:pos="420"/>
        </w:tabs>
        <w:spacing w:before="0"/>
        <w:rPr>
          <w:rFonts w:ascii="仿宋" w:hAnsi="仿宋" w:eastAsia="仿宋" w:cs="Times New Roman"/>
          <w:b/>
          <w:bCs/>
          <w:color w:val="auto"/>
          <w:sz w:val="24"/>
          <w:szCs w:val="24"/>
          <w:highlight w:val="none"/>
        </w:rPr>
      </w:pPr>
      <w:bookmarkStart w:id="500" w:name="_Toc30473"/>
      <w:bookmarkStart w:id="501" w:name="_Toc10624940"/>
      <w:bookmarkStart w:id="502" w:name="_Toc3998"/>
      <w:bookmarkStart w:id="503" w:name="_Toc469384096"/>
      <w:r>
        <w:rPr>
          <w:rFonts w:ascii="仿宋" w:hAnsi="仿宋" w:eastAsia="仿宋" w:cs="仿宋"/>
          <w:b/>
          <w:bCs/>
          <w:color w:val="auto"/>
          <w:sz w:val="24"/>
          <w:szCs w:val="24"/>
          <w:highlight w:val="none"/>
        </w:rPr>
        <w:t xml:space="preserve">25. </w:t>
      </w:r>
      <w:r>
        <w:rPr>
          <w:rFonts w:hint="eastAsia" w:ascii="仿宋" w:hAnsi="仿宋" w:eastAsia="仿宋" w:cs="仿宋"/>
          <w:b/>
          <w:bCs/>
          <w:color w:val="auto"/>
          <w:sz w:val="24"/>
          <w:szCs w:val="24"/>
          <w:highlight w:val="none"/>
        </w:rPr>
        <w:t>承包人代表</w:t>
      </w:r>
      <w:bookmarkEnd w:id="500"/>
      <w:bookmarkEnd w:id="501"/>
      <w:bookmarkEnd w:id="502"/>
      <w:bookmarkEnd w:id="503"/>
    </w:p>
    <w:p>
      <w:pPr>
        <w:shd w:val="clear" w:color="000000" w:fill="auto"/>
        <w:spacing w:line="360" w:lineRule="auto"/>
        <w:ind w:firstLine="120" w:firstLineChars="5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pPr>
        <w:shd w:val="clear" w:color="000000" w:fill="auto"/>
        <w:spacing w:line="360" w:lineRule="auto"/>
        <w:ind w:firstLine="120" w:firstLineChars="50"/>
        <w:rPr>
          <w:rFonts w:ascii="宋体" w:hAnsi="宋体" w:cs="宋体"/>
          <w:color w:val="auto"/>
          <w:sz w:val="24"/>
          <w:szCs w:val="24"/>
          <w:highlight w:val="none"/>
        </w:rPr>
      </w:pPr>
      <w:r>
        <w:rPr>
          <w:rFonts w:hint="eastAsia" w:ascii="宋体" w:hAnsi="宋体" w:cs="宋体"/>
          <w:color w:val="auto"/>
          <w:sz w:val="24"/>
          <w:szCs w:val="24"/>
          <w:highlight w:val="none"/>
        </w:rPr>
        <w:t>25.1 承包人任命（     ）为承包人代表，其通讯方式为</w:t>
      </w:r>
    </w:p>
    <w:p>
      <w:pPr>
        <w:shd w:val="clear" w:color="000000" w:fill="auto"/>
        <w:spacing w:line="360" w:lineRule="auto"/>
        <w:ind w:left="120"/>
        <w:rPr>
          <w:rFonts w:ascii="宋体" w:hAnsi="宋体" w:cs="宋体"/>
          <w:color w:val="auto"/>
          <w:kern w:val="0"/>
          <w:sz w:val="24"/>
          <w:szCs w:val="24"/>
          <w:highlight w:val="none"/>
          <w:u w:val="single"/>
        </w:rPr>
      </w:pPr>
      <w:r>
        <w:rPr>
          <w:rFonts w:hint="eastAsia" w:ascii="宋体" w:hAnsi="宋体" w:cs="宋体"/>
          <w:color w:val="auto"/>
          <w:sz w:val="24"/>
          <w:szCs w:val="24"/>
          <w:highlight w:val="none"/>
        </w:rPr>
        <w:t xml:space="preserve">      </w:t>
      </w:r>
      <w:r>
        <w:rPr>
          <w:rFonts w:hint="eastAsia" w:ascii="宋体" w:hAnsi="宋体" w:cs="宋体"/>
          <w:color w:val="auto"/>
          <w:kern w:val="0"/>
          <w:sz w:val="24"/>
          <w:szCs w:val="24"/>
          <w:highlight w:val="none"/>
        </w:rPr>
        <w:t>通讯地址：</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 邮政编码：</w:t>
      </w:r>
      <w:r>
        <w:rPr>
          <w:rFonts w:hint="eastAsia" w:ascii="宋体" w:hAnsi="宋体" w:cs="宋体"/>
          <w:color w:val="auto"/>
          <w:kern w:val="0"/>
          <w:sz w:val="24"/>
          <w:szCs w:val="24"/>
          <w:highlight w:val="none"/>
          <w:u w:val="single"/>
        </w:rPr>
        <w:t xml:space="preserve">              </w:t>
      </w:r>
    </w:p>
    <w:p>
      <w:pPr>
        <w:shd w:val="clear" w:color="000000" w:fill="auto"/>
        <w:spacing w:line="360" w:lineRule="auto"/>
        <w:ind w:firstLine="120" w:firstLineChars="50"/>
        <w:rPr>
          <w:rFonts w:ascii="宋体" w:hAnsi="宋体" w:cs="宋体"/>
          <w:color w:val="auto"/>
          <w:sz w:val="24"/>
          <w:szCs w:val="24"/>
          <w:highlight w:val="none"/>
        </w:rPr>
      </w:pPr>
      <w:r>
        <w:rPr>
          <w:rFonts w:hint="eastAsia" w:ascii="宋体" w:hAnsi="宋体" w:cs="宋体"/>
          <w:color w:val="auto"/>
          <w:sz w:val="24"/>
          <w:szCs w:val="24"/>
          <w:highlight w:val="none"/>
        </w:rPr>
        <w:t xml:space="preserve">      联系电话：</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传真号码：</w:t>
      </w:r>
      <w:r>
        <w:rPr>
          <w:rFonts w:hint="eastAsia" w:ascii="宋体" w:hAnsi="宋体" w:cs="宋体"/>
          <w:color w:val="auto"/>
          <w:sz w:val="24"/>
          <w:szCs w:val="24"/>
          <w:highlight w:val="none"/>
          <w:u w:val="single"/>
        </w:rPr>
        <w:t xml:space="preserve">              </w:t>
      </w:r>
    </w:p>
    <w:p>
      <w:pPr>
        <w:pStyle w:val="4"/>
        <w:numPr>
          <w:ilvl w:val="0"/>
          <w:numId w:val="0"/>
        </w:numPr>
        <w:shd w:val="clear" w:color="000000" w:fill="auto"/>
        <w:tabs>
          <w:tab w:val="left" w:pos="420"/>
        </w:tabs>
        <w:spacing w:before="0"/>
        <w:rPr>
          <w:rFonts w:ascii="仿宋" w:hAnsi="仿宋" w:eastAsia="仿宋" w:cs="Times New Roman"/>
          <w:b/>
          <w:bCs/>
          <w:color w:val="auto"/>
          <w:sz w:val="24"/>
          <w:szCs w:val="24"/>
          <w:highlight w:val="none"/>
        </w:rPr>
      </w:pPr>
      <w:bookmarkStart w:id="504" w:name="_Toc15505"/>
      <w:bookmarkStart w:id="505" w:name="_Toc10624941"/>
      <w:bookmarkStart w:id="506" w:name="_Toc31065"/>
      <w:bookmarkStart w:id="507" w:name="_Toc469384097"/>
      <w:r>
        <w:rPr>
          <w:rFonts w:ascii="仿宋" w:hAnsi="仿宋" w:eastAsia="仿宋" w:cs="仿宋"/>
          <w:b/>
          <w:bCs/>
          <w:color w:val="auto"/>
          <w:sz w:val="24"/>
          <w:szCs w:val="24"/>
          <w:highlight w:val="none"/>
        </w:rPr>
        <w:t xml:space="preserve">26. </w:t>
      </w:r>
      <w:r>
        <w:rPr>
          <w:rFonts w:hint="eastAsia" w:ascii="仿宋" w:hAnsi="仿宋" w:eastAsia="仿宋" w:cs="仿宋"/>
          <w:b/>
          <w:bCs/>
          <w:color w:val="auto"/>
          <w:sz w:val="24"/>
          <w:szCs w:val="24"/>
          <w:highlight w:val="none"/>
        </w:rPr>
        <w:t>指定分包人</w:t>
      </w:r>
      <w:bookmarkEnd w:id="504"/>
      <w:bookmarkEnd w:id="505"/>
      <w:bookmarkEnd w:id="506"/>
      <w:bookmarkEnd w:id="507"/>
    </w:p>
    <w:p>
      <w:pPr>
        <w:shd w:val="clear" w:color="000000" w:fill="auto"/>
        <w:spacing w:line="360" w:lineRule="auto"/>
        <w:ind w:firstLine="120" w:firstLineChars="50"/>
        <w:rPr>
          <w:rFonts w:ascii="宋体" w:hAnsi="宋体" w:cs="宋体"/>
          <w:color w:val="auto"/>
          <w:sz w:val="24"/>
          <w:szCs w:val="24"/>
          <w:highlight w:val="none"/>
        </w:rPr>
      </w:pPr>
      <w:r>
        <w:rPr>
          <w:rFonts w:hint="eastAsia" w:ascii="宋体" w:hAnsi="宋体" w:cs="宋体"/>
          <w:color w:val="auto"/>
          <w:sz w:val="24"/>
          <w:szCs w:val="24"/>
          <w:highlight w:val="none"/>
        </w:rPr>
        <w:t xml:space="preserve">  26.1 依法指定的分包人</w:t>
      </w:r>
    </w:p>
    <w:p>
      <w:pPr>
        <w:shd w:val="clear" w:color="000000" w:fill="auto"/>
        <w:spacing w:line="360" w:lineRule="auto"/>
        <w:ind w:firstLine="120" w:firstLineChars="50"/>
        <w:rPr>
          <w:rFonts w:ascii="宋体" w:hAnsi="宋体" w:cs="宋体"/>
          <w:color w:val="auto"/>
          <w:sz w:val="24"/>
          <w:szCs w:val="24"/>
          <w:highlight w:val="none"/>
        </w:rPr>
      </w:pPr>
      <w:r>
        <w:rPr>
          <w:rFonts w:hint="eastAsia" w:ascii="宋体" w:hAnsi="宋体" w:cs="宋体"/>
          <w:color w:val="auto"/>
          <w:sz w:val="24"/>
          <w:szCs w:val="24"/>
          <w:highlight w:val="none"/>
        </w:rPr>
        <w:t xml:space="preserve">  （1） 实施、完成部分永久工程的分包人：</w:t>
      </w:r>
      <w:r>
        <w:rPr>
          <w:rFonts w:hint="eastAsia" w:ascii="宋体" w:hAnsi="宋体" w:cs="宋体"/>
          <w:color w:val="auto"/>
          <w:sz w:val="24"/>
          <w:szCs w:val="24"/>
          <w:highlight w:val="none"/>
          <w:u w:val="single"/>
        </w:rPr>
        <w:t xml:space="preserve">  无      </w:t>
      </w:r>
      <w:r>
        <w:rPr>
          <w:rFonts w:hint="eastAsia" w:ascii="宋体" w:hAnsi="宋体" w:cs="宋体"/>
          <w:color w:val="auto"/>
          <w:sz w:val="24"/>
          <w:szCs w:val="24"/>
          <w:highlight w:val="none"/>
        </w:rPr>
        <w:t xml:space="preserve"> </w:t>
      </w:r>
    </w:p>
    <w:p>
      <w:pPr>
        <w:shd w:val="clear" w:color="000000" w:fill="auto"/>
        <w:spacing w:line="360" w:lineRule="auto"/>
        <w:ind w:firstLine="120" w:firstLineChars="50"/>
        <w:rPr>
          <w:rFonts w:ascii="宋体" w:hAnsi="宋体" w:cs="宋体"/>
          <w:color w:val="auto"/>
          <w:sz w:val="24"/>
          <w:szCs w:val="24"/>
          <w:highlight w:val="none"/>
        </w:rPr>
      </w:pPr>
      <w:r>
        <w:rPr>
          <w:rFonts w:hint="eastAsia" w:ascii="宋体" w:hAnsi="宋体" w:cs="宋体"/>
          <w:color w:val="auto"/>
          <w:sz w:val="24"/>
          <w:szCs w:val="24"/>
          <w:highlight w:val="none"/>
        </w:rPr>
        <w:t xml:space="preserve">  （2） 提供材料和工程设备、服务的分包人：</w:t>
      </w:r>
      <w:r>
        <w:rPr>
          <w:rFonts w:hint="eastAsia" w:ascii="宋体" w:hAnsi="宋体" w:cs="宋体"/>
          <w:color w:val="auto"/>
          <w:sz w:val="24"/>
          <w:szCs w:val="24"/>
          <w:highlight w:val="none"/>
          <w:u w:val="single"/>
        </w:rPr>
        <w:t xml:space="preserve">  无    </w:t>
      </w:r>
      <w:r>
        <w:rPr>
          <w:rFonts w:hint="eastAsia" w:ascii="宋体" w:hAnsi="宋体" w:cs="宋体"/>
          <w:color w:val="auto"/>
          <w:sz w:val="24"/>
          <w:szCs w:val="24"/>
          <w:highlight w:val="none"/>
        </w:rPr>
        <w:t xml:space="preserve"> </w:t>
      </w:r>
    </w:p>
    <w:p>
      <w:pPr>
        <w:shd w:val="clear" w:color="000000" w:fill="auto"/>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第27.3款增加如下内容：</w:t>
      </w:r>
    </w:p>
    <w:p>
      <w:pPr>
        <w:shd w:val="clear" w:color="000000" w:fill="auto"/>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(7）依据国家相关法律法规应履行的其他相关义务。</w:t>
      </w:r>
    </w:p>
    <w:p>
      <w:pPr>
        <w:pStyle w:val="2"/>
        <w:rPr>
          <w:color w:val="auto"/>
          <w:highlight w:val="none"/>
        </w:rPr>
      </w:pPr>
    </w:p>
    <w:p>
      <w:pPr>
        <w:pStyle w:val="4"/>
        <w:numPr>
          <w:ilvl w:val="0"/>
          <w:numId w:val="0"/>
        </w:numPr>
        <w:shd w:val="clear" w:color="000000" w:fill="auto"/>
        <w:tabs>
          <w:tab w:val="left" w:pos="420"/>
        </w:tabs>
        <w:spacing w:before="0"/>
        <w:rPr>
          <w:rFonts w:ascii="仿宋" w:hAnsi="仿宋" w:eastAsia="仿宋" w:cs="Times New Roman"/>
          <w:b/>
          <w:bCs/>
          <w:color w:val="auto"/>
          <w:sz w:val="24"/>
          <w:szCs w:val="24"/>
          <w:highlight w:val="none"/>
        </w:rPr>
      </w:pPr>
      <w:bookmarkStart w:id="508" w:name="_Toc469384098"/>
      <w:bookmarkStart w:id="509" w:name="_Toc30660"/>
      <w:bookmarkStart w:id="510" w:name="_Toc19265"/>
      <w:bookmarkStart w:id="511" w:name="_Toc10624942"/>
      <w:r>
        <w:rPr>
          <w:rFonts w:ascii="仿宋" w:hAnsi="仿宋" w:eastAsia="仿宋" w:cs="仿宋"/>
          <w:b/>
          <w:bCs/>
          <w:color w:val="auto"/>
          <w:sz w:val="24"/>
          <w:szCs w:val="24"/>
          <w:highlight w:val="none"/>
        </w:rPr>
        <w:t xml:space="preserve">28. </w:t>
      </w:r>
      <w:r>
        <w:rPr>
          <w:rFonts w:hint="eastAsia" w:ascii="仿宋" w:hAnsi="仿宋" w:eastAsia="仿宋" w:cs="仿宋"/>
          <w:b/>
          <w:bCs/>
          <w:color w:val="auto"/>
          <w:sz w:val="24"/>
          <w:szCs w:val="24"/>
          <w:highlight w:val="none"/>
        </w:rPr>
        <w:t>工程担保</w:t>
      </w:r>
      <w:bookmarkEnd w:id="508"/>
      <w:bookmarkEnd w:id="509"/>
      <w:bookmarkEnd w:id="510"/>
      <w:bookmarkEnd w:id="511"/>
    </w:p>
    <w:p>
      <w:pPr>
        <w:shd w:val="clear" w:color="000000" w:fill="auto"/>
        <w:spacing w:line="360" w:lineRule="auto"/>
        <w:ind w:firstLine="120" w:firstLineChars="50"/>
        <w:rPr>
          <w:rFonts w:ascii="宋体" w:hAnsi="宋体" w:cs="宋体"/>
          <w:color w:val="auto"/>
          <w:sz w:val="24"/>
          <w:szCs w:val="24"/>
          <w:highlight w:val="none"/>
        </w:rPr>
      </w:pPr>
      <w:r>
        <w:rPr>
          <w:rFonts w:hint="eastAsia" w:ascii="宋体" w:hAnsi="宋体" w:cs="宋体"/>
          <w:color w:val="auto"/>
          <w:sz w:val="24"/>
          <w:szCs w:val="24"/>
          <w:highlight w:val="none"/>
        </w:rPr>
        <w:t xml:space="preserve">  28.1 承包人提供履约担保的约定</w:t>
      </w:r>
    </w:p>
    <w:p>
      <w:pPr>
        <w:shd w:val="clear" w:color="000000" w:fill="auto"/>
        <w:spacing w:line="360" w:lineRule="auto"/>
        <w:ind w:firstLine="120" w:firstLineChars="50"/>
        <w:rPr>
          <w:rFonts w:ascii="宋体" w:hAnsi="宋体" w:cs="宋体"/>
          <w:color w:val="auto"/>
          <w:sz w:val="24"/>
          <w:szCs w:val="24"/>
          <w:highlight w:val="none"/>
        </w:rPr>
      </w:pPr>
      <w:r>
        <w:rPr>
          <w:rFonts w:hint="eastAsia" w:ascii="宋体" w:hAnsi="宋体" w:cs="宋体"/>
          <w:color w:val="auto"/>
          <w:sz w:val="24"/>
          <w:szCs w:val="24"/>
          <w:highlight w:val="none"/>
        </w:rPr>
        <w:t xml:space="preserve">  （1）履约担保的金额：合同价款的10%</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金额为：</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w:t>
      </w:r>
    </w:p>
    <w:p>
      <w:pPr>
        <w:shd w:val="clear" w:color="000000" w:fill="auto"/>
        <w:spacing w:line="360" w:lineRule="auto"/>
        <w:ind w:firstLine="120" w:firstLineChars="50"/>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（2） 提供履约担保的时间：</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kern w:val="0"/>
          <w:sz w:val="24"/>
          <w:szCs w:val="24"/>
          <w:highlight w:val="none"/>
        </w:rPr>
        <w:sym w:font="Wingdings 2" w:char="00A3"/>
      </w:r>
      <w:r>
        <w:rPr>
          <w:rFonts w:hint="eastAsia" w:ascii="宋体" w:hAnsi="宋体" w:cs="宋体"/>
          <w:color w:val="auto"/>
          <w:kern w:val="0"/>
          <w:sz w:val="24"/>
          <w:szCs w:val="24"/>
          <w:highlight w:val="none"/>
        </w:rPr>
        <w:t xml:space="preserve"> 签订本合同时；</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另作约定：</w:t>
      </w:r>
      <w:r>
        <w:rPr>
          <w:rFonts w:hint="eastAsia" w:ascii="宋体" w:hAnsi="宋体" w:cs="宋体"/>
          <w:color w:val="auto"/>
          <w:kern w:val="0"/>
          <w:sz w:val="24"/>
          <w:szCs w:val="24"/>
          <w:highlight w:val="none"/>
          <w:u w:val="single"/>
        </w:rPr>
        <w:t xml:space="preserve"> 收到中标通知书后的15日内 </w:t>
      </w:r>
    </w:p>
    <w:p>
      <w:pPr>
        <w:shd w:val="clear" w:color="000000" w:fill="auto"/>
        <w:spacing w:line="360" w:lineRule="auto"/>
        <w:ind w:firstLine="120" w:firstLineChars="50"/>
        <w:rPr>
          <w:rFonts w:ascii="宋体" w:hAnsi="宋体" w:cs="宋体"/>
          <w:color w:val="auto"/>
          <w:sz w:val="24"/>
          <w:szCs w:val="24"/>
          <w:highlight w:val="none"/>
        </w:rPr>
      </w:pPr>
      <w:r>
        <w:rPr>
          <w:rFonts w:hint="eastAsia" w:ascii="宋体" w:hAnsi="宋体" w:cs="宋体"/>
          <w:color w:val="auto"/>
          <w:kern w:val="0"/>
          <w:sz w:val="24"/>
          <w:szCs w:val="24"/>
          <w:highlight w:val="none"/>
        </w:rPr>
        <w:t xml:space="preserve">  （3） </w:t>
      </w: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其它：</w:t>
      </w:r>
      <w:r>
        <w:rPr>
          <w:rFonts w:hint="eastAsia" w:ascii="宋体" w:hAnsi="宋体" w:cs="宋体"/>
          <w:color w:val="auto"/>
          <w:kern w:val="0"/>
          <w:sz w:val="24"/>
          <w:szCs w:val="24"/>
          <w:highlight w:val="none"/>
          <w:u w:val="single"/>
        </w:rPr>
        <w:t xml:space="preserve"> 如果中标人的履约担保是以银行保函的形式提供，则该银行保函应由在中国注册且营业地点在广州行政辖区内的银行开具 </w:t>
      </w:r>
    </w:p>
    <w:p>
      <w:pPr>
        <w:shd w:val="clear" w:color="000000" w:fill="auto"/>
        <w:spacing w:line="360" w:lineRule="auto"/>
        <w:ind w:firstLine="120" w:firstLineChars="50"/>
        <w:rPr>
          <w:rFonts w:ascii="宋体" w:hAnsi="宋体" w:cs="宋体"/>
          <w:color w:val="auto"/>
          <w:sz w:val="24"/>
          <w:szCs w:val="24"/>
          <w:highlight w:val="none"/>
        </w:rPr>
      </w:pPr>
      <w:r>
        <w:rPr>
          <w:rFonts w:hint="eastAsia" w:ascii="宋体" w:hAnsi="宋体" w:cs="宋体"/>
          <w:color w:val="auto"/>
          <w:sz w:val="24"/>
          <w:szCs w:val="24"/>
          <w:highlight w:val="none"/>
        </w:rPr>
        <w:t xml:space="preserve">  28.4 发包人提供支付担保的约定：</w:t>
      </w:r>
      <w:r>
        <w:rPr>
          <w:rFonts w:hint="eastAsia" w:ascii="宋体" w:hAnsi="宋体" w:cs="宋体"/>
          <w:color w:val="auto"/>
          <w:kern w:val="0"/>
          <w:sz w:val="24"/>
          <w:szCs w:val="24"/>
          <w:highlight w:val="none"/>
          <w:u w:val="single"/>
        </w:rPr>
        <w:t>发包人不提供支付担保。</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28.8 担保内容、方式和责任等事项的约定：</w:t>
      </w:r>
      <w:r>
        <w:rPr>
          <w:rFonts w:hint="eastAsia" w:ascii="宋体" w:hAnsi="宋体" w:cs="宋体"/>
          <w:color w:val="auto"/>
          <w:kern w:val="0"/>
          <w:sz w:val="24"/>
          <w:szCs w:val="24"/>
          <w:highlight w:val="none"/>
          <w:u w:val="single"/>
        </w:rPr>
        <w:t xml:space="preserve"> / 。</w:t>
      </w:r>
    </w:p>
    <w:p>
      <w:pPr>
        <w:pStyle w:val="4"/>
        <w:numPr>
          <w:ilvl w:val="0"/>
          <w:numId w:val="0"/>
        </w:numPr>
        <w:shd w:val="clear" w:color="000000" w:fill="auto"/>
        <w:tabs>
          <w:tab w:val="left" w:pos="420"/>
        </w:tabs>
        <w:spacing w:before="0"/>
        <w:rPr>
          <w:rFonts w:ascii="仿宋" w:hAnsi="仿宋" w:eastAsia="仿宋" w:cs="Times New Roman"/>
          <w:b/>
          <w:bCs/>
          <w:color w:val="auto"/>
          <w:sz w:val="24"/>
          <w:szCs w:val="24"/>
          <w:highlight w:val="none"/>
        </w:rPr>
      </w:pPr>
      <w:bookmarkStart w:id="512" w:name="_Toc10624943"/>
      <w:bookmarkStart w:id="513" w:name="_Toc32566"/>
      <w:bookmarkStart w:id="514" w:name="_Toc469384099"/>
      <w:bookmarkStart w:id="515" w:name="_Toc20203"/>
      <w:r>
        <w:rPr>
          <w:rFonts w:ascii="仿宋" w:hAnsi="仿宋" w:eastAsia="仿宋" w:cs="仿宋"/>
          <w:b/>
          <w:bCs/>
          <w:color w:val="auto"/>
          <w:sz w:val="24"/>
          <w:szCs w:val="24"/>
          <w:highlight w:val="none"/>
        </w:rPr>
        <w:t xml:space="preserve">32. </w:t>
      </w:r>
      <w:r>
        <w:rPr>
          <w:rFonts w:hint="eastAsia" w:ascii="仿宋" w:hAnsi="仿宋" w:eastAsia="仿宋" w:cs="仿宋"/>
          <w:b/>
          <w:bCs/>
          <w:color w:val="auto"/>
          <w:sz w:val="24"/>
          <w:szCs w:val="24"/>
          <w:highlight w:val="none"/>
        </w:rPr>
        <w:t>保险</w:t>
      </w:r>
      <w:bookmarkEnd w:id="512"/>
      <w:bookmarkEnd w:id="513"/>
      <w:bookmarkEnd w:id="514"/>
      <w:bookmarkEnd w:id="515"/>
    </w:p>
    <w:p>
      <w:pPr>
        <w:shd w:val="clear" w:color="000000" w:fill="auto"/>
        <w:ind w:firstLine="120" w:firstLineChars="50"/>
        <w:rPr>
          <w:rFonts w:ascii="仿宋" w:hAnsi="仿宋" w:eastAsia="仿宋" w:cs="Times New Roman"/>
          <w:color w:val="auto"/>
          <w:kern w:val="0"/>
          <w:sz w:val="24"/>
          <w:szCs w:val="24"/>
          <w:highlight w:val="none"/>
        </w:rPr>
      </w:pP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32.1 委托承包人办理保险的事项有：</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黑体" w:hAnsi="黑体" w:eastAsia="黑体" w:cs="黑体"/>
          <w:color w:val="auto"/>
          <w:kern w:val="0"/>
          <w:sz w:val="24"/>
          <w:szCs w:val="24"/>
          <w:highlight w:val="none"/>
        </w:rPr>
        <w:t>■</w:t>
      </w:r>
      <w:r>
        <w:rPr>
          <w:rFonts w:hint="eastAsia" w:ascii="黑体" w:hAnsi="黑体" w:eastAsia="黑体" w:cs="黑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通用条款第32.1款的第（1）项；</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通用条款第32.1款的第（2）项；</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通用条款第32.1款的第（3）项；</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通用条款第32.1款的第（4）项。</w:t>
      </w:r>
    </w:p>
    <w:p>
      <w:pPr>
        <w:shd w:val="clear" w:color="000000" w:fill="auto"/>
        <w:spacing w:line="360" w:lineRule="auto"/>
        <w:ind w:firstLine="360" w:firstLineChars="1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通用条款第32.1款的第（5）项。</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32.8 投保内容、保险金、保险期限和责任等事项的约定：</w:t>
      </w:r>
      <w:r>
        <w:rPr>
          <w:rFonts w:hint="eastAsia" w:ascii="宋体" w:hAnsi="宋体" w:cs="宋体"/>
          <w:color w:val="auto"/>
          <w:kern w:val="0"/>
          <w:sz w:val="24"/>
          <w:szCs w:val="24"/>
          <w:highlight w:val="none"/>
          <w:u w:val="single"/>
        </w:rPr>
        <w:t>承包人应当及时办理自身和代发包人办理的保险事项，除非发包人声明不需要，承包人应当在签署保险合同前，就保险合同的内容须征询发包人的意见。承包人应保证相关保险合同的有效性，否则，由此造成的损失由承包人承担。</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516" w:name="_Toc26736"/>
      <w:bookmarkStart w:id="517" w:name="_Toc10624944"/>
      <w:bookmarkStart w:id="518" w:name="_Toc469384100"/>
      <w:bookmarkStart w:id="519" w:name="_Toc9143"/>
      <w:r>
        <w:rPr>
          <w:rFonts w:ascii="仿宋" w:hAnsi="仿宋" w:eastAsia="仿宋" w:cs="仿宋"/>
          <w:b/>
          <w:bCs/>
          <w:color w:val="auto"/>
          <w:sz w:val="24"/>
          <w:szCs w:val="24"/>
          <w:highlight w:val="none"/>
        </w:rPr>
        <w:t xml:space="preserve">33. </w:t>
      </w:r>
      <w:r>
        <w:rPr>
          <w:rFonts w:hint="eastAsia" w:ascii="仿宋" w:hAnsi="仿宋" w:eastAsia="仿宋" w:cs="仿宋"/>
          <w:b/>
          <w:bCs/>
          <w:color w:val="auto"/>
          <w:sz w:val="24"/>
          <w:szCs w:val="24"/>
          <w:highlight w:val="none"/>
        </w:rPr>
        <w:t>进度计划和报告</w:t>
      </w:r>
      <w:bookmarkEnd w:id="516"/>
      <w:bookmarkEnd w:id="517"/>
      <w:bookmarkEnd w:id="518"/>
      <w:bookmarkEnd w:id="519"/>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33.3 承包人编制月施工进度报告和修订进度计划的约定：</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highlight w:val="none"/>
          <w:u w:val="single"/>
        </w:rPr>
        <w:t>每月20日前向监理单位、发包人申报本月月进度报表和下月“工程进度计划表”。</w:t>
      </w:r>
      <w:r>
        <w:rPr>
          <w:rFonts w:hint="eastAsia" w:ascii="宋体" w:hAnsi="宋体" w:cs="宋体"/>
          <w:color w:val="auto"/>
          <w:kern w:val="0"/>
          <w:sz w:val="24"/>
          <w:szCs w:val="24"/>
          <w:highlight w:val="none"/>
          <w:u w:val="single"/>
        </w:rPr>
        <w:t xml:space="preserve">    </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520" w:name="_Toc10624945"/>
      <w:bookmarkStart w:id="521" w:name="_Toc469384101"/>
      <w:bookmarkStart w:id="522" w:name="_Toc25128"/>
      <w:bookmarkStart w:id="523" w:name="_Toc28164"/>
      <w:r>
        <w:rPr>
          <w:rFonts w:ascii="仿宋" w:hAnsi="仿宋" w:eastAsia="仿宋" w:cs="仿宋"/>
          <w:b/>
          <w:bCs/>
          <w:color w:val="auto"/>
          <w:sz w:val="24"/>
          <w:szCs w:val="24"/>
          <w:highlight w:val="none"/>
        </w:rPr>
        <w:t xml:space="preserve">34. </w:t>
      </w:r>
      <w:r>
        <w:rPr>
          <w:rFonts w:hint="eastAsia" w:ascii="仿宋" w:hAnsi="仿宋" w:eastAsia="仿宋" w:cs="仿宋"/>
          <w:b/>
          <w:bCs/>
          <w:color w:val="auto"/>
          <w:sz w:val="24"/>
          <w:szCs w:val="24"/>
          <w:highlight w:val="none"/>
        </w:rPr>
        <w:t>开工</w:t>
      </w:r>
      <w:bookmarkEnd w:id="520"/>
      <w:bookmarkEnd w:id="521"/>
      <w:bookmarkEnd w:id="522"/>
      <w:bookmarkEnd w:id="523"/>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34.2 监理工程师在本合同签订后的（   </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 xml:space="preserve">   ）天内签发开工令。</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按通用条款规定的时间。</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另作约定：</w:t>
      </w:r>
      <w:r>
        <w:rPr>
          <w:rFonts w:hint="eastAsia" w:ascii="宋体" w:hAnsi="宋体" w:cs="宋体"/>
          <w:color w:val="auto"/>
          <w:kern w:val="0"/>
          <w:sz w:val="24"/>
          <w:szCs w:val="24"/>
          <w:highlight w:val="none"/>
          <w:u w:val="single"/>
        </w:rPr>
        <w:t xml:space="preserve">   监理工程师在协议书约定的开工日期签发开工令。       </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524" w:name="_Toc7112"/>
      <w:bookmarkStart w:id="525" w:name="_Toc6576"/>
      <w:bookmarkStart w:id="526" w:name="_Toc10624946"/>
      <w:bookmarkStart w:id="527" w:name="_Toc469384102"/>
      <w:r>
        <w:rPr>
          <w:rFonts w:ascii="仿宋" w:hAnsi="仿宋" w:eastAsia="仿宋" w:cs="仿宋"/>
          <w:b/>
          <w:bCs/>
          <w:color w:val="auto"/>
          <w:sz w:val="24"/>
          <w:szCs w:val="24"/>
          <w:highlight w:val="none"/>
        </w:rPr>
        <w:t>35.</w:t>
      </w:r>
      <w:r>
        <w:rPr>
          <w:rFonts w:hint="eastAsia" w:ascii="仿宋" w:hAnsi="仿宋" w:eastAsia="仿宋" w:cs="仿宋"/>
          <w:b/>
          <w:bCs/>
          <w:color w:val="auto"/>
          <w:sz w:val="24"/>
          <w:szCs w:val="24"/>
          <w:highlight w:val="none"/>
        </w:rPr>
        <w:t>暂停施工和复工</w:t>
      </w:r>
      <w:bookmarkEnd w:id="524"/>
      <w:bookmarkEnd w:id="525"/>
      <w:bookmarkEnd w:id="526"/>
      <w:bookmarkEnd w:id="527"/>
    </w:p>
    <w:p>
      <w:pPr>
        <w:shd w:val="clear" w:color="000000" w:fill="auto"/>
        <w:spacing w:line="360" w:lineRule="auto"/>
        <w:ind w:firstLine="120" w:firstLineChars="5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xml:space="preserve">  35.4 承包人原因造成暂停施工的其他原因：</w:t>
      </w:r>
    </w:p>
    <w:p>
      <w:pPr>
        <w:shd w:val="clear" w:color="000000" w:fill="auto"/>
        <w:spacing w:line="360" w:lineRule="auto"/>
        <w:ind w:firstLine="600" w:firstLineChars="25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（1）由于工程质量不合格，虽经返工，仍不能保证工程质量而导致的停工整顿；</w:t>
      </w:r>
    </w:p>
    <w:p>
      <w:pPr>
        <w:shd w:val="clear" w:color="000000" w:fill="auto"/>
        <w:spacing w:line="360" w:lineRule="auto"/>
        <w:ind w:firstLine="600" w:firstLineChars="25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（2）由于工程进度不平衡或管理不善，虽经监理人多次提示而无明显改进，所导致的停工整顿；</w:t>
      </w:r>
    </w:p>
    <w:p>
      <w:pPr>
        <w:shd w:val="clear" w:color="000000" w:fill="auto"/>
        <w:spacing w:line="360" w:lineRule="auto"/>
        <w:ind w:firstLine="600" w:firstLineChars="25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（3）由于进驻现场的主要人员、重要设备与投标文件不符，而导致的停工；</w:t>
      </w:r>
    </w:p>
    <w:p>
      <w:pPr>
        <w:shd w:val="clear" w:color="000000" w:fill="auto"/>
        <w:spacing w:line="360" w:lineRule="auto"/>
        <w:ind w:firstLine="600" w:firstLineChars="25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（4）因当地居民与承包人纠纷、投诉或政府指令造成暂停施工。</w:t>
      </w:r>
    </w:p>
    <w:p>
      <w:pPr>
        <w:shd w:val="clear" w:color="000000" w:fill="auto"/>
        <w:spacing w:line="360" w:lineRule="auto"/>
        <w:ind w:firstLine="600" w:firstLineChars="25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（5）由于重大安全隐患整改措施不落实或落实不彻底，重大安全隐患未彻底整改前所采取的临时保护措施不足等，不能保证工程施工安全而导致的停工整顿。</w:t>
      </w:r>
    </w:p>
    <w:p>
      <w:pPr>
        <w:pStyle w:val="4"/>
        <w:numPr>
          <w:ilvl w:val="0"/>
          <w:numId w:val="0"/>
        </w:numPr>
        <w:shd w:val="clear" w:color="000000" w:fill="auto"/>
        <w:tabs>
          <w:tab w:val="left" w:pos="420"/>
        </w:tabs>
        <w:spacing w:before="0" w:line="360" w:lineRule="auto"/>
        <w:ind w:firstLine="480" w:firstLineChars="200"/>
        <w:rPr>
          <w:rFonts w:hAnsi="宋体"/>
          <w:color w:val="auto"/>
          <w:sz w:val="24"/>
          <w:szCs w:val="24"/>
          <w:highlight w:val="none"/>
          <w:u w:val="single"/>
        </w:rPr>
      </w:pPr>
      <w:bookmarkStart w:id="528" w:name="_Toc25456"/>
      <w:bookmarkStart w:id="529" w:name="_Toc5325"/>
      <w:bookmarkStart w:id="530" w:name="_Toc19903"/>
      <w:bookmarkStart w:id="531" w:name="_Toc8417"/>
      <w:r>
        <w:rPr>
          <w:rFonts w:hint="eastAsia" w:hAnsi="宋体"/>
          <w:color w:val="auto"/>
          <w:sz w:val="24"/>
          <w:szCs w:val="24"/>
          <w:highlight w:val="none"/>
          <w:u w:val="single"/>
        </w:rPr>
        <w:t>（6）当地政府相关管理部门因承包人原因出具的暂</w:t>
      </w:r>
      <w:r>
        <w:rPr>
          <w:rFonts w:hint="eastAsia" w:hAnsi="宋体"/>
          <w:color w:val="auto"/>
          <w:sz w:val="24"/>
          <w:szCs w:val="24"/>
          <w:highlight w:val="none"/>
          <w:u w:val="single"/>
          <w:lang w:val="en-US" w:eastAsia="zh-CN"/>
        </w:rPr>
        <w:t>停</w:t>
      </w:r>
      <w:r>
        <w:rPr>
          <w:rFonts w:hint="eastAsia" w:hAnsi="宋体"/>
          <w:color w:val="auto"/>
          <w:sz w:val="24"/>
          <w:szCs w:val="24"/>
          <w:highlight w:val="none"/>
          <w:u w:val="single"/>
        </w:rPr>
        <w:t>施工文件。</w:t>
      </w:r>
      <w:bookmarkEnd w:id="528"/>
      <w:bookmarkEnd w:id="529"/>
      <w:bookmarkEnd w:id="530"/>
      <w:bookmarkEnd w:id="531"/>
    </w:p>
    <w:p>
      <w:pPr>
        <w:pStyle w:val="4"/>
        <w:numPr>
          <w:ilvl w:val="0"/>
          <w:numId w:val="0"/>
        </w:numPr>
        <w:shd w:val="clear" w:color="000000" w:fill="auto"/>
        <w:tabs>
          <w:tab w:val="left" w:pos="420"/>
        </w:tabs>
        <w:spacing w:before="0" w:line="360" w:lineRule="auto"/>
        <w:ind w:firstLine="480" w:firstLineChars="200"/>
        <w:rPr>
          <w:rFonts w:hAnsi="宋体"/>
          <w:color w:val="auto"/>
          <w:sz w:val="24"/>
          <w:szCs w:val="24"/>
          <w:highlight w:val="none"/>
          <w:u w:val="single"/>
        </w:rPr>
      </w:pPr>
      <w:r>
        <w:rPr>
          <w:rFonts w:hint="eastAsia" w:hAnsi="宋体"/>
          <w:color w:val="auto"/>
          <w:sz w:val="24"/>
          <w:szCs w:val="24"/>
          <w:highlight w:val="none"/>
          <w:u w:val="single"/>
        </w:rPr>
        <w:t>（7）由于承包人员工罢工导致造成暂停施工。</w:t>
      </w:r>
    </w:p>
    <w:p>
      <w:pPr>
        <w:pStyle w:val="4"/>
        <w:numPr>
          <w:ilvl w:val="0"/>
          <w:numId w:val="0"/>
        </w:numPr>
        <w:shd w:val="clear" w:color="000000" w:fill="auto"/>
        <w:tabs>
          <w:tab w:val="left" w:pos="420"/>
        </w:tabs>
        <w:spacing w:before="0" w:line="360" w:lineRule="auto"/>
        <w:ind w:firstLine="480" w:firstLineChars="200"/>
        <w:rPr>
          <w:rFonts w:hAnsi="宋体"/>
          <w:b/>
          <w:bCs/>
          <w:color w:val="auto"/>
          <w:sz w:val="24"/>
          <w:szCs w:val="24"/>
          <w:highlight w:val="none"/>
          <w:u w:val="single"/>
        </w:rPr>
      </w:pPr>
      <w:r>
        <w:rPr>
          <w:rFonts w:hint="eastAsia" w:hAnsi="宋体"/>
          <w:color w:val="auto"/>
          <w:sz w:val="24"/>
          <w:szCs w:val="24"/>
          <w:highlight w:val="none"/>
          <w:u w:val="single"/>
        </w:rPr>
        <w:t>（8）其他可归责于承包人原因导致造成暂停施工。</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532" w:name="_Toc28255"/>
      <w:bookmarkStart w:id="533" w:name="_Toc469384103"/>
      <w:bookmarkStart w:id="534" w:name="_Toc10624947"/>
      <w:bookmarkStart w:id="535" w:name="_Toc8779"/>
      <w:r>
        <w:rPr>
          <w:rFonts w:ascii="仿宋" w:hAnsi="仿宋" w:eastAsia="仿宋" w:cs="仿宋"/>
          <w:b/>
          <w:bCs/>
          <w:color w:val="auto"/>
          <w:sz w:val="24"/>
          <w:szCs w:val="24"/>
          <w:highlight w:val="none"/>
        </w:rPr>
        <w:t xml:space="preserve">36. </w:t>
      </w:r>
      <w:r>
        <w:rPr>
          <w:rFonts w:hint="eastAsia" w:ascii="仿宋" w:hAnsi="仿宋" w:eastAsia="仿宋" w:cs="仿宋"/>
          <w:b/>
          <w:bCs/>
          <w:color w:val="auto"/>
          <w:sz w:val="24"/>
          <w:szCs w:val="24"/>
          <w:highlight w:val="none"/>
        </w:rPr>
        <w:t>工期及工期延误</w:t>
      </w:r>
      <w:bookmarkEnd w:id="532"/>
      <w:bookmarkEnd w:id="533"/>
      <w:bookmarkEnd w:id="534"/>
      <w:bookmarkEnd w:id="535"/>
    </w:p>
    <w:p>
      <w:pPr>
        <w:shd w:val="clear" w:color="000000" w:fill="auto"/>
        <w:spacing w:line="360" w:lineRule="auto"/>
        <w:ind w:firstLine="120" w:firstLineChars="50"/>
        <w:rPr>
          <w:rFonts w:ascii="宋体" w:hAnsi="宋体" w:cs="宋体"/>
          <w:color w:val="auto"/>
          <w:sz w:val="24"/>
          <w:szCs w:val="24"/>
          <w:highlight w:val="none"/>
        </w:rPr>
      </w:pPr>
      <w:r>
        <w:rPr>
          <w:rFonts w:hint="eastAsia" w:ascii="宋体" w:hAnsi="宋体" w:cs="宋体"/>
          <w:color w:val="auto"/>
          <w:kern w:val="0"/>
          <w:sz w:val="24"/>
          <w:szCs w:val="24"/>
          <w:highlight w:val="none"/>
        </w:rPr>
        <w:t xml:space="preserve">  36.1 合同工程的工期约定为（</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）天。</w:t>
      </w:r>
    </w:p>
    <w:p>
      <w:pPr>
        <w:shd w:val="clear" w:color="000000" w:fill="auto"/>
        <w:spacing w:line="360" w:lineRule="auto"/>
        <w:ind w:firstLine="120" w:firstLineChars="50"/>
        <w:rPr>
          <w:rFonts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kern w:val="0"/>
          <w:sz w:val="24"/>
          <w:szCs w:val="24"/>
          <w:highlight w:val="none"/>
        </w:rPr>
        <w:t>36.9 赶工措施费: （本条不适用）</w:t>
      </w:r>
    </w:p>
    <w:p>
      <w:pPr>
        <w:shd w:val="clear" w:color="000000" w:fill="auto"/>
        <w:spacing w:line="360" w:lineRule="auto"/>
        <w:ind w:left="359" w:leftChars="171"/>
        <w:jc w:val="left"/>
        <w:rPr>
          <w:rFonts w:ascii="宋体" w:hAnsi="宋体" w:cs="宋体"/>
          <w:color w:val="auto"/>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发包人要求的合同工程工期小于定额工期的</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%时，根据广东省建设工程计价依据规定的赶工措施费率为</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%计算</w:t>
      </w:r>
      <w:r>
        <w:rPr>
          <w:rFonts w:hint="eastAsia" w:ascii="宋体" w:hAnsi="宋体" w:cs="宋体"/>
          <w:color w:val="auto"/>
          <w:kern w:val="0"/>
          <w:sz w:val="24"/>
          <w:szCs w:val="24"/>
          <w:highlight w:val="none"/>
        </w:rPr>
        <w:t>；</w:t>
      </w:r>
    </w:p>
    <w:p>
      <w:pPr>
        <w:shd w:val="clear" w:color="000000" w:fill="auto"/>
        <w:spacing w:line="360" w:lineRule="auto"/>
        <w:ind w:left="359" w:leftChars="171"/>
        <w:jc w:val="left"/>
        <w:rPr>
          <w:rFonts w:ascii="宋体" w:hAnsi="宋体" w:cs="宋体"/>
          <w:color w:val="auto"/>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发包人要求的合同工程工期小于定额工期的</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%时，根据广州市住房和城乡建设局发布的赶工措施费规定的赶工措施费率为</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%计算；</w:t>
      </w:r>
    </w:p>
    <w:p>
      <w:pPr>
        <w:shd w:val="clear" w:color="000000" w:fill="auto"/>
        <w:spacing w:line="360" w:lineRule="auto"/>
        <w:ind w:left="359" w:leftChars="171"/>
        <w:jc w:val="left"/>
        <w:rPr>
          <w:rFonts w:ascii="宋体" w:hAnsi="宋体" w:cs="宋体"/>
          <w:color w:val="auto"/>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发包人要求的合同工程工期小于定额工期的</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%时，根据广州市建设工程造价管理站发布的赶工措施费规定的赶工措施费率为</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%计算</w:t>
      </w:r>
      <w:r>
        <w:rPr>
          <w:rFonts w:hint="eastAsia" w:ascii="宋体" w:hAnsi="宋体" w:cs="宋体"/>
          <w:color w:val="auto"/>
          <w:kern w:val="0"/>
          <w:sz w:val="24"/>
          <w:szCs w:val="24"/>
          <w:highlight w:val="none"/>
        </w:rPr>
        <w:t>；</w:t>
      </w:r>
    </w:p>
    <w:p>
      <w:pPr>
        <w:shd w:val="clear" w:color="000000" w:fill="auto"/>
        <w:spacing w:line="360" w:lineRule="auto"/>
        <w:ind w:left="360" w:leftChars="57" w:hanging="240" w:hangingChars="100"/>
        <w:rPr>
          <w:rFonts w:ascii="宋体" w:hAnsi="宋体" w:cs="宋体"/>
          <w:color w:val="auto"/>
          <w:sz w:val="24"/>
          <w:szCs w:val="24"/>
          <w:highlight w:val="none"/>
        </w:rPr>
      </w:pPr>
      <w:r>
        <w:rPr>
          <w:rFonts w:hint="eastAsia" w:ascii="宋体" w:hAnsi="宋体" w:cs="宋体"/>
          <w:color w:val="auto"/>
          <w:kern w:val="0"/>
          <w:sz w:val="24"/>
          <w:szCs w:val="24"/>
          <w:highlight w:val="none"/>
        </w:rPr>
        <w:t xml:space="preserve">  □</w:t>
      </w:r>
      <w:r>
        <w:rPr>
          <w:rFonts w:hint="eastAsia" w:ascii="宋体" w:hAnsi="宋体" w:cs="宋体"/>
          <w:color w:val="auto"/>
          <w:sz w:val="24"/>
          <w:szCs w:val="24"/>
          <w:highlight w:val="none"/>
        </w:rPr>
        <w:t>发包人要求的合同工程工期小于定额工期的</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%时，发包人、承包人约定赶工措施费率按</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%计算</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 xml:space="preserve"> </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536" w:name="_Toc4227"/>
      <w:bookmarkStart w:id="537" w:name="_Toc10624948"/>
      <w:bookmarkStart w:id="538" w:name="_Toc6047"/>
      <w:bookmarkStart w:id="539" w:name="_Toc469384104"/>
      <w:r>
        <w:rPr>
          <w:rFonts w:ascii="仿宋" w:hAnsi="仿宋" w:eastAsia="仿宋" w:cs="仿宋"/>
          <w:b/>
          <w:bCs/>
          <w:color w:val="auto"/>
          <w:sz w:val="24"/>
          <w:szCs w:val="24"/>
          <w:highlight w:val="none"/>
        </w:rPr>
        <w:t xml:space="preserve">38. </w:t>
      </w:r>
      <w:r>
        <w:rPr>
          <w:rFonts w:hint="eastAsia" w:ascii="仿宋" w:hAnsi="仿宋" w:eastAsia="仿宋" w:cs="仿宋"/>
          <w:b/>
          <w:bCs/>
          <w:color w:val="auto"/>
          <w:sz w:val="24"/>
          <w:szCs w:val="24"/>
          <w:highlight w:val="none"/>
        </w:rPr>
        <w:t>竣工日期</w:t>
      </w:r>
      <w:bookmarkEnd w:id="536"/>
      <w:bookmarkEnd w:id="537"/>
      <w:bookmarkEnd w:id="538"/>
      <w:bookmarkEnd w:id="539"/>
    </w:p>
    <w:p>
      <w:pPr>
        <w:shd w:val="clear" w:color="000000" w:fill="auto"/>
        <w:spacing w:line="360" w:lineRule="auto"/>
        <w:ind w:firstLine="120" w:firstLineChars="50"/>
        <w:rPr>
          <w:rFonts w:ascii="仿宋" w:hAnsi="仿宋" w:eastAsia="仿宋" w:cs="仿宋"/>
          <w:color w:val="auto"/>
          <w:sz w:val="24"/>
          <w:szCs w:val="24"/>
          <w:highlight w:val="none"/>
          <w:u w:val="single"/>
        </w:rPr>
      </w:pPr>
      <w:r>
        <w:rPr>
          <w:rFonts w:ascii="仿宋" w:hAnsi="仿宋" w:eastAsia="仿宋" w:cs="仿宋"/>
          <w:color w:val="auto"/>
          <w:sz w:val="24"/>
          <w:szCs w:val="24"/>
          <w:highlight w:val="none"/>
        </w:rPr>
        <w:t xml:space="preserve">   38.1 </w:t>
      </w:r>
      <w:r>
        <w:rPr>
          <w:rFonts w:hint="eastAsia" w:ascii="仿宋" w:hAnsi="仿宋" w:eastAsia="仿宋" w:cs="仿宋"/>
          <w:color w:val="auto"/>
          <w:sz w:val="24"/>
          <w:szCs w:val="24"/>
          <w:highlight w:val="none"/>
        </w:rPr>
        <w:t>计划竣工日期：</w:t>
      </w:r>
      <w:r>
        <w:rPr>
          <w:rFonts w:ascii="仿宋" w:hAnsi="仿宋" w:eastAsia="仿宋" w:cs="仿宋"/>
          <w:color w:val="auto"/>
          <w:sz w:val="24"/>
          <w:szCs w:val="24"/>
          <w:highlight w:val="none"/>
          <w:u w:val="single"/>
        </w:rPr>
        <w:t xml:space="preserve">   20</w:t>
      </w:r>
      <w:r>
        <w:rPr>
          <w:rFonts w:hint="eastAsia" w:ascii="仿宋" w:hAnsi="仿宋" w:eastAsia="仿宋" w:cs="仿宋"/>
          <w:color w:val="auto"/>
          <w:sz w:val="24"/>
          <w:szCs w:val="24"/>
          <w:highlight w:val="none"/>
          <w:u w:val="single"/>
        </w:rPr>
        <w:t xml:space="preserve">  年  月  日</w:t>
      </w:r>
      <w:r>
        <w:rPr>
          <w:rFonts w:ascii="仿宋" w:hAnsi="仿宋" w:eastAsia="仿宋" w:cs="仿宋"/>
          <w:color w:val="auto"/>
          <w:sz w:val="24"/>
          <w:szCs w:val="24"/>
          <w:highlight w:val="none"/>
          <w:u w:val="single"/>
        </w:rPr>
        <w:t xml:space="preserve">                 </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540" w:name="_Toc10624949"/>
      <w:bookmarkStart w:id="541" w:name="_Toc30178"/>
      <w:bookmarkStart w:id="542" w:name="_Toc16564"/>
      <w:bookmarkStart w:id="543" w:name="_Toc469384105"/>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42. </w:t>
      </w:r>
      <w:r>
        <w:rPr>
          <w:rFonts w:hint="eastAsia" w:ascii="仿宋" w:hAnsi="仿宋" w:eastAsia="仿宋" w:cs="仿宋"/>
          <w:b/>
          <w:bCs/>
          <w:color w:val="auto"/>
          <w:sz w:val="24"/>
          <w:szCs w:val="24"/>
          <w:highlight w:val="none"/>
        </w:rPr>
        <w:t>质量标准、目标</w:t>
      </w:r>
      <w:bookmarkEnd w:id="540"/>
      <w:bookmarkEnd w:id="541"/>
      <w:bookmarkEnd w:id="542"/>
      <w:bookmarkEnd w:id="543"/>
    </w:p>
    <w:p>
      <w:pPr>
        <w:shd w:val="clear" w:color="000000" w:fill="auto"/>
        <w:spacing w:line="360" w:lineRule="auto"/>
        <w:ind w:firstLine="120" w:firstLineChars="50"/>
        <w:rPr>
          <w:rFonts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b/>
          <w:bCs/>
          <w:color w:val="auto"/>
          <w:sz w:val="24"/>
          <w:szCs w:val="24"/>
          <w:highlight w:val="none"/>
        </w:rPr>
        <w:t>★</w:t>
      </w:r>
      <w:r>
        <w:rPr>
          <w:rFonts w:hint="eastAsia" w:ascii="宋体" w:hAnsi="宋体" w:cs="宋体"/>
          <w:color w:val="auto"/>
          <w:sz w:val="24"/>
          <w:szCs w:val="24"/>
          <w:highlight w:val="none"/>
        </w:rPr>
        <w:t>42.1 约定的工程质量标准</w:t>
      </w:r>
    </w:p>
    <w:p>
      <w:pPr>
        <w:shd w:val="clear" w:color="000000" w:fill="auto"/>
        <w:spacing w:line="360" w:lineRule="auto"/>
        <w:ind w:firstLine="120" w:firstLineChars="50"/>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（1） 合同工程质量标准：</w:t>
      </w:r>
      <w:r>
        <w:rPr>
          <w:rFonts w:hint="eastAsia" w:ascii="宋体" w:hAnsi="宋体" w:cs="宋体"/>
          <w:color w:val="auto"/>
          <w:sz w:val="24"/>
          <w:szCs w:val="24"/>
          <w:highlight w:val="none"/>
          <w:u w:val="single"/>
        </w:rPr>
        <w:t xml:space="preserve">  按协议书第四条约定  </w:t>
      </w:r>
    </w:p>
    <w:p>
      <w:pPr>
        <w:shd w:val="clear" w:color="000000" w:fill="auto"/>
        <w:spacing w:line="360" w:lineRule="auto"/>
        <w:ind w:firstLine="360" w:firstLineChars="150"/>
        <w:rPr>
          <w:rFonts w:ascii="宋体" w:hAnsi="宋体" w:cs="宋体"/>
          <w:color w:val="auto"/>
          <w:sz w:val="24"/>
          <w:szCs w:val="24"/>
          <w:highlight w:val="none"/>
          <w:u w:val="single"/>
        </w:rPr>
      </w:pPr>
      <w:r>
        <w:rPr>
          <w:rFonts w:hint="eastAsia" w:ascii="宋体" w:hAnsi="宋体" w:cs="宋体"/>
          <w:color w:val="auto"/>
          <w:kern w:val="0"/>
          <w:sz w:val="24"/>
          <w:szCs w:val="24"/>
          <w:highlight w:val="none"/>
        </w:rPr>
        <w:t xml:space="preserve">（2） </w:t>
      </w:r>
      <w:r>
        <w:rPr>
          <w:rFonts w:hint="eastAsia" w:ascii="宋体" w:hAnsi="宋体" w:cs="宋体"/>
          <w:color w:val="auto"/>
          <w:sz w:val="24"/>
          <w:szCs w:val="24"/>
          <w:highlight w:val="none"/>
        </w:rPr>
        <w:t>特殊质量标准和要求：</w:t>
      </w:r>
      <w:r>
        <w:rPr>
          <w:rFonts w:hint="eastAsia" w:ascii="宋体" w:hAnsi="宋体" w:cs="宋体"/>
          <w:color w:val="auto"/>
          <w:sz w:val="24"/>
          <w:szCs w:val="24"/>
          <w:highlight w:val="none"/>
          <w:u w:val="single"/>
        </w:rPr>
        <w:t xml:space="preserve">按协议书第四条约定  </w:t>
      </w:r>
    </w:p>
    <w:p>
      <w:pPr>
        <w:shd w:val="clear" w:color="000000" w:fill="auto"/>
        <w:spacing w:line="360" w:lineRule="auto"/>
        <w:ind w:firstLine="120" w:firstLineChars="50"/>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（3） 工程质量验收标准：</w:t>
      </w:r>
      <w:r>
        <w:rPr>
          <w:rFonts w:hint="eastAsia" w:ascii="宋体" w:hAnsi="宋体" w:cs="宋体"/>
          <w:color w:val="auto"/>
          <w:sz w:val="24"/>
          <w:szCs w:val="24"/>
          <w:highlight w:val="none"/>
          <w:u w:val="single"/>
        </w:rPr>
        <w:t xml:space="preserve">  按协议书第四条约定  </w:t>
      </w:r>
    </w:p>
    <w:p>
      <w:pPr>
        <w:shd w:val="clear" w:color="000000" w:fill="auto"/>
        <w:spacing w:line="360" w:lineRule="auto"/>
        <w:ind w:firstLine="120" w:firstLineChars="50"/>
        <w:rPr>
          <w:rFonts w:ascii="宋体" w:hAnsi="宋体" w:cs="宋体"/>
          <w:color w:val="auto"/>
          <w:sz w:val="24"/>
          <w:szCs w:val="24"/>
          <w:highlight w:val="none"/>
        </w:rPr>
      </w:pPr>
      <w:r>
        <w:rPr>
          <w:rFonts w:hint="eastAsia" w:ascii="宋体" w:hAnsi="宋体" w:cs="宋体"/>
          <w:color w:val="auto"/>
          <w:sz w:val="24"/>
          <w:szCs w:val="24"/>
          <w:highlight w:val="none"/>
        </w:rPr>
        <w:t>42.3 质量保证体系</w:t>
      </w:r>
    </w:p>
    <w:p>
      <w:pPr>
        <w:shd w:val="clear" w:color="000000" w:fill="auto"/>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承包人应当完善质量管理制度，建立质量控制流程，建立并保持一个有效的工程质量管理体系。</w:t>
      </w:r>
    </w:p>
    <w:p>
      <w:pPr>
        <w:shd w:val="clear" w:color="000000" w:fill="auto"/>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1）建立完整的质量体系，委派专人负责工程质量管理，现场管理机构、工区（段）设有专职质检人员，班组设质检员，同时附有项目架构人员名单，各类人员必须持有上岗资格证。承包人还应建立并完善各项目质量管理检查制度及企业质量管理文件等。同时，承包人应积极配合工程质量第三方检测工作，并积极采用新材料、新工艺、新技术。</w:t>
      </w:r>
    </w:p>
    <w:p>
      <w:pPr>
        <w:shd w:val="clear" w:color="000000" w:fill="auto"/>
        <w:spacing w:line="360" w:lineRule="auto"/>
        <w:ind w:firstLine="424" w:firstLineChars="177"/>
        <w:rPr>
          <w:rFonts w:ascii="宋体" w:hAnsi="宋体" w:cs="宋体"/>
          <w:color w:val="auto"/>
          <w:sz w:val="24"/>
          <w:szCs w:val="24"/>
          <w:highlight w:val="none"/>
          <w:u w:val="single"/>
        </w:rPr>
      </w:pPr>
      <w:r>
        <w:rPr>
          <w:rFonts w:hint="eastAsia" w:ascii="宋体" w:hAnsi="宋体" w:cs="宋体"/>
          <w:color w:val="auto"/>
          <w:sz w:val="24"/>
          <w:szCs w:val="24"/>
          <w:highlight w:val="none"/>
        </w:rPr>
        <w:t>（2）承包人提交总监理工程师批准的施工组织设计或者施工方案必须附有完备的工程质量保证措施，包括：</w:t>
      </w:r>
      <w:r>
        <w:rPr>
          <w:rFonts w:hint="eastAsia" w:ascii="宋体" w:hAnsi="宋体" w:cs="宋体"/>
          <w:color w:val="auto"/>
          <w:sz w:val="24"/>
          <w:szCs w:val="24"/>
          <w:highlight w:val="none"/>
          <w:u w:val="single"/>
        </w:rPr>
        <w:t xml:space="preserve">    应符合发包人下发的建设管理制度  。        </w:t>
      </w:r>
    </w:p>
    <w:p>
      <w:pPr>
        <w:shd w:val="clear" w:color="000000" w:fill="auto"/>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（3）单项工程开工前，承包人必须按要求对职工分级进行技术交底，组织学习有关规程、标准、规范和工艺要求，在施工中必须按规程及工艺进行操作。</w:t>
      </w:r>
    </w:p>
    <w:p>
      <w:pPr>
        <w:shd w:val="clear" w:color="000000" w:fill="auto"/>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4）单项工程和重要部位必须遵循先试验后铺开施工的程序，开工前承包人应熟悉施工图纸和图纸会审、设计变更内容，并完成施工组织设计和必要的施工准备，送总监理工程师审查批准后方可进行实验性施工，完工后由总监理工程师检验，符合要求后才能铺开施工或者批量生产。</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544" w:name="_Toc469384106"/>
      <w:bookmarkStart w:id="545" w:name="_Toc24451"/>
      <w:bookmarkStart w:id="546" w:name="_Toc10624950"/>
      <w:bookmarkStart w:id="547" w:name="_Toc17477"/>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45. </w:t>
      </w:r>
      <w:bookmarkEnd w:id="544"/>
      <w:r>
        <w:rPr>
          <w:rFonts w:hint="eastAsia" w:ascii="仿宋" w:hAnsi="仿宋" w:eastAsia="仿宋" w:cs="仿宋"/>
          <w:b/>
          <w:bCs/>
          <w:color w:val="auto"/>
          <w:sz w:val="24"/>
          <w:szCs w:val="24"/>
          <w:highlight w:val="none"/>
        </w:rPr>
        <w:t>绿色施工安全防护</w:t>
      </w:r>
      <w:bookmarkEnd w:id="545"/>
      <w:bookmarkEnd w:id="546"/>
      <w:bookmarkEnd w:id="547"/>
    </w:p>
    <w:p>
      <w:pPr>
        <w:shd w:val="clear" w:color="000000" w:fill="auto"/>
        <w:spacing w:line="360" w:lineRule="auto"/>
        <w:ind w:firstLine="120" w:firstLineChars="50"/>
        <w:rPr>
          <w:rFonts w:ascii="宋体" w:hAnsi="宋体" w:cs="宋体"/>
          <w:color w:val="auto"/>
          <w:sz w:val="24"/>
          <w:szCs w:val="24"/>
          <w:highlight w:val="none"/>
        </w:rPr>
      </w:pPr>
      <w:r>
        <w:rPr>
          <w:rFonts w:hint="eastAsia" w:ascii="宋体" w:hAnsi="宋体" w:cs="宋体"/>
          <w:color w:val="auto"/>
          <w:sz w:val="24"/>
          <w:szCs w:val="24"/>
          <w:highlight w:val="none"/>
        </w:rPr>
        <w:t xml:space="preserve">  45.1绿色施工安全防护的要求：</w:t>
      </w:r>
    </w:p>
    <w:p>
      <w:pPr>
        <w:shd w:val="clear" w:color="000000" w:fill="auto"/>
        <w:spacing w:line="360" w:lineRule="auto"/>
        <w:ind w:firstLine="360" w:firstLineChars="150"/>
        <w:rPr>
          <w:rFonts w:ascii="宋体" w:hAnsi="宋体" w:cs="宋体"/>
          <w:color w:val="auto"/>
          <w:kern w:val="0"/>
          <w:sz w:val="24"/>
          <w:szCs w:val="24"/>
          <w:highlight w:val="none"/>
        </w:rPr>
      </w:pP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按通用条款的规定。</w:t>
      </w:r>
    </w:p>
    <w:p>
      <w:pPr>
        <w:shd w:val="clear" w:color="000000" w:fill="auto"/>
        <w:spacing w:line="360" w:lineRule="auto"/>
        <w:ind w:firstLine="120" w:firstLineChars="50"/>
        <w:rPr>
          <w:rFonts w:ascii="宋体" w:hAnsi="宋体" w:cs="宋体"/>
          <w:color w:val="auto"/>
          <w:sz w:val="24"/>
          <w:szCs w:val="24"/>
          <w:highlight w:val="none"/>
        </w:rPr>
      </w:pPr>
      <w:r>
        <w:rPr>
          <w:rFonts w:hint="eastAsia" w:ascii="宋体" w:hAnsi="宋体" w:cs="宋体"/>
          <w:color w:val="auto"/>
          <w:kern w:val="0"/>
          <w:sz w:val="24"/>
          <w:szCs w:val="24"/>
          <w:highlight w:val="none"/>
        </w:rPr>
        <w:t xml:space="preserve">  □ 另作约定：</w:t>
      </w:r>
      <w:r>
        <w:rPr>
          <w:rFonts w:hint="eastAsia" w:ascii="宋体" w:hAnsi="宋体" w:cs="宋体"/>
          <w:color w:val="auto"/>
          <w:kern w:val="0"/>
          <w:sz w:val="24"/>
          <w:szCs w:val="24"/>
          <w:highlight w:val="none"/>
          <w:u w:val="single"/>
        </w:rPr>
        <w:t xml:space="preserve">    /  </w:t>
      </w:r>
    </w:p>
    <w:p>
      <w:pPr>
        <w:shd w:val="clear" w:color="000000" w:fill="auto"/>
        <w:spacing w:line="360" w:lineRule="auto"/>
        <w:ind w:firstLine="120" w:firstLineChars="50"/>
        <w:rPr>
          <w:rFonts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kern w:val="0"/>
          <w:sz w:val="24"/>
          <w:szCs w:val="24"/>
          <w:highlight w:val="none"/>
        </w:rPr>
        <w:t>其中：</w:t>
      </w:r>
      <w:r>
        <w:rPr>
          <w:rFonts w:hint="eastAsia" w:ascii="宋体" w:hAnsi="宋体" w:cs="宋体"/>
          <w:color w:val="auto"/>
          <w:sz w:val="24"/>
          <w:szCs w:val="24"/>
          <w:highlight w:val="none"/>
        </w:rPr>
        <w:t>施工扬尘污染防治措施：</w:t>
      </w:r>
      <w:r>
        <w:rPr>
          <w:rFonts w:hint="eastAsia" w:ascii="宋体" w:hAnsi="宋体" w:cs="宋体"/>
          <w:color w:val="auto"/>
          <w:kern w:val="0"/>
          <w:sz w:val="24"/>
          <w:szCs w:val="24"/>
          <w:highlight w:val="none"/>
          <w:u w:val="single"/>
        </w:rPr>
        <w:t xml:space="preserve">                /             </w:t>
      </w:r>
    </w:p>
    <w:p>
      <w:pPr>
        <w:shd w:val="clear" w:color="000000" w:fill="auto"/>
        <w:spacing w:line="360" w:lineRule="auto"/>
        <w:ind w:firstLine="1440" w:firstLineChars="600"/>
        <w:rPr>
          <w:rFonts w:ascii="宋体" w:hAnsi="宋体" w:cs="宋体"/>
          <w:color w:val="auto"/>
          <w:kern w:val="0"/>
          <w:sz w:val="24"/>
          <w:szCs w:val="24"/>
          <w:highlight w:val="none"/>
          <w:u w:val="single"/>
        </w:rPr>
      </w:pPr>
      <w:r>
        <w:rPr>
          <w:rFonts w:hint="eastAsia" w:ascii="宋体" w:hAnsi="宋体" w:cs="宋体"/>
          <w:color w:val="auto"/>
          <w:sz w:val="24"/>
          <w:szCs w:val="24"/>
          <w:highlight w:val="none"/>
        </w:rPr>
        <w:t>用工实名管理：</w:t>
      </w:r>
      <w:r>
        <w:rPr>
          <w:rFonts w:hint="eastAsia" w:ascii="宋体" w:hAnsi="宋体" w:cs="宋体"/>
          <w:color w:val="auto"/>
          <w:kern w:val="0"/>
          <w:sz w:val="24"/>
          <w:szCs w:val="24"/>
          <w:highlight w:val="none"/>
          <w:u w:val="single"/>
        </w:rPr>
        <w:t xml:space="preserve">             /               </w:t>
      </w:r>
    </w:p>
    <w:p>
      <w:pPr>
        <w:shd w:val="clear" w:color="000000" w:fill="auto"/>
        <w:spacing w:line="360" w:lineRule="auto"/>
        <w:ind w:firstLine="1440" w:firstLineChars="600"/>
        <w:rPr>
          <w:rFonts w:ascii="宋体" w:hAnsi="宋体" w:cs="宋体"/>
          <w:color w:val="auto"/>
          <w:kern w:val="0"/>
          <w:sz w:val="24"/>
          <w:szCs w:val="24"/>
          <w:highlight w:val="none"/>
          <w:u w:val="single"/>
        </w:rPr>
      </w:pPr>
    </w:p>
    <w:p>
      <w:pPr>
        <w:shd w:val="clear" w:color="000000" w:fill="auto"/>
        <w:spacing w:line="360" w:lineRule="auto"/>
        <w:ind w:firstLine="360" w:firstLineChars="150"/>
        <w:rPr>
          <w:rFonts w:ascii="宋体" w:hAnsi="宋体" w:cs="宋体"/>
          <w:color w:val="auto"/>
          <w:kern w:val="0"/>
          <w:sz w:val="24"/>
          <w:szCs w:val="24"/>
          <w:highlight w:val="none"/>
        </w:rPr>
      </w:pPr>
      <w:r>
        <w:rPr>
          <w:rFonts w:hint="eastAsia" w:ascii="宋体" w:hAnsi="宋体" w:cs="宋体"/>
          <w:color w:val="auto"/>
          <w:sz w:val="24"/>
          <w:szCs w:val="24"/>
          <w:highlight w:val="none"/>
        </w:rPr>
        <w:t>45.2</w:t>
      </w:r>
      <w:r>
        <w:rPr>
          <w:rFonts w:hint="eastAsia" w:ascii="宋体" w:hAnsi="宋体" w:cs="宋体"/>
          <w:color w:val="auto"/>
          <w:kern w:val="0"/>
          <w:sz w:val="24"/>
          <w:szCs w:val="24"/>
          <w:highlight w:val="none"/>
        </w:rPr>
        <w:t>用工实名制、工人工资支付分账管理</w:t>
      </w:r>
    </w:p>
    <w:p>
      <w:pPr>
        <w:shd w:val="clear" w:color="000000" w:fill="auto"/>
        <w:spacing w:line="360" w:lineRule="auto"/>
        <w:ind w:firstLine="360" w:firstLineChars="150"/>
        <w:rPr>
          <w:rFonts w:hint="eastAsia" w:ascii="宋体" w:hAnsi="宋体" w:eastAsia="宋体" w:cs="宋体"/>
          <w:color w:val="auto"/>
          <w:kern w:val="0"/>
          <w:sz w:val="24"/>
          <w:szCs w:val="24"/>
          <w:highlight w:val="none"/>
          <w:lang w:eastAsia="zh-CN"/>
        </w:rPr>
      </w:pP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另作约定：</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按国家、省、市相关规定执行，</w:t>
      </w:r>
      <w:r>
        <w:rPr>
          <w:rFonts w:hint="eastAsia" w:ascii="宋体" w:hAnsi="宋体" w:cs="宋体"/>
          <w:color w:val="auto"/>
          <w:sz w:val="24"/>
          <w:szCs w:val="24"/>
          <w:highlight w:val="none"/>
          <w:u w:val="single"/>
        </w:rPr>
        <w:t>建设期间新颁布的相关管理办法和法律、法规等。各文件内容之间如有矛盾，以最新文件内容执行</w:t>
      </w:r>
      <w:r>
        <w:rPr>
          <w:rFonts w:hint="eastAsia" w:ascii="宋体" w:hAnsi="宋体" w:cs="宋体"/>
          <w:color w:val="auto"/>
          <w:sz w:val="24"/>
          <w:szCs w:val="24"/>
          <w:highlight w:val="none"/>
          <w:u w:val="single"/>
          <w:lang w:eastAsia="zh-CN"/>
        </w:rPr>
        <w:t>。</w:t>
      </w:r>
    </w:p>
    <w:p>
      <w:pPr>
        <w:shd w:val="clear" w:color="000000" w:fill="auto"/>
        <w:spacing w:line="360" w:lineRule="auto"/>
        <w:ind w:firstLine="120" w:firstLineChars="50"/>
        <w:rPr>
          <w:rFonts w:ascii="宋体" w:hAnsi="宋体" w:cs="宋体"/>
          <w:color w:val="auto"/>
          <w:sz w:val="24"/>
          <w:szCs w:val="24"/>
          <w:highlight w:val="none"/>
        </w:rPr>
      </w:pPr>
      <w:r>
        <w:rPr>
          <w:rFonts w:hint="eastAsia" w:ascii="宋体" w:hAnsi="宋体" w:cs="宋体"/>
          <w:color w:val="auto"/>
          <w:sz w:val="24"/>
          <w:szCs w:val="24"/>
          <w:highlight w:val="none"/>
        </w:rPr>
        <w:t xml:space="preserve">   45.6 治安管理：</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sz w:val="24"/>
          <w:szCs w:val="24"/>
          <w:highlight w:val="none"/>
        </w:rPr>
        <w:t xml:space="preserve">  </w:t>
      </w: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按通用条款的规定。</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另作约定：</w:t>
      </w:r>
      <w:r>
        <w:rPr>
          <w:rFonts w:hint="eastAsia" w:ascii="宋体" w:hAnsi="宋体" w:cs="宋体"/>
          <w:color w:val="auto"/>
          <w:kern w:val="0"/>
          <w:sz w:val="24"/>
          <w:szCs w:val="24"/>
          <w:highlight w:val="none"/>
          <w:u w:val="single"/>
        </w:rPr>
        <w:t xml:space="preserve">     /          </w:t>
      </w:r>
    </w:p>
    <w:p>
      <w:pPr>
        <w:shd w:val="clear" w:color="000000" w:fill="auto"/>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45.8</w:t>
      </w:r>
      <w:r>
        <w:rPr>
          <w:rFonts w:hint="eastAsia" w:ascii="宋体" w:hAnsi="宋体" w:cs="宋体"/>
          <w:color w:val="auto"/>
          <w:kern w:val="0"/>
          <w:sz w:val="24"/>
          <w:szCs w:val="24"/>
          <w:highlight w:val="none"/>
        </w:rPr>
        <w:t>创文明工地目标：</w:t>
      </w:r>
      <w:r>
        <w:rPr>
          <w:rFonts w:hint="eastAsia" w:ascii="宋体" w:hAnsi="宋体" w:cs="宋体"/>
          <w:color w:val="auto"/>
          <w:sz w:val="24"/>
          <w:szCs w:val="24"/>
          <w:highlight w:val="none"/>
          <w:u w:val="single"/>
        </w:rPr>
        <w:t xml:space="preserve">    按协议书第四条约定     </w:t>
      </w:r>
    </w:p>
    <w:p>
      <w:pPr>
        <w:shd w:val="clear" w:color="000000" w:fill="auto"/>
        <w:spacing w:line="360" w:lineRule="auto"/>
        <w:ind w:firstLine="482"/>
        <w:rPr>
          <w:rFonts w:ascii="宋体" w:hAnsi="宋体" w:cs="宋体"/>
          <w:color w:val="auto"/>
          <w:kern w:val="0"/>
          <w:sz w:val="24"/>
          <w:szCs w:val="24"/>
          <w:highlight w:val="none"/>
        </w:rPr>
      </w:pPr>
      <w:r>
        <w:rPr>
          <w:rFonts w:hint="eastAsia" w:ascii="宋体" w:hAnsi="宋体" w:cs="宋体"/>
          <w:color w:val="auto"/>
          <w:sz w:val="24"/>
          <w:szCs w:val="24"/>
          <w:highlight w:val="none"/>
        </w:rPr>
        <w:t>45.9</w:t>
      </w:r>
      <w:r>
        <w:rPr>
          <w:rFonts w:hint="eastAsia" w:ascii="宋体" w:hAnsi="宋体" w:cs="宋体"/>
          <w:color w:val="auto"/>
          <w:kern w:val="0"/>
          <w:sz w:val="24"/>
          <w:szCs w:val="24"/>
          <w:highlight w:val="none"/>
        </w:rPr>
        <w:t>特别安全生产事项</w:t>
      </w:r>
    </w:p>
    <w:p>
      <w:pPr>
        <w:shd w:val="clear" w:color="000000" w:fill="auto"/>
        <w:spacing w:line="360" w:lineRule="auto"/>
        <w:ind w:firstLine="482"/>
        <w:rPr>
          <w:rFonts w:ascii="宋体" w:hAnsi="宋体" w:cs="宋体"/>
          <w:color w:val="auto"/>
          <w:sz w:val="24"/>
          <w:szCs w:val="24"/>
          <w:highlight w:val="none"/>
          <w:u w:val="single"/>
        </w:rPr>
      </w:pPr>
      <w:r>
        <w:rPr>
          <w:rFonts w:hint="eastAsia" w:ascii="宋体" w:hAnsi="宋体" w:cs="宋体"/>
          <w:color w:val="auto"/>
          <w:sz w:val="24"/>
          <w:szCs w:val="24"/>
          <w:highlight w:val="none"/>
        </w:rPr>
        <w:t>危险性较大分部分项专项工程施工技术措施标准、要求：</w:t>
      </w:r>
      <w:r>
        <w:rPr>
          <w:rFonts w:hint="eastAsia" w:ascii="宋体" w:hAnsi="宋体" w:cs="宋体"/>
          <w:color w:val="auto"/>
          <w:sz w:val="24"/>
          <w:szCs w:val="24"/>
          <w:highlight w:val="none"/>
          <w:u w:val="single"/>
        </w:rPr>
        <w:t xml:space="preserve">  按国家、广东省、广州市有关标准执行 </w:t>
      </w:r>
      <w:r>
        <w:rPr>
          <w:rFonts w:hint="eastAsia" w:ascii="宋体" w:hAnsi="宋体" w:cs="宋体"/>
          <w:color w:val="auto"/>
          <w:sz w:val="24"/>
          <w:szCs w:val="24"/>
          <w:highlight w:val="none"/>
        </w:rPr>
        <w:t>；</w:t>
      </w:r>
    </w:p>
    <w:p>
      <w:pPr>
        <w:shd w:val="clear" w:color="000000" w:fill="auto"/>
        <w:spacing w:line="360" w:lineRule="auto"/>
        <w:ind w:firstLine="482"/>
        <w:rPr>
          <w:rFonts w:ascii="宋体" w:hAnsi="宋体" w:cs="宋体"/>
          <w:color w:val="auto"/>
          <w:kern w:val="0"/>
          <w:sz w:val="24"/>
          <w:szCs w:val="24"/>
          <w:highlight w:val="none"/>
          <w:u w:val="single"/>
        </w:rPr>
      </w:pPr>
      <w:r>
        <w:rPr>
          <w:rFonts w:hint="eastAsia" w:ascii="宋体" w:hAnsi="宋体" w:cs="宋体"/>
          <w:color w:val="auto"/>
          <w:sz w:val="24"/>
          <w:szCs w:val="24"/>
          <w:highlight w:val="none"/>
        </w:rPr>
        <w:t>危险性较大分部分项专项工程施工技术措施费：</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548" w:name="_Toc12054"/>
      <w:bookmarkStart w:id="549" w:name="_Toc10624951"/>
      <w:bookmarkStart w:id="550" w:name="_Toc469384107"/>
      <w:bookmarkStart w:id="551" w:name="_Toc7698"/>
      <w:r>
        <w:rPr>
          <w:rFonts w:ascii="仿宋" w:hAnsi="仿宋" w:eastAsia="仿宋" w:cs="仿宋"/>
          <w:b/>
          <w:bCs/>
          <w:color w:val="auto"/>
          <w:sz w:val="24"/>
          <w:szCs w:val="24"/>
          <w:highlight w:val="none"/>
        </w:rPr>
        <w:t xml:space="preserve">46. </w:t>
      </w:r>
      <w:r>
        <w:rPr>
          <w:rFonts w:hint="eastAsia" w:ascii="仿宋" w:hAnsi="仿宋" w:eastAsia="仿宋" w:cs="仿宋"/>
          <w:b/>
          <w:bCs/>
          <w:color w:val="auto"/>
          <w:sz w:val="24"/>
          <w:szCs w:val="24"/>
          <w:highlight w:val="none"/>
        </w:rPr>
        <w:t>测量放线</w:t>
      </w:r>
      <w:bookmarkEnd w:id="548"/>
      <w:bookmarkEnd w:id="549"/>
      <w:bookmarkEnd w:id="550"/>
      <w:bookmarkEnd w:id="551"/>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46.1 承包人提交施工控制网资料的时间：</w:t>
      </w:r>
      <w:r>
        <w:rPr>
          <w:rFonts w:hint="eastAsia" w:ascii="宋体" w:hAnsi="宋体" w:cs="宋体"/>
          <w:color w:val="auto"/>
          <w:kern w:val="0"/>
          <w:sz w:val="24"/>
          <w:szCs w:val="24"/>
          <w:highlight w:val="none"/>
          <w:u w:val="single"/>
        </w:rPr>
        <w:t>按监理工程师的书面要求。</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46.4 测量放线误差的约定：</w:t>
      </w:r>
      <w:r>
        <w:rPr>
          <w:rFonts w:hint="eastAsia" w:ascii="宋体" w:hAnsi="宋体" w:cs="宋体"/>
          <w:color w:val="auto"/>
          <w:kern w:val="0"/>
          <w:sz w:val="24"/>
          <w:szCs w:val="24"/>
          <w:highlight w:val="none"/>
          <w:u w:val="single"/>
        </w:rPr>
        <w:t>承包人有义务对发包人提供的相关资料进行复核，承包人发现发包人提供的上述基准资料存在明显错误或疏忽的，应及时通知监理人和发包人，否则造成后果由承包人负责。</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552" w:name="_Toc14404"/>
      <w:bookmarkStart w:id="553" w:name="_Toc10624952"/>
      <w:bookmarkStart w:id="554" w:name="_Toc469384108"/>
      <w:bookmarkStart w:id="555" w:name="_Toc5633"/>
      <w:r>
        <w:rPr>
          <w:rFonts w:ascii="仿宋" w:hAnsi="仿宋" w:eastAsia="仿宋" w:cs="仿宋"/>
          <w:b/>
          <w:bCs/>
          <w:color w:val="auto"/>
          <w:sz w:val="24"/>
          <w:szCs w:val="24"/>
          <w:highlight w:val="none"/>
        </w:rPr>
        <w:t>48.</w:t>
      </w:r>
      <w:r>
        <w:rPr>
          <w:rFonts w:hint="eastAsia" w:ascii="仿宋" w:hAnsi="仿宋" w:eastAsia="仿宋" w:cs="仿宋"/>
          <w:b/>
          <w:bCs/>
          <w:color w:val="auto"/>
          <w:sz w:val="24"/>
          <w:szCs w:val="24"/>
          <w:highlight w:val="none"/>
        </w:rPr>
        <w:t>发包人供应材料和工程设备</w:t>
      </w:r>
      <w:bookmarkEnd w:id="552"/>
      <w:bookmarkEnd w:id="553"/>
      <w:bookmarkEnd w:id="554"/>
      <w:bookmarkEnd w:id="555"/>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48.1 约定供应的材料和工程设备</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发包人不供应材料和工程设备，本条不适用。</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发包人供应材料和工程设备的，应与承包人约定“发包人供应材料和工程设备一览表”，作为本合同的附件。</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48.8 发包人供应材料和工程设备的结算方式：</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 xml:space="preserve">  </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556" w:name="_Toc469384109"/>
      <w:bookmarkStart w:id="557" w:name="_Toc327"/>
      <w:bookmarkStart w:id="558" w:name="_Toc10624953"/>
      <w:bookmarkStart w:id="559" w:name="_Toc24972"/>
      <w:r>
        <w:rPr>
          <w:rFonts w:ascii="仿宋" w:hAnsi="仿宋" w:eastAsia="仿宋" w:cs="仿宋"/>
          <w:b/>
          <w:bCs/>
          <w:color w:val="auto"/>
          <w:sz w:val="24"/>
          <w:szCs w:val="24"/>
          <w:highlight w:val="none"/>
        </w:rPr>
        <w:t xml:space="preserve">49. </w:t>
      </w:r>
      <w:r>
        <w:rPr>
          <w:rFonts w:hint="eastAsia" w:ascii="仿宋" w:hAnsi="仿宋" w:eastAsia="仿宋" w:cs="仿宋"/>
          <w:b/>
          <w:bCs/>
          <w:color w:val="auto"/>
          <w:sz w:val="24"/>
          <w:szCs w:val="24"/>
          <w:highlight w:val="none"/>
        </w:rPr>
        <w:t>承包人采购材料和工程设备</w:t>
      </w:r>
      <w:bookmarkEnd w:id="556"/>
      <w:bookmarkEnd w:id="557"/>
      <w:bookmarkEnd w:id="558"/>
      <w:bookmarkEnd w:id="559"/>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49.1 承包人采购材料和工程设备</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按通用条款规定，由承包人负责运输和保管。</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另作约定：</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 xml:space="preserve">  </w:t>
      </w:r>
    </w:p>
    <w:p>
      <w:pPr>
        <w:shd w:val="clear" w:color="000000" w:fill="auto"/>
        <w:spacing w:line="360" w:lineRule="auto"/>
        <w:ind w:firstLine="120" w:firstLineChars="5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xml:space="preserve">  49.2 承包人供货要求：</w:t>
      </w:r>
    </w:p>
    <w:p>
      <w:pPr>
        <w:shd w:val="clear" w:color="000000" w:fill="auto"/>
        <w:spacing w:line="360" w:lineRule="auto"/>
        <w:ind w:firstLine="120" w:firstLineChars="50"/>
        <w:rPr>
          <w:rFonts w:ascii="宋体" w:hAnsi="宋体" w:cs="宋体"/>
          <w:color w:val="auto"/>
          <w:kern w:val="0"/>
          <w:sz w:val="24"/>
          <w:szCs w:val="24"/>
          <w:highlight w:val="none"/>
        </w:rPr>
      </w:pPr>
      <w:bookmarkStart w:id="560" w:name="_Toc10624954"/>
      <w:bookmarkStart w:id="561" w:name="_Toc469384110"/>
      <w:bookmarkStart w:id="562" w:name="_Toc14934"/>
      <w:bookmarkStart w:id="563" w:name="_Toc29773"/>
      <w:r>
        <w:rPr>
          <w:rFonts w:hint="eastAsia" w:ascii="宋体" w:hAnsi="宋体" w:cs="宋体"/>
          <w:color w:val="auto"/>
          <w:kern w:val="0"/>
          <w:sz w:val="24"/>
          <w:szCs w:val="24"/>
          <w:highlight w:val="none"/>
        </w:rPr>
        <w:t>（1）订货前，承包人应提供发包方的材料品牌推荐表与品牌、品质一致的材料、设备的合格证书及试验报告及材料样板经发包人及工程监理单位、造价咨询单位确认后使用。</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（2）如发包</w:t>
      </w:r>
      <w:r>
        <w:rPr>
          <w:rFonts w:hint="eastAsia" w:ascii="宋体" w:hAnsi="宋体" w:cs="宋体"/>
          <w:color w:val="auto"/>
          <w:kern w:val="0"/>
          <w:sz w:val="24"/>
          <w:szCs w:val="24"/>
          <w:highlight w:val="none"/>
          <w:lang w:val="en-US" w:eastAsia="zh-CN"/>
        </w:rPr>
        <w:t>人</w:t>
      </w:r>
      <w:r>
        <w:rPr>
          <w:rFonts w:hint="eastAsia" w:ascii="宋体" w:hAnsi="宋体" w:cs="宋体"/>
          <w:color w:val="auto"/>
          <w:kern w:val="0"/>
          <w:sz w:val="24"/>
          <w:szCs w:val="24"/>
          <w:highlight w:val="none"/>
        </w:rPr>
        <w:t>的材料品牌推荐表中未注明品牌的或承包人应提供的与发包</w:t>
      </w:r>
      <w:r>
        <w:rPr>
          <w:rFonts w:hint="eastAsia" w:ascii="宋体" w:hAnsi="宋体" w:cs="宋体"/>
          <w:color w:val="auto"/>
          <w:kern w:val="0"/>
          <w:sz w:val="24"/>
          <w:szCs w:val="24"/>
          <w:highlight w:val="none"/>
          <w:lang w:val="en-US" w:eastAsia="zh-CN"/>
        </w:rPr>
        <w:t>人</w:t>
      </w:r>
      <w:r>
        <w:rPr>
          <w:rFonts w:hint="eastAsia" w:ascii="宋体" w:hAnsi="宋体" w:cs="宋体"/>
          <w:color w:val="auto"/>
          <w:kern w:val="0"/>
          <w:sz w:val="24"/>
          <w:szCs w:val="24"/>
          <w:highlight w:val="none"/>
        </w:rPr>
        <w:t>的材料品牌推荐表品牌一致的样板不能通过发包人、工程监理单位、造价咨询单位确认，承包人应提供三家以上与发包</w:t>
      </w:r>
      <w:r>
        <w:rPr>
          <w:rFonts w:hint="eastAsia" w:ascii="宋体" w:hAnsi="宋体" w:cs="宋体"/>
          <w:color w:val="auto"/>
          <w:kern w:val="0"/>
          <w:sz w:val="24"/>
          <w:szCs w:val="24"/>
          <w:highlight w:val="none"/>
          <w:lang w:val="en-US" w:eastAsia="zh-CN"/>
        </w:rPr>
        <w:t>人</w:t>
      </w:r>
      <w:r>
        <w:rPr>
          <w:rFonts w:hint="eastAsia" w:ascii="宋体" w:hAnsi="宋体" w:cs="宋体"/>
          <w:color w:val="auto"/>
          <w:kern w:val="0"/>
          <w:sz w:val="24"/>
          <w:szCs w:val="24"/>
          <w:highlight w:val="none"/>
        </w:rPr>
        <w:t>的材料品牌推荐表材料单价±10%范围内生产厂家的合格证书及试验报告及材料样板，经工程监理单位、造价咨询单位及发包人确认后使用，由此增加的价款由承包人承担；由此减少的价款双方议定分享。</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3）如承包人拒不提交上述材料、设备的合格证书及试验报告及材料样板，或提交的样板仍不能通过工程监理单位、造价咨询单位及发包人确认，发包人有权自行采购相关材料设备，所需款项在工程款中扣除，承包人不得要求任何费用调整。且由此造成的工期延误、费用增加等一切损失均由承包人承担，</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（4）发包人对经确认的材料样板进行封板，如发生货不对板，发包人有权拒用，并由承包人承担损失。</w:t>
      </w:r>
    </w:p>
    <w:p>
      <w:pPr>
        <w:shd w:val="clear" w:color="000000" w:fill="auto"/>
        <w:spacing w:line="360" w:lineRule="auto"/>
        <w:ind w:firstLine="120" w:firstLineChars="5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xml:space="preserve">  49.8 发包人依法指定的生产厂家和供应商：</w:t>
      </w:r>
      <w:r>
        <w:rPr>
          <w:rFonts w:hint="eastAsia" w:ascii="宋体" w:hAnsi="宋体" w:cs="宋体"/>
          <w:color w:val="auto"/>
          <w:kern w:val="0"/>
          <w:sz w:val="24"/>
          <w:szCs w:val="24"/>
          <w:highlight w:val="none"/>
          <w:u w:val="single"/>
        </w:rPr>
        <w:t xml:space="preserve">     /      </w:t>
      </w:r>
    </w:p>
    <w:p>
      <w:pPr>
        <w:shd w:val="clear" w:color="000000" w:fill="auto"/>
        <w:spacing w:line="360" w:lineRule="auto"/>
        <w:ind w:firstLine="120" w:firstLineChars="5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xml:space="preserve">       发包人要求的材料和工程设备建设标准、质量等级：</w:t>
      </w:r>
      <w:r>
        <w:rPr>
          <w:rFonts w:hint="eastAsia" w:ascii="宋体" w:hAnsi="宋体" w:cs="宋体"/>
          <w:color w:val="auto"/>
          <w:kern w:val="0"/>
          <w:sz w:val="24"/>
          <w:szCs w:val="24"/>
          <w:highlight w:val="none"/>
          <w:u w:val="single"/>
        </w:rPr>
        <w:t xml:space="preserve">   /    </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50. </w:t>
      </w:r>
      <w:r>
        <w:rPr>
          <w:rFonts w:hint="eastAsia" w:ascii="仿宋" w:hAnsi="仿宋" w:eastAsia="仿宋" w:cs="仿宋"/>
          <w:b/>
          <w:bCs/>
          <w:color w:val="auto"/>
          <w:sz w:val="24"/>
          <w:szCs w:val="24"/>
          <w:highlight w:val="none"/>
        </w:rPr>
        <w:t>材料和工程设备的检验试验</w:t>
      </w:r>
      <w:bookmarkEnd w:id="560"/>
      <w:bookmarkEnd w:id="561"/>
      <w:bookmarkEnd w:id="562"/>
      <w:bookmarkEnd w:id="563"/>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50.2 见证取样检验试验的材料和工程设备</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（1） 种类：</w:t>
      </w:r>
      <w:r>
        <w:rPr>
          <w:rFonts w:hint="eastAsia" w:ascii="宋体" w:hAnsi="宋体" w:cs="宋体"/>
          <w:color w:val="auto"/>
          <w:kern w:val="0"/>
          <w:sz w:val="24"/>
          <w:szCs w:val="24"/>
          <w:highlight w:val="none"/>
          <w:u w:val="single"/>
        </w:rPr>
        <w:t xml:space="preserve">     </w:t>
      </w:r>
      <w:r>
        <w:rPr>
          <w:rFonts w:hint="eastAsia" w:ascii="宋体" w:hAnsi="宋体" w:cs="宋体"/>
          <w:color w:val="auto"/>
          <w:sz w:val="24"/>
          <w:szCs w:val="24"/>
          <w:highlight w:val="none"/>
          <w:u w:val="single"/>
        </w:rPr>
        <w:t>标准与规范要求的。</w:t>
      </w:r>
      <w:r>
        <w:rPr>
          <w:rFonts w:hint="eastAsia" w:ascii="宋体" w:hAnsi="宋体" w:cs="宋体"/>
          <w:color w:val="auto"/>
          <w:kern w:val="0"/>
          <w:sz w:val="24"/>
          <w:szCs w:val="24"/>
          <w:highlight w:val="none"/>
          <w:u w:val="single"/>
        </w:rPr>
        <w:t xml:space="preserve">         </w:t>
      </w:r>
    </w:p>
    <w:p>
      <w:pPr>
        <w:shd w:val="clear" w:color="000000" w:fill="auto"/>
        <w:spacing w:line="360" w:lineRule="auto"/>
        <w:ind w:firstLine="120" w:firstLineChars="5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xml:space="preserve">  （2） 检测机构：</w:t>
      </w:r>
      <w:r>
        <w:rPr>
          <w:rFonts w:hint="eastAsia" w:ascii="宋体" w:hAnsi="宋体" w:cs="宋体"/>
          <w:color w:val="auto"/>
          <w:kern w:val="0"/>
          <w:sz w:val="24"/>
          <w:szCs w:val="24"/>
          <w:highlight w:val="none"/>
          <w:u w:val="single"/>
        </w:rPr>
        <w:t xml:space="preserve">    </w:t>
      </w:r>
      <w:r>
        <w:rPr>
          <w:rFonts w:hint="eastAsia" w:ascii="宋体" w:hAnsi="宋体" w:cs="宋体"/>
          <w:color w:val="auto"/>
          <w:sz w:val="24"/>
          <w:szCs w:val="24"/>
          <w:highlight w:val="none"/>
          <w:u w:val="single"/>
        </w:rPr>
        <w:t>具有相应资质等级的质量检测机构</w:t>
      </w:r>
      <w:r>
        <w:rPr>
          <w:rFonts w:hint="eastAsia" w:ascii="宋体" w:hAnsi="宋体" w:cs="宋体"/>
          <w:color w:val="auto"/>
          <w:kern w:val="0"/>
          <w:sz w:val="24"/>
          <w:szCs w:val="24"/>
          <w:highlight w:val="none"/>
          <w:u w:val="single"/>
        </w:rPr>
        <w:t xml:space="preserve">。      </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564" w:name="_Toc10624955"/>
      <w:bookmarkStart w:id="565" w:name="_Toc15718"/>
      <w:bookmarkStart w:id="566" w:name="_Toc469384111"/>
      <w:bookmarkStart w:id="567" w:name="_Toc32255"/>
      <w:r>
        <w:rPr>
          <w:rFonts w:ascii="仿宋" w:hAnsi="仿宋" w:eastAsia="仿宋" w:cs="仿宋"/>
          <w:b/>
          <w:bCs/>
          <w:color w:val="auto"/>
          <w:sz w:val="24"/>
          <w:szCs w:val="24"/>
          <w:highlight w:val="none"/>
        </w:rPr>
        <w:t xml:space="preserve">51. </w:t>
      </w:r>
      <w:r>
        <w:rPr>
          <w:rFonts w:hint="eastAsia" w:ascii="仿宋" w:hAnsi="仿宋" w:eastAsia="仿宋" w:cs="仿宋"/>
          <w:b/>
          <w:bCs/>
          <w:color w:val="auto"/>
          <w:sz w:val="24"/>
          <w:szCs w:val="24"/>
          <w:highlight w:val="none"/>
        </w:rPr>
        <w:t>施工设备和临时设施</w:t>
      </w:r>
      <w:bookmarkEnd w:id="564"/>
      <w:bookmarkEnd w:id="565"/>
      <w:bookmarkEnd w:id="566"/>
      <w:bookmarkEnd w:id="567"/>
    </w:p>
    <w:p>
      <w:pPr>
        <w:shd w:val="clear" w:color="000000" w:fill="auto"/>
        <w:spacing w:line="360" w:lineRule="auto"/>
        <w:ind w:firstLine="120" w:firstLineChars="50"/>
        <w:rPr>
          <w:rFonts w:ascii="宋体" w:hAnsi="宋体" w:cs="宋体"/>
          <w:color w:val="auto"/>
          <w:sz w:val="24"/>
          <w:szCs w:val="24"/>
          <w:highlight w:val="none"/>
        </w:rPr>
      </w:pPr>
      <w:r>
        <w:rPr>
          <w:rFonts w:hint="eastAsia" w:ascii="宋体" w:hAnsi="宋体" w:cs="宋体"/>
          <w:color w:val="auto"/>
          <w:sz w:val="24"/>
          <w:szCs w:val="24"/>
          <w:highlight w:val="none"/>
        </w:rPr>
        <w:t xml:space="preserve">  51.1 承包人配置施工设备和临时设施</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sz w:val="24"/>
          <w:szCs w:val="24"/>
          <w:highlight w:val="none"/>
        </w:rPr>
        <w:t xml:space="preserve">  </w:t>
      </w: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按通用条款规定，承包人承担修建临时设施的费用。</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另作约定：</w:t>
      </w:r>
      <w:r>
        <w:rPr>
          <w:rFonts w:hint="eastAsia" w:ascii="宋体" w:hAnsi="宋体" w:cs="宋体"/>
          <w:color w:val="auto"/>
          <w:kern w:val="0"/>
          <w:sz w:val="24"/>
          <w:szCs w:val="24"/>
          <w:highlight w:val="none"/>
          <w:u w:val="single"/>
        </w:rPr>
        <w:t xml:space="preserve"> /        </w:t>
      </w:r>
    </w:p>
    <w:p>
      <w:pPr>
        <w:shd w:val="clear" w:color="000000" w:fill="auto"/>
        <w:spacing w:line="360" w:lineRule="auto"/>
        <w:ind w:firstLine="120" w:firstLineChars="5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xml:space="preserve">  51.2 发包人提供的施工设备和临时设施：</w:t>
      </w:r>
      <w:r>
        <w:rPr>
          <w:rFonts w:hint="eastAsia" w:ascii="宋体" w:hAnsi="宋体" w:cs="宋体"/>
          <w:color w:val="auto"/>
          <w:kern w:val="0"/>
          <w:sz w:val="24"/>
          <w:szCs w:val="24"/>
          <w:highlight w:val="none"/>
          <w:u w:val="single"/>
        </w:rPr>
        <w:t xml:space="preserve">    /        </w:t>
      </w:r>
    </w:p>
    <w:p>
      <w:pPr>
        <w:shd w:val="clear" w:color="000000" w:fill="auto"/>
        <w:spacing w:line="360" w:lineRule="auto"/>
        <w:ind w:firstLine="120" w:firstLineChars="5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将52.3修改如下内容：</w:t>
      </w:r>
    </w:p>
    <w:p>
      <w:pPr>
        <w:shd w:val="clear" w:color="000000" w:fill="auto"/>
        <w:spacing w:line="360" w:lineRule="auto"/>
        <w:ind w:firstLine="120" w:firstLineChars="5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发现工程质量达不到合同约定验收标准，承包人应拆除和重新施工，直到符合合同约定验收标准为止，并承担违约赔偿责任，并且发包人有权选择解除合同，承包人除了应退还已收工程款及各项费用外，还应按合同约定承担违约责任，造成发包人损失的，承包人还应赔偿一切经济损失。因承包人的原因达不到合同约定验收标准的，由此增加的费用和（或）延误的工期由承包人承担，并赔偿由此造成的发包人全部损失；因发包人的原因达不到合同约定验收标准的，包括承包人拆除和重新施工费用在内的由此增加的费用和（或）延误的工期由发包人承担，并向承包人支付合理成本费用。</w:t>
      </w:r>
    </w:p>
    <w:p>
      <w:pPr>
        <w:pStyle w:val="2"/>
        <w:rPr>
          <w:color w:val="auto"/>
          <w:highlight w:val="none"/>
        </w:rPr>
      </w:pP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568" w:name="_Toc10624956"/>
      <w:bookmarkStart w:id="569" w:name="_Toc469384112"/>
      <w:bookmarkStart w:id="570" w:name="_Toc4554"/>
      <w:bookmarkStart w:id="571" w:name="_Toc3298"/>
      <w:r>
        <w:rPr>
          <w:rFonts w:ascii="仿宋" w:hAnsi="仿宋" w:eastAsia="仿宋" w:cs="仿宋"/>
          <w:b/>
          <w:bCs/>
          <w:color w:val="auto"/>
          <w:sz w:val="24"/>
          <w:szCs w:val="24"/>
          <w:highlight w:val="none"/>
        </w:rPr>
        <w:t xml:space="preserve">53. </w:t>
      </w:r>
      <w:r>
        <w:rPr>
          <w:rFonts w:hint="eastAsia" w:ascii="仿宋" w:hAnsi="仿宋" w:eastAsia="仿宋" w:cs="仿宋"/>
          <w:b/>
          <w:bCs/>
          <w:color w:val="auto"/>
          <w:sz w:val="24"/>
          <w:szCs w:val="24"/>
          <w:highlight w:val="none"/>
        </w:rPr>
        <w:t>隐蔽工程和中间验收</w:t>
      </w:r>
      <w:bookmarkEnd w:id="568"/>
      <w:bookmarkEnd w:id="569"/>
      <w:bookmarkEnd w:id="570"/>
      <w:bookmarkEnd w:id="571"/>
    </w:p>
    <w:p>
      <w:pPr>
        <w:shd w:val="clear" w:color="000000" w:fill="auto"/>
        <w:spacing w:line="360" w:lineRule="auto"/>
        <w:ind w:left="120" w:leftChars="57"/>
        <w:rPr>
          <w:rFonts w:ascii="宋体" w:hAnsi="宋体" w:cs="宋体"/>
          <w:color w:val="auto"/>
          <w:kern w:val="0"/>
          <w:sz w:val="24"/>
          <w:szCs w:val="24"/>
          <w:highlight w:val="none"/>
        </w:rPr>
      </w:pPr>
      <w:r>
        <w:rPr>
          <w:rFonts w:hint="eastAsia" w:ascii="宋体" w:hAnsi="宋体" w:cs="宋体"/>
          <w:color w:val="auto"/>
          <w:kern w:val="0"/>
          <w:sz w:val="24"/>
          <w:szCs w:val="24"/>
          <w:highlight w:val="none"/>
        </w:rPr>
        <w:t>隐蔽工程或中间验收部位未经专业监理工程师验收合格，不得隐蔽或继续施工，否则该部分工程被视为不合格，由此所产生的返工费用由承包人承担。</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53.1 中间验收的部位有：</w:t>
      </w:r>
      <w:r>
        <w:rPr>
          <w:rFonts w:hint="eastAsia" w:ascii="宋体" w:hAnsi="宋体" w:cs="宋体"/>
          <w:color w:val="auto"/>
          <w:kern w:val="0"/>
          <w:sz w:val="24"/>
          <w:szCs w:val="24"/>
          <w:highlight w:val="none"/>
          <w:u w:val="single"/>
        </w:rPr>
        <w:t xml:space="preserve">  按</w:t>
      </w:r>
      <w:r>
        <w:rPr>
          <w:rFonts w:hint="eastAsia" w:ascii="宋体" w:hAnsi="宋体" w:cs="宋体"/>
          <w:color w:val="auto"/>
          <w:sz w:val="24"/>
          <w:szCs w:val="24"/>
          <w:highlight w:val="none"/>
          <w:u w:val="single"/>
        </w:rPr>
        <w:t>标准与规范要求。</w:t>
      </w:r>
      <w:r>
        <w:rPr>
          <w:rFonts w:hint="eastAsia" w:ascii="宋体" w:hAnsi="宋体" w:cs="宋体"/>
          <w:color w:val="auto"/>
          <w:kern w:val="0"/>
          <w:sz w:val="24"/>
          <w:szCs w:val="24"/>
          <w:highlight w:val="none"/>
          <w:u w:val="single"/>
        </w:rPr>
        <w:t xml:space="preserve">       </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572" w:name="_Toc469384113"/>
      <w:bookmarkStart w:id="573" w:name="_Toc20884"/>
      <w:bookmarkStart w:id="574" w:name="_Toc30772"/>
      <w:bookmarkStart w:id="575" w:name="_Toc10624957"/>
      <w:r>
        <w:rPr>
          <w:rFonts w:ascii="仿宋" w:hAnsi="仿宋" w:eastAsia="仿宋" w:cs="仿宋"/>
          <w:b/>
          <w:bCs/>
          <w:color w:val="auto"/>
          <w:sz w:val="24"/>
          <w:szCs w:val="24"/>
          <w:highlight w:val="none"/>
        </w:rPr>
        <w:t xml:space="preserve">55. </w:t>
      </w:r>
      <w:r>
        <w:rPr>
          <w:rFonts w:hint="eastAsia" w:ascii="仿宋" w:hAnsi="仿宋" w:eastAsia="仿宋" w:cs="仿宋"/>
          <w:b/>
          <w:bCs/>
          <w:color w:val="auto"/>
          <w:sz w:val="24"/>
          <w:szCs w:val="24"/>
          <w:highlight w:val="none"/>
        </w:rPr>
        <w:t>工程试车</w:t>
      </w:r>
      <w:bookmarkEnd w:id="572"/>
      <w:bookmarkEnd w:id="573"/>
      <w:bookmarkEnd w:id="574"/>
      <w:bookmarkEnd w:id="575"/>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55.1 试车内容</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不需要试车的，本条不适用。</w:t>
      </w:r>
    </w:p>
    <w:p>
      <w:pPr>
        <w:shd w:val="clear" w:color="000000" w:fill="auto"/>
        <w:spacing w:line="360" w:lineRule="auto"/>
        <w:ind w:firstLine="120" w:firstLineChars="5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xml:space="preserve">  □ 需要试车的，试车的内容和要求：</w:t>
      </w:r>
      <w:r>
        <w:rPr>
          <w:rFonts w:hint="eastAsia" w:ascii="宋体" w:hAnsi="宋体" w:cs="宋体"/>
          <w:color w:val="auto"/>
          <w:kern w:val="0"/>
          <w:sz w:val="24"/>
          <w:szCs w:val="24"/>
          <w:highlight w:val="none"/>
          <w:u w:val="single"/>
        </w:rPr>
        <w:t xml:space="preserve">   /       </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576" w:name="_Toc469384114"/>
      <w:bookmarkStart w:id="577" w:name="_Toc586"/>
      <w:bookmarkStart w:id="578" w:name="_Toc10624958"/>
      <w:bookmarkStart w:id="579" w:name="_Toc29305"/>
      <w:r>
        <w:rPr>
          <w:rFonts w:ascii="仿宋" w:hAnsi="仿宋" w:eastAsia="仿宋" w:cs="仿宋"/>
          <w:b/>
          <w:bCs/>
          <w:color w:val="auto"/>
          <w:sz w:val="24"/>
          <w:szCs w:val="24"/>
          <w:highlight w:val="none"/>
        </w:rPr>
        <w:t>56</w:t>
      </w:r>
      <w:r>
        <w:rPr>
          <w:rFonts w:hint="eastAsia" w:ascii="仿宋" w:hAnsi="仿宋" w:eastAsia="仿宋" w:cs="仿宋"/>
          <w:b/>
          <w:bCs/>
          <w:color w:val="auto"/>
          <w:sz w:val="24"/>
          <w:szCs w:val="24"/>
          <w:highlight w:val="none"/>
        </w:rPr>
        <w:t>．工程变更</w:t>
      </w:r>
      <w:bookmarkEnd w:id="576"/>
      <w:bookmarkEnd w:id="577"/>
      <w:bookmarkEnd w:id="578"/>
      <w:bookmarkEnd w:id="579"/>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56.4 承包人提出工程变更建议</w:t>
      </w:r>
    </w:p>
    <w:p>
      <w:pPr>
        <w:shd w:val="clear" w:color="000000" w:fill="auto"/>
        <w:spacing w:line="360" w:lineRule="auto"/>
        <w:ind w:firstLine="120" w:firstLineChars="5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xml:space="preserve">   发包人采纳承包人建议带来利益的计奖方法：</w:t>
      </w:r>
      <w:r>
        <w:rPr>
          <w:rFonts w:hint="eastAsia" w:ascii="宋体" w:hAnsi="宋体" w:cs="宋体"/>
          <w:color w:val="auto"/>
          <w:kern w:val="0"/>
          <w:sz w:val="24"/>
          <w:szCs w:val="24"/>
          <w:highlight w:val="none"/>
          <w:u w:val="single"/>
        </w:rPr>
        <w:t xml:space="preserve"> /   </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580" w:name="_Toc27021"/>
      <w:bookmarkStart w:id="581" w:name="_Toc469384115"/>
      <w:bookmarkStart w:id="582" w:name="_Toc10624959"/>
      <w:bookmarkStart w:id="583" w:name="_Toc1017"/>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58. </w:t>
      </w:r>
      <w:r>
        <w:rPr>
          <w:rFonts w:hint="eastAsia" w:ascii="仿宋" w:hAnsi="仿宋" w:eastAsia="仿宋" w:cs="仿宋"/>
          <w:b/>
          <w:bCs/>
          <w:color w:val="auto"/>
          <w:sz w:val="24"/>
          <w:szCs w:val="24"/>
          <w:highlight w:val="none"/>
        </w:rPr>
        <w:t>竣工验收</w:t>
      </w:r>
      <w:bookmarkEnd w:id="580"/>
      <w:bookmarkEnd w:id="581"/>
      <w:bookmarkEnd w:id="582"/>
      <w:bookmarkEnd w:id="583"/>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宋体" w:hAnsi="宋体" w:cs="宋体"/>
          <w:b/>
          <w:bCs/>
          <w:color w:val="auto"/>
          <w:sz w:val="24"/>
          <w:szCs w:val="24"/>
          <w:highlight w:val="none"/>
        </w:rPr>
        <w:t>★</w:t>
      </w:r>
      <w:r>
        <w:rPr>
          <w:rFonts w:hint="eastAsia" w:ascii="宋体" w:hAnsi="宋体" w:cs="宋体"/>
          <w:color w:val="auto"/>
          <w:kern w:val="0"/>
          <w:sz w:val="24"/>
          <w:szCs w:val="24"/>
          <w:highlight w:val="none"/>
        </w:rPr>
        <w:t xml:space="preserve"> 58.1 竣工验收标准</w:t>
      </w:r>
    </w:p>
    <w:p>
      <w:pPr>
        <w:shd w:val="clear" w:color="000000" w:fill="auto"/>
        <w:spacing w:line="360" w:lineRule="auto"/>
        <w:ind w:firstLine="120" w:firstLineChars="5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xml:space="preserve">   合同工程竣工验收标准：</w:t>
      </w:r>
      <w:r>
        <w:rPr>
          <w:rFonts w:hint="eastAsia" w:ascii="宋体" w:hAnsi="宋体" w:cs="宋体"/>
          <w:color w:val="auto"/>
          <w:kern w:val="0"/>
          <w:sz w:val="24"/>
          <w:szCs w:val="24"/>
          <w:highlight w:val="none"/>
          <w:u w:val="single"/>
        </w:rPr>
        <w:t xml:space="preserve">  </w:t>
      </w:r>
      <w:r>
        <w:rPr>
          <w:rFonts w:hint="eastAsia" w:ascii="宋体" w:hAnsi="宋体" w:cs="宋体"/>
          <w:color w:val="auto"/>
          <w:sz w:val="24"/>
          <w:szCs w:val="24"/>
          <w:highlight w:val="none"/>
          <w:u w:val="single"/>
        </w:rPr>
        <w:t>国家、地方、行业有关质量验收标准执行（如有新规范标准按新的执行)</w:t>
      </w:r>
      <w:r>
        <w:rPr>
          <w:rFonts w:hint="eastAsia" w:ascii="宋体" w:hAnsi="宋体" w:cs="宋体"/>
          <w:color w:val="auto"/>
          <w:kern w:val="0"/>
          <w:sz w:val="24"/>
          <w:szCs w:val="24"/>
          <w:highlight w:val="none"/>
          <w:u w:val="single"/>
        </w:rPr>
        <w:t xml:space="preserve">。       </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宋体" w:hAnsi="宋体" w:cs="宋体"/>
          <w:b/>
          <w:bCs/>
          <w:color w:val="auto"/>
          <w:sz w:val="24"/>
          <w:szCs w:val="24"/>
          <w:highlight w:val="none"/>
        </w:rPr>
        <w:t>★</w:t>
      </w:r>
      <w:r>
        <w:rPr>
          <w:rFonts w:hint="eastAsia" w:ascii="宋体" w:hAnsi="宋体" w:cs="宋体"/>
          <w:color w:val="auto"/>
          <w:kern w:val="0"/>
          <w:sz w:val="24"/>
          <w:szCs w:val="24"/>
          <w:highlight w:val="none"/>
        </w:rPr>
        <w:t>58.8 单位工程和工程部位验收</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合同工程无单位工程、无工程部位提前验收的，本款不适用。</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合同工程单位工程或工程部位需提前验收的，各单位工程或工程部位的名称、竣工验收时间和范围如下：</w:t>
      </w:r>
    </w:p>
    <w:p>
      <w:pPr>
        <w:shd w:val="clear" w:color="000000" w:fill="auto"/>
        <w:spacing w:line="360" w:lineRule="auto"/>
        <w:ind w:firstLine="120" w:firstLineChars="5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xml:space="preserve"> （1）</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 xml:space="preserve"> （名称）工程或部位，竣工验收时间为 </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，其范围包括：</w:t>
      </w:r>
      <w:r>
        <w:rPr>
          <w:rFonts w:hint="eastAsia" w:ascii="宋体" w:hAnsi="宋体" w:cs="宋体"/>
          <w:color w:val="auto"/>
          <w:kern w:val="0"/>
          <w:sz w:val="24"/>
          <w:szCs w:val="24"/>
          <w:highlight w:val="none"/>
          <w:u w:val="single"/>
        </w:rPr>
        <w:t xml:space="preserve">   /   </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 xml:space="preserve"> （名称）工程或部位，竣工验收时间为  </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，其范围包括：</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 xml:space="preserve">                                 </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58.9 施工期运行</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合同工程无单位工程、无工程部位在施工期运行的，本款不适用。</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合同工程单位工程或工程部位需在施工期运行的，各单位工程或工程部位的名称、运行时间如下：</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（1）</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 xml:space="preserve"> （名称）工程或部位，运行时间为</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（2）</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 xml:space="preserve"> （名称）工程或部位，运行时间为</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58.10 竣工清场</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按通用条款规定。</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另作约定： </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 xml:space="preserve">   </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58.11施工队伍的撤离</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按通用条款规定，承包人的人员和施工设备全部撤离施工现场。</w:t>
      </w:r>
    </w:p>
    <w:p>
      <w:pPr>
        <w:shd w:val="clear" w:color="000000" w:fill="auto"/>
        <w:spacing w:line="360" w:lineRule="auto"/>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xml:space="preserve">  □ 另作约定：</w:t>
      </w:r>
      <w:r>
        <w:rPr>
          <w:rFonts w:hint="eastAsia" w:ascii="宋体" w:hAnsi="宋体" w:cs="宋体"/>
          <w:color w:val="auto"/>
          <w:kern w:val="0"/>
          <w:sz w:val="24"/>
          <w:szCs w:val="24"/>
          <w:highlight w:val="none"/>
          <w:u w:val="single"/>
        </w:rPr>
        <w:t xml:space="preserve">   /      </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584" w:name="_Toc10624960"/>
      <w:bookmarkStart w:id="585" w:name="_Toc17146"/>
      <w:bookmarkStart w:id="586" w:name="_Toc22347"/>
      <w:bookmarkStart w:id="587" w:name="_Toc469384116"/>
      <w:r>
        <w:rPr>
          <w:rFonts w:ascii="仿宋" w:hAnsi="仿宋" w:eastAsia="仿宋" w:cs="仿宋"/>
          <w:b/>
          <w:bCs/>
          <w:color w:val="auto"/>
          <w:sz w:val="24"/>
          <w:szCs w:val="24"/>
          <w:highlight w:val="none"/>
        </w:rPr>
        <w:t xml:space="preserve">59. </w:t>
      </w:r>
      <w:r>
        <w:rPr>
          <w:rFonts w:hint="eastAsia" w:ascii="仿宋" w:hAnsi="仿宋" w:eastAsia="仿宋" w:cs="仿宋"/>
          <w:b/>
          <w:bCs/>
          <w:color w:val="auto"/>
          <w:sz w:val="24"/>
          <w:szCs w:val="24"/>
          <w:highlight w:val="none"/>
        </w:rPr>
        <w:t>缺陷责任与质量保修</w:t>
      </w:r>
      <w:bookmarkEnd w:id="584"/>
      <w:bookmarkEnd w:id="585"/>
      <w:bookmarkEnd w:id="586"/>
      <w:bookmarkEnd w:id="587"/>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59.1 缺陷责任期计算</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缺陷责任期：</w:t>
      </w:r>
      <w:r>
        <w:rPr>
          <w:rFonts w:hint="eastAsia" w:ascii="宋体" w:hAnsi="宋体" w:cs="宋体"/>
          <w:color w:val="auto"/>
          <w:kern w:val="0"/>
          <w:sz w:val="24"/>
          <w:szCs w:val="24"/>
          <w:highlight w:val="none"/>
          <w:u w:val="single"/>
        </w:rPr>
        <w:t xml:space="preserve">   自竣工验收合格之日起24个月。     </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59.8 质量保修期计算</w:t>
      </w:r>
    </w:p>
    <w:p>
      <w:pPr>
        <w:shd w:val="clear" w:color="000000" w:fill="auto"/>
        <w:spacing w:line="360" w:lineRule="auto"/>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xml:space="preserve">   质量保修期：</w:t>
      </w:r>
      <w:r>
        <w:rPr>
          <w:rFonts w:hint="eastAsia" w:ascii="宋体" w:hAnsi="宋体" w:cs="宋体"/>
          <w:color w:val="auto"/>
          <w:kern w:val="0"/>
          <w:sz w:val="24"/>
          <w:szCs w:val="24"/>
          <w:highlight w:val="none"/>
          <w:u w:val="single"/>
        </w:rPr>
        <w:t xml:space="preserve">  按附件《工程质量保修书》约定执行。      </w:t>
      </w:r>
    </w:p>
    <w:p>
      <w:pPr>
        <w:pStyle w:val="4"/>
        <w:numPr>
          <w:ilvl w:val="0"/>
          <w:numId w:val="0"/>
        </w:numPr>
        <w:shd w:val="clear" w:color="000000" w:fill="auto"/>
        <w:tabs>
          <w:tab w:val="left" w:pos="420"/>
        </w:tabs>
        <w:rPr>
          <w:rFonts w:ascii="仿宋" w:hAnsi="仿宋" w:eastAsia="仿宋" w:cs="Times New Roman"/>
          <w:b/>
          <w:bCs/>
          <w:color w:val="auto"/>
          <w:sz w:val="24"/>
          <w:szCs w:val="24"/>
          <w:highlight w:val="none"/>
        </w:rPr>
      </w:pPr>
      <w:bookmarkStart w:id="588" w:name="_Toc27559"/>
      <w:bookmarkStart w:id="589" w:name="_Toc10624961"/>
      <w:bookmarkStart w:id="590" w:name="_Toc22247"/>
      <w:bookmarkStart w:id="591" w:name="_Toc469384117"/>
      <w:r>
        <w:rPr>
          <w:rFonts w:ascii="仿宋" w:hAnsi="仿宋" w:eastAsia="仿宋" w:cs="仿宋"/>
          <w:b/>
          <w:bCs/>
          <w:color w:val="auto"/>
          <w:sz w:val="24"/>
          <w:szCs w:val="24"/>
          <w:highlight w:val="none"/>
        </w:rPr>
        <w:t xml:space="preserve">61. </w:t>
      </w:r>
      <w:r>
        <w:rPr>
          <w:rFonts w:hint="eastAsia" w:ascii="仿宋" w:hAnsi="仿宋" w:eastAsia="仿宋" w:cs="仿宋"/>
          <w:b/>
          <w:bCs/>
          <w:color w:val="auto"/>
          <w:sz w:val="24"/>
          <w:szCs w:val="24"/>
          <w:highlight w:val="none"/>
        </w:rPr>
        <w:t>工程量</w:t>
      </w:r>
      <w:bookmarkEnd w:id="588"/>
      <w:bookmarkEnd w:id="589"/>
      <w:bookmarkEnd w:id="590"/>
      <w:bookmarkEnd w:id="591"/>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61.1 清单工程量包括的工作内容</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黑体" w:hAnsi="黑体" w:eastAsia="黑体" w:cs="黑体"/>
          <w:color w:val="auto"/>
          <w:kern w:val="0"/>
          <w:sz w:val="24"/>
          <w:szCs w:val="24"/>
          <w:highlight w:val="none"/>
        </w:rPr>
        <w:t xml:space="preserve">■ </w:t>
      </w:r>
      <w:r>
        <w:rPr>
          <w:rFonts w:hint="eastAsia" w:ascii="宋体" w:hAnsi="宋体" w:cs="宋体"/>
          <w:color w:val="auto"/>
          <w:kern w:val="0"/>
          <w:sz w:val="24"/>
          <w:szCs w:val="24"/>
          <w:highlight w:val="none"/>
        </w:rPr>
        <w:t>按通用条款规定。</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另作约定：</w:t>
      </w:r>
      <w:r>
        <w:rPr>
          <w:rFonts w:hint="eastAsia" w:ascii="宋体" w:hAnsi="宋体" w:cs="宋体"/>
          <w:color w:val="auto"/>
          <w:kern w:val="0"/>
          <w:sz w:val="24"/>
          <w:szCs w:val="24"/>
          <w:highlight w:val="none"/>
          <w:u w:val="single"/>
        </w:rPr>
        <w:t xml:space="preserve">   /      </w:t>
      </w:r>
    </w:p>
    <w:p>
      <w:pPr>
        <w:pStyle w:val="4"/>
        <w:numPr>
          <w:ilvl w:val="0"/>
          <w:numId w:val="0"/>
        </w:numPr>
        <w:shd w:val="clear" w:color="000000" w:fill="auto"/>
        <w:tabs>
          <w:tab w:val="left" w:pos="420"/>
        </w:tabs>
        <w:rPr>
          <w:rFonts w:ascii="仿宋" w:hAnsi="仿宋" w:eastAsia="仿宋" w:cs="Times New Roman"/>
          <w:b/>
          <w:bCs/>
          <w:color w:val="auto"/>
          <w:sz w:val="24"/>
          <w:szCs w:val="24"/>
          <w:highlight w:val="none"/>
        </w:rPr>
      </w:pPr>
      <w:bookmarkStart w:id="592" w:name="_Toc469384118"/>
      <w:bookmarkStart w:id="593" w:name="_Toc10624962"/>
      <w:bookmarkStart w:id="594" w:name="_Toc26099"/>
      <w:bookmarkStart w:id="595" w:name="_Toc32075"/>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63. </w:t>
      </w:r>
      <w:r>
        <w:rPr>
          <w:rFonts w:hint="eastAsia" w:ascii="仿宋" w:hAnsi="仿宋" w:eastAsia="仿宋" w:cs="仿宋"/>
          <w:b/>
          <w:bCs/>
          <w:color w:val="auto"/>
          <w:sz w:val="24"/>
          <w:szCs w:val="24"/>
          <w:highlight w:val="none"/>
        </w:rPr>
        <w:t>暂列金额</w:t>
      </w:r>
      <w:bookmarkEnd w:id="592"/>
      <w:bookmarkEnd w:id="593"/>
      <w:bookmarkEnd w:id="594"/>
      <w:bookmarkEnd w:id="595"/>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63.1 合同工程的暂列金额为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元。</w:t>
      </w:r>
    </w:p>
    <w:p>
      <w:pPr>
        <w:pStyle w:val="4"/>
        <w:numPr>
          <w:ilvl w:val="0"/>
          <w:numId w:val="0"/>
        </w:numPr>
        <w:shd w:val="clear" w:color="000000" w:fill="auto"/>
        <w:tabs>
          <w:tab w:val="left" w:pos="420"/>
        </w:tabs>
        <w:rPr>
          <w:rFonts w:ascii="仿宋" w:hAnsi="仿宋" w:eastAsia="仿宋" w:cs="Times New Roman"/>
          <w:b/>
          <w:bCs/>
          <w:color w:val="auto"/>
          <w:sz w:val="24"/>
          <w:szCs w:val="24"/>
          <w:highlight w:val="none"/>
        </w:rPr>
      </w:pPr>
      <w:bookmarkStart w:id="596" w:name="_Toc10624963"/>
      <w:bookmarkStart w:id="597" w:name="_Toc469384119"/>
      <w:bookmarkStart w:id="598" w:name="_Toc12071"/>
      <w:bookmarkStart w:id="599" w:name="_Toc5637"/>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65. </w:t>
      </w:r>
      <w:r>
        <w:rPr>
          <w:rFonts w:hint="eastAsia" w:ascii="仿宋" w:hAnsi="仿宋" w:eastAsia="仿宋" w:cs="仿宋"/>
          <w:b/>
          <w:bCs/>
          <w:color w:val="auto"/>
          <w:sz w:val="24"/>
          <w:szCs w:val="24"/>
          <w:highlight w:val="none"/>
        </w:rPr>
        <w:t>暂估价</w:t>
      </w:r>
      <w:bookmarkEnd w:id="596"/>
      <w:bookmarkEnd w:id="597"/>
      <w:bookmarkEnd w:id="598"/>
      <w:bookmarkEnd w:id="599"/>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宋体" w:hAnsi="宋体" w:cs="宋体"/>
          <w:b/>
          <w:bCs/>
          <w:color w:val="auto"/>
          <w:sz w:val="24"/>
          <w:szCs w:val="24"/>
          <w:highlight w:val="none"/>
        </w:rPr>
        <w:t>★</w:t>
      </w:r>
      <w:r>
        <w:rPr>
          <w:rFonts w:hint="eastAsia" w:ascii="宋体" w:hAnsi="宋体" w:cs="宋体"/>
          <w:color w:val="auto"/>
          <w:kern w:val="0"/>
          <w:sz w:val="24"/>
          <w:szCs w:val="24"/>
          <w:highlight w:val="none"/>
        </w:rPr>
        <w:t>65.1 招标暂估价项目</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必须招标暂估价项目合同双方当事人的权利、义务</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材料、工程设备：</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 xml:space="preserve">   </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专业工程：</w:t>
      </w:r>
      <w:r>
        <w:rPr>
          <w:rFonts w:hint="eastAsia" w:ascii="宋体" w:hAnsi="宋体" w:cs="宋体"/>
          <w:color w:val="auto"/>
          <w:kern w:val="0"/>
          <w:sz w:val="24"/>
          <w:szCs w:val="24"/>
          <w:highlight w:val="none"/>
          <w:u w:val="single"/>
        </w:rPr>
        <w:t xml:space="preserve">    /           </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65.3 非招标专业工程款的确定</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按通用条款规定，由造价工程师与分包人确定。</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另作约定：</w:t>
      </w:r>
      <w:r>
        <w:rPr>
          <w:rFonts w:hint="eastAsia" w:ascii="宋体" w:hAnsi="宋体" w:cs="宋体"/>
          <w:color w:val="auto"/>
          <w:kern w:val="0"/>
          <w:sz w:val="24"/>
          <w:szCs w:val="24"/>
          <w:highlight w:val="none"/>
          <w:u w:val="single"/>
        </w:rPr>
        <w:t xml:space="preserve">      /          </w:t>
      </w:r>
    </w:p>
    <w:p>
      <w:pPr>
        <w:pStyle w:val="4"/>
        <w:numPr>
          <w:ilvl w:val="0"/>
          <w:numId w:val="0"/>
        </w:numPr>
        <w:shd w:val="clear" w:color="000000" w:fill="auto"/>
        <w:tabs>
          <w:tab w:val="left" w:pos="420"/>
        </w:tabs>
        <w:spacing w:line="360" w:lineRule="auto"/>
        <w:rPr>
          <w:rFonts w:ascii="仿宋" w:hAnsi="仿宋" w:eastAsia="仿宋" w:cs="仿宋"/>
          <w:b/>
          <w:bCs/>
          <w:color w:val="auto"/>
          <w:sz w:val="24"/>
          <w:szCs w:val="24"/>
          <w:highlight w:val="none"/>
        </w:rPr>
      </w:pPr>
      <w:bookmarkStart w:id="600" w:name="_Toc29982"/>
      <w:bookmarkStart w:id="601" w:name="_Toc11371"/>
      <w:bookmarkStart w:id="602" w:name="_Toc10624964"/>
      <w:bookmarkStart w:id="603" w:name="_Toc469384120"/>
      <w:r>
        <w:rPr>
          <w:rFonts w:hint="eastAsia" w:ascii="仿宋" w:hAnsi="仿宋" w:eastAsia="仿宋" w:cs="仿宋"/>
          <w:b/>
          <w:bCs/>
          <w:color w:val="auto"/>
          <w:sz w:val="24"/>
          <w:szCs w:val="24"/>
          <w:highlight w:val="none"/>
        </w:rPr>
        <w:t>★66. 提前竣工奖与误期赔偿费</w:t>
      </w:r>
      <w:bookmarkEnd w:id="600"/>
      <w:bookmarkEnd w:id="601"/>
      <w:bookmarkEnd w:id="602"/>
      <w:bookmarkEnd w:id="603"/>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66.1 提前竣工奖</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（1） 提前竣工奖额度</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sym w:font="Wingdings 2" w:char="00A3"/>
      </w:r>
      <w:r>
        <w:rPr>
          <w:rFonts w:hint="eastAsia" w:ascii="宋体" w:hAnsi="宋体" w:cs="宋体"/>
          <w:color w:val="auto"/>
          <w:kern w:val="0"/>
          <w:sz w:val="24"/>
          <w:szCs w:val="24"/>
          <w:highlight w:val="none"/>
        </w:rPr>
        <w:t xml:space="preserve"> 没约定提前竣工奖的，本款不适用。</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不设提前竣工奖，本条不适用。</w:t>
      </w:r>
    </w:p>
    <w:p>
      <w:pPr>
        <w:shd w:val="clear" w:color="000000" w:fill="auto"/>
        <w:spacing w:line="360" w:lineRule="auto"/>
        <w:ind w:firstLine="240" w:firstLineChars="1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约定提前竣工奖的，为 </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元。</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（2） 提前竣工奖的最高限额</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sym w:font="Wingdings 2" w:char="00A3"/>
      </w:r>
      <w:r>
        <w:rPr>
          <w:rFonts w:hint="eastAsia" w:ascii="宋体" w:hAnsi="宋体" w:cs="宋体"/>
          <w:color w:val="auto"/>
          <w:kern w:val="0"/>
          <w:sz w:val="24"/>
          <w:szCs w:val="24"/>
          <w:highlight w:val="none"/>
        </w:rPr>
        <w:t xml:space="preserve"> 按通用条款规定为合同价款的5%。</w:t>
      </w:r>
    </w:p>
    <w:p>
      <w:pPr>
        <w:shd w:val="clear" w:color="000000" w:fill="auto"/>
        <w:spacing w:line="360" w:lineRule="auto"/>
        <w:ind w:firstLine="120" w:firstLineChars="5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xml:space="preserve"> </w:t>
      </w: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另作约定：</w:t>
      </w:r>
      <w:r>
        <w:rPr>
          <w:rFonts w:hint="eastAsia" w:ascii="宋体" w:hAnsi="宋体" w:cs="宋体"/>
          <w:color w:val="auto"/>
          <w:kern w:val="0"/>
          <w:sz w:val="24"/>
          <w:szCs w:val="24"/>
          <w:highlight w:val="none"/>
          <w:u w:val="single"/>
        </w:rPr>
        <w:t>/</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66.2 误期赔偿费</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（1） 每日历天应赔偿额度为</w:t>
      </w:r>
      <w:r>
        <w:rPr>
          <w:rFonts w:hint="eastAsia" w:ascii="宋体" w:hAnsi="宋体" w:cs="宋体"/>
          <w:color w:val="auto"/>
          <w:kern w:val="0"/>
          <w:sz w:val="24"/>
          <w:szCs w:val="24"/>
          <w:highlight w:val="none"/>
          <w:u w:val="single"/>
        </w:rPr>
        <w:t xml:space="preserve"> </w:t>
      </w:r>
      <w:r>
        <w:rPr>
          <w:rFonts w:hint="eastAsia" w:ascii="宋体" w:hAnsi="宋体" w:cs="宋体"/>
          <w:color w:val="auto"/>
          <w:sz w:val="24"/>
          <w:szCs w:val="24"/>
          <w:highlight w:val="none"/>
          <w:u w:val="single"/>
        </w:rPr>
        <w:t>本工程合同价款的</w:t>
      </w:r>
      <w:r>
        <w:rPr>
          <w:rFonts w:hint="eastAsia" w:ascii="宋体" w:hAnsi="宋体" w:cs="宋体"/>
          <w:color w:val="auto"/>
          <w:sz w:val="24"/>
          <w:szCs w:val="24"/>
          <w:highlight w:val="none"/>
          <w:u w:val="single"/>
          <w:lang w:val="en-US" w:eastAsia="zh-CN"/>
        </w:rPr>
        <w:t>0.5</w:t>
      </w:r>
      <w:r>
        <w:rPr>
          <w:rFonts w:hint="eastAsia" w:ascii="宋体" w:hAnsi="宋体" w:cs="宋体"/>
          <w:color w:val="auto"/>
          <w:sz w:val="24"/>
          <w:szCs w:val="24"/>
          <w:highlight w:val="none"/>
          <w:u w:val="single"/>
        </w:rPr>
        <w:t>‰作为违约金</w:t>
      </w:r>
      <w:r>
        <w:rPr>
          <w:rFonts w:hint="eastAsia" w:ascii="宋体" w:hAnsi="宋体" w:cs="宋体"/>
          <w:color w:val="auto"/>
          <w:kern w:val="0"/>
          <w:sz w:val="24"/>
          <w:szCs w:val="24"/>
          <w:highlight w:val="none"/>
        </w:rPr>
        <w:t>。</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（2） 误期赔偿费的最高限额</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按通用条款规定为合同价款的5%，即</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元。</w:t>
      </w:r>
    </w:p>
    <w:p>
      <w:pPr>
        <w:shd w:val="clear" w:color="000000" w:fill="auto"/>
        <w:spacing w:line="360" w:lineRule="auto"/>
        <w:ind w:firstLine="120" w:firstLineChars="5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xml:space="preserve"> □ 另作约定：</w:t>
      </w:r>
      <w:r>
        <w:rPr>
          <w:rFonts w:hint="eastAsia" w:ascii="宋体" w:hAnsi="宋体" w:cs="宋体"/>
          <w:color w:val="auto"/>
          <w:kern w:val="0"/>
          <w:sz w:val="24"/>
          <w:szCs w:val="24"/>
          <w:highlight w:val="none"/>
          <w:u w:val="single"/>
          <w:lang w:val="en-US" w:eastAsia="zh-CN"/>
        </w:rPr>
        <w:t>/</w:t>
      </w:r>
      <w:r>
        <w:rPr>
          <w:rFonts w:hint="eastAsia" w:ascii="宋体" w:hAnsi="宋体" w:cs="宋体"/>
          <w:color w:val="auto"/>
          <w:kern w:val="0"/>
          <w:sz w:val="24"/>
          <w:szCs w:val="24"/>
          <w:highlight w:val="none"/>
          <w:u w:val="single"/>
        </w:rPr>
        <w:t>。</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604" w:name="_Toc13584"/>
      <w:bookmarkStart w:id="605" w:name="_Toc10624965"/>
      <w:bookmarkStart w:id="606" w:name="_Toc26246"/>
      <w:bookmarkStart w:id="607" w:name="_Toc469384121"/>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67. </w:t>
      </w:r>
      <w:r>
        <w:rPr>
          <w:rFonts w:hint="eastAsia" w:ascii="仿宋" w:hAnsi="仿宋" w:eastAsia="仿宋" w:cs="仿宋"/>
          <w:b/>
          <w:bCs/>
          <w:color w:val="auto"/>
          <w:sz w:val="24"/>
          <w:szCs w:val="24"/>
          <w:highlight w:val="none"/>
        </w:rPr>
        <w:t>工程优质费、工程建设标准费用</w:t>
      </w:r>
      <w:bookmarkEnd w:id="604"/>
      <w:bookmarkEnd w:id="605"/>
      <w:bookmarkEnd w:id="606"/>
      <w:bookmarkEnd w:id="607"/>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67.1 工程优质费的计算方法</w:t>
      </w:r>
    </w:p>
    <w:p>
      <w:pPr>
        <w:shd w:val="clear" w:color="000000" w:fill="auto"/>
        <w:spacing w:line="360" w:lineRule="auto"/>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xml:space="preserve">  □ 约定工程优质费的，其计算方法：</w:t>
      </w:r>
      <w:r>
        <w:rPr>
          <w:rFonts w:hint="eastAsia" w:ascii="宋体" w:hAnsi="宋体" w:cs="宋体"/>
          <w:color w:val="auto"/>
          <w:kern w:val="0"/>
          <w:sz w:val="24"/>
          <w:szCs w:val="24"/>
          <w:highlight w:val="none"/>
          <w:u w:val="single"/>
        </w:rPr>
        <w:t xml:space="preserve">    /          </w:t>
      </w:r>
    </w:p>
    <w:p>
      <w:pPr>
        <w:shd w:val="clear" w:color="000000" w:fill="auto"/>
        <w:spacing w:line="360" w:lineRule="auto"/>
        <w:ind w:firstLine="240" w:firstLineChars="1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按分部分项工程费为基础计算：</w:t>
      </w:r>
      <w:r>
        <w:rPr>
          <w:rFonts w:hint="eastAsia" w:ascii="宋体" w:hAnsi="宋体" w:cs="宋体"/>
          <w:color w:val="auto"/>
          <w:kern w:val="0"/>
          <w:sz w:val="24"/>
          <w:szCs w:val="24"/>
          <w:highlight w:val="none"/>
          <w:u w:val="single"/>
        </w:rPr>
        <w:t xml:space="preserve">    /    </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宋体" w:hAnsi="宋体" w:cs="宋体"/>
          <w:b/>
          <w:bCs/>
          <w:color w:val="auto"/>
          <w:sz w:val="24"/>
          <w:szCs w:val="24"/>
          <w:highlight w:val="none"/>
        </w:rPr>
        <w:t>★</w:t>
      </w:r>
      <w:r>
        <w:rPr>
          <w:rFonts w:hint="eastAsia" w:ascii="宋体" w:hAnsi="宋体" w:cs="宋体"/>
          <w:color w:val="auto"/>
          <w:kern w:val="0"/>
          <w:sz w:val="24"/>
          <w:szCs w:val="24"/>
          <w:highlight w:val="none"/>
        </w:rPr>
        <w:t>67.2 工程优质费的计算额度：</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按通用条款规定计算。</w:t>
      </w:r>
    </w:p>
    <w:p>
      <w:pPr>
        <w:shd w:val="clear" w:color="000000" w:fill="auto"/>
        <w:spacing w:line="360" w:lineRule="auto"/>
        <w:ind w:left="240" w:hanging="240" w:hangingChars="1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另作约定（工程优质费率参考广东省建设工程计价依据工程优质费、广州市住房和城乡建设局发布的工程优质费率；合同工程同时获得下列多个奖项的，只按最高奖项的额度计算。）：</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国家级质量奖，工程优质费</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 xml:space="preserve"> %；</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省级质量奖，工程优质费</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市级质量奖，工程优质费</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 xml:space="preserve"> %。</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其它</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，工程优质费</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 xml:space="preserve"> %。</w:t>
      </w:r>
    </w:p>
    <w:p>
      <w:pPr>
        <w:pStyle w:val="4"/>
        <w:numPr>
          <w:ilvl w:val="0"/>
          <w:numId w:val="0"/>
        </w:numPr>
        <w:shd w:val="clear" w:color="000000" w:fill="auto"/>
        <w:tabs>
          <w:tab w:val="left" w:pos="420"/>
        </w:tabs>
        <w:spacing w:before="0" w:line="360" w:lineRule="auto"/>
        <w:ind w:left="575" w:leftChars="57" w:hanging="455" w:hangingChars="189"/>
        <w:rPr>
          <w:rFonts w:ascii="仿宋" w:hAnsi="仿宋" w:eastAsia="仿宋" w:cs="Times New Roman"/>
          <w:b/>
          <w:bCs/>
          <w:color w:val="auto"/>
          <w:sz w:val="24"/>
          <w:szCs w:val="24"/>
          <w:highlight w:val="none"/>
        </w:rPr>
      </w:pPr>
      <w:bookmarkStart w:id="608" w:name="_Toc10624966"/>
      <w:bookmarkStart w:id="609" w:name="_Toc469384122"/>
      <w:bookmarkStart w:id="610" w:name="_Toc7157"/>
      <w:bookmarkStart w:id="611" w:name="_Toc9005"/>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68. </w:t>
      </w:r>
      <w:r>
        <w:rPr>
          <w:rFonts w:hint="eastAsia" w:ascii="仿宋" w:hAnsi="仿宋" w:eastAsia="仿宋" w:cs="仿宋"/>
          <w:b/>
          <w:bCs/>
          <w:color w:val="auto"/>
          <w:sz w:val="24"/>
          <w:szCs w:val="24"/>
          <w:highlight w:val="none"/>
        </w:rPr>
        <w:t>合同价款的约定与调整</w:t>
      </w:r>
      <w:bookmarkEnd w:id="608"/>
      <w:bookmarkEnd w:id="609"/>
      <w:bookmarkEnd w:id="610"/>
      <w:bookmarkEnd w:id="611"/>
    </w:p>
    <w:p>
      <w:pPr>
        <w:shd w:val="clear" w:color="000000" w:fill="auto"/>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68.2合同价款的方式</w:t>
      </w:r>
    </w:p>
    <w:p>
      <w:pPr>
        <w:shd w:val="clear" w:color="000000" w:fill="auto"/>
        <w:spacing w:line="360" w:lineRule="auto"/>
        <w:ind w:firstLine="240" w:firstLineChars="1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□总价合同。</w:t>
      </w:r>
    </w:p>
    <w:p>
      <w:pPr>
        <w:shd w:val="clear" w:color="000000" w:fill="auto"/>
        <w:spacing w:line="360" w:lineRule="auto"/>
        <w:ind w:left="239" w:leftChars="114"/>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本合同项目的工程承包价是由承包人按招标文件图纸的承包内容、承包范围和工程量以及招标文件的而规定，采用</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计价方法，根据承包人自身的条件和能力，结合工程现场实际情况，考虑风险后编制的，除发包人对原设计要求或同意变更外，承包人必须按本承包价进行按图包工、包料、包质量、包安全、包工期、包文明施工、包</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等总价包干。</w:t>
      </w:r>
    </w:p>
    <w:p>
      <w:pPr>
        <w:shd w:val="clear" w:color="000000" w:fill="auto"/>
        <w:spacing w:line="360" w:lineRule="auto"/>
        <w:ind w:firstLine="240" w:firstLineChars="100"/>
        <w:jc w:val="lef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合同总价中包括的风险范围：</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w:t>
      </w:r>
    </w:p>
    <w:p>
      <w:pPr>
        <w:shd w:val="clear" w:color="000000" w:fill="auto"/>
        <w:spacing w:line="360" w:lineRule="auto"/>
        <w:ind w:firstLine="240" w:firstLineChars="100"/>
        <w:jc w:val="lef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风险费用的计算方法：</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 ；</w:t>
      </w:r>
    </w:p>
    <w:p>
      <w:pPr>
        <w:shd w:val="clear" w:color="000000" w:fill="auto"/>
        <w:spacing w:line="360" w:lineRule="auto"/>
        <w:ind w:firstLine="240" w:firstLineChars="100"/>
        <w:jc w:val="left"/>
        <w:rPr>
          <w:rFonts w:ascii="宋体" w:hAnsi="宋体" w:cs="宋体"/>
          <w:color w:val="auto"/>
          <w:sz w:val="24"/>
          <w:szCs w:val="24"/>
          <w:highlight w:val="none"/>
        </w:rPr>
      </w:pPr>
      <w:r>
        <w:rPr>
          <w:rFonts w:hint="eastAsia" w:ascii="宋体" w:hAnsi="宋体" w:cs="宋体"/>
          <w:color w:val="auto"/>
          <w:kern w:val="0"/>
          <w:sz w:val="24"/>
          <w:szCs w:val="24"/>
          <w:highlight w:val="none"/>
        </w:rPr>
        <w:t>风险范围以外合同价款调整方法：</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hd w:val="clear" w:color="000000" w:fill="auto"/>
        <w:spacing w:line="360" w:lineRule="auto"/>
        <w:ind w:left="178" w:leftChars="85" w:firstLine="57" w:firstLineChars="24"/>
        <w:jc w:val="lef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xml:space="preserve">    本合同项目的承包范围、承包内容为总价包干，当原承包范围、承包内容出现经发包人批准的设计变更（包括超出本合同的承包范围、承包内容的设计变更项目）以及</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w:t>
      </w:r>
      <w:r>
        <w:rPr>
          <w:rFonts w:hint="eastAsia" w:ascii="宋体" w:hAnsi="宋体" w:cs="宋体"/>
          <w:color w:val="auto"/>
          <w:kern w:val="0"/>
          <w:sz w:val="24"/>
          <w:szCs w:val="24"/>
          <w:highlight w:val="none"/>
          <w:u w:val="single"/>
        </w:rPr>
        <w:t xml:space="preserve">           </w:t>
      </w:r>
    </w:p>
    <w:p>
      <w:pPr>
        <w:shd w:val="clear" w:color="000000" w:fill="auto"/>
        <w:spacing w:line="360" w:lineRule="auto"/>
        <w:ind w:left="178" w:leftChars="85" w:firstLine="2"/>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时，变更项目的工程造价采用</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计价方法进行计价，并按照国家、省、市有关规范、规定以及计价办法、工程量计算规则执行，工程量按</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计价方法计算，其中的人工、材料、机械台班价格按实际施工期间建设行政主管部门发布的</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规定执行，建设行政主管部门没有发布的某些内容、品种由发包人和承包人约定按</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计算；或由发包人和承包人约定人工、材料、机械台班价格根据建设标准要求按</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计算。如变更项目采用定额计价的，造价的确定依据广东省计价依据、广东省相关定额、广州市补充定额，若个别项目没有定额可套用，由发包人和承包人根据实际情况签订补充合同或协议作出约定；若项目实施期间定额更新，建设行政主管部门对新旧定额的使用办法有规定的从其规定，没有规定或规定不明确的，由发包人和承包人根据实际情况签订补充合同或协议作出约定。</w:t>
      </w:r>
    </w:p>
    <w:p>
      <w:pPr>
        <w:shd w:val="clear" w:color="000000" w:fill="auto"/>
        <w:spacing w:line="360" w:lineRule="auto"/>
        <w:ind w:left="178" w:leftChars="85" w:firstLine="417" w:firstLineChars="174"/>
        <w:jc w:val="lef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措施项目费、其他项目费的调整：□按通用条款规定的调整事件内容调整；□按广东省定额规定计算；□由发包人和承包人根据实际情况约定按</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调整。</w:t>
      </w:r>
    </w:p>
    <w:p>
      <w:pPr>
        <w:shd w:val="clear" w:color="000000" w:fill="auto"/>
        <w:spacing w:line="360" w:lineRule="auto"/>
        <w:ind w:left="120" w:leftChars="57"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其它调整内容：</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w:t>
      </w:r>
    </w:p>
    <w:p>
      <w:pPr>
        <w:shd w:val="clear" w:color="000000" w:fill="auto"/>
        <w:spacing w:line="360" w:lineRule="auto"/>
        <w:ind w:firstLine="600" w:firstLineChars="25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本合同项目的结算造价确定方式：</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w:t>
      </w:r>
    </w:p>
    <w:p>
      <w:pPr>
        <w:shd w:val="clear" w:color="000000" w:fill="auto"/>
        <w:spacing w:line="360" w:lineRule="auto"/>
        <w:jc w:val="left"/>
        <w:rPr>
          <w:rFonts w:ascii="宋体" w:hAnsi="宋体" w:cs="宋体"/>
          <w:color w:val="auto"/>
          <w:kern w:val="0"/>
          <w:sz w:val="24"/>
          <w:szCs w:val="24"/>
          <w:highlight w:val="none"/>
        </w:rPr>
      </w:pPr>
    </w:p>
    <w:p>
      <w:pPr>
        <w:shd w:val="clear" w:color="000000" w:fill="auto"/>
        <w:spacing w:line="360" w:lineRule="auto"/>
        <w:ind w:firstLine="360" w:firstLineChars="150"/>
        <w:jc w:val="left"/>
        <w:rPr>
          <w:rFonts w:ascii="宋体" w:hAnsi="宋体" w:cs="宋体"/>
          <w:color w:val="auto"/>
          <w:kern w:val="0"/>
          <w:sz w:val="24"/>
          <w:szCs w:val="24"/>
          <w:highlight w:val="none"/>
        </w:rPr>
      </w:pPr>
      <w:r>
        <w:rPr>
          <w:rFonts w:hint="eastAsia" w:ascii="黑体" w:hAnsi="黑体" w:eastAsia="黑体" w:cs="黑体"/>
          <w:color w:val="auto"/>
          <w:kern w:val="0"/>
          <w:sz w:val="24"/>
          <w:szCs w:val="24"/>
          <w:highlight w:val="none"/>
        </w:rPr>
        <w:t>■</w:t>
      </w:r>
      <w:r>
        <w:rPr>
          <w:rFonts w:hint="eastAsia" w:ascii="Times New Roman" w:hAnsi="Times New Roman" w:eastAsia="黑体" w:cs="Times New Roman"/>
          <w:color w:val="auto"/>
          <w:kern w:val="0"/>
          <w:sz w:val="24"/>
          <w:szCs w:val="24"/>
          <w:highlight w:val="none"/>
        </w:rPr>
        <w:t xml:space="preserve"> </w:t>
      </w:r>
      <w:r>
        <w:rPr>
          <w:rFonts w:hint="eastAsia" w:ascii="宋体" w:hAnsi="宋体" w:cs="宋体"/>
          <w:color w:val="auto"/>
          <w:kern w:val="0"/>
          <w:sz w:val="24"/>
          <w:szCs w:val="24"/>
          <w:highlight w:val="none"/>
        </w:rPr>
        <w:t>单价合同</w:t>
      </w:r>
    </w:p>
    <w:p>
      <w:pPr>
        <w:shd w:val="clear" w:color="000000" w:fill="auto"/>
        <w:spacing w:line="360" w:lineRule="auto"/>
        <w:ind w:left="239" w:leftChars="114" w:firstLine="600" w:firstLineChars="25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本合同项目的工程承包价是由承包人以招标文件以及招标文件的图纸为依据，采用工程量清单计价方法，根据国家标准</w:t>
      </w:r>
      <w:r>
        <w:rPr>
          <w:rFonts w:hint="eastAsia" w:ascii="宋体" w:hAnsi="宋体" w:cs="宋体"/>
          <w:color w:val="auto"/>
          <w:kern w:val="0"/>
          <w:sz w:val="24"/>
          <w:szCs w:val="24"/>
          <w:highlight w:val="none"/>
          <w:u w:val="single"/>
        </w:rPr>
        <w:t xml:space="preserve">  </w:t>
      </w:r>
      <w:r>
        <w:rPr>
          <w:rFonts w:hint="eastAsia" w:ascii="宋体" w:hAnsi="宋体" w:cs="宋体"/>
          <w:color w:val="auto"/>
          <w:sz w:val="24"/>
          <w:szCs w:val="24"/>
          <w:highlight w:val="none"/>
          <w:u w:val="single"/>
        </w:rPr>
        <w:t>《建设工程工程量清单计价规范》（GBGB50500-2013</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以及</w:t>
      </w:r>
      <w:r>
        <w:rPr>
          <w:rFonts w:hint="eastAsia" w:ascii="宋体" w:hAnsi="宋体" w:cs="宋体"/>
          <w:color w:val="auto"/>
          <w:kern w:val="0"/>
          <w:sz w:val="24"/>
          <w:szCs w:val="24"/>
          <w:highlight w:val="none"/>
          <w:u w:val="single"/>
        </w:rPr>
        <w:t xml:space="preserve"> 广东省建设工程计价依据     </w:t>
      </w:r>
      <w:r>
        <w:rPr>
          <w:rFonts w:hint="eastAsia" w:ascii="宋体" w:hAnsi="宋体" w:cs="宋体"/>
          <w:color w:val="auto"/>
          <w:kern w:val="0"/>
          <w:sz w:val="24"/>
          <w:szCs w:val="24"/>
          <w:highlight w:val="none"/>
        </w:rPr>
        <w:t>计价办法，按照招标文件中工程量清单所开列的工作内容和估计工程量填报相应的综合单价后并累计合价，再加上措施项目费、其他项目费、规费和税金以及</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等计算的合同价。结算时发包人依据中华人民共和国国家标准</w:t>
      </w:r>
      <w:r>
        <w:rPr>
          <w:rFonts w:hint="eastAsia" w:ascii="宋体" w:hAnsi="宋体" w:cs="宋体"/>
          <w:color w:val="auto"/>
          <w:kern w:val="0"/>
          <w:sz w:val="24"/>
          <w:szCs w:val="24"/>
          <w:highlight w:val="none"/>
          <w:u w:val="single"/>
        </w:rPr>
        <w:t xml:space="preserve">  </w:t>
      </w:r>
      <w:r>
        <w:rPr>
          <w:rFonts w:hint="eastAsia" w:ascii="宋体" w:hAnsi="宋体" w:cs="宋体"/>
          <w:color w:val="auto"/>
          <w:sz w:val="24"/>
          <w:szCs w:val="24"/>
          <w:highlight w:val="none"/>
          <w:u w:val="single"/>
        </w:rPr>
        <w:t>《建设工程工程量清单计价规范》（ GBGB50500-2013）</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和</w:t>
      </w:r>
      <w:r>
        <w:rPr>
          <w:rFonts w:hint="eastAsia" w:ascii="宋体" w:hAnsi="宋体" w:cs="宋体"/>
          <w:color w:val="auto"/>
          <w:kern w:val="0"/>
          <w:sz w:val="24"/>
          <w:szCs w:val="24"/>
          <w:highlight w:val="none"/>
          <w:u w:val="single"/>
        </w:rPr>
        <w:t xml:space="preserve"> </w:t>
      </w:r>
      <w:r>
        <w:rPr>
          <w:rFonts w:hint="eastAsia" w:ascii="宋体" w:hAnsi="宋体" w:cs="宋体"/>
          <w:color w:val="auto"/>
          <w:sz w:val="24"/>
          <w:szCs w:val="24"/>
          <w:highlight w:val="none"/>
          <w:u w:val="single"/>
        </w:rPr>
        <w:t xml:space="preserve">广东省建设工程计价依据 </w:t>
      </w:r>
      <w:r>
        <w:rPr>
          <w:rFonts w:hint="eastAsia" w:ascii="宋体" w:hAnsi="宋体" w:cs="宋体"/>
          <w:color w:val="auto"/>
          <w:kern w:val="0"/>
          <w:sz w:val="24"/>
          <w:szCs w:val="24"/>
          <w:highlight w:val="none"/>
        </w:rPr>
        <w:t>计价办法，以及图纸、</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等规定计量确认的实际工程量乘以中标的综合单价，再加上措施项目费、其他项目费、规费、税金以及</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等计算的结算造价。</w:t>
      </w:r>
    </w:p>
    <w:p>
      <w:pPr>
        <w:shd w:val="clear" w:color="000000" w:fill="auto"/>
        <w:spacing w:line="360" w:lineRule="auto"/>
        <w:ind w:firstLine="849" w:firstLineChars="354"/>
        <w:jc w:val="left"/>
        <w:rPr>
          <w:rFonts w:ascii="宋体" w:hAnsi="宋体" w:cs="宋体"/>
          <w:color w:val="auto"/>
          <w:sz w:val="24"/>
          <w:szCs w:val="24"/>
          <w:highlight w:val="none"/>
          <w:u w:val="single"/>
        </w:rPr>
      </w:pPr>
      <w:r>
        <w:rPr>
          <w:rFonts w:hint="eastAsia" w:ascii="宋体" w:hAnsi="宋体" w:cs="宋体"/>
          <w:color w:val="auto"/>
          <w:kern w:val="0"/>
          <w:sz w:val="24"/>
          <w:szCs w:val="24"/>
          <w:highlight w:val="none"/>
        </w:rPr>
        <w:t>综合单价包含的风险范围：</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w:t>
      </w:r>
    </w:p>
    <w:p>
      <w:pPr>
        <w:shd w:val="clear" w:color="000000" w:fill="auto"/>
        <w:spacing w:line="360" w:lineRule="auto"/>
        <w:ind w:firstLine="849" w:firstLineChars="354"/>
        <w:jc w:val="left"/>
        <w:rPr>
          <w:rFonts w:ascii="宋体" w:hAnsi="宋体" w:cs="宋体"/>
          <w:color w:val="auto"/>
          <w:sz w:val="24"/>
          <w:szCs w:val="24"/>
          <w:highlight w:val="none"/>
          <w:u w:val="single"/>
        </w:rPr>
      </w:pPr>
      <w:r>
        <w:rPr>
          <w:rFonts w:hint="eastAsia" w:ascii="宋体" w:hAnsi="宋体" w:cs="宋体"/>
          <w:color w:val="auto"/>
          <w:kern w:val="0"/>
          <w:sz w:val="24"/>
          <w:szCs w:val="24"/>
          <w:highlight w:val="none"/>
        </w:rPr>
        <w:t>风险费用的计算方法：</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w:t>
      </w:r>
    </w:p>
    <w:p>
      <w:pPr>
        <w:shd w:val="clear" w:color="000000" w:fill="auto"/>
        <w:spacing w:line="360" w:lineRule="auto"/>
        <w:ind w:firstLine="849" w:firstLineChars="354"/>
        <w:jc w:val="left"/>
        <w:rPr>
          <w:rFonts w:ascii="宋体" w:hAnsi="宋体" w:cs="宋体"/>
          <w:color w:val="auto"/>
          <w:sz w:val="24"/>
          <w:szCs w:val="24"/>
          <w:highlight w:val="none"/>
        </w:rPr>
      </w:pPr>
      <w:r>
        <w:rPr>
          <w:rFonts w:hint="eastAsia" w:ascii="宋体" w:hAnsi="宋体" w:cs="宋体"/>
          <w:color w:val="auto"/>
          <w:kern w:val="0"/>
          <w:sz w:val="24"/>
          <w:szCs w:val="24"/>
          <w:highlight w:val="none"/>
        </w:rPr>
        <w:t>风险范围以外合同价格的调整方法：</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 xml:space="preserve">。 </w:t>
      </w:r>
    </w:p>
    <w:p>
      <w:pPr>
        <w:shd w:val="clear" w:color="000000" w:fill="auto"/>
        <w:spacing w:line="360" w:lineRule="auto"/>
        <w:ind w:left="239" w:leftChars="114"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在项目实施期间，招标文件工程量清单漏项的项目、设计变更的项目，经发包人审批确认后，按下列办法进行工程量及综合单价的计算：工程量依据国家标准</w:t>
      </w:r>
      <w:r>
        <w:rPr>
          <w:rFonts w:hint="eastAsia" w:ascii="宋体" w:hAnsi="宋体" w:cs="宋体"/>
          <w:color w:val="auto"/>
          <w:kern w:val="0"/>
          <w:sz w:val="24"/>
          <w:szCs w:val="24"/>
          <w:highlight w:val="none"/>
          <w:u w:val="single"/>
        </w:rPr>
        <w:t xml:space="preserve"> </w:t>
      </w:r>
      <w:r>
        <w:rPr>
          <w:rFonts w:hint="eastAsia" w:ascii="宋体" w:hAnsi="宋体" w:cs="宋体"/>
          <w:color w:val="auto"/>
          <w:sz w:val="24"/>
          <w:szCs w:val="24"/>
          <w:highlight w:val="none"/>
          <w:u w:val="single"/>
        </w:rPr>
        <w:t xml:space="preserve">《建设工程工程量清单计价规范》（ GBGB50500-2013）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以及</w:t>
      </w:r>
      <w:r>
        <w:rPr>
          <w:rFonts w:hint="eastAsia" w:ascii="宋体" w:hAnsi="宋体" w:cs="宋体"/>
          <w:color w:val="auto"/>
          <w:kern w:val="0"/>
          <w:sz w:val="24"/>
          <w:szCs w:val="24"/>
          <w:highlight w:val="none"/>
          <w:u w:val="single"/>
        </w:rPr>
        <w:t xml:space="preserve"> </w:t>
      </w:r>
      <w:r>
        <w:rPr>
          <w:rFonts w:hint="eastAsia" w:ascii="宋体" w:hAnsi="宋体" w:cs="宋体"/>
          <w:color w:val="auto"/>
          <w:sz w:val="24"/>
          <w:szCs w:val="24"/>
          <w:highlight w:val="none"/>
          <w:u w:val="single"/>
        </w:rPr>
        <w:t>广东省建设工程计价依据</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计价办法，以及图纸、</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等规定计量确认的实际工程量为准；综合单价计算方法为：</w:t>
      </w:r>
    </w:p>
    <w:p>
      <w:pPr>
        <w:shd w:val="clear" w:color="000000" w:fill="auto"/>
        <w:spacing w:line="360" w:lineRule="auto"/>
        <w:ind w:left="239" w:leftChars="114"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1、中标的工程量清单中已有相同项目的综合单价，则沿用该综合单价。</w:t>
      </w:r>
    </w:p>
    <w:p>
      <w:pPr>
        <w:shd w:val="clear" w:color="000000" w:fill="auto"/>
        <w:spacing w:line="360" w:lineRule="auto"/>
        <w:ind w:left="239" w:leftChars="114"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中标的工程量清单中的项目与清单漏项的项目、设计变更的项目，两者只存在项目中材料费最高的材料的材质、型号、规格不同时，则新的综合单价只换算原清单项目综合单价中材料费最高的材料单价，其它不变。</w:t>
      </w:r>
    </w:p>
    <w:p>
      <w:pPr>
        <w:shd w:val="clear" w:color="000000" w:fill="auto"/>
        <w:spacing w:line="360" w:lineRule="auto"/>
        <w:ind w:left="239" w:leftChars="114"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3、中标的工程量清单中没有相同项目的，则作为新增项目，采用定额计价办法，依据广东省计价依据、广东省相关定额和广州市补充定额，以及所有定额对应的计价办法进行计价，工程量按</w:t>
      </w:r>
      <w:r>
        <w:rPr>
          <w:rFonts w:hint="eastAsia" w:ascii="宋体" w:hAnsi="宋体" w:cs="宋体"/>
          <w:color w:val="auto"/>
          <w:kern w:val="0"/>
          <w:sz w:val="24"/>
          <w:szCs w:val="24"/>
          <w:highlight w:val="none"/>
          <w:u w:val="single"/>
        </w:rPr>
        <w:t xml:space="preserve"> </w:t>
      </w:r>
      <w:r>
        <w:rPr>
          <w:rFonts w:hint="eastAsia" w:ascii="宋体" w:hAnsi="宋体" w:cs="宋体"/>
          <w:color w:val="auto"/>
          <w:sz w:val="24"/>
          <w:szCs w:val="24"/>
          <w:highlight w:val="none"/>
          <w:u w:val="single"/>
        </w:rPr>
        <w:t>《建设工程工程量清单计价规范》（</w:t>
      </w:r>
      <w:r>
        <w:rPr>
          <w:rFonts w:hint="eastAsia" w:ascii="宋体" w:hAnsi="宋体" w:cs="宋体"/>
          <w:color w:val="auto"/>
          <w:kern w:val="0"/>
          <w:sz w:val="24"/>
          <w:szCs w:val="24"/>
          <w:highlight w:val="none"/>
          <w:u w:val="single"/>
        </w:rPr>
        <w:t xml:space="preserve"> </w:t>
      </w:r>
      <w:r>
        <w:rPr>
          <w:rFonts w:hint="eastAsia" w:ascii="宋体" w:hAnsi="宋体" w:cs="宋体"/>
          <w:color w:val="auto"/>
          <w:sz w:val="24"/>
          <w:szCs w:val="24"/>
          <w:highlight w:val="none"/>
          <w:u w:val="single"/>
        </w:rPr>
        <w:t>GBGB50500-2013）</w:t>
      </w:r>
      <w:r>
        <w:rPr>
          <w:rFonts w:hint="eastAsia" w:ascii="宋体" w:hAnsi="宋体" w:cs="宋体"/>
          <w:color w:val="auto"/>
          <w:kern w:val="0"/>
          <w:sz w:val="24"/>
          <w:szCs w:val="24"/>
          <w:highlight w:val="none"/>
        </w:rPr>
        <w:t>以及</w:t>
      </w:r>
      <w:r>
        <w:rPr>
          <w:rFonts w:hint="eastAsia" w:ascii="宋体" w:hAnsi="宋体" w:cs="宋体"/>
          <w:color w:val="auto"/>
          <w:sz w:val="24"/>
          <w:szCs w:val="24"/>
          <w:highlight w:val="none"/>
          <w:u w:val="single"/>
        </w:rPr>
        <w:t>广东省建设工程计价依据</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计价方法计算，其中的人工、材料、机械台班价格按实际施工期间建设行政主管部门发布的</w:t>
      </w:r>
      <w:r>
        <w:rPr>
          <w:rFonts w:hint="eastAsia" w:ascii="宋体" w:hAnsi="宋体" w:cs="宋体"/>
          <w:color w:val="auto"/>
          <w:kern w:val="0"/>
          <w:sz w:val="24"/>
          <w:szCs w:val="24"/>
          <w:highlight w:val="none"/>
          <w:u w:val="single"/>
        </w:rPr>
        <w:t xml:space="preserve">《广州地区建设工程常用材料综合价格》   </w:t>
      </w:r>
      <w:r>
        <w:rPr>
          <w:rFonts w:hint="eastAsia" w:ascii="宋体" w:hAnsi="宋体" w:cs="宋体"/>
          <w:color w:val="auto"/>
          <w:kern w:val="0"/>
          <w:sz w:val="24"/>
          <w:szCs w:val="24"/>
          <w:highlight w:val="none"/>
        </w:rPr>
        <w:t>规定执行，建设行政主管部门没有发布的某些内容、品种由发包人和承包人约定按</w:t>
      </w:r>
      <w:r>
        <w:rPr>
          <w:rFonts w:hint="eastAsia" w:ascii="宋体" w:hAnsi="宋体" w:cs="宋体"/>
          <w:color w:val="auto"/>
          <w:kern w:val="0"/>
          <w:sz w:val="24"/>
          <w:szCs w:val="24"/>
          <w:highlight w:val="none"/>
          <w:u w:val="single"/>
        </w:rPr>
        <w:t xml:space="preserve"> 由承包人提供价格依据，监理及发包人询价后，三方协商并签字确认后确定 </w:t>
      </w:r>
      <w:r>
        <w:rPr>
          <w:rFonts w:hint="eastAsia" w:ascii="宋体" w:hAnsi="宋体" w:cs="宋体"/>
          <w:color w:val="auto"/>
          <w:kern w:val="0"/>
          <w:sz w:val="24"/>
          <w:szCs w:val="24"/>
          <w:highlight w:val="none"/>
        </w:rPr>
        <w:t>计算；或由发包人和承包人约定人工、材料、机械台班价格根据建设标准要求按</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计算。若个别项目没有定额可套用，由发包人和承包人根据实际情况签订补充合同或协议作出约定；若项目实施期间定额更新，建设行政主管部门对新旧定额的使用办法有规定的从其规定，没有规定或规定不明确的，由发包人和承包人根据实际情况签订补充合同或协议作出约定。</w:t>
      </w:r>
    </w:p>
    <w:p>
      <w:pPr>
        <w:shd w:val="clear" w:color="000000" w:fill="auto"/>
        <w:spacing w:line="360" w:lineRule="auto"/>
        <w:ind w:left="238" w:leftChars="86" w:hanging="57" w:hangingChars="24"/>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中标的投标报价相对于招标文件工程量清单有漏项或未填报综合单价项目，此项目的费用</w:t>
      </w:r>
      <w:r>
        <w:rPr>
          <w:rFonts w:hint="eastAsia" w:ascii="宋体" w:hAnsi="宋体" w:cs="宋体"/>
          <w:color w:val="auto"/>
          <w:kern w:val="0"/>
          <w:sz w:val="24"/>
          <w:szCs w:val="24"/>
          <w:highlight w:val="none"/>
          <w:u w:val="single"/>
        </w:rPr>
        <w:t xml:space="preserve"> 视为已包括在中标的投标报价的其他单价和合价中  </w:t>
      </w:r>
      <w:r>
        <w:rPr>
          <w:rFonts w:hint="eastAsia" w:ascii="宋体" w:hAnsi="宋体" w:cs="宋体"/>
          <w:color w:val="auto"/>
          <w:kern w:val="0"/>
          <w:sz w:val="24"/>
          <w:szCs w:val="24"/>
          <w:highlight w:val="none"/>
        </w:rPr>
        <w:t>。</w:t>
      </w:r>
    </w:p>
    <w:p>
      <w:pPr>
        <w:shd w:val="clear" w:color="000000" w:fill="auto"/>
        <w:spacing w:line="360" w:lineRule="auto"/>
        <w:ind w:left="239" w:leftChars="114" w:firstLine="360" w:firstLineChars="150"/>
        <w:jc w:val="lef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招标文件工程量清单中的项目在实际施工中没有做的项目，此项目的费用</w:t>
      </w:r>
      <w:r>
        <w:rPr>
          <w:rFonts w:hint="eastAsia" w:ascii="宋体" w:hAnsi="宋体" w:cs="宋体"/>
          <w:color w:val="auto"/>
          <w:kern w:val="0"/>
          <w:sz w:val="24"/>
          <w:szCs w:val="24"/>
          <w:highlight w:val="none"/>
          <w:u w:val="single"/>
        </w:rPr>
        <w:t xml:space="preserve"> 应扣除不予支付  </w:t>
      </w:r>
      <w:r>
        <w:rPr>
          <w:rFonts w:hint="eastAsia" w:ascii="宋体" w:hAnsi="宋体" w:cs="宋体"/>
          <w:color w:val="auto"/>
          <w:kern w:val="0"/>
          <w:sz w:val="24"/>
          <w:szCs w:val="24"/>
          <w:highlight w:val="none"/>
        </w:rPr>
        <w:t>。</w:t>
      </w:r>
    </w:p>
    <w:p>
      <w:pPr>
        <w:shd w:val="clear" w:color="000000" w:fill="auto"/>
        <w:spacing w:line="360" w:lineRule="auto"/>
        <w:ind w:left="239" w:leftChars="114" w:firstLine="360" w:firstLineChars="15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措施项目费、其他项目费的调整：</w:t>
      </w:r>
    </w:p>
    <w:p>
      <w:pPr>
        <w:shd w:val="clear" w:color="000000" w:fill="auto"/>
        <w:spacing w:line="360" w:lineRule="auto"/>
        <w:ind w:left="239" w:leftChars="114" w:firstLine="360" w:firstLineChars="15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□按通用条款规定的调整事件内容调整；</w:t>
      </w:r>
    </w:p>
    <w:p>
      <w:pPr>
        <w:shd w:val="clear" w:color="000000" w:fill="auto"/>
        <w:spacing w:line="360" w:lineRule="auto"/>
        <w:ind w:left="239" w:leftChars="114" w:firstLine="360" w:firstLineChars="15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□按广东省定额规定计算；</w:t>
      </w:r>
    </w:p>
    <w:p>
      <w:pPr>
        <w:shd w:val="clear" w:color="000000" w:fill="auto"/>
        <w:spacing w:line="360" w:lineRule="auto"/>
        <w:ind w:left="239" w:leftChars="114" w:firstLine="360" w:firstLineChars="150"/>
        <w:jc w:val="left"/>
        <w:rPr>
          <w:rFonts w:ascii="宋体" w:hAnsi="宋体" w:cs="宋体"/>
          <w:color w:val="auto"/>
          <w:kern w:val="0"/>
          <w:sz w:val="24"/>
          <w:szCs w:val="24"/>
          <w:highlight w:val="none"/>
          <w:u w:val="single"/>
        </w:rPr>
      </w:pP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由发包人和承包人根据实际情况约定按</w:t>
      </w:r>
      <w:r>
        <w:rPr>
          <w:rFonts w:hint="eastAsia" w:ascii="宋体" w:hAnsi="宋体" w:cs="宋体"/>
          <w:color w:val="auto"/>
          <w:kern w:val="0"/>
          <w:sz w:val="24"/>
          <w:szCs w:val="24"/>
          <w:highlight w:val="none"/>
          <w:u w:val="single"/>
        </w:rPr>
        <w:t xml:space="preserve"> 按</w:t>
      </w:r>
      <w:r>
        <w:rPr>
          <w:rFonts w:hint="eastAsia" w:ascii="宋体" w:hAnsi="宋体" w:cs="宋体"/>
          <w:color w:val="auto"/>
          <w:sz w:val="24"/>
          <w:szCs w:val="24"/>
          <w:highlight w:val="none"/>
          <w:u w:val="single"/>
        </w:rPr>
        <w:t>广东省建设工程计价依据及专用合同条款相关规定计算</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调整。</w:t>
      </w:r>
    </w:p>
    <w:p>
      <w:pPr>
        <w:shd w:val="clear" w:color="000000" w:fill="auto"/>
        <w:spacing w:line="360" w:lineRule="auto"/>
        <w:ind w:firstLine="600" w:firstLineChars="25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其它调整内容：</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w:t>
      </w:r>
    </w:p>
    <w:p>
      <w:pPr>
        <w:shd w:val="clear" w:color="000000" w:fill="auto"/>
        <w:spacing w:line="360" w:lineRule="auto"/>
        <w:ind w:firstLine="600" w:firstLineChars="25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本合同项目的结算造价确定方式：</w:t>
      </w:r>
      <w:r>
        <w:rPr>
          <w:rFonts w:hint="eastAsia" w:ascii="宋体" w:hAnsi="宋体" w:cs="宋体"/>
          <w:color w:val="auto"/>
          <w:kern w:val="0"/>
          <w:sz w:val="24"/>
          <w:szCs w:val="24"/>
          <w:highlight w:val="none"/>
          <w:u w:val="single"/>
        </w:rPr>
        <w:t xml:space="preserve">  经业主委托的第三方机构审核确定  </w:t>
      </w:r>
      <w:r>
        <w:rPr>
          <w:rFonts w:hint="eastAsia" w:ascii="宋体" w:hAnsi="宋体" w:cs="宋体"/>
          <w:color w:val="auto"/>
          <w:kern w:val="0"/>
          <w:sz w:val="24"/>
          <w:szCs w:val="24"/>
          <w:highlight w:val="none"/>
        </w:rPr>
        <w:t>。</w:t>
      </w:r>
    </w:p>
    <w:p>
      <w:pPr>
        <w:shd w:val="clear" w:color="000000" w:fill="auto"/>
        <w:spacing w:line="360" w:lineRule="auto"/>
        <w:ind w:firstLine="240" w:firstLineChars="1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按实结算合同。</w:t>
      </w:r>
    </w:p>
    <w:p>
      <w:pPr>
        <w:pStyle w:val="2"/>
        <w:shd w:val="clear" w:color="000000" w:fill="auto"/>
        <w:adjustRightInd w:val="0"/>
        <w:snapToGrid w:val="0"/>
        <w:spacing w:line="360" w:lineRule="auto"/>
        <w:ind w:left="178" w:leftChars="85" w:firstLine="477" w:firstLineChars="199"/>
        <w:jc w:val="left"/>
        <w:rPr>
          <w:rFonts w:hAnsi="宋体"/>
          <w:color w:val="auto"/>
          <w:kern w:val="0"/>
          <w:sz w:val="24"/>
          <w:szCs w:val="24"/>
          <w:highlight w:val="none"/>
        </w:rPr>
      </w:pPr>
      <w:r>
        <w:rPr>
          <w:rFonts w:hint="eastAsia" w:hAnsi="宋体"/>
          <w:color w:val="auto"/>
          <w:kern w:val="0"/>
          <w:sz w:val="24"/>
          <w:szCs w:val="24"/>
          <w:highlight w:val="none"/>
        </w:rPr>
        <w:t>本合同项目的工程承包价（暂定合同价）由承包人按发包人提供的图纸、勘察资料、工期、质量要求、保养期要求、</w:t>
      </w:r>
      <w:r>
        <w:rPr>
          <w:rFonts w:hint="eastAsia" w:hAnsi="宋体"/>
          <w:color w:val="auto"/>
          <w:kern w:val="0"/>
          <w:sz w:val="24"/>
          <w:szCs w:val="24"/>
          <w:highlight w:val="none"/>
          <w:u w:val="single"/>
        </w:rPr>
        <w:t xml:space="preserve">    </w:t>
      </w:r>
      <w:r>
        <w:rPr>
          <w:rFonts w:hAnsi="宋体"/>
          <w:color w:val="auto"/>
          <w:kern w:val="0"/>
          <w:sz w:val="24"/>
          <w:szCs w:val="24"/>
          <w:highlight w:val="none"/>
          <w:u w:val="single"/>
        </w:rPr>
        <w:t>/</w:t>
      </w:r>
      <w:r>
        <w:rPr>
          <w:rFonts w:hint="eastAsia" w:hAnsi="宋体"/>
          <w:color w:val="auto"/>
          <w:kern w:val="0"/>
          <w:sz w:val="24"/>
          <w:szCs w:val="24"/>
          <w:highlight w:val="none"/>
          <w:u w:val="single"/>
        </w:rPr>
        <w:t xml:space="preserve">     </w:t>
      </w:r>
      <w:r>
        <w:rPr>
          <w:rFonts w:hint="eastAsia" w:hAnsi="宋体"/>
          <w:color w:val="auto"/>
          <w:kern w:val="0"/>
          <w:sz w:val="24"/>
          <w:szCs w:val="24"/>
          <w:highlight w:val="none"/>
        </w:rPr>
        <w:t>等，结合施工现场实际情况制定的施工方案、施工组织设计，依据有关规范、规定，采用</w:t>
      </w:r>
      <w:r>
        <w:rPr>
          <w:rFonts w:hint="eastAsia" w:hAnsi="宋体"/>
          <w:color w:val="auto"/>
          <w:kern w:val="0"/>
          <w:sz w:val="24"/>
          <w:szCs w:val="24"/>
          <w:highlight w:val="none"/>
          <w:u w:val="single"/>
        </w:rPr>
        <w:t xml:space="preserve">          </w:t>
      </w:r>
      <w:r>
        <w:rPr>
          <w:rFonts w:hAnsi="宋体"/>
          <w:color w:val="auto"/>
          <w:kern w:val="0"/>
          <w:sz w:val="24"/>
          <w:szCs w:val="24"/>
          <w:highlight w:val="none"/>
          <w:u w:val="single"/>
        </w:rPr>
        <w:t>/</w:t>
      </w:r>
      <w:r>
        <w:rPr>
          <w:rFonts w:hint="eastAsia" w:hAnsi="宋体"/>
          <w:color w:val="auto"/>
          <w:kern w:val="0"/>
          <w:sz w:val="24"/>
          <w:szCs w:val="24"/>
          <w:highlight w:val="none"/>
          <w:u w:val="single"/>
        </w:rPr>
        <w:t xml:space="preserve">            </w:t>
      </w:r>
      <w:r>
        <w:rPr>
          <w:rFonts w:hint="eastAsia" w:hAnsi="宋体"/>
          <w:color w:val="auto"/>
          <w:kern w:val="0"/>
          <w:sz w:val="24"/>
          <w:szCs w:val="24"/>
          <w:highlight w:val="none"/>
        </w:rPr>
        <w:t>计价方法编制的预算价，经监理单位、建设管理单位、发包人、</w:t>
      </w:r>
      <w:r>
        <w:rPr>
          <w:rFonts w:hint="eastAsia" w:hAnsi="宋体"/>
          <w:color w:val="auto"/>
          <w:kern w:val="0"/>
          <w:sz w:val="24"/>
          <w:szCs w:val="24"/>
          <w:highlight w:val="none"/>
          <w:u w:val="single"/>
        </w:rPr>
        <w:t xml:space="preserve">     </w:t>
      </w:r>
      <w:r>
        <w:rPr>
          <w:rFonts w:hAnsi="宋体"/>
          <w:color w:val="auto"/>
          <w:kern w:val="0"/>
          <w:sz w:val="24"/>
          <w:szCs w:val="24"/>
          <w:highlight w:val="none"/>
          <w:u w:val="single"/>
        </w:rPr>
        <w:t>/</w:t>
      </w:r>
      <w:r>
        <w:rPr>
          <w:rFonts w:hint="eastAsia" w:hAnsi="宋体"/>
          <w:color w:val="auto"/>
          <w:kern w:val="0"/>
          <w:sz w:val="24"/>
          <w:szCs w:val="24"/>
          <w:highlight w:val="none"/>
          <w:u w:val="single"/>
        </w:rPr>
        <w:t xml:space="preserve">     </w:t>
      </w:r>
      <w:r>
        <w:rPr>
          <w:rFonts w:hint="eastAsia" w:hAnsi="宋体"/>
          <w:color w:val="auto"/>
          <w:kern w:val="0"/>
          <w:sz w:val="24"/>
          <w:szCs w:val="24"/>
          <w:highlight w:val="none"/>
        </w:rPr>
        <w:t>审核后，按审核价</w:t>
      </w:r>
      <w:r>
        <w:rPr>
          <w:rFonts w:hint="eastAsia" w:hAnsi="宋体"/>
          <w:color w:val="auto"/>
          <w:kern w:val="0"/>
          <w:sz w:val="24"/>
          <w:szCs w:val="24"/>
          <w:highlight w:val="none"/>
          <w:u w:val="single"/>
        </w:rPr>
        <w:t xml:space="preserve">    </w:t>
      </w:r>
      <w:r>
        <w:rPr>
          <w:rFonts w:hAnsi="宋体"/>
          <w:color w:val="auto"/>
          <w:kern w:val="0"/>
          <w:sz w:val="24"/>
          <w:szCs w:val="24"/>
          <w:highlight w:val="none"/>
          <w:u w:val="single"/>
        </w:rPr>
        <w:t>/</w:t>
      </w:r>
      <w:r>
        <w:rPr>
          <w:rFonts w:hint="eastAsia" w:hAnsi="宋体"/>
          <w:color w:val="auto"/>
          <w:kern w:val="0"/>
          <w:sz w:val="24"/>
          <w:szCs w:val="24"/>
          <w:highlight w:val="none"/>
          <w:u w:val="single"/>
        </w:rPr>
        <w:t xml:space="preserve">    </w:t>
      </w:r>
      <w:r>
        <w:rPr>
          <w:rFonts w:hint="eastAsia" w:hAnsi="宋体"/>
          <w:color w:val="auto"/>
          <w:kern w:val="0"/>
          <w:sz w:val="24"/>
          <w:szCs w:val="24"/>
          <w:highlight w:val="none"/>
        </w:rPr>
        <w:t>形成的承包价（暂定合同价）。</w:t>
      </w:r>
    </w:p>
    <w:p>
      <w:pPr>
        <w:pStyle w:val="2"/>
        <w:shd w:val="clear" w:color="000000" w:fill="auto"/>
        <w:adjustRightInd w:val="0"/>
        <w:snapToGrid w:val="0"/>
        <w:spacing w:line="360" w:lineRule="auto"/>
        <w:ind w:left="178" w:leftChars="85" w:firstLine="477" w:firstLineChars="199"/>
        <w:jc w:val="left"/>
        <w:rPr>
          <w:rFonts w:hAnsi="宋体"/>
          <w:color w:val="auto"/>
          <w:kern w:val="0"/>
          <w:sz w:val="24"/>
          <w:szCs w:val="24"/>
          <w:highlight w:val="none"/>
        </w:rPr>
      </w:pPr>
      <w:r>
        <w:rPr>
          <w:rFonts w:hint="eastAsia" w:hAnsi="宋体"/>
          <w:color w:val="auto"/>
          <w:kern w:val="0"/>
          <w:sz w:val="24"/>
          <w:szCs w:val="24"/>
          <w:highlight w:val="none"/>
        </w:rPr>
        <w:t>本合同项目结算时，项目的结算造价采用</w:t>
      </w:r>
      <w:r>
        <w:rPr>
          <w:rFonts w:hint="eastAsia" w:hAnsi="宋体"/>
          <w:color w:val="auto"/>
          <w:kern w:val="0"/>
          <w:sz w:val="24"/>
          <w:szCs w:val="24"/>
          <w:highlight w:val="none"/>
          <w:u w:val="single"/>
        </w:rPr>
        <w:t xml:space="preserve">         </w:t>
      </w:r>
      <w:r>
        <w:rPr>
          <w:rFonts w:hAnsi="宋体"/>
          <w:color w:val="auto"/>
          <w:kern w:val="0"/>
          <w:sz w:val="24"/>
          <w:szCs w:val="24"/>
          <w:highlight w:val="none"/>
          <w:u w:val="single"/>
        </w:rPr>
        <w:t>/</w:t>
      </w:r>
      <w:r>
        <w:rPr>
          <w:rFonts w:hint="eastAsia" w:hAnsi="宋体"/>
          <w:color w:val="auto"/>
          <w:kern w:val="0"/>
          <w:sz w:val="24"/>
          <w:szCs w:val="24"/>
          <w:highlight w:val="none"/>
          <w:u w:val="single"/>
        </w:rPr>
        <w:t xml:space="preserve">         </w:t>
      </w:r>
      <w:r>
        <w:rPr>
          <w:rFonts w:hint="eastAsia" w:hAnsi="宋体"/>
          <w:color w:val="auto"/>
          <w:kern w:val="0"/>
          <w:sz w:val="24"/>
          <w:szCs w:val="24"/>
          <w:highlight w:val="none"/>
        </w:rPr>
        <w:t>计价方法进行计价。并按照国家、省、市有关规范、规定以及计价办法、工程量计算规则执行，工程量按</w:t>
      </w:r>
      <w:r>
        <w:rPr>
          <w:rFonts w:hint="eastAsia" w:hAnsi="宋体"/>
          <w:color w:val="auto"/>
          <w:kern w:val="0"/>
          <w:sz w:val="24"/>
          <w:szCs w:val="24"/>
          <w:highlight w:val="none"/>
          <w:u w:val="single"/>
        </w:rPr>
        <w:t xml:space="preserve">        </w:t>
      </w:r>
      <w:r>
        <w:rPr>
          <w:rFonts w:hAnsi="宋体"/>
          <w:color w:val="auto"/>
          <w:kern w:val="0"/>
          <w:sz w:val="24"/>
          <w:szCs w:val="24"/>
          <w:highlight w:val="none"/>
          <w:u w:val="single"/>
        </w:rPr>
        <w:t>/</w:t>
      </w:r>
      <w:r>
        <w:rPr>
          <w:rFonts w:hint="eastAsia" w:hAnsi="宋体"/>
          <w:color w:val="auto"/>
          <w:kern w:val="0"/>
          <w:sz w:val="24"/>
          <w:szCs w:val="24"/>
          <w:highlight w:val="none"/>
          <w:u w:val="single"/>
        </w:rPr>
        <w:t xml:space="preserve">             </w:t>
      </w:r>
      <w:r>
        <w:rPr>
          <w:rFonts w:hint="eastAsia" w:hAnsi="宋体"/>
          <w:color w:val="auto"/>
          <w:kern w:val="0"/>
          <w:sz w:val="24"/>
          <w:szCs w:val="24"/>
          <w:highlight w:val="none"/>
        </w:rPr>
        <w:t>计价方法计算，其中的人工、材料、机械台班价格按实际施工期间建设行政主管部门发布的</w:t>
      </w:r>
      <w:r>
        <w:rPr>
          <w:rFonts w:hint="eastAsia" w:hAnsi="宋体"/>
          <w:color w:val="auto"/>
          <w:kern w:val="0"/>
          <w:sz w:val="24"/>
          <w:szCs w:val="24"/>
          <w:highlight w:val="none"/>
          <w:u w:val="single"/>
        </w:rPr>
        <w:t xml:space="preserve"> </w:t>
      </w:r>
      <w:r>
        <w:rPr>
          <w:rFonts w:hAnsi="宋体"/>
          <w:color w:val="auto"/>
          <w:kern w:val="0"/>
          <w:sz w:val="24"/>
          <w:szCs w:val="24"/>
          <w:highlight w:val="none"/>
          <w:u w:val="single"/>
        </w:rPr>
        <w:t>/</w:t>
      </w:r>
      <w:r>
        <w:rPr>
          <w:rFonts w:hint="eastAsia" w:hAnsi="宋体"/>
          <w:color w:val="auto"/>
          <w:kern w:val="0"/>
          <w:sz w:val="24"/>
          <w:szCs w:val="24"/>
          <w:highlight w:val="none"/>
          <w:u w:val="single"/>
        </w:rPr>
        <w:t xml:space="preserve">         </w:t>
      </w:r>
      <w:r>
        <w:rPr>
          <w:rFonts w:hint="eastAsia" w:hAnsi="宋体"/>
          <w:color w:val="auto"/>
          <w:kern w:val="0"/>
          <w:sz w:val="24"/>
          <w:szCs w:val="24"/>
          <w:highlight w:val="none"/>
        </w:rPr>
        <w:t>规定执行，建设行政主管部门没有发布的某些内容、品种由发包人和承包人约定按</w:t>
      </w:r>
      <w:r>
        <w:rPr>
          <w:rFonts w:hint="eastAsia" w:hAnsi="宋体"/>
          <w:color w:val="auto"/>
          <w:kern w:val="0"/>
          <w:sz w:val="24"/>
          <w:szCs w:val="24"/>
          <w:highlight w:val="none"/>
          <w:u w:val="single"/>
        </w:rPr>
        <w:t xml:space="preserve">       </w:t>
      </w:r>
      <w:r>
        <w:rPr>
          <w:rFonts w:hAnsi="宋体"/>
          <w:color w:val="auto"/>
          <w:kern w:val="0"/>
          <w:sz w:val="24"/>
          <w:szCs w:val="24"/>
          <w:highlight w:val="none"/>
          <w:u w:val="single"/>
        </w:rPr>
        <w:t>/</w:t>
      </w:r>
      <w:r>
        <w:rPr>
          <w:rFonts w:hint="eastAsia" w:hAnsi="宋体"/>
          <w:color w:val="auto"/>
          <w:kern w:val="0"/>
          <w:sz w:val="24"/>
          <w:szCs w:val="24"/>
          <w:highlight w:val="none"/>
          <w:u w:val="single"/>
        </w:rPr>
        <w:t xml:space="preserve">              </w:t>
      </w:r>
      <w:r>
        <w:rPr>
          <w:rFonts w:hint="eastAsia" w:hAnsi="宋体"/>
          <w:color w:val="auto"/>
          <w:kern w:val="0"/>
          <w:sz w:val="24"/>
          <w:szCs w:val="24"/>
          <w:highlight w:val="none"/>
        </w:rPr>
        <w:t>计算；或由发包人和承包人约定人工、材料、机械台班价格根据建设标准要求按</w:t>
      </w:r>
      <w:r>
        <w:rPr>
          <w:rFonts w:hint="eastAsia" w:hAnsi="宋体"/>
          <w:color w:val="auto"/>
          <w:kern w:val="0"/>
          <w:sz w:val="24"/>
          <w:szCs w:val="24"/>
          <w:highlight w:val="none"/>
          <w:u w:val="single"/>
        </w:rPr>
        <w:t xml:space="preserve">      </w:t>
      </w:r>
      <w:r>
        <w:rPr>
          <w:rFonts w:hAnsi="宋体"/>
          <w:color w:val="auto"/>
          <w:kern w:val="0"/>
          <w:sz w:val="24"/>
          <w:szCs w:val="24"/>
          <w:highlight w:val="none"/>
          <w:u w:val="single"/>
        </w:rPr>
        <w:t>/</w:t>
      </w:r>
      <w:r>
        <w:rPr>
          <w:rFonts w:hint="eastAsia" w:hAnsi="宋体"/>
          <w:color w:val="auto"/>
          <w:kern w:val="0"/>
          <w:sz w:val="24"/>
          <w:szCs w:val="24"/>
          <w:highlight w:val="none"/>
          <w:u w:val="single"/>
        </w:rPr>
        <w:t xml:space="preserve">                </w:t>
      </w:r>
      <w:r>
        <w:rPr>
          <w:rFonts w:hint="eastAsia" w:hAnsi="宋体"/>
          <w:color w:val="auto"/>
          <w:kern w:val="0"/>
          <w:sz w:val="24"/>
          <w:szCs w:val="24"/>
          <w:highlight w:val="none"/>
        </w:rPr>
        <w:t>计算。如采用定额计价的，造价的确定依据广东省计价依据、广东省相关定额、广州市补充定额，若个别项目没有定额可套用，由发包人和承包人根据实际情况签订补充合同或协议作出约定；若项目实施期间定额更新，建设行政主管部门对新旧定额的使用办法有规定的从其规定，没有规定或规定不明确的，由发包人和承包人根据实际情况签订补充合同或协议作出约定。</w:t>
      </w:r>
    </w:p>
    <w:p>
      <w:pPr>
        <w:pStyle w:val="2"/>
        <w:shd w:val="clear" w:color="000000" w:fill="auto"/>
        <w:adjustRightInd w:val="0"/>
        <w:snapToGrid w:val="0"/>
        <w:spacing w:line="360" w:lineRule="auto"/>
        <w:ind w:left="178" w:leftChars="85" w:firstLine="477" w:firstLineChars="199"/>
        <w:jc w:val="left"/>
        <w:rPr>
          <w:rFonts w:hAnsi="宋体"/>
          <w:color w:val="auto"/>
          <w:kern w:val="0"/>
          <w:sz w:val="24"/>
          <w:szCs w:val="24"/>
          <w:highlight w:val="none"/>
        </w:rPr>
      </w:pPr>
      <w:r>
        <w:rPr>
          <w:rFonts w:hint="eastAsia" w:hAnsi="宋体"/>
          <w:color w:val="auto"/>
          <w:kern w:val="0"/>
          <w:sz w:val="24"/>
          <w:szCs w:val="24"/>
          <w:highlight w:val="none"/>
        </w:rPr>
        <w:t>其它调整内：</w:t>
      </w:r>
      <w:r>
        <w:rPr>
          <w:rFonts w:hint="eastAsia" w:hAnsi="宋体"/>
          <w:color w:val="auto"/>
          <w:kern w:val="0"/>
          <w:sz w:val="24"/>
          <w:szCs w:val="24"/>
          <w:highlight w:val="none"/>
          <w:u w:val="single"/>
        </w:rPr>
        <w:t xml:space="preserve">                          </w:t>
      </w:r>
      <w:r>
        <w:rPr>
          <w:rFonts w:hAnsi="宋体"/>
          <w:color w:val="auto"/>
          <w:kern w:val="0"/>
          <w:sz w:val="24"/>
          <w:szCs w:val="24"/>
          <w:highlight w:val="none"/>
          <w:u w:val="single"/>
        </w:rPr>
        <w:t>/</w:t>
      </w:r>
      <w:r>
        <w:rPr>
          <w:rFonts w:hint="eastAsia" w:hAnsi="宋体"/>
          <w:color w:val="auto"/>
          <w:kern w:val="0"/>
          <w:sz w:val="24"/>
          <w:szCs w:val="24"/>
          <w:highlight w:val="none"/>
          <w:u w:val="single"/>
        </w:rPr>
        <w:t xml:space="preserve">                                 </w:t>
      </w:r>
      <w:r>
        <w:rPr>
          <w:rFonts w:hint="eastAsia" w:hAnsi="宋体"/>
          <w:color w:val="auto"/>
          <w:kern w:val="0"/>
          <w:sz w:val="24"/>
          <w:szCs w:val="24"/>
          <w:highlight w:val="none"/>
        </w:rPr>
        <w:t>。</w:t>
      </w:r>
    </w:p>
    <w:p>
      <w:pPr>
        <w:pStyle w:val="2"/>
        <w:shd w:val="clear" w:color="000000" w:fill="auto"/>
        <w:adjustRightInd w:val="0"/>
        <w:snapToGrid w:val="0"/>
        <w:spacing w:line="360" w:lineRule="auto"/>
        <w:ind w:left="178" w:leftChars="85" w:firstLine="477" w:firstLineChars="199"/>
        <w:jc w:val="left"/>
        <w:rPr>
          <w:rFonts w:hAnsi="宋体"/>
          <w:color w:val="auto"/>
          <w:kern w:val="0"/>
          <w:sz w:val="24"/>
          <w:szCs w:val="24"/>
          <w:highlight w:val="none"/>
        </w:rPr>
      </w:pPr>
      <w:r>
        <w:rPr>
          <w:rFonts w:hint="eastAsia" w:hAnsi="宋体"/>
          <w:color w:val="auto"/>
          <w:kern w:val="0"/>
          <w:sz w:val="24"/>
          <w:szCs w:val="24"/>
          <w:highlight w:val="none"/>
        </w:rPr>
        <w:t>本合同项目的结算造价确定方式：</w:t>
      </w:r>
      <w:r>
        <w:rPr>
          <w:rFonts w:hint="eastAsia" w:hAnsi="宋体"/>
          <w:color w:val="auto"/>
          <w:kern w:val="0"/>
          <w:sz w:val="24"/>
          <w:szCs w:val="24"/>
          <w:highlight w:val="none"/>
          <w:u w:val="single"/>
        </w:rPr>
        <w:t xml:space="preserve">             </w:t>
      </w:r>
      <w:r>
        <w:rPr>
          <w:rFonts w:hAnsi="宋体"/>
          <w:color w:val="auto"/>
          <w:kern w:val="0"/>
          <w:sz w:val="24"/>
          <w:szCs w:val="24"/>
          <w:highlight w:val="none"/>
          <w:u w:val="single"/>
        </w:rPr>
        <w:t>/</w:t>
      </w:r>
      <w:r>
        <w:rPr>
          <w:rFonts w:hint="eastAsia" w:hAnsi="宋体"/>
          <w:color w:val="auto"/>
          <w:kern w:val="0"/>
          <w:sz w:val="24"/>
          <w:szCs w:val="24"/>
          <w:highlight w:val="none"/>
          <w:u w:val="single"/>
        </w:rPr>
        <w:t xml:space="preserve">                            </w:t>
      </w:r>
      <w:r>
        <w:rPr>
          <w:rFonts w:hint="eastAsia" w:hAnsi="宋体"/>
          <w:color w:val="auto"/>
          <w:kern w:val="0"/>
          <w:sz w:val="24"/>
          <w:szCs w:val="24"/>
          <w:highlight w:val="none"/>
        </w:rPr>
        <w:t>。</w:t>
      </w:r>
    </w:p>
    <w:p>
      <w:pPr>
        <w:numPr>
          <w:ilvl w:val="0"/>
          <w:numId w:val="30"/>
        </w:numPr>
        <w:shd w:val="clear" w:color="000000" w:fill="auto"/>
        <w:spacing w:line="360" w:lineRule="auto"/>
        <w:jc w:val="left"/>
        <w:rPr>
          <w:rFonts w:ascii="宋体" w:hAnsi="宋体" w:cs="宋体"/>
          <w:color w:val="auto"/>
          <w:kern w:val="0"/>
          <w:sz w:val="24"/>
          <w:szCs w:val="24"/>
          <w:highlight w:val="none"/>
          <w:u w:val="single"/>
        </w:rPr>
      </w:pPr>
      <w:r>
        <w:rPr>
          <w:rFonts w:hint="eastAsia" w:ascii="宋体" w:hAnsi="宋体" w:cs="宋体"/>
          <w:color w:val="auto"/>
          <w:sz w:val="24"/>
          <w:szCs w:val="24"/>
          <w:highlight w:val="none"/>
        </w:rPr>
        <w:t>其它价格形式</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w:t>
      </w:r>
      <w:r>
        <w:rPr>
          <w:rFonts w:hint="eastAsia" w:ascii="宋体" w:hAnsi="宋体" w:cs="宋体"/>
          <w:color w:val="auto"/>
          <w:kern w:val="0"/>
          <w:sz w:val="24"/>
          <w:szCs w:val="24"/>
          <w:highlight w:val="none"/>
          <w:u w:val="single"/>
        </w:rPr>
        <w:t xml:space="preserve">                                </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68.3 合同价款的调整事件</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按通用条款规定的调整事件。</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另作约定：</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 xml:space="preserve">     </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68.3（9）调整合同价款的其他事件：</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 xml:space="preserve">  </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612" w:name="_Toc30667"/>
      <w:bookmarkStart w:id="613" w:name="_Toc469384123"/>
      <w:bookmarkStart w:id="614" w:name="_Toc27203"/>
      <w:bookmarkStart w:id="615" w:name="_Toc10624967"/>
      <w:r>
        <w:rPr>
          <w:rFonts w:ascii="仿宋" w:hAnsi="仿宋" w:eastAsia="仿宋" w:cs="仿宋"/>
          <w:b/>
          <w:bCs/>
          <w:color w:val="auto"/>
          <w:sz w:val="24"/>
          <w:szCs w:val="24"/>
          <w:highlight w:val="none"/>
        </w:rPr>
        <w:t xml:space="preserve">72. </w:t>
      </w:r>
      <w:r>
        <w:rPr>
          <w:rFonts w:hint="eastAsia" w:ascii="仿宋" w:hAnsi="仿宋" w:eastAsia="仿宋" w:cs="仿宋"/>
          <w:b/>
          <w:bCs/>
          <w:color w:val="auto"/>
          <w:sz w:val="24"/>
          <w:szCs w:val="24"/>
          <w:highlight w:val="none"/>
        </w:rPr>
        <w:t>工程变更事件</w:t>
      </w:r>
      <w:bookmarkEnd w:id="612"/>
      <w:bookmarkEnd w:id="613"/>
      <w:bookmarkEnd w:id="614"/>
      <w:bookmarkEnd w:id="615"/>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72.4 调整承包人报价偏差的方法</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按通用条款的规定调整。</w:t>
      </w:r>
    </w:p>
    <w:p>
      <w:pPr>
        <w:shd w:val="clear" w:color="000000" w:fill="auto"/>
        <w:spacing w:line="360" w:lineRule="auto"/>
        <w:ind w:firstLine="120" w:firstLineChars="5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xml:space="preserve"> </w:t>
      </w: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按照下列方法调整：</w:t>
      </w:r>
      <w:r>
        <w:rPr>
          <w:rFonts w:hint="eastAsia" w:ascii="宋体" w:hAnsi="宋体" w:cs="宋体"/>
          <w:color w:val="auto"/>
          <w:kern w:val="0"/>
          <w:sz w:val="24"/>
          <w:szCs w:val="24"/>
          <w:highlight w:val="none"/>
          <w:u w:val="single"/>
        </w:rPr>
        <w:t xml:space="preserve">  按专用条款第68.2执行。  </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616" w:name="_Toc10624968"/>
      <w:bookmarkStart w:id="617" w:name="_Toc9230"/>
      <w:bookmarkStart w:id="618" w:name="_Toc469384124"/>
      <w:bookmarkStart w:id="619" w:name="_Toc25773"/>
      <w:r>
        <w:rPr>
          <w:rFonts w:ascii="仿宋" w:hAnsi="仿宋" w:eastAsia="仿宋" w:cs="仿宋"/>
          <w:b/>
          <w:bCs/>
          <w:color w:val="auto"/>
          <w:sz w:val="24"/>
          <w:szCs w:val="24"/>
          <w:highlight w:val="none"/>
        </w:rPr>
        <w:t xml:space="preserve">73. </w:t>
      </w:r>
      <w:r>
        <w:rPr>
          <w:rFonts w:hint="eastAsia" w:ascii="仿宋" w:hAnsi="仿宋" w:eastAsia="仿宋" w:cs="仿宋"/>
          <w:b/>
          <w:bCs/>
          <w:color w:val="auto"/>
          <w:sz w:val="24"/>
          <w:szCs w:val="24"/>
          <w:highlight w:val="none"/>
        </w:rPr>
        <w:t>工程量偏差事件</w:t>
      </w:r>
      <w:bookmarkEnd w:id="616"/>
      <w:bookmarkEnd w:id="617"/>
      <w:bookmarkEnd w:id="618"/>
      <w:bookmarkEnd w:id="619"/>
    </w:p>
    <w:p>
      <w:pPr>
        <w:shd w:val="clear" w:color="000000" w:fill="auto"/>
        <w:spacing w:line="360" w:lineRule="auto"/>
        <w:rPr>
          <w:rFonts w:ascii="宋体" w:hAnsi="宋体" w:cs="宋体"/>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宋体" w:hAnsi="宋体" w:cs="宋体"/>
          <w:color w:val="auto"/>
          <w:kern w:val="0"/>
          <w:sz w:val="24"/>
          <w:szCs w:val="24"/>
          <w:highlight w:val="none"/>
        </w:rPr>
        <w:t xml:space="preserve">  73.2 调整分部分项工程费的方法</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调整结算分部分项工程费：</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按通用条款的规定调整。</w:t>
      </w:r>
    </w:p>
    <w:p>
      <w:pPr>
        <w:shd w:val="clear" w:color="000000" w:fill="auto"/>
        <w:spacing w:line="360" w:lineRule="auto"/>
        <w:ind w:firstLine="120" w:firstLineChars="5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xml:space="preserve"> </w:t>
      </w: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按照下列方法调整：</w:t>
      </w:r>
      <w:r>
        <w:rPr>
          <w:rFonts w:hint="eastAsia" w:ascii="宋体" w:hAnsi="宋体" w:cs="宋体"/>
          <w:color w:val="auto"/>
          <w:kern w:val="0"/>
          <w:sz w:val="24"/>
          <w:szCs w:val="24"/>
          <w:highlight w:val="none"/>
          <w:u w:val="single"/>
        </w:rPr>
        <w:t xml:space="preserve"> </w:t>
      </w:r>
      <w:r>
        <w:rPr>
          <w:rFonts w:hint="eastAsia" w:ascii="宋体" w:hAnsi="宋体" w:cs="宋体"/>
          <w:color w:val="auto"/>
          <w:sz w:val="24"/>
          <w:szCs w:val="24"/>
          <w:highlight w:val="none"/>
          <w:u w:val="single"/>
        </w:rPr>
        <w:t>按专用条款第68.2执行。</w:t>
      </w:r>
      <w:r>
        <w:rPr>
          <w:rFonts w:hint="eastAsia" w:ascii="宋体" w:hAnsi="宋体" w:cs="宋体"/>
          <w:color w:val="auto"/>
          <w:kern w:val="0"/>
          <w:sz w:val="24"/>
          <w:szCs w:val="24"/>
          <w:highlight w:val="none"/>
          <w:u w:val="single"/>
        </w:rPr>
        <w:t xml:space="preserve"> </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73.3 调整措施项目费的方法</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调整结算措施项目费：</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按通用条款的规定调整。</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按照下列方法调整：</w:t>
      </w:r>
      <w:r>
        <w:rPr>
          <w:rFonts w:hint="eastAsia" w:ascii="宋体" w:hAnsi="宋体" w:cs="宋体"/>
          <w:color w:val="auto"/>
          <w:kern w:val="0"/>
          <w:sz w:val="24"/>
          <w:szCs w:val="24"/>
          <w:highlight w:val="none"/>
          <w:u w:val="single"/>
        </w:rPr>
        <w:t xml:space="preserve"> </w:t>
      </w:r>
      <w:r>
        <w:rPr>
          <w:rFonts w:hint="eastAsia" w:ascii="宋体" w:hAnsi="宋体" w:cs="宋体"/>
          <w:color w:val="auto"/>
          <w:sz w:val="24"/>
          <w:szCs w:val="24"/>
          <w:highlight w:val="none"/>
          <w:u w:val="single"/>
        </w:rPr>
        <w:t>不予调整。</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 </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620" w:name="_Toc18185"/>
      <w:bookmarkStart w:id="621" w:name="_Toc30454"/>
      <w:bookmarkStart w:id="622" w:name="_Toc469384125"/>
      <w:bookmarkStart w:id="623" w:name="_Toc10624969"/>
      <w:r>
        <w:rPr>
          <w:rFonts w:ascii="仿宋" w:hAnsi="仿宋" w:eastAsia="仿宋" w:cs="仿宋"/>
          <w:b/>
          <w:bCs/>
          <w:color w:val="auto"/>
          <w:sz w:val="24"/>
          <w:szCs w:val="24"/>
          <w:highlight w:val="none"/>
        </w:rPr>
        <w:t xml:space="preserve">75. </w:t>
      </w:r>
      <w:r>
        <w:rPr>
          <w:rFonts w:hint="eastAsia" w:ascii="仿宋" w:hAnsi="仿宋" w:eastAsia="仿宋" w:cs="仿宋"/>
          <w:b/>
          <w:bCs/>
          <w:color w:val="auto"/>
          <w:sz w:val="24"/>
          <w:szCs w:val="24"/>
          <w:highlight w:val="none"/>
        </w:rPr>
        <w:t>现场签证事件</w:t>
      </w:r>
      <w:bookmarkEnd w:id="620"/>
      <w:bookmarkEnd w:id="621"/>
      <w:bookmarkEnd w:id="622"/>
      <w:bookmarkEnd w:id="623"/>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75.3 现场签证报告的确认</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提交现场签证报告的时间：</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按通用条款的规定的时间提交。</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另作约定：</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 xml:space="preserve">            </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624" w:name="_Toc10624970"/>
      <w:bookmarkStart w:id="625" w:name="_Toc13583"/>
      <w:bookmarkStart w:id="626" w:name="_Toc469384126"/>
      <w:bookmarkStart w:id="627" w:name="_Toc26207"/>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76. </w:t>
      </w:r>
      <w:r>
        <w:rPr>
          <w:rFonts w:hint="eastAsia" w:ascii="仿宋" w:hAnsi="仿宋" w:eastAsia="仿宋" w:cs="仿宋"/>
          <w:b/>
          <w:bCs/>
          <w:color w:val="auto"/>
          <w:sz w:val="24"/>
          <w:szCs w:val="24"/>
          <w:highlight w:val="none"/>
        </w:rPr>
        <w:t>物价涨落事件</w:t>
      </w:r>
      <w:bookmarkEnd w:id="624"/>
      <w:bookmarkEnd w:id="625"/>
      <w:bookmarkEnd w:id="626"/>
      <w:bookmarkEnd w:id="627"/>
    </w:p>
    <w:p>
      <w:pPr>
        <w:shd w:val="clear" w:color="000000" w:fill="auto"/>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kern w:val="0"/>
          <w:sz w:val="24"/>
          <w:szCs w:val="24"/>
          <w:highlight w:val="none"/>
        </w:rPr>
        <w:t>市场价格波动是否调整合同价格的约定：</w:t>
      </w:r>
      <w:r>
        <w:rPr>
          <w:rFonts w:hint="eastAsia" w:ascii="宋体" w:hAnsi="宋体" w:cs="宋体"/>
          <w:color w:val="auto"/>
          <w:sz w:val="24"/>
          <w:szCs w:val="24"/>
          <w:highlight w:val="none"/>
          <w:u w:val="single"/>
        </w:rPr>
        <w:t xml:space="preserve">  否   </w:t>
      </w:r>
      <w:r>
        <w:rPr>
          <w:rFonts w:hint="eastAsia" w:ascii="宋体" w:hAnsi="宋体" w:cs="宋体"/>
          <w:color w:val="auto"/>
          <w:sz w:val="24"/>
          <w:szCs w:val="24"/>
          <w:highlight w:val="none"/>
        </w:rPr>
        <w:t>。</w:t>
      </w:r>
    </w:p>
    <w:p>
      <w:pPr>
        <w:shd w:val="clear" w:color="000000" w:fill="auto"/>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因市场价格波动调整合同价格，采用以下第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 </w:t>
      </w:r>
      <w:r>
        <w:rPr>
          <w:rFonts w:hint="eastAsia" w:ascii="宋体" w:hAnsi="宋体" w:cs="宋体"/>
          <w:color w:val="auto"/>
          <w:kern w:val="0"/>
          <w:sz w:val="24"/>
          <w:szCs w:val="24"/>
          <w:highlight w:val="none"/>
        </w:rPr>
        <w:t>种方式对合同价格进行调整：</w:t>
      </w:r>
    </w:p>
    <w:p>
      <w:pPr>
        <w:shd w:val="clear" w:color="000000" w:fill="auto"/>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kern w:val="0"/>
          <w:sz w:val="24"/>
          <w:szCs w:val="24"/>
          <w:highlight w:val="none"/>
        </w:rPr>
        <w:t>第1种方式：采用造价信息进行价格调整。</w:t>
      </w:r>
    </w:p>
    <w:p>
      <w:pPr>
        <w:shd w:val="clear" w:color="000000" w:fill="auto"/>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kern w:val="0"/>
          <w:sz w:val="24"/>
          <w:szCs w:val="24"/>
          <w:highlight w:val="none"/>
        </w:rPr>
        <w:t>（1）关于基准价格的约定：</w:t>
      </w:r>
      <w:r>
        <w:rPr>
          <w:rFonts w:hint="eastAsia" w:ascii="宋体" w:hAnsi="宋体" w:cs="宋体"/>
          <w:color w:val="auto"/>
          <w:sz w:val="24"/>
          <w:szCs w:val="24"/>
          <w:highlight w:val="none"/>
          <w:u w:val="single"/>
        </w:rPr>
        <w:t>/。</w:t>
      </w:r>
    </w:p>
    <w:p>
      <w:pPr>
        <w:shd w:val="clear" w:color="000000" w:fill="auto"/>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sym w:font="Times New Roman" w:char="0000"/>
      </w:r>
      <w:r>
        <w:rPr>
          <w:rFonts w:hint="eastAsia" w:ascii="宋体" w:hAnsi="宋体" w:cs="宋体"/>
          <w:color w:val="auto"/>
          <w:kern w:val="0"/>
          <w:sz w:val="24"/>
          <w:szCs w:val="24"/>
          <w:highlight w:val="none"/>
        </w:rPr>
        <w:t xml:space="preserve"> ①承包人在已标价工程量清单或预算书中载明的材料单价低于基准价格的：专用合同条款合同履行期间材料单价涨幅以基准价格为基础超过</w:t>
      </w:r>
      <w:r>
        <w:rPr>
          <w:rFonts w:hint="eastAsia" w:ascii="宋体" w:hAnsi="宋体" w:cs="宋体"/>
          <w:color w:val="auto"/>
          <w:sz w:val="24"/>
          <w:szCs w:val="24"/>
          <w:highlight w:val="none"/>
          <w:u w:val="single"/>
        </w:rPr>
        <w:t xml:space="preserve">  /  </w:t>
      </w:r>
      <w:r>
        <w:rPr>
          <w:rFonts w:hint="eastAsia" w:ascii="宋体" w:hAnsi="宋体" w:cs="宋体"/>
          <w:color w:val="auto"/>
          <w:kern w:val="0"/>
          <w:sz w:val="24"/>
          <w:szCs w:val="24"/>
          <w:highlight w:val="none"/>
        </w:rPr>
        <w:t>%时，或材料单价跌幅以已标价工程量清单或预算书中载明材料单价为基础超过</w:t>
      </w:r>
      <w:r>
        <w:rPr>
          <w:rFonts w:hint="eastAsia" w:ascii="宋体" w:hAnsi="宋体" w:cs="宋体"/>
          <w:color w:val="auto"/>
          <w:sz w:val="24"/>
          <w:szCs w:val="24"/>
          <w:highlight w:val="none"/>
          <w:u w:val="single"/>
        </w:rPr>
        <w:t xml:space="preserve">  /  </w:t>
      </w:r>
      <w:r>
        <w:rPr>
          <w:rFonts w:hint="eastAsia" w:ascii="宋体" w:hAnsi="宋体" w:cs="宋体"/>
          <w:color w:val="auto"/>
          <w:kern w:val="0"/>
          <w:sz w:val="24"/>
          <w:szCs w:val="24"/>
          <w:highlight w:val="none"/>
        </w:rPr>
        <w:t>%时，其超过部分据实调整。</w:t>
      </w:r>
    </w:p>
    <w:p>
      <w:pPr>
        <w:shd w:val="clear" w:color="000000" w:fill="auto"/>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kern w:val="0"/>
          <w:sz w:val="24"/>
          <w:szCs w:val="24"/>
          <w:highlight w:val="none"/>
        </w:rPr>
        <w:t xml:space="preserve">  调整价格的材料品种：</w:t>
      </w:r>
      <w:r>
        <w:rPr>
          <w:rFonts w:hint="eastAsia" w:ascii="宋体" w:hAnsi="宋体" w:cs="宋体"/>
          <w:color w:val="auto"/>
          <w:sz w:val="24"/>
          <w:szCs w:val="24"/>
          <w:highlight w:val="none"/>
          <w:u w:val="single"/>
        </w:rPr>
        <w:t>/。</w:t>
      </w:r>
    </w:p>
    <w:p>
      <w:pPr>
        <w:shd w:val="clear" w:color="000000" w:fill="auto"/>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sym w:font="Times New Roman" w:char="0000"/>
      </w:r>
      <w:r>
        <w:rPr>
          <w:rFonts w:hint="eastAsia" w:ascii="宋体" w:hAnsi="宋体" w:cs="宋体"/>
          <w:color w:val="auto"/>
          <w:kern w:val="0"/>
          <w:sz w:val="24"/>
          <w:szCs w:val="24"/>
          <w:highlight w:val="none"/>
        </w:rPr>
        <w:t xml:space="preserve"> ②承包人在已标价工程量清单或预算书中载明的材料单价高于基准价格的：专用合同条款合同履行期间材料单价跌幅以基准价格为基础超过</w:t>
      </w:r>
      <w:r>
        <w:rPr>
          <w:rFonts w:hint="eastAsia" w:ascii="宋体" w:hAnsi="宋体" w:cs="宋体"/>
          <w:color w:val="auto"/>
          <w:sz w:val="24"/>
          <w:szCs w:val="24"/>
          <w:highlight w:val="none"/>
          <w:u w:val="single"/>
        </w:rPr>
        <w:t xml:space="preserve">  /  </w:t>
      </w:r>
      <w:r>
        <w:rPr>
          <w:rFonts w:hint="eastAsia" w:ascii="宋体" w:hAnsi="宋体" w:cs="宋体"/>
          <w:color w:val="auto"/>
          <w:kern w:val="0"/>
          <w:sz w:val="24"/>
          <w:szCs w:val="24"/>
          <w:highlight w:val="none"/>
        </w:rPr>
        <w:t>%时，材料单价涨幅以已标价工程量清单或预算书中载明材料单价为基础超过</w:t>
      </w:r>
      <w:r>
        <w:rPr>
          <w:rFonts w:hint="eastAsia" w:ascii="宋体" w:hAnsi="宋体" w:cs="宋体"/>
          <w:color w:val="auto"/>
          <w:sz w:val="24"/>
          <w:szCs w:val="24"/>
          <w:highlight w:val="none"/>
          <w:u w:val="single"/>
        </w:rPr>
        <w:t xml:space="preserve">  /  </w:t>
      </w:r>
      <w:r>
        <w:rPr>
          <w:rFonts w:hint="eastAsia" w:ascii="宋体" w:hAnsi="宋体" w:cs="宋体"/>
          <w:color w:val="auto"/>
          <w:kern w:val="0"/>
          <w:sz w:val="24"/>
          <w:szCs w:val="24"/>
          <w:highlight w:val="none"/>
        </w:rPr>
        <w:t>%时，其超过部分据实调整。</w:t>
      </w:r>
    </w:p>
    <w:p>
      <w:pPr>
        <w:shd w:val="clear" w:color="000000" w:fill="auto"/>
        <w:spacing w:line="360" w:lineRule="auto"/>
        <w:ind w:firstLine="708" w:firstLineChars="295"/>
        <w:jc w:val="left"/>
        <w:rPr>
          <w:rFonts w:ascii="宋体" w:hAnsi="宋体" w:cs="宋体"/>
          <w:color w:val="auto"/>
          <w:sz w:val="24"/>
          <w:szCs w:val="24"/>
          <w:highlight w:val="none"/>
        </w:rPr>
      </w:pPr>
      <w:r>
        <w:rPr>
          <w:rFonts w:hint="eastAsia" w:ascii="宋体" w:hAnsi="宋体" w:cs="宋体"/>
          <w:color w:val="auto"/>
          <w:kern w:val="0"/>
          <w:sz w:val="24"/>
          <w:szCs w:val="24"/>
          <w:highlight w:val="none"/>
        </w:rPr>
        <w:t>调整价格的材料品种：</w:t>
      </w:r>
      <w:r>
        <w:rPr>
          <w:rFonts w:hint="eastAsia" w:ascii="宋体" w:hAnsi="宋体" w:cs="宋体"/>
          <w:color w:val="auto"/>
          <w:sz w:val="24"/>
          <w:szCs w:val="24"/>
          <w:highlight w:val="none"/>
          <w:u w:val="single"/>
        </w:rPr>
        <w:t xml:space="preserve">/ </w:t>
      </w:r>
    </w:p>
    <w:p>
      <w:pPr>
        <w:shd w:val="clear" w:color="000000" w:fill="auto"/>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sym w:font="Times New Roman" w:char="0000"/>
      </w:r>
      <w:r>
        <w:rPr>
          <w:rFonts w:hint="eastAsia" w:ascii="宋体" w:hAnsi="宋体" w:cs="宋体"/>
          <w:color w:val="auto"/>
          <w:kern w:val="0"/>
          <w:sz w:val="24"/>
          <w:szCs w:val="24"/>
          <w:highlight w:val="none"/>
        </w:rPr>
        <w:t xml:space="preserve"> ③承包人在已标价工程量清单或预算书中载明的材料单价等于基准单价的：专用合同条款合同履行期间材料单价涨跌幅以基准单价为基础超过±</w:t>
      </w:r>
      <w:r>
        <w:rPr>
          <w:rFonts w:hint="eastAsia" w:ascii="宋体" w:hAnsi="宋体" w:cs="宋体"/>
          <w:color w:val="auto"/>
          <w:sz w:val="24"/>
          <w:szCs w:val="24"/>
          <w:highlight w:val="none"/>
          <w:u w:val="single"/>
        </w:rPr>
        <w:t xml:space="preserve">  /  </w:t>
      </w:r>
      <w:r>
        <w:rPr>
          <w:rFonts w:hint="eastAsia" w:ascii="宋体" w:hAnsi="宋体" w:cs="宋体"/>
          <w:color w:val="auto"/>
          <w:kern w:val="0"/>
          <w:sz w:val="24"/>
          <w:szCs w:val="24"/>
          <w:highlight w:val="none"/>
        </w:rPr>
        <w:t>%时，其超过部分据实调整。</w:t>
      </w:r>
    </w:p>
    <w:p>
      <w:pPr>
        <w:shd w:val="clear" w:color="000000" w:fill="auto"/>
        <w:spacing w:line="360" w:lineRule="auto"/>
        <w:ind w:firstLine="708" w:firstLineChars="295"/>
        <w:jc w:val="left"/>
        <w:rPr>
          <w:rFonts w:ascii="宋体" w:hAnsi="宋体" w:cs="宋体"/>
          <w:color w:val="auto"/>
          <w:sz w:val="24"/>
          <w:szCs w:val="24"/>
          <w:highlight w:val="none"/>
        </w:rPr>
      </w:pPr>
      <w:r>
        <w:rPr>
          <w:rFonts w:hint="eastAsia" w:ascii="宋体" w:hAnsi="宋体" w:cs="宋体"/>
          <w:color w:val="auto"/>
          <w:kern w:val="0"/>
          <w:sz w:val="24"/>
          <w:szCs w:val="24"/>
          <w:highlight w:val="none"/>
        </w:rPr>
        <w:t>调整价格的材料品种：</w:t>
      </w:r>
      <w:r>
        <w:rPr>
          <w:rFonts w:hint="eastAsia" w:ascii="宋体" w:hAnsi="宋体" w:cs="宋体"/>
          <w:color w:val="auto"/>
          <w:sz w:val="24"/>
          <w:szCs w:val="24"/>
          <w:highlight w:val="none"/>
          <w:u w:val="single"/>
        </w:rPr>
        <w:t>/。</w:t>
      </w:r>
    </w:p>
    <w:p>
      <w:pPr>
        <w:shd w:val="clear" w:color="000000" w:fill="auto"/>
        <w:spacing w:line="360" w:lineRule="auto"/>
        <w:jc w:val="left"/>
        <w:rPr>
          <w:rFonts w:ascii="宋体" w:hAnsi="宋体" w:cs="宋体"/>
          <w:color w:val="auto"/>
          <w:sz w:val="24"/>
          <w:szCs w:val="24"/>
          <w:highlight w:val="none"/>
        </w:rPr>
      </w:pPr>
      <w:r>
        <w:rPr>
          <w:rFonts w:hint="eastAsia" w:ascii="宋体" w:hAnsi="宋体" w:cs="宋体"/>
          <w:color w:val="auto"/>
          <w:kern w:val="0"/>
          <w:sz w:val="24"/>
          <w:szCs w:val="24"/>
          <w:highlight w:val="none"/>
        </w:rPr>
        <w:t>第2种方式：其他价格调整方式：</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628" w:name="_Toc28480"/>
      <w:bookmarkStart w:id="629" w:name="_Toc10624971"/>
      <w:bookmarkStart w:id="630" w:name="_Toc12492"/>
      <w:bookmarkStart w:id="631" w:name="_Toc469384127"/>
      <w:r>
        <w:rPr>
          <w:rFonts w:ascii="仿宋" w:hAnsi="仿宋" w:eastAsia="仿宋" w:cs="仿宋"/>
          <w:b/>
          <w:bCs/>
          <w:color w:val="auto"/>
          <w:sz w:val="24"/>
          <w:szCs w:val="24"/>
          <w:highlight w:val="none"/>
        </w:rPr>
        <w:t xml:space="preserve">78. </w:t>
      </w:r>
      <w:r>
        <w:rPr>
          <w:rFonts w:hint="eastAsia" w:ascii="仿宋" w:hAnsi="仿宋" w:eastAsia="仿宋" w:cs="仿宋"/>
          <w:b/>
          <w:bCs/>
          <w:color w:val="auto"/>
          <w:sz w:val="24"/>
          <w:szCs w:val="24"/>
          <w:highlight w:val="none"/>
        </w:rPr>
        <w:t>支付事项</w:t>
      </w:r>
      <w:bookmarkEnd w:id="628"/>
      <w:bookmarkEnd w:id="629"/>
      <w:bookmarkEnd w:id="630"/>
      <w:bookmarkEnd w:id="631"/>
    </w:p>
    <w:p>
      <w:pPr>
        <w:shd w:val="clear" w:color="000000" w:fill="auto"/>
        <w:spacing w:line="360" w:lineRule="auto"/>
        <w:ind w:firstLine="240" w:firstLineChars="1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78.2 计算利息的利率</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按照中国人民银行发布的同期同类贷款利率。</w:t>
      </w:r>
    </w:p>
    <w:p>
      <w:pPr>
        <w:shd w:val="clear" w:color="000000" w:fill="auto"/>
        <w:spacing w:line="360" w:lineRule="auto"/>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xml:space="preserve">  </w:t>
      </w: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另作约定：</w:t>
      </w:r>
      <w:r>
        <w:rPr>
          <w:rFonts w:hint="eastAsia" w:ascii="宋体" w:hAnsi="宋体" w:cs="宋体"/>
          <w:color w:val="auto"/>
          <w:kern w:val="0"/>
          <w:sz w:val="24"/>
          <w:szCs w:val="24"/>
          <w:highlight w:val="none"/>
          <w:u w:val="single"/>
        </w:rPr>
        <w:t xml:space="preserve">   不计算利息 。</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632" w:name="_Toc22635"/>
      <w:bookmarkStart w:id="633" w:name="_Toc9514"/>
      <w:bookmarkStart w:id="634" w:name="_Toc10624972"/>
      <w:bookmarkStart w:id="635" w:name="_Toc469384128"/>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79. </w:t>
      </w:r>
      <w:r>
        <w:rPr>
          <w:rFonts w:hint="eastAsia" w:ascii="仿宋" w:hAnsi="仿宋" w:eastAsia="仿宋" w:cs="仿宋"/>
          <w:b/>
          <w:bCs/>
          <w:color w:val="auto"/>
          <w:sz w:val="24"/>
          <w:szCs w:val="24"/>
          <w:highlight w:val="none"/>
        </w:rPr>
        <w:t>预付款</w:t>
      </w:r>
      <w:bookmarkEnd w:id="632"/>
      <w:bookmarkEnd w:id="633"/>
      <w:bookmarkEnd w:id="634"/>
      <w:bookmarkEnd w:id="635"/>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79.1 预付款的约定及管理</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（1） 预付款的约定</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没约定预付款的，本条不适用。</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hAnsi="宋体"/>
          <w:color w:val="auto"/>
          <w:kern w:val="0"/>
          <w:sz w:val="24"/>
          <w:szCs w:val="24"/>
          <w:highlight w:val="none"/>
        </w:rPr>
        <w:t>□</w:t>
      </w:r>
      <w:r>
        <w:rPr>
          <w:rFonts w:hint="eastAsia" w:ascii="宋体" w:hAnsi="宋体" w:cs="宋体"/>
          <w:color w:val="auto"/>
          <w:kern w:val="0"/>
          <w:sz w:val="24"/>
          <w:szCs w:val="24"/>
          <w:highlight w:val="none"/>
        </w:rPr>
        <w:t xml:space="preserve"> 约定预付款的，预付款的金额为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元，其支付办法和抵扣方式，按本条有关专用条款的约定。</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（2） 预付款的最高限额</w:t>
      </w:r>
    </w:p>
    <w:p>
      <w:pPr>
        <w:pStyle w:val="2"/>
        <w:shd w:val="clear" w:color="000000" w:fill="auto"/>
        <w:adjustRightInd w:val="0"/>
        <w:snapToGrid w:val="0"/>
        <w:spacing w:line="360" w:lineRule="auto"/>
        <w:rPr>
          <w:rFonts w:hAnsi="宋体"/>
          <w:color w:val="auto"/>
          <w:kern w:val="0"/>
          <w:sz w:val="24"/>
          <w:szCs w:val="24"/>
          <w:highlight w:val="none"/>
        </w:rPr>
      </w:pPr>
      <w:r>
        <w:rPr>
          <w:rFonts w:hint="eastAsia" w:hAnsi="宋体"/>
          <w:color w:val="auto"/>
          <w:kern w:val="0"/>
          <w:sz w:val="24"/>
          <w:szCs w:val="24"/>
          <w:highlight w:val="none"/>
        </w:rPr>
        <w:t xml:space="preserve">  □ 预付比例不低于合同价款（扣除暂列金额）的10%，不高于合同价款（扣除暂列金额）的30%</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，即 </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%，即  </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元。</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hAnsi="宋体"/>
          <w:color w:val="auto"/>
          <w:kern w:val="0"/>
          <w:sz w:val="24"/>
          <w:szCs w:val="24"/>
          <w:highlight w:val="none"/>
        </w:rPr>
        <w:t>□</w:t>
      </w:r>
      <w:r>
        <w:rPr>
          <w:rFonts w:hint="eastAsia" w:ascii="宋体" w:hAnsi="宋体" w:cs="宋体"/>
          <w:color w:val="auto"/>
          <w:kern w:val="0"/>
          <w:sz w:val="24"/>
          <w:szCs w:val="24"/>
          <w:highlight w:val="none"/>
        </w:rPr>
        <w:t xml:space="preserve"> 另作约定：</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w:t>
      </w:r>
      <w:r>
        <w:rPr>
          <w:rFonts w:hint="eastAsia" w:ascii="宋体" w:hAnsi="宋体" w:cs="宋体"/>
          <w:color w:val="auto"/>
          <w:kern w:val="0"/>
          <w:sz w:val="24"/>
          <w:szCs w:val="24"/>
          <w:highlight w:val="none"/>
          <w:u w:val="single"/>
        </w:rPr>
        <w:t xml:space="preserve"> </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79.2 提交预付款支付申请期限：</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hAnsi="宋体"/>
          <w:color w:val="auto"/>
          <w:kern w:val="0"/>
          <w:sz w:val="24"/>
          <w:szCs w:val="24"/>
          <w:highlight w:val="none"/>
        </w:rPr>
        <w:t>□</w:t>
      </w:r>
      <w:r>
        <w:rPr>
          <w:rFonts w:hint="eastAsia" w:ascii="宋体" w:hAnsi="宋体" w:cs="宋体"/>
          <w:color w:val="auto"/>
          <w:kern w:val="0"/>
          <w:sz w:val="24"/>
          <w:szCs w:val="24"/>
          <w:highlight w:val="none"/>
        </w:rPr>
        <w:t xml:space="preserve"> 按承包人在完成本款三项工作后的7天内。</w:t>
      </w:r>
    </w:p>
    <w:p>
      <w:pPr>
        <w:shd w:val="clear" w:color="000000" w:fill="auto"/>
        <w:spacing w:line="360" w:lineRule="auto"/>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xml:space="preserve">  □ 另作约定：</w:t>
      </w:r>
      <w:r>
        <w:rPr>
          <w:rFonts w:hint="eastAsia" w:ascii="宋体" w:hAnsi="宋体" w:cs="宋体"/>
          <w:color w:val="auto"/>
          <w:kern w:val="0"/>
          <w:sz w:val="24"/>
          <w:szCs w:val="24"/>
          <w:highlight w:val="none"/>
          <w:u w:val="single"/>
        </w:rPr>
        <w:t xml:space="preserve">      /                    </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79.4 预付款抵扣方式</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预付款按照期中应支付工程款的</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%扣回，直到扣完为止。</w:t>
      </w:r>
    </w:p>
    <w:p>
      <w:pPr>
        <w:shd w:val="clear" w:color="000000" w:fill="auto"/>
        <w:spacing w:line="360" w:lineRule="auto"/>
        <w:rPr>
          <w:rFonts w:hint="eastAsia" w:ascii="宋体" w:hAnsi="宋体" w:eastAsia="宋体"/>
          <w:color w:val="auto"/>
          <w:kern w:val="0"/>
          <w:highlight w:val="none"/>
          <w:lang w:eastAsia="zh-CN"/>
        </w:rPr>
      </w:pPr>
      <w:r>
        <w:rPr>
          <w:rFonts w:hint="eastAsia" w:ascii="宋体" w:hAnsi="宋体" w:cs="宋体"/>
          <w:color w:val="auto"/>
          <w:kern w:val="0"/>
          <w:sz w:val="24"/>
          <w:szCs w:val="24"/>
          <w:highlight w:val="none"/>
        </w:rPr>
        <w:t xml:space="preserve">  </w:t>
      </w:r>
      <w:r>
        <w:rPr>
          <w:rFonts w:hint="eastAsia" w:hAnsi="宋体"/>
          <w:color w:val="auto"/>
          <w:kern w:val="0"/>
          <w:sz w:val="24"/>
          <w:szCs w:val="24"/>
          <w:highlight w:val="none"/>
        </w:rPr>
        <w:t>□</w:t>
      </w:r>
      <w:r>
        <w:rPr>
          <w:rFonts w:hint="eastAsia" w:ascii="宋体" w:hAnsi="宋体" w:cs="宋体"/>
          <w:color w:val="auto"/>
          <w:kern w:val="0"/>
          <w:sz w:val="24"/>
          <w:szCs w:val="24"/>
          <w:highlight w:val="none"/>
        </w:rPr>
        <w:t xml:space="preserve"> 其它方式：</w:t>
      </w:r>
      <w:r>
        <w:rPr>
          <w:rFonts w:hint="eastAsia" w:ascii="宋体" w:hAnsi="宋体" w:cs="宋体"/>
          <w:color w:val="auto"/>
          <w:sz w:val="24"/>
          <w:szCs w:val="24"/>
          <w:highlight w:val="none"/>
          <w:u w:val="single"/>
          <w:lang w:val="en-US" w:eastAsia="zh-CN"/>
        </w:rPr>
        <w:t>/</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636" w:name="_Toc15494"/>
      <w:bookmarkStart w:id="637" w:name="_Toc28679"/>
      <w:bookmarkStart w:id="638" w:name="_Toc10624973"/>
      <w:bookmarkStart w:id="639" w:name="_Toc469384129"/>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80. </w:t>
      </w:r>
      <w:r>
        <w:rPr>
          <w:rFonts w:hint="eastAsia" w:ascii="仿宋" w:hAnsi="仿宋" w:eastAsia="仿宋" w:cs="仿宋"/>
          <w:b/>
          <w:bCs/>
          <w:color w:val="auto"/>
          <w:sz w:val="24"/>
          <w:szCs w:val="24"/>
          <w:highlight w:val="none"/>
        </w:rPr>
        <w:t>绿色施工安全防护费</w:t>
      </w:r>
      <w:bookmarkEnd w:id="636"/>
      <w:bookmarkEnd w:id="637"/>
      <w:bookmarkEnd w:id="638"/>
      <w:bookmarkEnd w:id="639"/>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宋体" w:hAnsi="宋体" w:cs="宋体"/>
          <w:b/>
          <w:bCs/>
          <w:color w:val="auto"/>
          <w:sz w:val="24"/>
          <w:szCs w:val="24"/>
          <w:highlight w:val="none"/>
        </w:rPr>
        <w:t>★</w:t>
      </w:r>
      <w:r>
        <w:rPr>
          <w:rFonts w:hint="eastAsia" w:ascii="宋体" w:hAnsi="宋体" w:cs="宋体"/>
          <w:color w:val="auto"/>
          <w:kern w:val="0"/>
          <w:sz w:val="24"/>
          <w:szCs w:val="24"/>
          <w:highlight w:val="none"/>
        </w:rPr>
        <w:t xml:space="preserve">80.1 </w:t>
      </w:r>
      <w:r>
        <w:rPr>
          <w:rFonts w:hint="eastAsia" w:ascii="宋体" w:hAnsi="宋体" w:cs="宋体"/>
          <w:color w:val="auto"/>
          <w:sz w:val="24"/>
          <w:szCs w:val="24"/>
          <w:highlight w:val="none"/>
        </w:rPr>
        <w:t>绿色施工安全防护</w:t>
      </w:r>
      <w:r>
        <w:rPr>
          <w:rFonts w:hint="eastAsia" w:ascii="宋体" w:hAnsi="宋体" w:cs="宋体"/>
          <w:color w:val="auto"/>
          <w:kern w:val="0"/>
          <w:sz w:val="24"/>
          <w:szCs w:val="24"/>
          <w:highlight w:val="none"/>
        </w:rPr>
        <w:t>费的内容、范围和金额</w:t>
      </w:r>
    </w:p>
    <w:p>
      <w:pPr>
        <w:shd w:val="clear" w:color="000000" w:fill="auto"/>
        <w:spacing w:line="360" w:lineRule="auto"/>
        <w:outlineLvl w:val="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bookmarkStart w:id="640" w:name="_Toc11566"/>
      <w:bookmarkStart w:id="641" w:name="_Toc20380"/>
      <w:bookmarkStart w:id="642" w:name="_Toc15509"/>
      <w:bookmarkStart w:id="643" w:name="_Toc27690"/>
      <w:r>
        <w:rPr>
          <w:rFonts w:hint="eastAsia" w:ascii="宋体" w:hAnsi="宋体" w:cs="宋体"/>
          <w:color w:val="auto"/>
          <w:kern w:val="0"/>
          <w:sz w:val="24"/>
          <w:szCs w:val="24"/>
          <w:highlight w:val="none"/>
        </w:rPr>
        <w:t>（1） 内容和范围</w:t>
      </w:r>
      <w:bookmarkEnd w:id="640"/>
      <w:bookmarkEnd w:id="641"/>
      <w:bookmarkEnd w:id="642"/>
      <w:bookmarkEnd w:id="643"/>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按通用条款的规定，以现行广东省统一工程计价依据规定、</w:t>
      </w:r>
      <w:r>
        <w:rPr>
          <w:rFonts w:hint="eastAsia" w:ascii="宋体" w:hAnsi="宋体" w:cs="宋体"/>
          <w:color w:val="auto"/>
          <w:sz w:val="24"/>
          <w:szCs w:val="24"/>
          <w:highlight w:val="none"/>
        </w:rPr>
        <w:t>省市造价管理部门发布管理文件</w:t>
      </w:r>
      <w:r>
        <w:rPr>
          <w:rFonts w:hint="eastAsia" w:ascii="宋体" w:hAnsi="宋体" w:cs="宋体"/>
          <w:color w:val="auto"/>
          <w:kern w:val="0"/>
          <w:sz w:val="24"/>
          <w:szCs w:val="24"/>
          <w:highlight w:val="none"/>
        </w:rPr>
        <w:t>为准。</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另作约定：</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 xml:space="preserve">        </w:t>
      </w:r>
    </w:p>
    <w:p>
      <w:pPr>
        <w:shd w:val="clear" w:color="000000" w:fill="auto"/>
        <w:spacing w:line="360" w:lineRule="auto"/>
        <w:outlineLvl w:val="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bookmarkStart w:id="644" w:name="_Toc18787"/>
      <w:bookmarkStart w:id="645" w:name="_Toc27946"/>
      <w:bookmarkStart w:id="646" w:name="_Toc982"/>
      <w:bookmarkStart w:id="647" w:name="_Toc23274"/>
      <w:r>
        <w:rPr>
          <w:rFonts w:hint="eastAsia" w:ascii="宋体" w:hAnsi="宋体" w:cs="宋体"/>
          <w:color w:val="auto"/>
          <w:kern w:val="0"/>
          <w:sz w:val="24"/>
          <w:szCs w:val="24"/>
          <w:highlight w:val="none"/>
        </w:rPr>
        <w:t xml:space="preserve">（2） </w:t>
      </w:r>
      <w:r>
        <w:rPr>
          <w:rFonts w:hint="eastAsia" w:ascii="宋体" w:hAnsi="宋体" w:cs="宋体"/>
          <w:color w:val="auto"/>
          <w:sz w:val="24"/>
          <w:szCs w:val="24"/>
          <w:highlight w:val="none"/>
        </w:rPr>
        <w:t>绿色施工安全防护</w:t>
      </w:r>
      <w:r>
        <w:rPr>
          <w:rFonts w:hint="eastAsia" w:ascii="宋体" w:hAnsi="宋体" w:cs="宋体"/>
          <w:color w:val="auto"/>
          <w:kern w:val="0"/>
          <w:sz w:val="24"/>
          <w:szCs w:val="24"/>
          <w:highlight w:val="none"/>
        </w:rPr>
        <w:t>费的总金额为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元；</w:t>
      </w:r>
      <w:bookmarkEnd w:id="644"/>
      <w:bookmarkEnd w:id="645"/>
      <w:bookmarkEnd w:id="646"/>
      <w:bookmarkEnd w:id="647"/>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其中：施工扬尘污染防治措施费为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元；</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用工实名管理费为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元。</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危大工程安全防护文明施工措施费</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元。</w:t>
      </w:r>
    </w:p>
    <w:p>
      <w:pPr>
        <w:shd w:val="clear" w:color="000000" w:fill="auto"/>
        <w:spacing w:line="360" w:lineRule="auto"/>
        <w:outlineLvl w:val="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bookmarkStart w:id="648" w:name="_Toc19286"/>
      <w:bookmarkStart w:id="649" w:name="_Toc18494"/>
      <w:bookmarkStart w:id="650" w:name="_Toc32056"/>
      <w:bookmarkStart w:id="651" w:name="_Toc19044"/>
      <w:r>
        <w:rPr>
          <w:rFonts w:hint="eastAsia" w:ascii="宋体" w:hAnsi="宋体" w:cs="宋体"/>
          <w:color w:val="auto"/>
          <w:kern w:val="0"/>
          <w:sz w:val="24"/>
          <w:szCs w:val="24"/>
          <w:highlight w:val="none"/>
        </w:rPr>
        <w:t>80.2 支付申请的提交与核实</w:t>
      </w:r>
      <w:bookmarkEnd w:id="648"/>
      <w:bookmarkEnd w:id="649"/>
      <w:bookmarkEnd w:id="650"/>
      <w:bookmarkEnd w:id="651"/>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按通用条款的规定。</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另作约定：</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 xml:space="preserve">       </w:t>
      </w:r>
    </w:p>
    <w:p>
      <w:pPr>
        <w:shd w:val="clear" w:color="000000" w:fill="auto"/>
        <w:spacing w:line="360" w:lineRule="auto"/>
        <w:outlineLvl w:val="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bookmarkStart w:id="652" w:name="_Toc2483"/>
      <w:bookmarkStart w:id="653" w:name="_Toc13108"/>
      <w:bookmarkStart w:id="654" w:name="_Toc13559"/>
      <w:bookmarkStart w:id="655" w:name="_Toc32275"/>
      <w:r>
        <w:rPr>
          <w:rFonts w:hint="eastAsia" w:ascii="宋体" w:hAnsi="宋体" w:cs="宋体"/>
          <w:color w:val="auto"/>
          <w:kern w:val="0"/>
          <w:sz w:val="24"/>
          <w:szCs w:val="24"/>
          <w:highlight w:val="none"/>
        </w:rPr>
        <w:t>80.3 费用支付</w:t>
      </w:r>
      <w:bookmarkEnd w:id="652"/>
      <w:bookmarkEnd w:id="653"/>
      <w:bookmarkEnd w:id="654"/>
      <w:bookmarkEnd w:id="655"/>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宋体" w:hAnsi="宋体" w:cs="宋体"/>
          <w:color w:val="auto"/>
          <w:sz w:val="24"/>
          <w:szCs w:val="24"/>
          <w:highlight w:val="none"/>
        </w:rPr>
        <w:t>绿色施工安全防护</w:t>
      </w:r>
      <w:r>
        <w:rPr>
          <w:rFonts w:hint="eastAsia" w:ascii="宋体" w:hAnsi="宋体" w:cs="宋体"/>
          <w:color w:val="auto"/>
          <w:kern w:val="0"/>
          <w:sz w:val="24"/>
          <w:szCs w:val="24"/>
          <w:highlight w:val="none"/>
        </w:rPr>
        <w:t>费的支付办法和抵扣方式：</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按通用条款的规定。</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另作约定：</w:t>
      </w:r>
      <w:r>
        <w:rPr>
          <w:rFonts w:hint="eastAsia" w:ascii="宋体" w:hAnsi="宋体" w:cs="宋体"/>
          <w:color w:val="auto"/>
          <w:kern w:val="0"/>
          <w:sz w:val="24"/>
          <w:szCs w:val="24"/>
          <w:highlight w:val="none"/>
          <w:u w:val="single"/>
          <w:lang w:val="en-US" w:eastAsia="zh-CN"/>
        </w:rPr>
        <w:t>/</w:t>
      </w: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rPr>
        <w:t xml:space="preserve"> </w:t>
      </w:r>
    </w:p>
    <w:p>
      <w:pPr>
        <w:shd w:val="clear" w:color="000000" w:fill="auto"/>
        <w:spacing w:line="360" w:lineRule="auto"/>
        <w:ind w:firstLine="241" w:firstLineChars="100"/>
        <w:rPr>
          <w:rFonts w:ascii="宋体" w:hAnsi="宋体" w:cs="宋体"/>
          <w:b/>
          <w:bCs/>
          <w:color w:val="auto"/>
          <w:kern w:val="0"/>
          <w:sz w:val="24"/>
          <w:szCs w:val="24"/>
          <w:highlight w:val="none"/>
        </w:rPr>
      </w:pPr>
      <w:r>
        <w:rPr>
          <w:rFonts w:hint="eastAsia" w:ascii="宋体" w:hAnsi="宋体" w:cs="宋体"/>
          <w:b/>
          <w:bCs/>
          <w:color w:val="auto"/>
          <w:sz w:val="24"/>
          <w:szCs w:val="24"/>
          <w:highlight w:val="none"/>
        </w:rPr>
        <w:t>★</w:t>
      </w:r>
      <w:r>
        <w:rPr>
          <w:rFonts w:hint="eastAsia" w:ascii="宋体" w:hAnsi="宋体" w:cs="宋体"/>
          <w:color w:val="auto"/>
          <w:kern w:val="0"/>
          <w:sz w:val="24"/>
          <w:szCs w:val="24"/>
          <w:highlight w:val="none"/>
        </w:rPr>
        <w:t>80.6 文明工地增加费</w:t>
      </w:r>
    </w:p>
    <w:p>
      <w:pPr>
        <w:shd w:val="clear" w:color="000000" w:fill="auto"/>
        <w:spacing w:line="360" w:lineRule="auto"/>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xml:space="preserve">       文明工地增加费的计算额度：</w:t>
      </w:r>
      <w:r>
        <w:rPr>
          <w:rFonts w:hint="eastAsia" w:ascii="宋体" w:hAnsi="宋体" w:cs="宋体"/>
          <w:color w:val="auto"/>
          <w:kern w:val="0"/>
          <w:sz w:val="24"/>
          <w:szCs w:val="24"/>
          <w:highlight w:val="none"/>
          <w:u w:val="single"/>
        </w:rPr>
        <w:t xml:space="preserve">  / </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按通用条款规定计算。</w:t>
      </w:r>
    </w:p>
    <w:p>
      <w:pPr>
        <w:shd w:val="clear" w:color="000000" w:fill="auto"/>
        <w:spacing w:line="360" w:lineRule="auto"/>
        <w:ind w:firstLine="240" w:firstLineChars="1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按分部分项工程费为基础计算。</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另作约定（文明工地增加费率参考广东省建设工程计价依据文明工地增加费、广州市住房和城乡建设局发布的文明工地增加费；合同工程同时获得下列多个奖项的，只按最高奖项的额度计算。）：</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宋体" w:hAnsi="宋体" w:cs="宋体"/>
          <w:color w:val="auto"/>
          <w:sz w:val="24"/>
          <w:szCs w:val="24"/>
          <w:highlight w:val="none"/>
        </w:rPr>
        <w:t>市级安全文明工地</w:t>
      </w:r>
      <w:r>
        <w:rPr>
          <w:rFonts w:hint="eastAsia" w:ascii="宋体" w:hAnsi="宋体" w:cs="宋体"/>
          <w:color w:val="auto"/>
          <w:kern w:val="0"/>
          <w:sz w:val="24"/>
          <w:szCs w:val="24"/>
          <w:highlight w:val="none"/>
        </w:rPr>
        <w:t>增加费</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 xml:space="preserve"> %；</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宋体" w:hAnsi="宋体" w:cs="宋体"/>
          <w:color w:val="auto"/>
          <w:sz w:val="24"/>
          <w:szCs w:val="24"/>
          <w:highlight w:val="none"/>
        </w:rPr>
        <w:t>省级安全文明工地</w:t>
      </w:r>
      <w:r>
        <w:rPr>
          <w:rFonts w:hint="eastAsia" w:ascii="宋体" w:hAnsi="宋体" w:cs="宋体"/>
          <w:color w:val="auto"/>
          <w:kern w:val="0"/>
          <w:sz w:val="24"/>
          <w:szCs w:val="24"/>
          <w:highlight w:val="none"/>
        </w:rPr>
        <w:t>增加费</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宋体" w:hAnsi="宋体" w:cs="宋体"/>
          <w:color w:val="auto"/>
          <w:sz w:val="24"/>
          <w:szCs w:val="24"/>
          <w:highlight w:val="none"/>
        </w:rPr>
        <w:t>国家级安全文明工地</w:t>
      </w:r>
      <w:r>
        <w:rPr>
          <w:rFonts w:hint="eastAsia" w:ascii="宋体" w:hAnsi="宋体" w:cs="宋体"/>
          <w:color w:val="auto"/>
          <w:kern w:val="0"/>
          <w:sz w:val="24"/>
          <w:szCs w:val="24"/>
          <w:highlight w:val="none"/>
        </w:rPr>
        <w:t>增加费</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其它</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，文明工地增加费</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 xml:space="preserve"> %。</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656" w:name="_Toc469384130"/>
      <w:bookmarkStart w:id="657" w:name="_Toc30570"/>
      <w:bookmarkStart w:id="658" w:name="_Toc17759"/>
      <w:bookmarkStart w:id="659" w:name="_Toc10624974"/>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81. </w:t>
      </w:r>
      <w:r>
        <w:rPr>
          <w:rFonts w:hint="eastAsia" w:ascii="仿宋" w:hAnsi="仿宋" w:eastAsia="仿宋" w:cs="仿宋"/>
          <w:b/>
          <w:bCs/>
          <w:color w:val="auto"/>
          <w:sz w:val="24"/>
          <w:szCs w:val="24"/>
          <w:highlight w:val="none"/>
        </w:rPr>
        <w:t>进度款</w:t>
      </w:r>
      <w:bookmarkEnd w:id="656"/>
      <w:bookmarkEnd w:id="657"/>
      <w:bookmarkEnd w:id="658"/>
      <w:bookmarkEnd w:id="659"/>
    </w:p>
    <w:p>
      <w:pPr>
        <w:shd w:val="clear" w:color="000000" w:fill="auto"/>
        <w:spacing w:line="360" w:lineRule="auto"/>
        <w:outlineLvl w:val="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bookmarkStart w:id="660" w:name="_Toc10789"/>
      <w:bookmarkStart w:id="661" w:name="_Toc29968"/>
      <w:bookmarkStart w:id="662" w:name="_Toc28443"/>
      <w:bookmarkStart w:id="663" w:name="_Toc28273"/>
      <w:r>
        <w:rPr>
          <w:rFonts w:hint="eastAsia" w:ascii="宋体" w:hAnsi="宋体" w:cs="宋体"/>
          <w:color w:val="auto"/>
          <w:kern w:val="0"/>
          <w:sz w:val="24"/>
          <w:szCs w:val="24"/>
          <w:highlight w:val="none"/>
        </w:rPr>
        <w:t>81.1 约定支付期限和提交支付申请</w:t>
      </w:r>
      <w:bookmarkEnd w:id="660"/>
      <w:bookmarkEnd w:id="661"/>
      <w:bookmarkEnd w:id="662"/>
      <w:bookmarkEnd w:id="663"/>
    </w:p>
    <w:p>
      <w:pPr>
        <w:shd w:val="clear" w:color="000000" w:fill="auto"/>
        <w:spacing w:line="360" w:lineRule="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bookmarkStart w:id="664" w:name="_Toc23330"/>
      <w:bookmarkStart w:id="665" w:name="_Toc3076"/>
      <w:bookmarkStart w:id="666" w:name="_Toc27571"/>
      <w:bookmarkStart w:id="667" w:name="_Toc1429"/>
      <w:r>
        <w:rPr>
          <w:rFonts w:hint="eastAsia" w:ascii="宋体" w:hAnsi="宋体" w:cs="宋体"/>
          <w:color w:val="auto"/>
          <w:kern w:val="0"/>
          <w:sz w:val="24"/>
          <w:szCs w:val="24"/>
          <w:highlight w:val="none"/>
        </w:rPr>
        <w:t>（1） 支付期限、比例</w:t>
      </w:r>
      <w:bookmarkEnd w:id="664"/>
      <w:bookmarkEnd w:id="665"/>
      <w:bookmarkEnd w:id="666"/>
      <w:bookmarkEnd w:id="667"/>
    </w:p>
    <w:p>
      <w:pPr>
        <w:keepNext w:val="0"/>
        <w:keepLines w:val="0"/>
        <w:pageBreakBefore w:val="0"/>
        <w:widowControl w:val="0"/>
        <w:shd w:val="clear" w:color="000000" w:fill="auto"/>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①合同签订、承包人进场施工后10个工作日内，发包人向承包人预付合同价（合同价-暂列金额）10%；</w:t>
      </w:r>
    </w:p>
    <w:p>
      <w:pPr>
        <w:keepNext w:val="0"/>
        <w:keepLines w:val="0"/>
        <w:pageBreakBefore w:val="0"/>
        <w:widowControl w:val="0"/>
        <w:shd w:val="clear" w:color="000000" w:fill="auto"/>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②工程进度达到50%</w:t>
      </w:r>
      <w:r>
        <w:rPr>
          <w:rFonts w:hint="eastAsia" w:ascii="宋体" w:hAnsi="宋体" w:cs="宋体"/>
          <w:color w:val="auto"/>
          <w:kern w:val="0"/>
          <w:sz w:val="24"/>
          <w:szCs w:val="24"/>
          <w:highlight w:val="none"/>
          <w:lang w:val="en-US" w:eastAsia="zh-CN"/>
        </w:rPr>
        <w:t>后，</w:t>
      </w:r>
      <w:r>
        <w:rPr>
          <w:rFonts w:hint="eastAsia" w:ascii="宋体" w:hAnsi="宋体" w:cs="宋体"/>
          <w:color w:val="auto"/>
          <w:kern w:val="0"/>
          <w:sz w:val="24"/>
          <w:szCs w:val="24"/>
          <w:highlight w:val="none"/>
        </w:rPr>
        <w:t>待专项资金到账</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支付至合同价的（合同价-暂列金额）</w:t>
      </w:r>
      <w:r>
        <w:rPr>
          <w:rFonts w:hint="eastAsia" w:ascii="宋体" w:hAnsi="宋体" w:cs="宋体"/>
          <w:color w:val="auto"/>
          <w:kern w:val="0"/>
          <w:sz w:val="24"/>
          <w:szCs w:val="24"/>
          <w:highlight w:val="none"/>
          <w:lang w:val="en-US" w:eastAsia="zh-CN"/>
        </w:rPr>
        <w:t>的</w:t>
      </w:r>
      <w:r>
        <w:rPr>
          <w:rFonts w:hint="eastAsia" w:ascii="宋体" w:hAnsi="宋体" w:cs="宋体"/>
          <w:color w:val="auto"/>
          <w:kern w:val="0"/>
          <w:sz w:val="24"/>
          <w:szCs w:val="24"/>
          <w:highlight w:val="none"/>
        </w:rPr>
        <w:t>30%；</w:t>
      </w:r>
    </w:p>
    <w:p>
      <w:pPr>
        <w:keepNext w:val="0"/>
        <w:keepLines w:val="0"/>
        <w:pageBreakBefore w:val="0"/>
        <w:widowControl w:val="0"/>
        <w:shd w:val="clear" w:color="000000" w:fill="auto"/>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③工程进度达到</w:t>
      </w:r>
      <w:r>
        <w:rPr>
          <w:rFonts w:hint="eastAsia" w:ascii="宋体" w:hAnsi="宋体" w:cs="宋体"/>
          <w:color w:val="auto"/>
          <w:kern w:val="0"/>
          <w:sz w:val="24"/>
          <w:szCs w:val="24"/>
          <w:highlight w:val="none"/>
          <w:lang w:val="en-US" w:eastAsia="zh-CN"/>
        </w:rPr>
        <w:t>70</w:t>
      </w:r>
      <w:r>
        <w:rPr>
          <w:rFonts w:hint="eastAsia" w:ascii="宋体" w:hAnsi="宋体" w:cs="宋体"/>
          <w:color w:val="auto"/>
          <w:kern w:val="0"/>
          <w:sz w:val="24"/>
          <w:szCs w:val="24"/>
          <w:highlight w:val="none"/>
        </w:rPr>
        <w:t>%后，待专项资金到账，支付至合同价的（合同价-暂列金额）的</w:t>
      </w:r>
      <w:r>
        <w:rPr>
          <w:rFonts w:hint="eastAsia" w:ascii="宋体" w:hAnsi="宋体" w:cs="宋体"/>
          <w:color w:val="auto"/>
          <w:kern w:val="0"/>
          <w:sz w:val="24"/>
          <w:szCs w:val="24"/>
          <w:highlight w:val="none"/>
          <w:lang w:val="en-US" w:eastAsia="zh-CN"/>
        </w:rPr>
        <w:t>55</w:t>
      </w:r>
      <w:r>
        <w:rPr>
          <w:rFonts w:hint="eastAsia" w:ascii="宋体" w:hAnsi="宋体" w:cs="宋体"/>
          <w:color w:val="auto"/>
          <w:kern w:val="0"/>
          <w:sz w:val="24"/>
          <w:szCs w:val="24"/>
          <w:highlight w:val="none"/>
        </w:rPr>
        <w:t>%；</w:t>
      </w:r>
    </w:p>
    <w:p>
      <w:pPr>
        <w:keepNext w:val="0"/>
        <w:keepLines w:val="0"/>
        <w:pageBreakBefore w:val="0"/>
        <w:widowControl w:val="0"/>
        <w:shd w:val="clear" w:color="000000" w:fill="auto"/>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④工程进度达到100%通过验收</w:t>
      </w:r>
      <w:r>
        <w:rPr>
          <w:rFonts w:hint="eastAsia" w:ascii="宋体" w:hAnsi="宋体" w:cs="宋体"/>
          <w:color w:val="auto"/>
          <w:kern w:val="0"/>
          <w:sz w:val="24"/>
          <w:szCs w:val="24"/>
          <w:highlight w:val="none"/>
          <w:lang w:val="en-US" w:eastAsia="zh-CN"/>
        </w:rPr>
        <w:t>后</w:t>
      </w:r>
      <w:r>
        <w:rPr>
          <w:rFonts w:hint="eastAsia" w:ascii="宋体" w:hAnsi="宋体" w:cs="宋体"/>
          <w:color w:val="auto"/>
          <w:kern w:val="0"/>
          <w:sz w:val="24"/>
          <w:szCs w:val="24"/>
          <w:highlight w:val="none"/>
        </w:rPr>
        <w:t>，待专项资金到账，支付至合同价的（合同价-暂列金额）的</w:t>
      </w:r>
      <w:r>
        <w:rPr>
          <w:rFonts w:hint="eastAsia" w:ascii="宋体" w:hAnsi="宋体" w:cs="宋体"/>
          <w:color w:val="auto"/>
          <w:kern w:val="0"/>
          <w:sz w:val="24"/>
          <w:szCs w:val="24"/>
          <w:highlight w:val="none"/>
          <w:lang w:val="en-US" w:eastAsia="zh-CN"/>
        </w:rPr>
        <w:t>85</w:t>
      </w:r>
      <w:r>
        <w:rPr>
          <w:rFonts w:hint="eastAsia" w:ascii="宋体" w:hAnsi="宋体" w:cs="宋体"/>
          <w:color w:val="auto"/>
          <w:kern w:val="0"/>
          <w:sz w:val="24"/>
          <w:szCs w:val="24"/>
          <w:highlight w:val="none"/>
        </w:rPr>
        <w:t>%；</w:t>
      </w:r>
    </w:p>
    <w:p>
      <w:pPr>
        <w:keepNext w:val="0"/>
        <w:keepLines w:val="0"/>
        <w:pageBreakBefore w:val="0"/>
        <w:widowControl w:val="0"/>
        <w:shd w:val="clear" w:color="000000" w:fill="auto"/>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⑤</w:t>
      </w:r>
      <w:r>
        <w:rPr>
          <w:rFonts w:hint="eastAsia" w:ascii="宋体" w:hAnsi="宋体" w:cs="宋体"/>
          <w:color w:val="auto"/>
          <w:kern w:val="0"/>
          <w:sz w:val="24"/>
          <w:szCs w:val="24"/>
          <w:highlight w:val="none"/>
          <w:lang w:val="en-US" w:eastAsia="zh-CN"/>
        </w:rPr>
        <w:t>待</w:t>
      </w:r>
      <w:r>
        <w:rPr>
          <w:rFonts w:hint="eastAsia" w:ascii="宋体" w:hAnsi="宋体" w:cs="宋体"/>
          <w:color w:val="auto"/>
          <w:kern w:val="0"/>
          <w:sz w:val="24"/>
          <w:szCs w:val="24"/>
          <w:highlight w:val="none"/>
        </w:rPr>
        <w:t>工程结算</w:t>
      </w:r>
      <w:r>
        <w:rPr>
          <w:rFonts w:hint="eastAsia" w:ascii="宋体" w:hAnsi="宋体" w:cs="宋体"/>
          <w:color w:val="auto"/>
          <w:kern w:val="0"/>
          <w:sz w:val="24"/>
          <w:szCs w:val="24"/>
          <w:highlight w:val="none"/>
          <w:lang w:val="en-US" w:eastAsia="zh-CN"/>
        </w:rPr>
        <w:t>并</w:t>
      </w:r>
      <w:r>
        <w:rPr>
          <w:rFonts w:hint="eastAsia" w:ascii="宋体" w:hAnsi="宋体" w:cs="宋体"/>
          <w:color w:val="auto"/>
          <w:kern w:val="0"/>
          <w:sz w:val="24"/>
          <w:szCs w:val="24"/>
          <w:highlight w:val="none"/>
        </w:rPr>
        <w:t>经广州市财政投资评审中心评审通过后,支付至结算总价的97%</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剩余3%的工程款作为质量保证金</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待竣工验收合格满二年且完成全部保修项目后一个月内无息付清</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若承包人的质量保证金采用银行保函形式的，发包人在</w:t>
      </w:r>
      <w:r>
        <w:rPr>
          <w:rFonts w:hint="eastAsia" w:ascii="宋体" w:hAnsi="宋体" w:cs="宋体"/>
          <w:color w:val="auto"/>
          <w:kern w:val="0"/>
          <w:sz w:val="24"/>
          <w:szCs w:val="24"/>
          <w:highlight w:val="none"/>
          <w:lang w:eastAsia="zh-CN"/>
        </w:rPr>
        <w:t>收到3%的质保金银行保函后支付至审定结算工程总价款的100%</w:t>
      </w:r>
      <w:r>
        <w:rPr>
          <w:rFonts w:hint="eastAsia" w:ascii="宋体" w:hAnsi="宋体" w:cs="宋体"/>
          <w:color w:val="auto"/>
          <w:kern w:val="0"/>
          <w:sz w:val="24"/>
          <w:szCs w:val="24"/>
          <w:highlight w:val="none"/>
        </w:rPr>
        <w:t>。</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以季度为单位，支付比例：</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以形象进度为准，具体为：</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1）</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 xml:space="preserve">  </w:t>
      </w:r>
    </w:p>
    <w:p>
      <w:pPr>
        <w:shd w:val="clear" w:color="000000" w:fill="auto"/>
        <w:spacing w:line="360" w:lineRule="auto"/>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xml:space="preserve">   2）</w:t>
      </w:r>
      <w:r>
        <w:rPr>
          <w:rFonts w:hint="eastAsia" w:ascii="宋体" w:hAnsi="宋体" w:cs="宋体"/>
          <w:color w:val="auto"/>
          <w:kern w:val="0"/>
          <w:sz w:val="24"/>
          <w:szCs w:val="24"/>
          <w:highlight w:val="none"/>
          <w:u w:val="single"/>
        </w:rPr>
        <w:t xml:space="preserve">         /          </w:t>
      </w:r>
    </w:p>
    <w:p>
      <w:pPr>
        <w:shd w:val="clear" w:color="000000" w:fill="auto"/>
        <w:spacing w:line="360" w:lineRule="auto"/>
        <w:ind w:firstLine="240" w:firstLineChars="1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□实施施工过程结算方式，具体为：</w:t>
      </w:r>
      <w:r>
        <w:rPr>
          <w:rFonts w:hint="eastAsia" w:ascii="宋体" w:hAnsi="宋体" w:cs="宋体"/>
          <w:color w:val="auto"/>
          <w:kern w:val="0"/>
          <w:sz w:val="24"/>
          <w:szCs w:val="24"/>
          <w:highlight w:val="none"/>
          <w:u w:val="single"/>
        </w:rPr>
        <w:t xml:space="preserve">        /          </w:t>
      </w:r>
    </w:p>
    <w:p>
      <w:pPr>
        <w:shd w:val="clear" w:color="000000" w:fill="auto"/>
        <w:spacing w:line="360" w:lineRule="auto"/>
        <w:ind w:firstLine="240" w:firstLineChars="1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其它方式：</w:t>
      </w:r>
      <w:r>
        <w:rPr>
          <w:rFonts w:hint="eastAsia" w:ascii="宋体" w:hAnsi="宋体" w:cs="宋体"/>
          <w:color w:val="auto"/>
          <w:kern w:val="0"/>
          <w:sz w:val="24"/>
          <w:szCs w:val="24"/>
          <w:highlight w:val="none"/>
          <w:u w:val="single"/>
        </w:rPr>
        <w:t xml:space="preserve">       /     </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81.1 （11）本期间应支付或扣留（回）的其他款项：</w:t>
      </w:r>
      <w:r>
        <w:rPr>
          <w:rFonts w:hint="eastAsia" w:ascii="宋体" w:hAnsi="宋体" w:cs="宋体"/>
          <w:color w:val="auto"/>
          <w:kern w:val="0"/>
          <w:sz w:val="24"/>
          <w:szCs w:val="24"/>
          <w:highlight w:val="none"/>
          <w:u w:val="single"/>
        </w:rPr>
        <w:t xml:space="preserve">  按合同约定 </w:t>
      </w:r>
    </w:p>
    <w:p>
      <w:pPr>
        <w:shd w:val="clear" w:color="000000" w:fill="auto"/>
        <w:spacing w:line="360" w:lineRule="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bookmarkStart w:id="668" w:name="_Toc29523"/>
      <w:bookmarkStart w:id="669" w:name="_Toc11527"/>
      <w:bookmarkStart w:id="670" w:name="_Toc28448"/>
      <w:bookmarkStart w:id="671" w:name="_Toc13809"/>
      <w:r>
        <w:rPr>
          <w:rFonts w:hint="eastAsia" w:ascii="宋体" w:hAnsi="宋体" w:cs="宋体"/>
          <w:color w:val="auto"/>
          <w:kern w:val="0"/>
          <w:sz w:val="24"/>
          <w:szCs w:val="24"/>
          <w:highlight w:val="none"/>
        </w:rPr>
        <w:t>（2） 政府资金投资工程的支付期、支付办法</w:t>
      </w:r>
      <w:bookmarkEnd w:id="668"/>
      <w:bookmarkEnd w:id="669"/>
      <w:bookmarkEnd w:id="670"/>
      <w:bookmarkEnd w:id="671"/>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按通用条款的规定。</w:t>
      </w:r>
    </w:p>
    <w:p>
      <w:pPr>
        <w:shd w:val="clear" w:color="000000" w:fill="auto"/>
        <w:spacing w:line="360" w:lineRule="auto"/>
        <w:ind w:firstLine="240" w:firstLineChars="1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实施施工过程结算方式：</w:t>
      </w:r>
      <w:r>
        <w:rPr>
          <w:rFonts w:hint="eastAsia" w:ascii="宋体" w:hAnsi="宋体" w:cs="宋体"/>
          <w:color w:val="auto"/>
          <w:kern w:val="0"/>
          <w:sz w:val="24"/>
          <w:szCs w:val="24"/>
          <w:highlight w:val="none"/>
          <w:u w:val="single"/>
        </w:rPr>
        <w:t xml:space="preserve">     /              </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其它方式：</w:t>
      </w:r>
      <w:r>
        <w:rPr>
          <w:rFonts w:hint="eastAsia" w:ascii="宋体" w:hAnsi="宋体" w:cs="宋体"/>
          <w:color w:val="auto"/>
          <w:kern w:val="0"/>
          <w:sz w:val="24"/>
          <w:szCs w:val="24"/>
          <w:highlight w:val="none"/>
          <w:u w:val="single"/>
        </w:rPr>
        <w:t xml:space="preserve">   /                  </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81.2 期中支付的最低限额为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元。</w:t>
      </w:r>
    </w:p>
    <w:p>
      <w:pPr>
        <w:shd w:val="clear" w:color="000000" w:fill="auto"/>
        <w:spacing w:line="360" w:lineRule="auto"/>
        <w:ind w:firstLine="240" w:firstLineChars="1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w:t>
      </w:r>
      <w:r>
        <w:rPr>
          <w:rFonts w:ascii="宋体" w:hAnsi="宋体" w:cs="宋体"/>
          <w:color w:val="auto"/>
          <w:kern w:val="0"/>
          <w:sz w:val="24"/>
          <w:szCs w:val="24"/>
          <w:highlight w:val="none"/>
        </w:rPr>
        <w:t xml:space="preserve">1.3 </w:t>
      </w:r>
      <w:r>
        <w:rPr>
          <w:rFonts w:hint="eastAsia" w:ascii="宋体" w:hAnsi="宋体" w:cs="宋体"/>
          <w:color w:val="auto"/>
          <w:kern w:val="0"/>
          <w:sz w:val="24"/>
          <w:szCs w:val="24"/>
          <w:highlight w:val="none"/>
        </w:rPr>
        <w:t>进度款支付 ：发包人应在造价工程师签发期中支付证书后的14天内，承包人提供增值税专用发票，按照期中支付证书列明的金额向承包人支付进度款，并通知造价工程师。</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672" w:name="_Toc469384131"/>
      <w:bookmarkStart w:id="673" w:name="_Toc17460"/>
      <w:bookmarkStart w:id="674" w:name="_Toc31902"/>
      <w:bookmarkStart w:id="675" w:name="_Toc10624975"/>
      <w:bookmarkStart w:id="676" w:name="_Toc25544"/>
      <w:r>
        <w:rPr>
          <w:rFonts w:ascii="仿宋" w:hAnsi="仿宋" w:eastAsia="仿宋" w:cs="仿宋"/>
          <w:b/>
          <w:bCs/>
          <w:color w:val="auto"/>
          <w:sz w:val="24"/>
          <w:szCs w:val="24"/>
          <w:highlight w:val="none"/>
        </w:rPr>
        <w:t xml:space="preserve">82. </w:t>
      </w:r>
      <w:r>
        <w:rPr>
          <w:rFonts w:hint="eastAsia" w:ascii="仿宋" w:hAnsi="仿宋" w:eastAsia="仿宋" w:cs="仿宋"/>
          <w:b/>
          <w:bCs/>
          <w:color w:val="auto"/>
          <w:sz w:val="24"/>
          <w:szCs w:val="24"/>
          <w:highlight w:val="none"/>
        </w:rPr>
        <w:t>竣工结算</w:t>
      </w:r>
      <w:bookmarkEnd w:id="672"/>
      <w:bookmarkEnd w:id="673"/>
      <w:bookmarkEnd w:id="674"/>
      <w:bookmarkEnd w:id="675"/>
      <w:bookmarkEnd w:id="676"/>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82.1 </w:t>
      </w:r>
    </w:p>
    <w:p>
      <w:pPr>
        <w:shd w:val="clear" w:color="000000" w:fill="auto"/>
        <w:spacing w:line="360" w:lineRule="auto"/>
        <w:ind w:firstLine="141" w:firstLineChars="59"/>
        <w:rPr>
          <w:rFonts w:ascii="宋体" w:hAnsi="宋体" w:cs="宋体"/>
          <w:color w:val="auto"/>
          <w:kern w:val="0"/>
          <w:sz w:val="24"/>
          <w:szCs w:val="24"/>
          <w:highlight w:val="none"/>
        </w:rPr>
      </w:pPr>
      <w:r>
        <w:rPr>
          <w:rFonts w:hint="eastAsia" w:ascii="宋体" w:hAnsi="宋体" w:cs="宋体"/>
          <w:color w:val="auto"/>
          <w:kern w:val="0"/>
          <w:sz w:val="24"/>
          <w:szCs w:val="24"/>
          <w:highlight w:val="none"/>
        </w:rPr>
        <w:t>（1）竣工结算的程序和时限：</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按通用条款的规定办理。</w:t>
      </w:r>
    </w:p>
    <w:p>
      <w:pPr>
        <w:shd w:val="clear" w:color="000000" w:fill="auto"/>
        <w:spacing w:line="360" w:lineRule="auto"/>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xml:space="preserve">  </w:t>
      </w: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另作约定：</w:t>
      </w:r>
    </w:p>
    <w:p>
      <w:pPr>
        <w:shd w:val="clear" w:color="000000" w:fill="auto"/>
        <w:autoSpaceDE w:val="0"/>
        <w:autoSpaceDN w:val="0"/>
        <w:adjustRightInd w:val="0"/>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办理结算程序和时限为：在工程通过竣工验收后，承包人在30天内提交合格完整的竣工资料</w:t>
      </w:r>
      <w:r>
        <w:rPr>
          <w:rFonts w:hint="eastAsia" w:ascii="宋体" w:hAnsi="宋体" w:cs="宋体"/>
          <w:color w:val="auto"/>
          <w:kern w:val="0"/>
          <w:sz w:val="24"/>
          <w:szCs w:val="24"/>
          <w:highlight w:val="none"/>
          <w:u w:val="single"/>
          <w:lang w:val="en-US" w:eastAsia="zh-CN"/>
        </w:rPr>
        <w:t>2套</w:t>
      </w:r>
      <w:r>
        <w:rPr>
          <w:rFonts w:hint="eastAsia" w:ascii="宋体" w:hAnsi="宋体" w:cs="宋体"/>
          <w:color w:val="auto"/>
          <w:kern w:val="0"/>
          <w:sz w:val="24"/>
          <w:szCs w:val="24"/>
          <w:highlight w:val="none"/>
          <w:u w:val="single"/>
        </w:rPr>
        <w:t>，发包人在收齐承包人有关结算资料后，经各方审计确定工程结算款。</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a.承包人必须对其所报竣工结算的准确性负责。</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b.发包人以最终审计确认的工程结算款作为结算付款依据，结算审定后，发包人发现工程款超付，则承包人必须在收到发包人的通知后15天内无条件退还发包人，若承包人迟延退还工程款，除向发包人退还超付工程款，还应向发包人支付该超付工程款的利息，该利息以银行同期贷款利率的2倍计算。</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c.承包人有义务按d条《工程结算评审资料送审要求》完成相关资料的搜集、整理，直至符合有关部门的要求。</w:t>
      </w:r>
    </w:p>
    <w:p>
      <w:pPr>
        <w:shd w:val="clear" w:color="000000" w:fill="auto"/>
        <w:spacing w:line="360" w:lineRule="auto"/>
        <w:ind w:firstLine="480" w:firstLineChars="200"/>
        <w:outlineLvl w:val="0"/>
        <w:rPr>
          <w:rFonts w:ascii="宋体" w:hAnsi="宋体" w:cs="宋体"/>
          <w:color w:val="auto"/>
          <w:sz w:val="24"/>
          <w:szCs w:val="24"/>
          <w:highlight w:val="none"/>
          <w:u w:val="single"/>
        </w:rPr>
      </w:pPr>
      <w:bookmarkStart w:id="677" w:name="_Toc8990"/>
      <w:bookmarkStart w:id="678" w:name="_Toc26737"/>
      <w:bookmarkStart w:id="679" w:name="_Toc31064"/>
      <w:bookmarkStart w:id="680" w:name="_Toc24224"/>
      <w:r>
        <w:rPr>
          <w:rFonts w:hint="eastAsia" w:ascii="宋体" w:hAnsi="宋体" w:cs="宋体"/>
          <w:color w:val="auto"/>
          <w:sz w:val="24"/>
          <w:szCs w:val="24"/>
          <w:highlight w:val="none"/>
          <w:u w:val="single"/>
        </w:rPr>
        <w:t>d.工程结算资料送审要求</w:t>
      </w:r>
      <w:bookmarkEnd w:id="677"/>
      <w:bookmarkEnd w:id="678"/>
      <w:bookmarkEnd w:id="679"/>
      <w:bookmarkEnd w:id="680"/>
    </w:p>
    <w:p>
      <w:pPr>
        <w:shd w:val="clear" w:color="000000" w:fill="auto"/>
        <w:spacing w:line="360" w:lineRule="auto"/>
        <w:ind w:firstLine="480" w:firstLineChars="200"/>
        <w:outlineLvl w:val="0"/>
        <w:rPr>
          <w:rFonts w:ascii="宋体" w:hAnsi="宋体" w:cs="宋体"/>
          <w:color w:val="auto"/>
          <w:sz w:val="24"/>
          <w:szCs w:val="24"/>
          <w:highlight w:val="none"/>
          <w:u w:val="single"/>
        </w:rPr>
      </w:pPr>
      <w:bookmarkStart w:id="681" w:name="_Toc16472"/>
      <w:bookmarkStart w:id="682" w:name="_Toc24257"/>
      <w:bookmarkStart w:id="683" w:name="_Toc8928"/>
      <w:bookmarkStart w:id="684" w:name="_Toc21983"/>
      <w:r>
        <w:rPr>
          <w:rFonts w:hint="eastAsia" w:ascii="宋体" w:hAnsi="宋体" w:cs="宋体"/>
          <w:color w:val="auto"/>
          <w:sz w:val="24"/>
          <w:szCs w:val="24"/>
          <w:highlight w:val="none"/>
          <w:u w:val="single"/>
        </w:rPr>
        <w:t>（一）需要提供的结算资料：</w:t>
      </w:r>
      <w:bookmarkEnd w:id="681"/>
      <w:bookmarkEnd w:id="682"/>
      <w:bookmarkEnd w:id="683"/>
      <w:bookmarkEnd w:id="684"/>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（1）工程结算书：</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（2）工程量计算书；</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（3）钢筋抽料表（土建专业适用）：</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（4）工程承包合同;</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（5）工程竣工图；</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（6）工程竣工资料；</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（7）图纸会审纪录：</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（8）设计变更单：</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（9）工程洽商记录；</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（10）监理工程师通知或业主施工指令;</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（11）会议纪要；</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（12）现场签证单：</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（13）材料设备单价呈批审核单；</w:t>
      </w:r>
    </w:p>
    <w:p>
      <w:pPr>
        <w:shd w:val="clear" w:color="000000" w:fill="auto"/>
        <w:spacing w:line="360" w:lineRule="auto"/>
        <w:ind w:firstLine="480" w:firstLineChars="200"/>
        <w:outlineLvl w:val="0"/>
        <w:rPr>
          <w:rFonts w:ascii="宋体" w:hAnsi="宋体" w:cs="宋体"/>
          <w:color w:val="auto"/>
          <w:sz w:val="24"/>
          <w:szCs w:val="24"/>
          <w:highlight w:val="none"/>
          <w:u w:val="single"/>
        </w:rPr>
      </w:pPr>
      <w:bookmarkStart w:id="685" w:name="_Toc25985"/>
      <w:bookmarkStart w:id="686" w:name="_Toc2616"/>
      <w:bookmarkStart w:id="687" w:name="_Toc5234"/>
      <w:bookmarkStart w:id="688" w:name="_Toc11125"/>
      <w:r>
        <w:rPr>
          <w:rFonts w:hint="eastAsia" w:ascii="宋体" w:hAnsi="宋体" w:cs="宋体"/>
          <w:color w:val="auto"/>
          <w:sz w:val="24"/>
          <w:szCs w:val="24"/>
          <w:highlight w:val="none"/>
          <w:u w:val="single"/>
        </w:rPr>
        <w:t>（14）综合单价呈批审核单；</w:t>
      </w:r>
      <w:bookmarkEnd w:id="685"/>
      <w:bookmarkEnd w:id="686"/>
      <w:bookmarkEnd w:id="687"/>
      <w:bookmarkEnd w:id="688"/>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（15）招标文件；</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（16）投标文件、中标通知书；</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（17）甲供材料收货验收签收单；</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（18）其他结算资料：</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（19）资料签收表。</w:t>
      </w:r>
    </w:p>
    <w:p>
      <w:pPr>
        <w:shd w:val="clear" w:color="000000" w:fill="auto"/>
        <w:spacing w:line="360" w:lineRule="auto"/>
        <w:ind w:firstLine="480" w:firstLineChars="200"/>
        <w:outlineLvl w:val="0"/>
        <w:rPr>
          <w:rFonts w:ascii="宋体" w:hAnsi="宋体" w:cs="宋体"/>
          <w:color w:val="auto"/>
          <w:sz w:val="24"/>
          <w:szCs w:val="24"/>
          <w:highlight w:val="none"/>
          <w:u w:val="single"/>
        </w:rPr>
      </w:pPr>
      <w:bookmarkStart w:id="689" w:name="_Toc30377"/>
      <w:bookmarkStart w:id="690" w:name="_Toc8590"/>
      <w:bookmarkStart w:id="691" w:name="_Toc22495"/>
      <w:bookmarkStart w:id="692" w:name="_Toc16183"/>
      <w:r>
        <w:rPr>
          <w:rFonts w:hint="eastAsia" w:ascii="宋体" w:hAnsi="宋体" w:cs="宋体"/>
          <w:color w:val="auto"/>
          <w:sz w:val="24"/>
          <w:szCs w:val="24"/>
          <w:highlight w:val="none"/>
          <w:u w:val="single"/>
        </w:rPr>
        <w:t>（二）对送审结算资料的具体要求</w:t>
      </w:r>
      <w:bookmarkEnd w:id="689"/>
      <w:bookmarkEnd w:id="690"/>
      <w:bookmarkEnd w:id="691"/>
      <w:bookmarkEnd w:id="692"/>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结算书：每项工程的结算书要求分两部分组成：第一部分是竣工图部分，要求以竣工图纸、投标中标价构成的内容为主要部分，包括图纸会审记录、设计变更、监理工程师通知或业主施工指令等；第二部分由现场签证、工程洽商记录以及其他有关费用组成。上述两部分不应有重复列项的内容，用电脑编制的结算书要求提供相应的拷贝磁盘；</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2）工程量计算书：工程量计算书应由工程量汇总表和详细的工程量计算式组成，工程量应有详细的计算表达式，施工图、图纸会审记录、设计变更、工程洽商记录、现场签证单、监理工程师通知或业主施工指令等部分的内容应在工程量计算式中一次计算。用电脑编制的工程量计算书应提供相应的拷贝磁盘；</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3）钢筋抽料表（土建专业适用）：用电脑抽料的钢筋用量表要求提供相应的拷贝磁盘，用手工抽料的钢筋用量表要求提供详细的抽料表和明细汇总表，详细的抽料表应注明钢筋所在构件名称、施工部位、钢筋编号等；</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（4）工程承包合同：包括业主与承包商签订的工程承发包合同、经甲方确认的乙方与第三方签订的分包合同、各类补充合同、合同附件等，要求将上述合同文件列出总目录按顺序整理装订成册；</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（5）竣工图：承包人负责编制并提供</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rPr>
        <w:t>套竣工图。用于结算的竣工图必须有施工单位竣工图专用章及其相关人员签字，同时要求有监理单位和业主的审核人签字和单位盖章确认。经业主、设计、监理等单位确认的图纸会审记录、设计变更、工程洽商记录、监理工程师通知或业主施工指令等内容均应反映在相应的竣工图上。对未在竣工图上反映的图纸会审记录、设计变更和工程洽商记录等，其费用的增减，在结算评审中不予考虑；</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（6）竣工资料：指在进行工程竣工验收和资料归档时所需的资料</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需提供2套</w:t>
      </w:r>
      <w:r>
        <w:rPr>
          <w:rFonts w:hint="eastAsia" w:ascii="宋体" w:hAnsi="宋体" w:cs="宋体"/>
          <w:color w:val="auto"/>
          <w:sz w:val="24"/>
          <w:szCs w:val="24"/>
          <w:highlight w:val="none"/>
          <w:u w:val="single"/>
        </w:rPr>
        <w:t>。具体包括开工报告、竣工报告、工程质量验收评定证书、材料检验报告、产品质量合格证、经业主批准的施工组织设计或施工方案、隐蔽工程验收记录、安装工程的调试方案和调试记录等。竣工资料要求监理单位和业主在确认表上盖章确认，以证明竣工资料上的相关内容与该项目送审资料的实际内容相一致。整理装订成册的竣工资料需编制总目录，并在每一页的下方统一编号，以便于查找；</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（7）图纸会审记录：要求按图纸会审的时间先后整理装订成册，图纸会审记录须有各单位参加会审人员签字及会审单位盖章确认；</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8）设计变更单：要求按设计变更的时间先后整理（安装工程要分专业）装订成册。设计变更单要求有设计人员的签名及设计单位的盖章，同时要求有监理单位和业主同意按相关的设计变更进行施工的签认意见和单位盖章确认；</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（9）工程洽商记录：要求根据工程洽商记录的时间先后整理装订成册，然后在每一页的下方统一编号，以便于查找。工程洽商记录要求有监理单位和业主相关人员的签字和单位盖章确认；</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10）监理工程师通知或业主施工指令：要求根据监理工程师通知或业主施工指令的时间先后整理装订成册，然后在每一页的下方统一编号。监理工程师通知或业主施工指令要求有监理单位和业主相关人员的签字和单位盖章确认；</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11）会议纪要：指工程质量、安全、技术、经济等现场协调会会议纪要等。要求根据会议纪要的时间先后整理装订成册，然后在每一页的下方统一编号。会议纪要要求有参与会议的各方代表签字，监理单位和业主盖章确认；</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12）现场签证单：要求根据现场签证单的时间先后整理装订成册，然后在每一页的下方统一编号，现场签证单上应有工程数量的计算过程和施工简图，并有监理单位和业主相关人员签字和单位盖章确认，并且有上述单位的造价工程师对工程造价进行审核的签字和盖章；</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13）材料设备单价呈批审核单：凡在工程招标文件或工程承包合同中未明确的主要材料设备单价，要求根据材料设备单价呈批审核单的编号顺序整理装订成册。每项审核单应附有相关的资料或注明相关资料在送审结算资料的哪一部分和哪一页位置上，要求有使用该材料设备的专题会议纪录、材料发票、购买合同等有效材料设备价格凭证等。每份审核单手续必需完备，要求有监理单位和业主相关人员的签字和单位盖章确认；</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14）综合单价呈批审核单：在作为合同附件之一的工程量清单中未列但在施工过程中发生的项目，应由施工单位编制单价分析表，报监理单位和业主审核综合单价。在结算资料送审时，要求按综合单价呈批审核单的编号顺序整理装订成册。每项审核单应附有相关的资料或注明相关资料在送审结算资料的哪一部分和哪一页位置上，如材料设备专题会议纪录、设计变更、工程洽商记录、监理工程师通知等；</w:t>
      </w:r>
    </w:p>
    <w:p>
      <w:pPr>
        <w:shd w:val="clear" w:color="000000" w:fill="auto"/>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每份综合单价呈批审核单手续必需完备，要求有监理单位和业主相关人员的签字和单位盖章确认，并且有造价工程师对综合单价进行审核的签字和盖章；</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（15）招标文件：招标文件包括招标图纸、合同条件、技术规范、招标工程量清单、投标须知、招标补遗书、招标答疑纪要等。招标文件应整理装订成册；</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（16）投标文件、中标通知书：包括技术标、经济标、投标承诺书、投标补充函、中标通知书；</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（17）甲供材料收货验收签收单：按甲供材料收货验收签收单的编号顺序及不同材料分类整理装订成册。要求甲供材料收货验收签收单上有施工单位、材料供货单位、监理单位、业主代表签字和单位盖章确认；</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18）其他结算资料：凡上述未提及而在结算评审中需要的资料均需提供，例如：施工日记、地质勘察报告、非常用的标准图集、应由施工单位承担而由建设单位支付的费用证明如甲方代缴施工水电费票据、余泥排放费证明等；</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19）资料签收表：按送审结算资料的内容列表，以便资料的移交和管理。资料签收表上应注明资料内容、份数和页数（标注页码），并且对所有复印资料的真实性进行确认。资料签收表一式两份，由资料移交人和接收人分别签名，必要时加盖双方单位的印章。</w:t>
      </w:r>
    </w:p>
    <w:p>
      <w:pPr>
        <w:shd w:val="clear" w:color="000000" w:fill="auto"/>
        <w:spacing w:line="360" w:lineRule="auto"/>
        <w:rPr>
          <w:rFonts w:ascii="宋体" w:hAnsi="宋体" w:cs="宋体"/>
          <w:color w:val="auto"/>
          <w:kern w:val="0"/>
          <w:sz w:val="24"/>
          <w:szCs w:val="24"/>
          <w:highlight w:val="none"/>
        </w:rPr>
      </w:pPr>
    </w:p>
    <w:p>
      <w:pPr>
        <w:shd w:val="clear" w:color="000000" w:fill="auto"/>
        <w:spacing w:line="360" w:lineRule="auto"/>
        <w:ind w:firstLine="141" w:firstLineChars="59"/>
        <w:rPr>
          <w:rFonts w:ascii="宋体" w:hAnsi="宋体" w:cs="宋体"/>
          <w:color w:val="auto"/>
          <w:kern w:val="0"/>
          <w:sz w:val="24"/>
          <w:szCs w:val="24"/>
          <w:highlight w:val="none"/>
        </w:rPr>
      </w:pPr>
      <w:r>
        <w:rPr>
          <w:rFonts w:hint="eastAsia" w:ascii="宋体" w:hAnsi="宋体" w:cs="宋体"/>
          <w:color w:val="auto"/>
          <w:sz w:val="24"/>
          <w:szCs w:val="24"/>
          <w:highlight w:val="none"/>
        </w:rPr>
        <w:t>（2）施工过程结算约定：</w:t>
      </w:r>
    </w:p>
    <w:p>
      <w:pPr>
        <w:shd w:val="clear" w:color="000000" w:fill="auto"/>
        <w:spacing w:line="360" w:lineRule="auto"/>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1、施工过程结算的程序</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u w:val="single"/>
        </w:rPr>
        <w:t xml:space="preserve">   /        </w:t>
      </w:r>
    </w:p>
    <w:p>
      <w:pPr>
        <w:shd w:val="clear" w:color="000000" w:fill="auto"/>
        <w:spacing w:line="360" w:lineRule="auto"/>
        <w:ind w:firstLine="240" w:firstLineChars="1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sz w:val="24"/>
          <w:szCs w:val="24"/>
          <w:highlight w:val="none"/>
        </w:rPr>
        <w:t>施工过程结算节点：</w:t>
      </w:r>
    </w:p>
    <w:p>
      <w:pPr>
        <w:shd w:val="clear" w:color="000000" w:fill="auto"/>
        <w:spacing w:line="360" w:lineRule="auto"/>
        <w:ind w:firstLine="240" w:firstLineChars="100"/>
        <w:rPr>
          <w:rFonts w:ascii="宋体" w:hAnsi="宋体" w:cs="宋体"/>
          <w:color w:val="auto"/>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工程分标段施工的，以标段完成后作为施工过程结算节点：</w:t>
      </w:r>
      <w:r>
        <w:rPr>
          <w:rFonts w:hint="eastAsia" w:ascii="宋体" w:hAnsi="宋体" w:cs="宋体"/>
          <w:color w:val="auto"/>
          <w:kern w:val="0"/>
          <w:sz w:val="24"/>
          <w:szCs w:val="24"/>
          <w:highlight w:val="none"/>
          <w:u w:val="single"/>
        </w:rPr>
        <w:t xml:space="preserve">  /   </w:t>
      </w:r>
    </w:p>
    <w:p>
      <w:pPr>
        <w:shd w:val="clear" w:color="000000" w:fill="auto"/>
        <w:spacing w:line="360" w:lineRule="auto"/>
        <w:ind w:firstLine="240" w:firstLineChars="100"/>
        <w:rPr>
          <w:rFonts w:ascii="宋体" w:hAnsi="宋体" w:cs="宋体"/>
          <w:color w:val="auto"/>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以完成单项工程、单位工程、分部工程作为施工过程结算节点：</w:t>
      </w:r>
      <w:r>
        <w:rPr>
          <w:rFonts w:hint="eastAsia" w:ascii="宋体" w:hAnsi="宋体" w:cs="宋体"/>
          <w:color w:val="auto"/>
          <w:kern w:val="0"/>
          <w:sz w:val="24"/>
          <w:szCs w:val="24"/>
          <w:highlight w:val="none"/>
          <w:u w:val="single"/>
        </w:rPr>
        <w:t xml:space="preserve"> /  </w:t>
      </w:r>
    </w:p>
    <w:p>
      <w:pPr>
        <w:shd w:val="clear" w:color="000000" w:fill="auto"/>
        <w:spacing w:line="360" w:lineRule="auto"/>
        <w:ind w:firstLine="240" w:firstLineChars="100"/>
        <w:rPr>
          <w:rFonts w:ascii="宋体" w:hAnsi="宋体" w:cs="宋体"/>
          <w:color w:val="auto"/>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规模较大的分部工程或分部工程计划完成时间一年以上的，以完成分部工程的进度节点或时间（季、年等）节点作为施工过程结算节点：</w:t>
      </w:r>
      <w:r>
        <w:rPr>
          <w:rFonts w:hint="eastAsia" w:ascii="宋体" w:hAnsi="宋体" w:cs="宋体"/>
          <w:color w:val="auto"/>
          <w:kern w:val="0"/>
          <w:sz w:val="24"/>
          <w:szCs w:val="24"/>
          <w:highlight w:val="none"/>
          <w:u w:val="single"/>
        </w:rPr>
        <w:t xml:space="preserve">   /         </w:t>
      </w:r>
    </w:p>
    <w:p>
      <w:pPr>
        <w:shd w:val="clear" w:color="000000" w:fill="auto"/>
        <w:spacing w:line="360" w:lineRule="auto"/>
        <w:ind w:firstLine="240" w:firstLineChars="100"/>
        <w:rPr>
          <w:rFonts w:ascii="宋体" w:hAnsi="宋体" w:cs="宋体"/>
          <w:color w:val="auto"/>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以完成工程功能内容或专业工程作为施工过程结算节点：</w:t>
      </w:r>
      <w:r>
        <w:rPr>
          <w:rFonts w:hint="eastAsia" w:ascii="宋体" w:hAnsi="宋体" w:cs="宋体"/>
          <w:color w:val="auto"/>
          <w:kern w:val="0"/>
          <w:sz w:val="24"/>
          <w:szCs w:val="24"/>
          <w:highlight w:val="none"/>
          <w:u w:val="single"/>
        </w:rPr>
        <w:t xml:space="preserve">   /     </w:t>
      </w:r>
    </w:p>
    <w:p>
      <w:pPr>
        <w:shd w:val="clear" w:color="000000" w:fill="auto"/>
        <w:spacing w:line="360" w:lineRule="auto"/>
        <w:ind w:firstLine="240" w:firstLineChars="1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□其它：</w:t>
      </w:r>
      <w:r>
        <w:rPr>
          <w:rFonts w:hint="eastAsia" w:ascii="宋体" w:hAnsi="宋体" w:cs="宋体"/>
          <w:color w:val="auto"/>
          <w:kern w:val="0"/>
          <w:sz w:val="24"/>
          <w:szCs w:val="24"/>
          <w:highlight w:val="none"/>
          <w:u w:val="single"/>
        </w:rPr>
        <w:t xml:space="preserve">    /        </w:t>
      </w:r>
    </w:p>
    <w:p>
      <w:pPr>
        <w:shd w:val="clear" w:color="000000" w:fill="auto"/>
        <w:spacing w:line="360" w:lineRule="auto"/>
        <w:ind w:firstLine="240" w:firstLineChars="100"/>
        <w:rPr>
          <w:rFonts w:ascii="宋体" w:hAnsi="宋体" w:cs="宋体"/>
          <w:color w:val="auto"/>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sz w:val="24"/>
          <w:szCs w:val="24"/>
          <w:highlight w:val="none"/>
        </w:rPr>
        <w:t>施工过程结算价款的编制与核对：</w:t>
      </w:r>
      <w:r>
        <w:rPr>
          <w:rFonts w:hint="eastAsia" w:ascii="宋体" w:hAnsi="宋体" w:cs="宋体"/>
          <w:color w:val="auto"/>
          <w:kern w:val="0"/>
          <w:sz w:val="24"/>
          <w:szCs w:val="24"/>
          <w:highlight w:val="none"/>
          <w:u w:val="single"/>
        </w:rPr>
        <w:t xml:space="preserve">    /         </w:t>
      </w:r>
    </w:p>
    <w:p>
      <w:pPr>
        <w:shd w:val="clear" w:color="000000" w:fill="auto"/>
        <w:spacing w:line="360" w:lineRule="auto"/>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4、采用施工过程结算方法时竣工结算价款的编制与核对：</w:t>
      </w:r>
      <w:r>
        <w:rPr>
          <w:rFonts w:hint="eastAsia" w:ascii="宋体" w:hAnsi="宋体" w:cs="宋体"/>
          <w:color w:val="auto"/>
          <w:kern w:val="0"/>
          <w:sz w:val="24"/>
          <w:szCs w:val="24"/>
          <w:highlight w:val="none"/>
          <w:u w:val="single"/>
        </w:rPr>
        <w:t xml:space="preserve">      /     </w:t>
      </w:r>
    </w:p>
    <w:p>
      <w:pPr>
        <w:shd w:val="clear" w:color="000000" w:fill="auto"/>
        <w:spacing w:line="360" w:lineRule="auto"/>
        <w:ind w:firstLine="240" w:firstLineChars="1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5、</w:t>
      </w:r>
      <w:r>
        <w:rPr>
          <w:rFonts w:hint="eastAsia" w:ascii="宋体" w:hAnsi="宋体" w:cs="宋体"/>
          <w:color w:val="auto"/>
          <w:sz w:val="24"/>
          <w:szCs w:val="24"/>
          <w:highlight w:val="none"/>
        </w:rPr>
        <w:t>施工过程结算支付时限</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u w:val="single"/>
        </w:rPr>
        <w:t xml:space="preserve">    /          </w:t>
      </w:r>
    </w:p>
    <w:p>
      <w:pPr>
        <w:shd w:val="clear" w:color="000000" w:fill="auto"/>
        <w:spacing w:line="360" w:lineRule="auto"/>
        <w:ind w:firstLine="240" w:firstLineChars="1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6、</w:t>
      </w:r>
      <w:r>
        <w:rPr>
          <w:rFonts w:hint="eastAsia" w:ascii="宋体" w:hAnsi="宋体" w:cs="宋体"/>
          <w:color w:val="auto"/>
          <w:sz w:val="24"/>
          <w:szCs w:val="24"/>
          <w:highlight w:val="none"/>
        </w:rPr>
        <w:t>分段结算的其他约定</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u w:val="single"/>
        </w:rPr>
        <w:t xml:space="preserve">     /   。</w:t>
      </w:r>
    </w:p>
    <w:p>
      <w:pPr>
        <w:shd w:val="clear" w:color="000000" w:fill="auto"/>
        <w:spacing w:line="360" w:lineRule="auto"/>
        <w:ind w:firstLine="240" w:firstLineChars="1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82.2</w:t>
      </w:r>
    </w:p>
    <w:p>
      <w:pPr>
        <w:shd w:val="clear" w:color="000000" w:fill="auto"/>
        <w:spacing w:line="360" w:lineRule="auto"/>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（1）竣工结算文件清单：</w:t>
      </w:r>
    </w:p>
    <w:p>
      <w:pPr>
        <w:shd w:val="clear" w:color="000000" w:fill="auto"/>
        <w:spacing w:line="360" w:lineRule="auto"/>
        <w:ind w:firstLine="480" w:firstLineChars="200"/>
        <w:jc w:val="left"/>
        <w:rPr>
          <w:rFonts w:ascii="宋体" w:hAnsi="宋体" w:cs="宋体"/>
          <w:color w:val="auto"/>
          <w:sz w:val="24"/>
          <w:szCs w:val="24"/>
          <w:highlight w:val="none"/>
        </w:rPr>
      </w:pPr>
      <w:r>
        <w:rPr>
          <w:rFonts w:hint="eastAsia" w:ascii="黑体" w:hAnsi="黑体" w:eastAsia="黑体" w:cs="黑体"/>
          <w:color w:val="auto"/>
          <w:kern w:val="0"/>
          <w:sz w:val="24"/>
          <w:szCs w:val="24"/>
          <w:highlight w:val="none"/>
        </w:rPr>
        <w:t>■</w:t>
      </w:r>
      <w:r>
        <w:rPr>
          <w:rFonts w:hint="eastAsia" w:ascii="宋体" w:hAnsi="宋体" w:cs="宋体"/>
          <w:color w:val="auto"/>
          <w:sz w:val="24"/>
          <w:szCs w:val="24"/>
          <w:highlight w:val="none"/>
        </w:rPr>
        <w:t>（1）工程结算书</w:t>
      </w:r>
    </w:p>
    <w:p>
      <w:pPr>
        <w:shd w:val="clear" w:color="000000" w:fill="auto"/>
        <w:spacing w:line="360" w:lineRule="auto"/>
        <w:ind w:firstLine="480" w:firstLineChars="200"/>
        <w:jc w:val="left"/>
        <w:rPr>
          <w:rFonts w:ascii="宋体" w:hAnsi="宋体" w:cs="宋体"/>
          <w:color w:val="auto"/>
          <w:sz w:val="24"/>
          <w:szCs w:val="24"/>
          <w:highlight w:val="none"/>
        </w:rPr>
      </w:pPr>
      <w:r>
        <w:rPr>
          <w:rFonts w:hint="eastAsia" w:ascii="黑体" w:hAnsi="黑体" w:eastAsia="黑体" w:cs="黑体"/>
          <w:color w:val="auto"/>
          <w:kern w:val="0"/>
          <w:sz w:val="24"/>
          <w:szCs w:val="24"/>
          <w:highlight w:val="none"/>
        </w:rPr>
        <w:t>■</w:t>
      </w:r>
      <w:r>
        <w:rPr>
          <w:rFonts w:hint="eastAsia" w:ascii="宋体" w:hAnsi="宋体" w:cs="宋体"/>
          <w:color w:val="auto"/>
          <w:sz w:val="24"/>
          <w:szCs w:val="24"/>
          <w:highlight w:val="none"/>
        </w:rPr>
        <w:t>（2）工程量计算书</w:t>
      </w:r>
    </w:p>
    <w:p>
      <w:pPr>
        <w:shd w:val="clear" w:color="000000" w:fill="auto"/>
        <w:spacing w:line="360" w:lineRule="auto"/>
        <w:ind w:firstLine="480" w:firstLineChars="200"/>
        <w:jc w:val="left"/>
        <w:rPr>
          <w:rFonts w:ascii="宋体" w:hAnsi="宋体" w:cs="宋体"/>
          <w:color w:val="auto"/>
          <w:sz w:val="24"/>
          <w:szCs w:val="24"/>
          <w:highlight w:val="none"/>
        </w:rPr>
      </w:pPr>
      <w:r>
        <w:rPr>
          <w:rFonts w:hint="eastAsia" w:ascii="黑体" w:hAnsi="黑体" w:eastAsia="黑体" w:cs="黑体"/>
          <w:color w:val="auto"/>
          <w:kern w:val="0"/>
          <w:sz w:val="24"/>
          <w:szCs w:val="24"/>
          <w:highlight w:val="none"/>
        </w:rPr>
        <w:t>■</w:t>
      </w:r>
      <w:r>
        <w:rPr>
          <w:rFonts w:hint="eastAsia" w:ascii="宋体" w:hAnsi="宋体" w:cs="宋体"/>
          <w:color w:val="auto"/>
          <w:sz w:val="24"/>
          <w:szCs w:val="24"/>
          <w:highlight w:val="none"/>
        </w:rPr>
        <w:t>（3）钢筋抽料表（如有）</w:t>
      </w:r>
    </w:p>
    <w:p>
      <w:pPr>
        <w:shd w:val="clear" w:color="000000" w:fill="auto"/>
        <w:spacing w:line="360" w:lineRule="auto"/>
        <w:ind w:firstLine="480" w:firstLineChars="200"/>
        <w:jc w:val="left"/>
        <w:rPr>
          <w:rFonts w:ascii="宋体" w:hAnsi="宋体" w:cs="宋体"/>
          <w:color w:val="auto"/>
          <w:sz w:val="24"/>
          <w:szCs w:val="24"/>
          <w:highlight w:val="none"/>
        </w:rPr>
      </w:pPr>
      <w:r>
        <w:rPr>
          <w:rFonts w:hint="eastAsia" w:ascii="黑体" w:hAnsi="黑体" w:eastAsia="黑体" w:cs="黑体"/>
          <w:color w:val="auto"/>
          <w:kern w:val="0"/>
          <w:sz w:val="24"/>
          <w:szCs w:val="24"/>
          <w:highlight w:val="none"/>
        </w:rPr>
        <w:t>■</w:t>
      </w:r>
      <w:r>
        <w:rPr>
          <w:rFonts w:hint="eastAsia" w:ascii="宋体" w:hAnsi="宋体" w:cs="宋体"/>
          <w:color w:val="auto"/>
          <w:sz w:val="24"/>
          <w:szCs w:val="24"/>
          <w:highlight w:val="none"/>
        </w:rPr>
        <w:t>（4）工程承包合同</w:t>
      </w:r>
    </w:p>
    <w:p>
      <w:pPr>
        <w:shd w:val="clear" w:color="000000" w:fill="auto"/>
        <w:spacing w:line="360" w:lineRule="auto"/>
        <w:ind w:firstLine="480" w:firstLineChars="200"/>
        <w:jc w:val="left"/>
        <w:rPr>
          <w:rFonts w:ascii="宋体" w:hAnsi="宋体" w:cs="宋体"/>
          <w:color w:val="auto"/>
          <w:sz w:val="24"/>
          <w:szCs w:val="24"/>
          <w:highlight w:val="none"/>
        </w:rPr>
      </w:pPr>
      <w:r>
        <w:rPr>
          <w:rFonts w:hint="eastAsia" w:ascii="黑体" w:hAnsi="黑体" w:eastAsia="黑体" w:cs="黑体"/>
          <w:color w:val="auto"/>
          <w:kern w:val="0"/>
          <w:sz w:val="24"/>
          <w:szCs w:val="24"/>
          <w:highlight w:val="none"/>
        </w:rPr>
        <w:t>■</w:t>
      </w:r>
      <w:r>
        <w:rPr>
          <w:rFonts w:hint="eastAsia" w:ascii="宋体" w:hAnsi="宋体" w:cs="宋体"/>
          <w:color w:val="auto"/>
          <w:sz w:val="24"/>
          <w:szCs w:val="24"/>
          <w:highlight w:val="none"/>
        </w:rPr>
        <w:t>（5）工程竣工图（含电子版和相关部门要求的专用软件版本）</w:t>
      </w:r>
    </w:p>
    <w:p>
      <w:pPr>
        <w:shd w:val="clear" w:color="000000" w:fill="auto"/>
        <w:spacing w:line="360" w:lineRule="auto"/>
        <w:ind w:left="599" w:leftChars="228" w:hanging="120" w:hangingChars="50"/>
        <w:jc w:val="left"/>
        <w:rPr>
          <w:rFonts w:ascii="宋体" w:hAnsi="宋体" w:cs="宋体"/>
          <w:color w:val="auto"/>
          <w:sz w:val="24"/>
          <w:szCs w:val="24"/>
          <w:highlight w:val="none"/>
        </w:rPr>
      </w:pPr>
      <w:r>
        <w:rPr>
          <w:rFonts w:hint="eastAsia" w:ascii="黑体" w:hAnsi="黑体" w:eastAsia="黑体" w:cs="黑体"/>
          <w:color w:val="auto"/>
          <w:kern w:val="0"/>
          <w:sz w:val="24"/>
          <w:szCs w:val="24"/>
          <w:highlight w:val="none"/>
        </w:rPr>
        <w:t>■</w:t>
      </w:r>
      <w:r>
        <w:rPr>
          <w:rFonts w:hint="eastAsia" w:ascii="宋体" w:hAnsi="宋体" w:cs="宋体"/>
          <w:color w:val="auto"/>
          <w:sz w:val="24"/>
          <w:szCs w:val="24"/>
          <w:highlight w:val="none"/>
        </w:rPr>
        <w:t>（6）工程竣工资料（含电子版及相关部门要求的专用软件版本、单位工程开工申请报告、单位工程工程竣工验收报告）</w:t>
      </w:r>
    </w:p>
    <w:p>
      <w:pPr>
        <w:shd w:val="clear" w:color="000000" w:fill="auto"/>
        <w:spacing w:line="360" w:lineRule="auto"/>
        <w:ind w:firstLine="480" w:firstLineChars="200"/>
        <w:jc w:val="left"/>
        <w:rPr>
          <w:rFonts w:ascii="宋体" w:hAnsi="宋体" w:cs="宋体"/>
          <w:color w:val="auto"/>
          <w:sz w:val="24"/>
          <w:szCs w:val="24"/>
          <w:highlight w:val="none"/>
        </w:rPr>
      </w:pPr>
      <w:r>
        <w:rPr>
          <w:rFonts w:hint="eastAsia" w:ascii="黑体" w:hAnsi="黑体" w:eastAsia="黑体" w:cs="黑体"/>
          <w:color w:val="auto"/>
          <w:kern w:val="0"/>
          <w:sz w:val="24"/>
          <w:szCs w:val="24"/>
          <w:highlight w:val="none"/>
        </w:rPr>
        <w:t>■</w:t>
      </w:r>
      <w:r>
        <w:rPr>
          <w:rFonts w:hint="eastAsia" w:ascii="宋体" w:hAnsi="宋体" w:cs="宋体"/>
          <w:color w:val="auto"/>
          <w:sz w:val="24"/>
          <w:szCs w:val="24"/>
          <w:highlight w:val="none"/>
        </w:rPr>
        <w:t>（7）图纸会审记录</w:t>
      </w:r>
    </w:p>
    <w:p>
      <w:pPr>
        <w:shd w:val="clear" w:color="000000" w:fill="auto"/>
        <w:spacing w:line="360" w:lineRule="auto"/>
        <w:ind w:firstLine="480" w:firstLineChars="200"/>
        <w:jc w:val="left"/>
        <w:rPr>
          <w:rFonts w:ascii="宋体" w:hAnsi="宋体" w:cs="宋体"/>
          <w:color w:val="auto"/>
          <w:sz w:val="24"/>
          <w:szCs w:val="24"/>
          <w:highlight w:val="none"/>
        </w:rPr>
      </w:pPr>
      <w:r>
        <w:rPr>
          <w:rFonts w:hint="eastAsia" w:ascii="黑体" w:hAnsi="黑体" w:eastAsia="黑体" w:cs="黑体"/>
          <w:color w:val="auto"/>
          <w:kern w:val="0"/>
          <w:sz w:val="24"/>
          <w:szCs w:val="24"/>
          <w:highlight w:val="none"/>
        </w:rPr>
        <w:t>■</w:t>
      </w:r>
      <w:r>
        <w:rPr>
          <w:rFonts w:hint="eastAsia" w:ascii="宋体" w:hAnsi="宋体" w:cs="宋体"/>
          <w:color w:val="auto"/>
          <w:sz w:val="24"/>
          <w:szCs w:val="24"/>
          <w:highlight w:val="none"/>
        </w:rPr>
        <w:t>（8）设计变更单</w:t>
      </w:r>
    </w:p>
    <w:p>
      <w:pPr>
        <w:shd w:val="clear" w:color="000000" w:fill="auto"/>
        <w:spacing w:line="360" w:lineRule="auto"/>
        <w:ind w:firstLine="480" w:firstLineChars="200"/>
        <w:jc w:val="left"/>
        <w:rPr>
          <w:rFonts w:ascii="宋体" w:hAnsi="宋体" w:cs="宋体"/>
          <w:color w:val="auto"/>
          <w:sz w:val="24"/>
          <w:szCs w:val="24"/>
          <w:highlight w:val="none"/>
        </w:rPr>
      </w:pPr>
      <w:r>
        <w:rPr>
          <w:rFonts w:hint="eastAsia" w:ascii="黑体" w:hAnsi="黑体" w:eastAsia="黑体" w:cs="黑体"/>
          <w:color w:val="auto"/>
          <w:kern w:val="0"/>
          <w:sz w:val="24"/>
          <w:szCs w:val="24"/>
          <w:highlight w:val="none"/>
        </w:rPr>
        <w:t>■</w:t>
      </w:r>
      <w:r>
        <w:rPr>
          <w:rFonts w:hint="eastAsia" w:ascii="宋体" w:hAnsi="宋体" w:cs="宋体"/>
          <w:color w:val="auto"/>
          <w:sz w:val="24"/>
          <w:szCs w:val="24"/>
          <w:highlight w:val="none"/>
        </w:rPr>
        <w:t>（9）工程洽商记录</w:t>
      </w:r>
    </w:p>
    <w:p>
      <w:pPr>
        <w:shd w:val="clear" w:color="000000" w:fill="auto"/>
        <w:spacing w:line="360" w:lineRule="auto"/>
        <w:ind w:firstLine="480" w:firstLineChars="200"/>
        <w:jc w:val="left"/>
        <w:rPr>
          <w:rFonts w:ascii="宋体" w:hAnsi="宋体" w:cs="宋体"/>
          <w:color w:val="auto"/>
          <w:sz w:val="24"/>
          <w:szCs w:val="24"/>
          <w:highlight w:val="none"/>
        </w:rPr>
      </w:pPr>
      <w:r>
        <w:rPr>
          <w:rFonts w:hint="eastAsia" w:ascii="黑体" w:hAnsi="黑体" w:eastAsia="黑体" w:cs="黑体"/>
          <w:color w:val="auto"/>
          <w:kern w:val="0"/>
          <w:sz w:val="24"/>
          <w:szCs w:val="24"/>
          <w:highlight w:val="none"/>
        </w:rPr>
        <w:t>■</w:t>
      </w:r>
      <w:r>
        <w:rPr>
          <w:rFonts w:hint="eastAsia" w:ascii="宋体" w:hAnsi="宋体" w:cs="宋体"/>
          <w:color w:val="auto"/>
          <w:sz w:val="24"/>
          <w:szCs w:val="24"/>
          <w:highlight w:val="none"/>
        </w:rPr>
        <w:t>（10）监理工程师通知或发包人施工指令</w:t>
      </w:r>
    </w:p>
    <w:p>
      <w:pPr>
        <w:shd w:val="clear" w:color="000000" w:fill="auto"/>
        <w:spacing w:line="360" w:lineRule="auto"/>
        <w:ind w:firstLine="480" w:firstLineChars="200"/>
        <w:jc w:val="left"/>
        <w:rPr>
          <w:rFonts w:ascii="宋体" w:hAnsi="宋体" w:cs="宋体"/>
          <w:color w:val="auto"/>
          <w:sz w:val="24"/>
          <w:szCs w:val="24"/>
          <w:highlight w:val="none"/>
        </w:rPr>
      </w:pPr>
      <w:r>
        <w:rPr>
          <w:rFonts w:hint="eastAsia" w:ascii="黑体" w:hAnsi="黑体" w:eastAsia="黑体" w:cs="黑体"/>
          <w:color w:val="auto"/>
          <w:kern w:val="0"/>
          <w:sz w:val="24"/>
          <w:szCs w:val="24"/>
          <w:highlight w:val="none"/>
        </w:rPr>
        <w:t>■</w:t>
      </w:r>
      <w:r>
        <w:rPr>
          <w:rFonts w:hint="eastAsia" w:ascii="宋体" w:hAnsi="宋体" w:cs="宋体"/>
          <w:color w:val="auto"/>
          <w:sz w:val="24"/>
          <w:szCs w:val="24"/>
          <w:highlight w:val="none"/>
        </w:rPr>
        <w:t>（11）会议纪要</w:t>
      </w:r>
    </w:p>
    <w:p>
      <w:pPr>
        <w:shd w:val="clear" w:color="000000" w:fill="auto"/>
        <w:spacing w:line="360" w:lineRule="auto"/>
        <w:ind w:firstLine="480" w:firstLineChars="200"/>
        <w:jc w:val="left"/>
        <w:rPr>
          <w:rFonts w:ascii="宋体" w:hAnsi="宋体" w:cs="宋体"/>
          <w:color w:val="auto"/>
          <w:sz w:val="24"/>
          <w:szCs w:val="24"/>
          <w:highlight w:val="none"/>
        </w:rPr>
      </w:pPr>
      <w:r>
        <w:rPr>
          <w:rFonts w:hint="eastAsia" w:ascii="黑体" w:hAnsi="黑体" w:eastAsia="黑体" w:cs="黑体"/>
          <w:color w:val="auto"/>
          <w:kern w:val="0"/>
          <w:sz w:val="24"/>
          <w:szCs w:val="24"/>
          <w:highlight w:val="none"/>
        </w:rPr>
        <w:t>■</w:t>
      </w:r>
      <w:r>
        <w:rPr>
          <w:rFonts w:hint="eastAsia" w:ascii="宋体" w:hAnsi="宋体" w:cs="宋体"/>
          <w:color w:val="auto"/>
          <w:sz w:val="24"/>
          <w:szCs w:val="24"/>
          <w:highlight w:val="none"/>
        </w:rPr>
        <w:t>（12）现场签证单</w:t>
      </w:r>
    </w:p>
    <w:p>
      <w:pPr>
        <w:shd w:val="clear" w:color="000000" w:fill="auto"/>
        <w:spacing w:line="360" w:lineRule="auto"/>
        <w:ind w:firstLine="480" w:firstLineChars="200"/>
        <w:jc w:val="left"/>
        <w:rPr>
          <w:rFonts w:ascii="宋体" w:hAnsi="宋体" w:cs="宋体"/>
          <w:color w:val="auto"/>
          <w:sz w:val="24"/>
          <w:szCs w:val="24"/>
          <w:highlight w:val="none"/>
        </w:rPr>
      </w:pPr>
      <w:r>
        <w:rPr>
          <w:rFonts w:hint="eastAsia" w:ascii="黑体" w:hAnsi="黑体" w:eastAsia="黑体" w:cs="黑体"/>
          <w:color w:val="auto"/>
          <w:kern w:val="0"/>
          <w:sz w:val="24"/>
          <w:szCs w:val="24"/>
          <w:highlight w:val="none"/>
        </w:rPr>
        <w:t>■</w:t>
      </w:r>
      <w:r>
        <w:rPr>
          <w:rFonts w:hint="eastAsia" w:ascii="宋体" w:hAnsi="宋体" w:cs="宋体"/>
          <w:color w:val="auto"/>
          <w:sz w:val="24"/>
          <w:szCs w:val="24"/>
          <w:highlight w:val="none"/>
        </w:rPr>
        <w:t>（13）材料设备单价呈批审核单</w:t>
      </w:r>
    </w:p>
    <w:p>
      <w:pPr>
        <w:shd w:val="clear" w:color="000000" w:fill="auto"/>
        <w:spacing w:line="360" w:lineRule="auto"/>
        <w:ind w:firstLine="480" w:firstLineChars="200"/>
        <w:jc w:val="left"/>
        <w:rPr>
          <w:rFonts w:ascii="宋体" w:hAnsi="宋体" w:cs="宋体"/>
          <w:color w:val="auto"/>
          <w:sz w:val="24"/>
          <w:szCs w:val="24"/>
          <w:highlight w:val="none"/>
        </w:rPr>
      </w:pPr>
      <w:r>
        <w:rPr>
          <w:rFonts w:hint="eastAsia" w:ascii="黑体" w:hAnsi="黑体" w:eastAsia="黑体" w:cs="黑体"/>
          <w:color w:val="auto"/>
          <w:kern w:val="0"/>
          <w:sz w:val="24"/>
          <w:szCs w:val="24"/>
          <w:highlight w:val="none"/>
        </w:rPr>
        <w:t>■</w:t>
      </w:r>
      <w:r>
        <w:rPr>
          <w:rFonts w:hint="eastAsia" w:ascii="宋体" w:hAnsi="宋体" w:cs="宋体"/>
          <w:color w:val="auto"/>
          <w:sz w:val="24"/>
          <w:szCs w:val="24"/>
          <w:highlight w:val="none"/>
        </w:rPr>
        <w:t>（14）综合单价呈批审核单</w:t>
      </w:r>
    </w:p>
    <w:p>
      <w:pPr>
        <w:shd w:val="clear" w:color="000000" w:fill="auto"/>
        <w:spacing w:line="360" w:lineRule="auto"/>
        <w:ind w:firstLine="480" w:firstLineChars="200"/>
        <w:jc w:val="left"/>
        <w:rPr>
          <w:rFonts w:ascii="宋体" w:hAnsi="宋体" w:cs="宋体"/>
          <w:color w:val="auto"/>
          <w:sz w:val="24"/>
          <w:szCs w:val="24"/>
          <w:highlight w:val="none"/>
        </w:rPr>
      </w:pPr>
      <w:r>
        <w:rPr>
          <w:rFonts w:hint="eastAsia" w:ascii="黑体" w:hAnsi="黑体" w:eastAsia="黑体" w:cs="黑体"/>
          <w:color w:val="auto"/>
          <w:kern w:val="0"/>
          <w:sz w:val="24"/>
          <w:szCs w:val="24"/>
          <w:highlight w:val="none"/>
        </w:rPr>
        <w:t>■</w:t>
      </w:r>
      <w:r>
        <w:rPr>
          <w:rFonts w:hint="eastAsia" w:ascii="宋体" w:hAnsi="宋体" w:cs="宋体"/>
          <w:color w:val="auto"/>
          <w:sz w:val="24"/>
          <w:szCs w:val="24"/>
          <w:highlight w:val="none"/>
        </w:rPr>
        <w:t>（15）招标文件、答疑纪要</w:t>
      </w:r>
    </w:p>
    <w:p>
      <w:pPr>
        <w:shd w:val="clear" w:color="000000" w:fill="auto"/>
        <w:spacing w:line="360" w:lineRule="auto"/>
        <w:ind w:firstLine="480" w:firstLineChars="200"/>
        <w:jc w:val="left"/>
        <w:rPr>
          <w:rFonts w:ascii="宋体" w:hAnsi="宋体" w:cs="宋体"/>
          <w:color w:val="auto"/>
          <w:sz w:val="24"/>
          <w:szCs w:val="24"/>
          <w:highlight w:val="none"/>
        </w:rPr>
      </w:pPr>
      <w:r>
        <w:rPr>
          <w:rFonts w:hint="eastAsia" w:ascii="黑体" w:hAnsi="黑体" w:eastAsia="黑体" w:cs="黑体"/>
          <w:color w:val="auto"/>
          <w:kern w:val="0"/>
          <w:sz w:val="24"/>
          <w:szCs w:val="24"/>
          <w:highlight w:val="none"/>
        </w:rPr>
        <w:t>■</w:t>
      </w:r>
      <w:r>
        <w:rPr>
          <w:rFonts w:hint="eastAsia" w:ascii="宋体" w:hAnsi="宋体" w:cs="宋体"/>
          <w:color w:val="auto"/>
          <w:sz w:val="24"/>
          <w:szCs w:val="24"/>
          <w:highlight w:val="none"/>
        </w:rPr>
        <w:t>（16）投标文件（含经济标软件版）、中标通知书</w:t>
      </w:r>
    </w:p>
    <w:p>
      <w:pPr>
        <w:shd w:val="clear" w:color="000000" w:fill="auto"/>
        <w:spacing w:line="360" w:lineRule="auto"/>
        <w:ind w:firstLine="480" w:firstLineChars="200"/>
        <w:jc w:val="left"/>
        <w:rPr>
          <w:rFonts w:ascii="宋体" w:hAnsi="宋体" w:cs="宋体"/>
          <w:color w:val="auto"/>
          <w:sz w:val="24"/>
          <w:szCs w:val="24"/>
          <w:highlight w:val="none"/>
        </w:rPr>
      </w:pPr>
      <w:r>
        <w:rPr>
          <w:rFonts w:hint="eastAsia" w:ascii="黑体" w:hAnsi="黑体" w:eastAsia="黑体" w:cs="黑体"/>
          <w:color w:val="auto"/>
          <w:kern w:val="0"/>
          <w:sz w:val="24"/>
          <w:szCs w:val="24"/>
          <w:highlight w:val="none"/>
        </w:rPr>
        <w:t>■</w:t>
      </w:r>
      <w:r>
        <w:rPr>
          <w:rFonts w:hint="eastAsia" w:ascii="宋体" w:hAnsi="宋体" w:cs="宋体"/>
          <w:color w:val="auto"/>
          <w:sz w:val="24"/>
          <w:szCs w:val="24"/>
          <w:highlight w:val="none"/>
        </w:rPr>
        <w:t>（17）发包人供应材料收货验收签收单</w:t>
      </w:r>
    </w:p>
    <w:p>
      <w:pPr>
        <w:shd w:val="clear" w:color="000000" w:fill="auto"/>
        <w:spacing w:line="360" w:lineRule="auto"/>
        <w:ind w:firstLine="480" w:firstLineChars="200"/>
        <w:jc w:val="left"/>
        <w:rPr>
          <w:rFonts w:ascii="宋体" w:hAnsi="宋体" w:cs="宋体"/>
          <w:color w:val="auto"/>
          <w:sz w:val="24"/>
          <w:szCs w:val="24"/>
          <w:highlight w:val="none"/>
        </w:rPr>
      </w:pPr>
      <w:r>
        <w:rPr>
          <w:rFonts w:hint="eastAsia" w:ascii="黑体" w:hAnsi="黑体" w:eastAsia="黑体" w:cs="黑体"/>
          <w:color w:val="auto"/>
          <w:kern w:val="0"/>
          <w:sz w:val="24"/>
          <w:szCs w:val="24"/>
          <w:highlight w:val="none"/>
        </w:rPr>
        <w:t>■</w:t>
      </w:r>
      <w:r>
        <w:rPr>
          <w:rFonts w:hint="eastAsia" w:ascii="宋体" w:hAnsi="宋体" w:cs="宋体"/>
          <w:color w:val="auto"/>
          <w:sz w:val="24"/>
          <w:szCs w:val="24"/>
          <w:highlight w:val="none"/>
        </w:rPr>
        <w:t>（18）其他结算资料</w:t>
      </w:r>
    </w:p>
    <w:p>
      <w:pPr>
        <w:shd w:val="clear" w:color="000000" w:fill="auto"/>
        <w:spacing w:line="360" w:lineRule="auto"/>
        <w:ind w:firstLine="480" w:firstLineChars="200"/>
        <w:jc w:val="left"/>
        <w:rPr>
          <w:rFonts w:ascii="宋体" w:hAnsi="宋体" w:cs="宋体"/>
          <w:color w:val="auto"/>
          <w:sz w:val="24"/>
          <w:szCs w:val="24"/>
          <w:highlight w:val="none"/>
        </w:rPr>
      </w:pPr>
      <w:r>
        <w:rPr>
          <w:rFonts w:hint="eastAsia" w:ascii="黑体" w:hAnsi="黑体" w:eastAsia="黑体" w:cs="黑体"/>
          <w:color w:val="auto"/>
          <w:kern w:val="0"/>
          <w:sz w:val="24"/>
          <w:szCs w:val="24"/>
          <w:highlight w:val="none"/>
        </w:rPr>
        <w:t>■</w:t>
      </w:r>
      <w:r>
        <w:rPr>
          <w:rFonts w:hint="eastAsia" w:ascii="宋体" w:hAnsi="宋体" w:cs="宋体"/>
          <w:color w:val="auto"/>
          <w:sz w:val="24"/>
          <w:szCs w:val="24"/>
          <w:highlight w:val="none"/>
        </w:rPr>
        <w:t>（19）工期履行审核表</w:t>
      </w:r>
    </w:p>
    <w:p>
      <w:pPr>
        <w:shd w:val="clear" w:color="000000" w:fill="auto"/>
        <w:spacing w:line="360" w:lineRule="auto"/>
        <w:ind w:firstLine="480" w:firstLineChars="200"/>
        <w:jc w:val="left"/>
        <w:rPr>
          <w:rFonts w:ascii="宋体" w:hAnsi="宋体" w:cs="宋体"/>
          <w:color w:val="auto"/>
          <w:sz w:val="24"/>
          <w:szCs w:val="24"/>
          <w:highlight w:val="none"/>
          <w:u w:val="single"/>
        </w:rPr>
      </w:pPr>
      <w:r>
        <w:rPr>
          <w:rFonts w:hint="eastAsia" w:ascii="黑体" w:hAnsi="黑体" w:eastAsia="黑体" w:cs="黑体"/>
          <w:color w:val="auto"/>
          <w:kern w:val="0"/>
          <w:sz w:val="24"/>
          <w:szCs w:val="24"/>
          <w:highlight w:val="none"/>
        </w:rPr>
        <w:t>■</w:t>
      </w:r>
      <w:r>
        <w:rPr>
          <w:rFonts w:hint="eastAsia" w:ascii="宋体" w:hAnsi="宋体" w:cs="宋体"/>
          <w:color w:val="auto"/>
          <w:sz w:val="24"/>
          <w:szCs w:val="24"/>
          <w:highlight w:val="none"/>
        </w:rPr>
        <w:t>（20）移交资料签收表</w:t>
      </w:r>
    </w:p>
    <w:p>
      <w:pPr>
        <w:shd w:val="clear" w:color="000000" w:fill="auto"/>
        <w:spacing w:line="360" w:lineRule="auto"/>
        <w:ind w:firstLine="480" w:firstLineChars="200"/>
        <w:jc w:val="left"/>
        <w:rPr>
          <w:rFonts w:ascii="宋体" w:hAnsi="宋体" w:cs="宋体"/>
          <w:color w:val="auto"/>
          <w:sz w:val="24"/>
          <w:szCs w:val="24"/>
          <w:highlight w:val="none"/>
          <w:u w:val="single"/>
        </w:rPr>
      </w:pPr>
      <w:r>
        <w:rPr>
          <w:rFonts w:hint="eastAsia" w:ascii="黑体" w:hAnsi="黑体" w:eastAsia="黑体" w:cs="黑体"/>
          <w:color w:val="auto"/>
          <w:kern w:val="0"/>
          <w:sz w:val="24"/>
          <w:szCs w:val="24"/>
          <w:highlight w:val="none"/>
        </w:rPr>
        <w:t>■</w:t>
      </w:r>
      <w:r>
        <w:rPr>
          <w:rFonts w:hint="eastAsia" w:ascii="宋体" w:hAnsi="宋体" w:cs="宋体"/>
          <w:color w:val="auto"/>
          <w:sz w:val="24"/>
          <w:szCs w:val="24"/>
          <w:highlight w:val="none"/>
        </w:rPr>
        <w:t>（21）其它:</w:t>
      </w:r>
      <w:r>
        <w:rPr>
          <w:rFonts w:hint="eastAsia" w:ascii="宋体" w:hAnsi="宋体" w:cs="宋体"/>
          <w:color w:val="auto"/>
          <w:sz w:val="24"/>
          <w:szCs w:val="24"/>
          <w:highlight w:val="none"/>
          <w:u w:val="single"/>
        </w:rPr>
        <w:t>满足广州市财政管理部门及发包人有关工程结算管理相关规定的要求。</w:t>
      </w:r>
    </w:p>
    <w:p>
      <w:pPr>
        <w:shd w:val="clear" w:color="000000" w:fill="auto"/>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kern w:val="0"/>
          <w:sz w:val="24"/>
          <w:szCs w:val="24"/>
          <w:highlight w:val="none"/>
        </w:rPr>
        <w:t>（2）发包人对送审结算资料的具体要求：</w:t>
      </w:r>
      <w:r>
        <w:rPr>
          <w:rFonts w:hint="eastAsia" w:ascii="宋体" w:hAnsi="宋体" w:cs="宋体"/>
          <w:color w:val="auto"/>
          <w:sz w:val="24"/>
          <w:szCs w:val="24"/>
          <w:highlight w:val="none"/>
          <w:u w:val="single"/>
        </w:rPr>
        <w:t xml:space="preserve"> 承包人按广州市财政管理部门及发包人有关工程结算管理相关规定提交结算资料。 </w:t>
      </w:r>
    </w:p>
    <w:p>
      <w:pPr>
        <w:shd w:val="clear" w:color="000000" w:fill="auto"/>
        <w:spacing w:line="360" w:lineRule="auto"/>
        <w:ind w:firstLine="480" w:firstLineChars="200"/>
        <w:jc w:val="left"/>
        <w:rPr>
          <w:rFonts w:ascii="宋体" w:hAnsi="宋体" w:cs="宋体"/>
          <w:color w:val="auto"/>
          <w:sz w:val="24"/>
          <w:szCs w:val="24"/>
          <w:highlight w:val="none"/>
          <w:u w:val="single"/>
        </w:rPr>
      </w:pP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693" w:name="_Toc30564"/>
      <w:bookmarkStart w:id="694" w:name="_Toc28530"/>
      <w:bookmarkStart w:id="695" w:name="_Toc469384132"/>
      <w:bookmarkStart w:id="696" w:name="_Toc10624976"/>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83. </w:t>
      </w:r>
      <w:r>
        <w:rPr>
          <w:rFonts w:hint="eastAsia" w:ascii="仿宋" w:hAnsi="仿宋" w:eastAsia="仿宋" w:cs="仿宋"/>
          <w:b/>
          <w:bCs/>
          <w:color w:val="auto"/>
          <w:sz w:val="24"/>
          <w:szCs w:val="24"/>
          <w:highlight w:val="none"/>
        </w:rPr>
        <w:t>结算款</w:t>
      </w:r>
      <w:bookmarkEnd w:id="693"/>
      <w:bookmarkEnd w:id="694"/>
      <w:bookmarkEnd w:id="695"/>
      <w:bookmarkEnd w:id="696"/>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83.1 提交竣工支付申请</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（1） 竣工支付期限</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按通用条款的规定，在造价工程师签发竣工结算支付证书后的28天内。</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另有约定：</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（2） 政府资金投资工程的支付期、支付办法</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按通用条款的规定。</w:t>
      </w:r>
    </w:p>
    <w:p>
      <w:pPr>
        <w:shd w:val="clear" w:color="000000" w:fill="auto"/>
        <w:spacing w:line="360" w:lineRule="auto"/>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xml:space="preserve">  □ 另作约定：</w:t>
      </w:r>
      <w:r>
        <w:rPr>
          <w:rFonts w:hint="eastAsia" w:ascii="宋体" w:hAnsi="宋体" w:cs="宋体"/>
          <w:color w:val="auto"/>
          <w:kern w:val="0"/>
          <w:sz w:val="24"/>
          <w:szCs w:val="24"/>
          <w:highlight w:val="none"/>
          <w:u w:val="single"/>
        </w:rPr>
        <w:t xml:space="preserve">   /      </w:t>
      </w:r>
    </w:p>
    <w:p>
      <w:pPr>
        <w:shd w:val="clear" w:color="000000" w:fill="auto"/>
        <w:spacing w:line="360" w:lineRule="auto"/>
        <w:ind w:firstLine="120" w:firstLineChars="5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(3) 实施</w:t>
      </w:r>
      <w:r>
        <w:rPr>
          <w:rFonts w:hint="eastAsia" w:ascii="宋体" w:hAnsi="宋体" w:cs="宋体"/>
          <w:color w:val="auto"/>
          <w:sz w:val="24"/>
          <w:szCs w:val="24"/>
          <w:highlight w:val="none"/>
        </w:rPr>
        <w:t>施工过程结算</w:t>
      </w:r>
      <w:r>
        <w:rPr>
          <w:rFonts w:hint="eastAsia" w:ascii="宋体" w:hAnsi="宋体" w:cs="宋体"/>
          <w:color w:val="auto"/>
          <w:kern w:val="0"/>
          <w:sz w:val="24"/>
          <w:szCs w:val="24"/>
          <w:highlight w:val="none"/>
        </w:rPr>
        <w:t>的，其竣工结算支付方法：</w:t>
      </w:r>
      <w:r>
        <w:rPr>
          <w:rFonts w:hint="eastAsia" w:ascii="宋体" w:hAnsi="宋体" w:cs="宋体"/>
          <w:color w:val="auto"/>
          <w:kern w:val="0"/>
          <w:sz w:val="24"/>
          <w:szCs w:val="24"/>
          <w:highlight w:val="none"/>
          <w:u w:val="single"/>
        </w:rPr>
        <w:t xml:space="preserve">  /     </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697" w:name="_Toc469384133"/>
      <w:bookmarkStart w:id="698" w:name="_Toc10624977"/>
      <w:bookmarkStart w:id="699" w:name="_Toc7135"/>
      <w:bookmarkStart w:id="700" w:name="_Toc23195"/>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84. </w:t>
      </w:r>
      <w:r>
        <w:rPr>
          <w:rFonts w:hint="eastAsia" w:ascii="仿宋" w:hAnsi="仿宋" w:eastAsia="仿宋" w:cs="仿宋"/>
          <w:b/>
          <w:bCs/>
          <w:color w:val="auto"/>
          <w:sz w:val="24"/>
          <w:szCs w:val="24"/>
          <w:highlight w:val="none"/>
        </w:rPr>
        <w:t>质量保证金</w:t>
      </w:r>
      <w:bookmarkEnd w:id="697"/>
      <w:bookmarkEnd w:id="698"/>
      <w:bookmarkEnd w:id="699"/>
      <w:bookmarkEnd w:id="700"/>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84.2 质量保证金的约定与扣留</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（1） 质量保证金的约定</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按通用条款规定为合同条款的3%(采用银行保函)，即 </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元。</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另有约定：</w:t>
      </w:r>
      <w:r>
        <w:rPr>
          <w:rFonts w:hint="eastAsia" w:ascii="宋体" w:hAnsi="宋体" w:cs="宋体"/>
          <w:color w:val="auto"/>
          <w:kern w:val="0"/>
          <w:sz w:val="24"/>
          <w:szCs w:val="24"/>
          <w:highlight w:val="none"/>
          <w:u w:val="single"/>
        </w:rPr>
        <w:t xml:space="preserve">   /      </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（2） 质量保证金的扣留</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按通用条款的规定，按每支付期应支付给承包人的进度款和结算款的3%扣留。</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另有约定：</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 xml:space="preserve">    </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701" w:name="_Toc16302"/>
      <w:bookmarkStart w:id="702" w:name="_Toc469384134"/>
      <w:bookmarkStart w:id="703" w:name="_Toc10624978"/>
      <w:bookmarkStart w:id="704" w:name="_Toc7024"/>
      <w:r>
        <w:rPr>
          <w:rFonts w:ascii="仿宋" w:hAnsi="仿宋" w:eastAsia="仿宋" w:cs="仿宋"/>
          <w:b/>
          <w:bCs/>
          <w:color w:val="auto"/>
          <w:sz w:val="24"/>
          <w:szCs w:val="24"/>
          <w:highlight w:val="none"/>
        </w:rPr>
        <w:t xml:space="preserve">85. </w:t>
      </w:r>
      <w:r>
        <w:rPr>
          <w:rFonts w:hint="eastAsia" w:ascii="仿宋" w:hAnsi="仿宋" w:eastAsia="仿宋" w:cs="仿宋"/>
          <w:b/>
          <w:bCs/>
          <w:color w:val="auto"/>
          <w:sz w:val="24"/>
          <w:szCs w:val="24"/>
          <w:highlight w:val="none"/>
        </w:rPr>
        <w:t>最终清算款</w:t>
      </w:r>
      <w:bookmarkEnd w:id="701"/>
      <w:bookmarkEnd w:id="702"/>
      <w:bookmarkEnd w:id="703"/>
      <w:bookmarkEnd w:id="704"/>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85.1 提交最终清算支付申请</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（1） 最终清算支付申请</w:t>
      </w:r>
    </w:p>
    <w:p>
      <w:pPr>
        <w:shd w:val="clear" w:color="000000" w:fill="auto"/>
        <w:spacing w:line="360" w:lineRule="auto"/>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提交份数：</w:t>
      </w:r>
      <w:r>
        <w:rPr>
          <w:rFonts w:hint="eastAsia" w:ascii="宋体" w:hAnsi="宋体" w:cs="宋体"/>
          <w:color w:val="auto"/>
          <w:kern w:val="0"/>
          <w:sz w:val="24"/>
          <w:szCs w:val="24"/>
          <w:highlight w:val="none"/>
          <w:u w:val="single"/>
        </w:rPr>
        <w:t xml:space="preserve"> 按发包人要求 </w:t>
      </w:r>
    </w:p>
    <w:p>
      <w:pPr>
        <w:shd w:val="clear" w:color="000000" w:fill="auto"/>
        <w:spacing w:line="360" w:lineRule="auto"/>
        <w:ind w:firstLine="48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提交期限：</w:t>
      </w:r>
      <w:r>
        <w:rPr>
          <w:rFonts w:hint="eastAsia" w:ascii="宋体" w:hAnsi="宋体" w:cs="宋体"/>
          <w:color w:val="auto"/>
          <w:kern w:val="0"/>
          <w:sz w:val="24"/>
          <w:szCs w:val="24"/>
          <w:highlight w:val="none"/>
          <w:u w:val="single"/>
        </w:rPr>
        <w:t xml:space="preserve"> 按发包人要求</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(2)  最终清算支付时限</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按通用条款的规定，在造价工程师签发最终清算支付证书后的14天内。</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另有约定：</w:t>
      </w:r>
      <w:r>
        <w:rPr>
          <w:rFonts w:hint="eastAsia" w:ascii="宋体" w:hAnsi="宋体" w:cs="宋体"/>
          <w:color w:val="auto"/>
          <w:kern w:val="0"/>
          <w:sz w:val="24"/>
          <w:szCs w:val="24"/>
          <w:highlight w:val="none"/>
          <w:u w:val="single"/>
        </w:rPr>
        <w:t xml:space="preserve">    按本合同约定。         </w:t>
      </w:r>
      <w:r>
        <w:rPr>
          <w:rFonts w:hint="eastAsia" w:ascii="宋体" w:hAnsi="宋体" w:cs="宋体"/>
          <w:color w:val="auto"/>
          <w:kern w:val="0"/>
          <w:sz w:val="24"/>
          <w:szCs w:val="24"/>
          <w:highlight w:val="none"/>
        </w:rPr>
        <w:t xml:space="preserve">             </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705" w:name="_Toc2417"/>
      <w:bookmarkStart w:id="706" w:name="_Toc469384135"/>
      <w:bookmarkStart w:id="707" w:name="_Toc30634"/>
      <w:bookmarkStart w:id="708" w:name="_Toc10624979"/>
      <w:r>
        <w:rPr>
          <w:rFonts w:ascii="仿宋" w:hAnsi="仿宋" w:eastAsia="仿宋" w:cs="仿宋"/>
          <w:b/>
          <w:bCs/>
          <w:color w:val="auto"/>
          <w:sz w:val="24"/>
          <w:szCs w:val="24"/>
          <w:highlight w:val="none"/>
        </w:rPr>
        <w:t xml:space="preserve">86. </w:t>
      </w:r>
      <w:r>
        <w:rPr>
          <w:rFonts w:hint="eastAsia" w:ascii="仿宋" w:hAnsi="仿宋" w:eastAsia="仿宋" w:cs="仿宋"/>
          <w:b/>
          <w:bCs/>
          <w:color w:val="auto"/>
          <w:sz w:val="24"/>
          <w:szCs w:val="24"/>
          <w:highlight w:val="none"/>
        </w:rPr>
        <w:t>合同争议</w:t>
      </w:r>
      <w:bookmarkEnd w:id="705"/>
      <w:bookmarkEnd w:id="706"/>
      <w:bookmarkEnd w:id="707"/>
      <w:bookmarkEnd w:id="708"/>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86.4 调解或认定</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争议调解或认定机构：</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按通用条款的规定。</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另有约定：</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（1）</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 xml:space="preserve">         </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（2）</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 xml:space="preserve">            </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（3）</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 xml:space="preserve">           </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86.6 仲裁或诉讼</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解决争议的最终方式：</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向中国广州仲裁委员会申请仲裁。</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向对发包人有管辖权的人民法院提起诉讼。</w:t>
      </w:r>
    </w:p>
    <w:p>
      <w:pPr>
        <w:shd w:val="clear" w:color="000000" w:fill="auto"/>
        <w:spacing w:line="360" w:lineRule="auto"/>
        <w:ind w:firstLine="120" w:firstLineChars="50"/>
        <w:rPr>
          <w:rFonts w:ascii="宋体" w:hAnsi="宋体" w:cs="宋体"/>
          <w:color w:val="auto"/>
          <w:kern w:val="0"/>
          <w:sz w:val="24"/>
          <w:szCs w:val="24"/>
          <w:highlight w:val="none"/>
          <w:u w:val="single"/>
        </w:rPr>
      </w:pPr>
    </w:p>
    <w:p>
      <w:pPr>
        <w:shd w:val="clear" w:color="000000" w:fill="auto"/>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将90.1修改如下内容：</w:t>
      </w:r>
    </w:p>
    <w:p>
      <w:pPr>
        <w:shd w:val="clear" w:color="000000" w:fill="auto"/>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u w:val="single"/>
        </w:rPr>
        <w:t>因承包人违反本合同约定给发包人造成损失的，承包人应当赔偿发包人损失，包括发包人所支付的诉讼、鉴定、评估、公证、律师费等合理的维权费用。</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709" w:name="_Toc7716"/>
      <w:bookmarkStart w:id="710" w:name="_Toc469384136"/>
      <w:bookmarkStart w:id="711" w:name="_Toc18798"/>
      <w:bookmarkStart w:id="712" w:name="_Toc10624980"/>
      <w:r>
        <w:rPr>
          <w:rFonts w:ascii="仿宋" w:hAnsi="仿宋" w:eastAsia="仿宋" w:cs="仿宋"/>
          <w:b/>
          <w:bCs/>
          <w:color w:val="auto"/>
          <w:sz w:val="24"/>
          <w:szCs w:val="24"/>
          <w:highlight w:val="none"/>
        </w:rPr>
        <w:t xml:space="preserve">94. </w:t>
      </w:r>
      <w:r>
        <w:rPr>
          <w:rFonts w:hint="eastAsia" w:ascii="仿宋" w:hAnsi="仿宋" w:eastAsia="仿宋" w:cs="仿宋"/>
          <w:b/>
          <w:bCs/>
          <w:color w:val="auto"/>
          <w:sz w:val="24"/>
          <w:szCs w:val="24"/>
          <w:highlight w:val="none"/>
        </w:rPr>
        <w:t>保密要求</w:t>
      </w:r>
      <w:bookmarkEnd w:id="709"/>
      <w:bookmarkEnd w:id="710"/>
      <w:bookmarkEnd w:id="711"/>
      <w:bookmarkEnd w:id="712"/>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94.1 提供保密信息的期限：</w:t>
      </w:r>
      <w:r>
        <w:rPr>
          <w:rFonts w:hint="eastAsia" w:ascii="宋体" w:hAnsi="宋体" w:cs="宋体"/>
          <w:color w:val="auto"/>
          <w:kern w:val="0"/>
          <w:sz w:val="24"/>
          <w:szCs w:val="24"/>
          <w:highlight w:val="none"/>
          <w:u w:val="single"/>
        </w:rPr>
        <w:t>按国家规定执行。</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713" w:name="_Toc13146"/>
      <w:bookmarkStart w:id="714" w:name="_Toc10624981"/>
      <w:bookmarkStart w:id="715" w:name="_Toc469384137"/>
      <w:bookmarkStart w:id="716" w:name="_Toc31530"/>
      <w:r>
        <w:rPr>
          <w:rFonts w:ascii="仿宋" w:hAnsi="仿宋" w:eastAsia="仿宋" w:cs="仿宋"/>
          <w:b/>
          <w:bCs/>
          <w:color w:val="auto"/>
          <w:sz w:val="24"/>
          <w:szCs w:val="24"/>
          <w:highlight w:val="none"/>
        </w:rPr>
        <w:t xml:space="preserve">97. </w:t>
      </w:r>
      <w:r>
        <w:rPr>
          <w:rFonts w:hint="eastAsia" w:ascii="仿宋" w:hAnsi="仿宋" w:eastAsia="仿宋" w:cs="仿宋"/>
          <w:b/>
          <w:bCs/>
          <w:color w:val="auto"/>
          <w:sz w:val="24"/>
          <w:szCs w:val="24"/>
          <w:highlight w:val="none"/>
        </w:rPr>
        <w:t>合同份数</w:t>
      </w:r>
      <w:bookmarkEnd w:id="713"/>
      <w:bookmarkEnd w:id="714"/>
      <w:bookmarkEnd w:id="715"/>
      <w:bookmarkEnd w:id="716"/>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94.1 约定提供合同文件</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提供合同文本：</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按通用条款的规定，由发包人向承包人提供。</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另有约定：</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 xml:space="preserve">           </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94.2 正副本效力</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合同的份数：</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正本</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份，副本</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份。</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其中：发包人正本</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份，副本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份；</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承包人正本</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份，副本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份。</w:t>
      </w:r>
    </w:p>
    <w:p>
      <w:pPr>
        <w:shd w:val="clear" w:color="000000" w:fill="auto"/>
        <w:spacing w:line="360" w:lineRule="auto"/>
        <w:rPr>
          <w:rFonts w:ascii="宋体" w:hAnsi="宋体"/>
          <w:color w:val="auto"/>
          <w:kern w:val="0"/>
          <w:sz w:val="24"/>
          <w:szCs w:val="24"/>
          <w:highlight w:val="none"/>
        </w:rPr>
      </w:pPr>
    </w:p>
    <w:p>
      <w:pPr>
        <w:pStyle w:val="3"/>
        <w:shd w:val="clear" w:color="000000" w:fill="auto"/>
        <w:tabs>
          <w:tab w:val="left" w:pos="420"/>
          <w:tab w:val="clear" w:pos="432"/>
        </w:tabs>
        <w:ind w:left="0" w:firstLine="0"/>
        <w:rPr>
          <w:rFonts w:hAnsi="宋体" w:cs="Times New Roman"/>
          <w:b/>
          <w:bCs/>
          <w:color w:val="auto"/>
          <w:sz w:val="36"/>
          <w:szCs w:val="36"/>
          <w:highlight w:val="none"/>
        </w:rPr>
      </w:pPr>
      <w:bookmarkStart w:id="717" w:name="_Toc10624982"/>
      <w:bookmarkStart w:id="718" w:name="_Toc469384138"/>
      <w:bookmarkStart w:id="719" w:name="_Toc266892922"/>
      <w:r>
        <w:rPr>
          <w:rFonts w:hint="eastAsia" w:hAnsi="宋体"/>
          <w:b/>
          <w:bCs/>
          <w:color w:val="auto"/>
          <w:sz w:val="36"/>
          <w:szCs w:val="36"/>
          <w:highlight w:val="none"/>
        </w:rPr>
        <w:br w:type="page"/>
      </w:r>
      <w:bookmarkStart w:id="720" w:name="_Toc29768"/>
      <w:bookmarkStart w:id="721" w:name="_Toc27509"/>
      <w:r>
        <w:rPr>
          <w:rFonts w:hint="eastAsia" w:hAnsi="宋体"/>
          <w:b/>
          <w:bCs/>
          <w:color w:val="auto"/>
          <w:sz w:val="36"/>
          <w:szCs w:val="36"/>
          <w:highlight w:val="none"/>
        </w:rPr>
        <w:t>第四部分</w:t>
      </w:r>
      <w:r>
        <w:rPr>
          <w:rFonts w:hAnsi="宋体"/>
          <w:b/>
          <w:bCs/>
          <w:color w:val="auto"/>
          <w:sz w:val="36"/>
          <w:szCs w:val="36"/>
          <w:highlight w:val="none"/>
        </w:rPr>
        <w:t xml:space="preserve">  </w:t>
      </w:r>
      <w:r>
        <w:rPr>
          <w:rFonts w:hint="eastAsia" w:hAnsi="宋体"/>
          <w:b/>
          <w:bCs/>
          <w:color w:val="auto"/>
          <w:sz w:val="36"/>
          <w:szCs w:val="36"/>
          <w:highlight w:val="none"/>
        </w:rPr>
        <w:t>附件与格式</w:t>
      </w:r>
      <w:bookmarkEnd w:id="717"/>
      <w:bookmarkEnd w:id="718"/>
      <w:bookmarkEnd w:id="719"/>
      <w:bookmarkEnd w:id="720"/>
      <w:bookmarkEnd w:id="721"/>
    </w:p>
    <w:p>
      <w:pPr>
        <w:shd w:val="clear" w:color="000000" w:fill="auto"/>
        <w:spacing w:line="360" w:lineRule="auto"/>
        <w:jc w:val="left"/>
        <w:outlineLvl w:val="0"/>
        <w:rPr>
          <w:rFonts w:hint="eastAsia" w:ascii="仿宋" w:hAnsi="仿宋" w:eastAsia="仿宋" w:cs="仿宋"/>
          <w:b/>
          <w:bCs/>
          <w:sz w:val="24"/>
          <w:szCs w:val="24"/>
        </w:rPr>
      </w:pPr>
      <w:bookmarkStart w:id="722" w:name="_Toc5035"/>
      <w:bookmarkStart w:id="723" w:name="_Toc18140"/>
      <w:bookmarkStart w:id="724" w:name="_Toc469384141"/>
      <w:bookmarkStart w:id="725" w:name="_Toc266892925"/>
      <w:bookmarkStart w:id="726" w:name="_Toc10624985"/>
      <w:r>
        <w:rPr>
          <w:rFonts w:hint="eastAsia" w:ascii="仿宋" w:hAnsi="仿宋" w:eastAsia="仿宋" w:cs="仿宋"/>
          <w:b/>
          <w:bCs/>
          <w:sz w:val="24"/>
          <w:szCs w:val="24"/>
        </w:rPr>
        <w:t>附件一</w:t>
      </w:r>
      <w:bookmarkEnd w:id="722"/>
      <w:r>
        <w:rPr>
          <w:rFonts w:hint="eastAsia" w:ascii="仿宋" w:hAnsi="仿宋" w:eastAsia="仿宋" w:cs="仿宋"/>
          <w:b/>
          <w:bCs/>
          <w:sz w:val="24"/>
          <w:szCs w:val="24"/>
        </w:rPr>
        <w:t>：品牌推荐表</w:t>
      </w:r>
      <w:bookmarkEnd w:id="723"/>
    </w:p>
    <w:p>
      <w:pPr>
        <w:shd w:val="clear" w:color="000000" w:fill="auto"/>
        <w:spacing w:line="360" w:lineRule="auto"/>
        <w:jc w:val="center"/>
        <w:outlineLvl w:val="1"/>
        <w:rPr>
          <w:rFonts w:ascii="仿宋" w:hAnsi="仿宋" w:eastAsia="仿宋" w:cs="仿宋"/>
          <w:b/>
          <w:bCs/>
          <w:color w:val="auto"/>
          <w:spacing w:val="32"/>
          <w:kern w:val="36"/>
          <w:sz w:val="36"/>
          <w:szCs w:val="36"/>
          <w:highlight w:val="none"/>
        </w:rPr>
      </w:pPr>
      <w:bookmarkStart w:id="727" w:name="_Toc13375"/>
      <w:bookmarkStart w:id="728" w:name="_Toc10422"/>
      <w:bookmarkStart w:id="729" w:name="_Toc8667"/>
      <w:r>
        <w:rPr>
          <w:rFonts w:hint="eastAsia" w:ascii="仿宋" w:hAnsi="仿宋" w:eastAsia="仿宋" w:cs="仿宋"/>
          <w:b/>
          <w:bCs/>
          <w:color w:val="auto"/>
          <w:spacing w:val="32"/>
          <w:kern w:val="36"/>
          <w:sz w:val="24"/>
          <w:szCs w:val="24"/>
          <w:highlight w:val="none"/>
        </w:rPr>
        <w:t>品牌推荐表</w:t>
      </w:r>
      <w:bookmarkEnd w:id="727"/>
      <w:bookmarkEnd w:id="728"/>
      <w:bookmarkEnd w:id="729"/>
    </w:p>
    <w:tbl>
      <w:tblPr>
        <w:tblStyle w:val="40"/>
        <w:tblW w:w="998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99"/>
        <w:gridCol w:w="1191"/>
        <w:gridCol w:w="6664"/>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6664" w:type="dxa"/>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技术参数</w:t>
            </w:r>
            <w:r>
              <w:rPr>
                <w:rFonts w:hint="eastAsia" w:ascii="宋体" w:hAnsi="宋体" w:cs="宋体"/>
                <w:b/>
                <w:bCs/>
                <w:i w:val="0"/>
                <w:iCs w:val="0"/>
                <w:color w:val="000000"/>
                <w:kern w:val="0"/>
                <w:sz w:val="24"/>
                <w:szCs w:val="24"/>
                <w:u w:val="none"/>
                <w:lang w:val="en-US" w:eastAsia="zh-CN" w:bidi="ar"/>
              </w:rPr>
              <w:t>要求</w:t>
            </w:r>
          </w:p>
        </w:tc>
        <w:tc>
          <w:tcPr>
            <w:tcW w:w="1526" w:type="dxa"/>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本次招标要求的生产厂家或品牌选择范围不低于以下要求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42U机柜</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1.材质：冷轧钢板，前门钢化玻璃，后门钣金门。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2.规格：42U，约W600× D1000× H2000mm，内置不少于3块托盘。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3.安装方式：落地式。</w:t>
            </w:r>
          </w:p>
        </w:tc>
        <w:tc>
          <w:tcPr>
            <w:tcW w:w="1526"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图腾、大唐、欢联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22U弱电间机柜</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1.材质：冷轧钢板，前门钢化玻璃，后门钣金门。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2.规格：22U，约W600× D600× H1200mm，内置不少于1块托盘。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3.安装方式：落地式。</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图腾、大唐、欢联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机柜pdu电源</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1.外壳材质：接地铝合金外壳；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2.适用于标准机柜安装；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3.插座位：≥8位；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4.功率：≥2500W；</w:t>
            </w:r>
          </w:p>
        </w:tc>
        <w:tc>
          <w:tcPr>
            <w:tcW w:w="1526"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公牛、天诚、一舟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核心交换机</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1.端口：≥24个千兆SFP端口,≥8个千兆电口,≥4个万兆SFP+；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2.交换容量：≥6.72Tbps，包转率：≥120Mpps；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3.额定电压：100-240V AC,50/60Hz。</w:t>
            </w:r>
          </w:p>
        </w:tc>
        <w:tc>
          <w:tcPr>
            <w:tcW w:w="1526"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华为、新华三、锐捷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千兆光模块</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1.千兆光模块，单模双纤；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2.中心波长;1310,传输距离≥10km。</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华为、新华三、锐捷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万兆光模块</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1.万兆光模块，单模双纤；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2.中心波长;1310,传输距离≥10km。</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华为、新华三、锐捷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不间断电源设备</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1.额定容量：≥6kVA；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2.制式：单进单出；输入：单相三线；输出：单相三线；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3.配置：外接电池箱，断电续航≥60min；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4.含机架式电池包、导轨。</w:t>
            </w:r>
          </w:p>
        </w:tc>
        <w:tc>
          <w:tcPr>
            <w:tcW w:w="1526"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华为、科士达、科华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24口ODF配线架</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1.24口ODF光纤配线架；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2.接口：单模LC接口；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3.含≥2束12芯束状尾纤、≥24个耦合器、裸纤管、热缩管等配件。</w:t>
            </w:r>
          </w:p>
        </w:tc>
        <w:tc>
          <w:tcPr>
            <w:tcW w:w="1526"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博扬、海乐、烽火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48口ODF配线架</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1.48口ODF光纤配线架；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2.接口：单模LC接口；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3.含≥4束12芯束状尾纤、≥48个耦合器、裸纤管、热缩管等配件。</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博扬、海乐、烽火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48口千兆接入交换机</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1、千兆web管理交换机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2、19英寸1U标准机架，金属外壳；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3、端口：≥48个10/100/1000BASE-T以太网端口,≥4个千兆光口；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4、包转发率≥78Mpps，交换容量≥432Gbps；</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华为、新华三、锐捷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六类网络双绞线</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1、线缆中心采用十字骨架；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2、带宽：满足250MHz测试符合最新六类标准；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3、导体：23AWG，实芯裸铜导线；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4、外护套采用阻燃PVC材料；</w:t>
            </w:r>
          </w:p>
        </w:tc>
        <w:tc>
          <w:tcPr>
            <w:tcW w:w="1526"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天诚、一舟、易初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六类网络跳线</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1.六类网络跳线；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2.长度：≥2米。</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天诚、一舟、易初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6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AC管理器</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1、最大管理AP数量:≥128，支持≥128个AP授权管理许可；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2、最大接入用户数量≥1K；</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3、转发能力≥4Gbps；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4、接口≥2个10GE光口,≥10个GE电口；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5、包含≥32个AP管理授权；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6、支持基于802.11k和802.11v协议的智能漫游，使低漫游灵敏度的客户端能漫游到最佳AP；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7、支持CLI、SNMPV1/V2/V3，支持WEB管理、SSH管理；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8、提供整体无线网络性能监控，支持对AC/AP/射频/终端的性能监控；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9、支持可视化故障诊断，对用户、AP、AC的故障呈现故障根因和处理建议。</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华为、新华三、锐捷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吸顶AP</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1、支持802.11ax标准；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2、2.4GHz和5GHz双频段支持MU-MIMO；</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3、支持整机速率≥2.9Gbps；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4、支持总空间流数≥4；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5、支持业务数据的隧道转发和直接转发两种方式；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6、支持蓝牙5.0串口远距无线运维；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7、支持DTLS硬件加密，保证接入AP 的合法性，提高无线网络安全；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8、支持telemetry，配合服务器可以高速采集Wi-Fi的数据；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9、支持AP零配置，AP可以通过DHCP、DNS方式自动注册到无线控制器AC；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10、支持云管理模式，在不更换硬件的情况下，可支持切换到云模式。</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华为、新华三、锐捷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24口POE交换机</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1、19英寸1U标准机架，金属外壳；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2、端口：≥24个千兆POE端口,≥4个千兆光口；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3、包转发率：≥42Mpps，交换容量：≥336Gbps；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4、POE+输出功率：≥380W。</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华为、新华三、锐捷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0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半球形网络摄像机</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1.不少于400万1/1.8'CMOS全彩半球型网络摄像机；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2.最低照度彩色≤0.0005 lx，黑白≤0.0001 lx；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3.红外补光距离≥30米；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4.支持双码流技术，主码流≥2560x1440@25fps，子码流≥640x480@25fps；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5.供电方式：支持DC12V或POE（802.3af，36V-57V）。</w:t>
            </w:r>
          </w:p>
        </w:tc>
        <w:tc>
          <w:tcPr>
            <w:tcW w:w="1526"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海康威视、大华、宇视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0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筒型网络摄像机</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1.不少于400万1/1.8'CMOS全彩筒型网络摄像机；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2.最低照度彩色≤0.0005 lx，黑白≤0.0001 lx；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3.红外补光距离≥30米；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4.支持双码流技术，主码流≥2560x1440@25fps，子码流≥640x480@25fps；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5.供电方式：支持DC12V或POE（802.3af，36V-57V）。</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海康威视、大华、宇视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管理工作站</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1.CPU：核心≥4颗，≥8线程，频率≥3.3Hz；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2.内存：≥8G，SSD硬盘≥1T；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3.液晶显示器≥23.8寸；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4.配置鼠标键盘套装。</w:t>
            </w:r>
          </w:p>
        </w:tc>
        <w:tc>
          <w:tcPr>
            <w:tcW w:w="1526"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联想、华为、华硕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0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监控录像机</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1.网络视频输入：≥32路视频；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2.存储：支持≥8块8T硬盘；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越界、进入区域、离开区域、区域入侵、徘徊、人员聚焦、快速移动、非法停车、物品遗留、物品拿取、人脸、车牌、音频输入异常、声强突变、虚焦以及场景变更等多种智能侦测接入与联动，支持智能搜索、回放及备份功能。</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海康威视、大华、宇视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监控硬盘</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1.不低于6T监控专用硬盘；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2.转速≥5400转。</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海康威视、大华、宇视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KVM切换器</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1.LCD KVM切换器，机架式安装；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2.屏幕尺寸：≥19寸显示屏；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3.分辨率≥1280*1024；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4.不少于8路信号源接入。</w:t>
            </w:r>
          </w:p>
        </w:tc>
        <w:tc>
          <w:tcPr>
            <w:tcW w:w="1526"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迈拓维矩、麦森特、戴尔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门禁控制主机</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1.可管理≥1路门禁；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2.支持韦根W26/27/34/35等读卡器类型；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3.发卡量：≥10000；时间记录：≥50000；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4.通信方式：支持TCP/IP。</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海康威视、大华、中控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门禁读卡器</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1.设备外观：采用不低于7英寸LCD触摸显示屏，不少于200万像素双目摄像头，面部识别距离0.2-3m，支持照片视频防假；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2.设备容量：支持≥50000张人脸白名单，1：N人脸比对时间＜0.2S/人，支持≥50000张卡片，≥100000条记录；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3.认证方式：支持人脸、刷卡、密码（超级密码）及其组合的认证方式；可读取Mifare卡（IC卡）、CPU卡序列号/内容、身份证序列号；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4.通讯方式：上行通讯为TCP/IP；支持外接RS485，Wiegand副读卡器；基线支持标准韦根34/26；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5.视频对讲：支持与云端、管理平台客户端、主副室内分机、管理机的视频对讲功能；支持远程视频预览功能，可以通过RTSP协议输出视频码流，编码格式H.264；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6.输入接口：支持LAN、RS485、wiegand、USB、门磁、报警输入；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7.输出接口：支持电锁，报警输出。</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海康威视、大华、中控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6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磁力锁</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1.带指示灯及信号反馈；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2.适用门型：木门、铁门、有框玻璃门等；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3.电压：DC12V；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4.电流：500mA；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5.开锁时间：≤1s；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6.吸力：≥280KG直线拉力；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7.LED灯，铝合金材质，常开常闭信号；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8.延时上锁：0-9秒可调；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9.延时开锁：0-25秒可调；</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海康威视、大华、中控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6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双门磁力锁</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1.带指示灯及信号反馈；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2.适用门型：双开木门、双开铁门、双开有框玻璃门等；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3.电压：DC12V；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4.电流：500mA；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5.开锁时间：≤1s；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6.吸力：≥280KG直线拉力；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7.LED灯，铝合金材质，常开常闭信号；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8.延时上锁：0-9秒可调；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9.延时开锁：0-25秒可调；</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海康威视、大华、中控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RFID发卡器</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1.一卡通取电系统，有效管理设备使用，写卡器，USB接口；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2.尺寸110mm*70mm。读写距离：小于10cm；</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海康威视、大华、中控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门禁控制线1</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1.名称：聚氯乙烯护套线；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2.线芯：无氧纯铜；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3.规格：4*1.0.</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海康威视、大华、中控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门禁控制线2</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1.名称：聚氯乙烯护套线；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2.线芯：无氧纯铜；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3.规格：6*1.0.</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海康威视、大华、中控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电源线</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1.名称：聚氯乙烯护套线；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2.线芯：无氧纯铜；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3.规格：3*1.5.</w:t>
            </w:r>
          </w:p>
        </w:tc>
        <w:tc>
          <w:tcPr>
            <w:tcW w:w="1526"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天诚、讯诚、珠江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68"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广播系统控制中心设备</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1.采用工业级工控机机箱设计，工业一体化键盘鼠标；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2.采用不小于17.3英寸显示屏，触摸屏操控；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3.系统具备多套定时任务管理方案，支持定时任务多模式运作，定时任务可按星期循环控制，也可指定日期执行定时任务，通过灵活的定时任务配置；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系统提供灵活的终端点播管理功能，具有丰富的点播节目库，供终端点播灵活选择，具备音频媒体点播服务.计划任务处理。终端管理和权限管理等功能；管理节目库资源，为所有广播系统设备提供定时播放和实时点播媒体服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▲5.支持AUTO IP功能，DHCP模式下自动获取IP地址，兼容路由器、交换机、网关、Intelnet、组播、单播等任意网络结构，并实现多网合一传输；（提供第三方检测报告复印件并加盖厂家公章）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全数字化传输，服务器以独立的固定IP地址以互联网或者本地局域网为主要传输，手机APP支持移动网络4G、5G、WIFI等网络模式，可控制终端，停止/播放，音量大小，单曲播放，单曲循环，循环播放，顺序播放，随机播放，喊话等远程控制模式；（提供第三方检测报告复印件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智能音频终端支持逻辑分区，可任意选择，图形化状态显示，工作状态一目了然，直观明了；支持快捷播放操作，快捷播放任意音源；所有网络数字音频设备自动发现，自动监测状态变化，方便管理；（提供第三方检测报告复印件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8.支持广播系统系统管理软件API开发包系统嵌入式开发，可提供广播系统系统管理软件API标准开发协议；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9.支持7×24小时不间断运行；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10.硬件：不低于I5十代处理器，不小于8G内存，不小于240G固态硬盘。</w:t>
            </w:r>
          </w:p>
        </w:tc>
        <w:tc>
          <w:tcPr>
            <w:tcW w:w="1526"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佳比、德物、厚德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38"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广播系统数字音频播控台</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1.标准机柜设计，采用触控真彩显示屏，主页终端状态显示功能，可直接触控终端发出指令呼叫指定区域；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▲2.系统采用Ai智能识别技术，具备数字音频智能绑定功能，智慧终端在系统主页面自动显示状态，无需添加；（提供第三方检测报告复印件并加盖厂家公章）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数字播控台自动跟随主服务器平台，图形化界面、状态信息显示一目了然，操作简单便捷，具有一键全区广播，一键紧急广播；支持直接操作呼叫任意智慧音频终端；（提供第三方检测报告复印件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▲4.支持服务器媒体库音乐点播功能，支持分区广播、分组广播、全区广播，支持点播任意终端，可单曲播放；单曲循环；顺序播放；循环播放以及随机播放；（提供第三方检测报告复印件并加盖厂家公章）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▲5.自带回声消除模块，内置数字音频通道自适应参量均衡算法，多频段动态范围调节，且具有回声啸叫抑制功能；（提供第三方检测报告复印件并加盖厂家公章）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6.具有紧急时一键操作，支持多路模拟音源混音功能；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7.具有无声音输入时自动关闭功能，并可设定自动关闭时间；具有手动打开/关闭静音功能；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8.具有一键紧急功能，LED自然跟随，紧急时一键触发告警，带防护盖，防止误操作；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9.支持用户名和登陆密码与广播系统平台管理软件统一管理，支持系统用户同时登录.支持分控管理账号登录，实现远程节目播放管理；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▲10.支持背景音讲话，有效解决IP数字系统定时程序播音时由于数字信号无法与话筒讲话等模拟信号进行混音的难题；（提供第三方检测报告复印件并加盖厂家公章）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具有脱机运行功能，可直接接入校园局域网使用，寻呼时无需服务器的支撑，数字音频播控台具备服务器断网后仍然能够进行混音广播，支持多路音频混音功能，可将外部音频输入采集并播放到指定网络终端；（提供第三方检测报告复印件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12.支持DHCP、兼容路由器、交换机、Intelnet、4G、5G、组播、单播等任意网络结构、支持互联网和本地局域网；（提供第三方检测报告复印件并加盖厂家公章）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13.音频接口：不少于6路单声道MIC输入，不少于4路立体声输入，不少于1路紧急按钮，不少于1路寻呼功能键，不少于1路USB输入，不少于1路混合母线输出，不少于2路AUX输出；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14.支持单声道输入通道带48V幻像供电，嵌入式开关设计。</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佳比、德物、厚德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8"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广播系统语音播控台</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1.采用金属面板，全金属机身，采用触摸真彩显示屏，内置终端图形化状态主页显示功能，可直接触控终端发出指令呼叫指定区域；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2.系统采用Ai智能识别技术，具备数字音频智能绑定功能，智慧终端在系统主页面自动显示状态，无需添加；（提供第三方检测报告复印件并加盖厂家公章）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3.系统支持DHCP，也可以直接在设备上配置静态IP地址；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数字播控台自动跟随主服务器平台，图形化界面、状态信息显示一目了然，操作简单便捷，具有一键全区广播，一键紧急广播；支持直接操作呼叫任意智能音频终端；（提供第三方检测报告复印件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用户名和登陆密码与广播系统平台管理软件统一管理，支持系统用户同时登录、支持分控管理账号登录，实现远程节目播放管理；支持服务器媒体库音乐点播功能，支持分区广播、分组广播、全区广播，支持点播任意终端，可单曲播放、单曲循环、顺序播放、循环播放以及随机播放；（提供第三方检测报告复印件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6.具有全双工双向功能，根据网络环境自动调整动态网络延时，支持直接操作，可呼叫、点播歌曲给任意终端；具有对分区/分组/全区节目源点播控制功能；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7.具有无声音输入时自动关闭功能，并可设定自动关闭时间；具有手动打开/关闭静音功能；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▲8.一键紧急功能：LED自然跟随，紧急时一键触发告警，带防护盖，防止误操作；（提供第三方检测报告复印件并加盖厂家公章）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▲9.自带回声消除模块，内置数字音频通道自适应参量均衡算法(QOS)，多频段动态范围调节，且具有回声啸叫抑制功能；（提供第三方检测报告复印件并加盖厂家公章）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▲10.支持背景音讲话，有效解决IP数字系统定时程序播音时由于数字信号无法与话筒讲话等模拟信号进行混音的难题；（提供第三方检测报告复印件并加盖厂家公章）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具有脱机运行功能，可直接接入校园局域网使用，寻呼时无需服务器的支撑，语音播控台具备服务器断网后仍然能够进行广播（校园局域网），支持音频混音功能，可将外部音频输入采集并播放到指定网络终端； （提供第三方检测报告复印件并加盖厂家公章）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12.支持DHCP，兼容路由器、交换机、Intelnet、4G、5G、组播、单播等任意网络结构、支持互联网和本地局域网；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13.报警触发短路输出，报警触发短路输入，级联外扩警示设备或控制门禁；可触发预置语音提示（或报警），亦可用于控制门禁联动输入短路信号；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14.内置全频高保真扬声器输出，可监听网络双向通话和对讲；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15.启动设备时，具有手动打开/关闭静音功能。</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佳比、德物、厚德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广播系统电源管理器</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1.采用金属面板，标准机柜式设计，基于TCP/IP传输协议的全数字化的信号处理器，由广播系统智能控制，接受来自广播系统控制平台的控制指令；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2.系统采用Ai智能识别技术，具备数字终端智能绑定功能，智慧电源管理器在系统自动显示状态，无需添加；（提供第三方检测报告复印件并加盖厂家公章）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接受广播系统平台的控制，内置控制模组，系统可远程控制电源管理器开启/关闭；接受系统定时任务预约开启功能可单路，多路；设备具有智能跟随功能，智能检测系统手动播放任务时自动开启电源输出；定时任务前15秒智能开启，单路/多路/全开；（提供第三方检测报告复印件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4.支持系统远程对本机进行设置与管理；日期时间，通道开关状态，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▲5.支持系统手动控制任意通道电源的接通或断开；可顺序开启，单路开启，时间200ms-1000ms秒可调节；（提供第三方检测报告复印件并加盖厂家公章）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6.具有智能信号检测功能；智能检测播控台及消防信号任务功能，具有智能跟随功能，自动开启电源所有电源输出；（提供第三方检测报告复印件并加盖厂家公章）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▲7.接收系统指令和控制信号，可多台电源管理器集联接入；每通道可以独立手动设置开启/关闭，方便设备灵活使用；（提供第三方检测报告复印件并加盖厂家公章）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系统对本机进行设置与管理；支持Web客户端.服务端，支持系统对本机远程升级功能；有自动检测，信号接收；智能检测系统平台的日期时间定时任务自动开启/关闭每一通道；（提供第三方检测报告复印件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9.支持DHCP，兼容路由器、交换机、Intelnet、4G、5G、组播、单播等任意网络结构；（提供第三方检测报告复印件并加盖厂家公章）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设备主显示屏与服务器状态显示同步，设备名称，IP地址/即时输入电压显示，具有自动/手动模式显示，有播放任务显示单路开启状态，具有智能检测功能，设备智能开启，面板集成状态指示灯，网络连接状态显示，具有市电电压监测，市电电压显示、控制信号状态显示、过压状态显示；（提供第三方检测报告复印件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11.支持该设备固件版本号显示，机器SN码显示，更方便检索设备的主要信息；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12.插座总容量不小于6KVA，220V；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13.单个插座最大输出电流不小于10A；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14.不少于16路受控电源输出；两级电源滤波；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15.支持受控信号输入；支持控制信号输出；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16.不少于12路国标三插输出；不少于4路国标两插输出。</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佳比、德物、厚德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广播系统功率放大器</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1.采用金属面板设计，全数字化的解码处理器，由广播系统智能控制，接受来自广播系统平台的背景音乐节目、定时节目，紧急寻呼、告警信号等；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2.系统采用Ai智能识别技术，具备数字音频智能绑定功能，智慧终端在系统主页面自动显示状态，无需添加；（提供第三方检测报告复印件并加盖厂家公章）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内置DSP数字音频通道自适应参量均衡算法，多频段动态范围调节，十段参量DSP音效处理，登陆系统即可调节终端音效，流行、舞曲、摇滚以及自定义10段均衡器调节；支持终端设备在现场使用环境不同而调节修饰音效；（提供第三方检测报告复印件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▲4.支持蓝牙5.0终端加密设置，支持设备固件版本在线升级，支持服务器版本在线升级，监控摄像头绑定功能； （提供第三方检测报告佐证并加盖厂家公章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5.支持移动手机网络4G、5G、WIFI点播、广播、喊话功能，兼容Android系统；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▲6.局域网内可脱离服务器接受寻呼广播、紧急报警，音量自动调节到呼叫设备设定值；（提供第三方检测报告复印件并加盖厂家公章）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7.可以关联摄像头，通过登录系统平台实时查看摄像头内容；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▲8.兼容路由器、交换机、Intelnet、4G、5G、组播、单播等任意网络结构；（提供第三方检测报告复印件并加盖厂家公章）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9.支持设备在线分区设置，通过web页面后台或分控客户端均可轻松设置分区；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10.内置不低于120W高效率数字功放，70V/100V定压输出及4-16Ω，效率高达90%以上；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主显示屏与服务器状态显示同步，设备名称，IP地址/当前任务状态显示，音量值显示，有播放任务显示音频频谱；通过频谱，音高线等实时变化的视图，可以更直观的判断声音的音调，借助频谱图，可以让声音可视化；面板集成状态指示灯，网络连接状态显示，信号状态显示；过载保护显示，过温保护显示；（提供第三方检测报告复印件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12.接受系统在线分组，按系统分组定时，只需添加分组名称即可；支持系统平台设备主音量播放一致的同时还可以调节此设备子音量；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13.支持话筒输入音量独立调节；支持线路输入音量独立调节；具有线路输入音量与广播系统音量跟随设置；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14.支持设备固件版本号显示，机器SN码显示。</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佳比、德物、厚德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千兆交换机</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1、千兆无管理交换机，金属外壳；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2、接口≥16个千兆电口；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3、包转发率≥23.74Mpps，交换容量≥32Gbps，MAC：≥8K。</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华为、新华三、锐捷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2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壁挂音箱</w:t>
            </w:r>
          </w:p>
        </w:tc>
        <w:tc>
          <w:tcPr>
            <w:tcW w:w="666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1、采用全频单元，塑料外壳，金属网罩；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2、喇叭单元：≥1"×1喇叭；≥4"×1喇叭；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3、额定功率：≥20W；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4、最大功率：≥40W；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5、额定阻抗：8欧；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6、灵敏度：≥(1m,1W)89dB；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7、最大声压级：≥(1m) 103dB；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8、频率响应：80-16kHz。</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佳比、德物、厚德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75"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无线话筒</w:t>
            </w:r>
          </w:p>
        </w:tc>
        <w:tc>
          <w:tcPr>
            <w:tcW w:w="666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▲1、使用距离：200米以上，空阔空间约达200-300米；（提供第三方检测报告复印件并加盖厂家公章）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▲2、双通道接收信号，采用微电脑双CPU控制；（提供第三方检测报告复印件并加盖厂家公章）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3、各通道配备独有的ID号，增强抗干扰功能，支持不低于8台叠机使用；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4、音头: 动圈式；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5、综合频率响应：50Hz--18KHz±3dB；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6、输出接口：XLR平衡式以及不平衡式插口；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▲7、载波频段:UHF 620-820MHz；（提供第三方检测报告复印件并加盖厂家公章）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8、振荡方式：PLL锁相环频率合成技术, 红外线对频；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9、功率输出：不小于30mW；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10、频率响应：50Hz--18KHz；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11、最大输入声压：不低于130dB SPL。</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佳比、德物、厚德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水晶头</w:t>
            </w:r>
          </w:p>
        </w:tc>
        <w:tc>
          <w:tcPr>
            <w:tcW w:w="666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六类水晶头，不少于100个/盒。</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天诚、一舟、海康威视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6.5单声道转卡侬公信号线（1.5米）</w:t>
            </w:r>
          </w:p>
        </w:tc>
        <w:tc>
          <w:tcPr>
            <w:tcW w:w="666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1、产品规格：不少于1.5米，OD不少于6mm；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2、产品接头：3.5立体声转双莲花(RCA)；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3、产品用途：适用于计算机、MP3、DVD、电视机、收音机、电脑、CD机与功放机、音箱之间的连接并传输他们的音频信号。</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佳比、德物、厚德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双莲花转双莲花信号线（1.5米）</w:t>
            </w:r>
          </w:p>
        </w:tc>
        <w:tc>
          <w:tcPr>
            <w:tcW w:w="666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1、产品规格：不少于1.5米，OD不少于6mm；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2、产品接头：3.5立体声转双莲花(RCA)；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3、产品用途：适用于计算机、MP3、DVD、电视机、收音机、电脑、CD机与功放机、音箱之间的连接并传输他们的音频信号。</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佳比、德物、厚德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3.5转双莲花信号线（5米）</w:t>
            </w:r>
          </w:p>
        </w:tc>
        <w:tc>
          <w:tcPr>
            <w:tcW w:w="666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1、产品规格：不少于5米，OD不少于6mm；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2、产品接头：3.5立体声转双莲花(RCA)；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3、产品用途：适用于计算机、MP3、DVD、电视机、收音机、电脑、CD机与功放机、音箱之间的连接并传输他们的音频信号。</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佳比、德物、厚德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6U挂墙机柜</w:t>
            </w:r>
          </w:p>
        </w:tc>
        <w:tc>
          <w:tcPr>
            <w:tcW w:w="666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标准19英寸6U挂墙机柜，前玻璃门。</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图腾、大唐、欢联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5"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LED防眩平板灯</w:t>
            </w:r>
          </w:p>
        </w:tc>
        <w:tc>
          <w:tcPr>
            <w:tcW w:w="666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06"/>
                <w:rFonts w:hint="eastAsia" w:ascii="宋体" w:hAnsi="宋体" w:eastAsia="宋体" w:cs="宋体"/>
                <w:sz w:val="24"/>
                <w:szCs w:val="24"/>
                <w:lang w:val="en-US" w:eastAsia="zh-CN" w:bidi="ar"/>
              </w:rPr>
              <w:t>1、采用高端品牌灯珠，应用RG0无蓝光封装技术，直下式设计，产品光频闪无危害；</w:t>
            </w:r>
            <w:r>
              <w:rPr>
                <w:rStyle w:val="106"/>
                <w:rFonts w:hint="eastAsia" w:ascii="宋体" w:hAnsi="宋体" w:eastAsia="宋体" w:cs="宋体"/>
                <w:sz w:val="24"/>
                <w:szCs w:val="24"/>
                <w:lang w:val="en-US" w:eastAsia="zh-CN" w:bidi="ar"/>
              </w:rPr>
              <w:br w:type="textWrapping"/>
            </w:r>
            <w:r>
              <w:rPr>
                <w:rStyle w:val="106"/>
                <w:rFonts w:hint="eastAsia" w:ascii="宋体" w:hAnsi="宋体" w:eastAsia="宋体" w:cs="宋体"/>
                <w:sz w:val="24"/>
                <w:szCs w:val="24"/>
                <w:lang w:val="en-US" w:eastAsia="zh-CN" w:bidi="ar"/>
              </w:rPr>
              <w:t>2、LED教室灯采用光学防眩设计（UGR&lt;16），不直射不伤眼；</w:t>
            </w:r>
            <w:r>
              <w:rPr>
                <w:rStyle w:val="106"/>
                <w:rFonts w:hint="eastAsia" w:ascii="宋体" w:hAnsi="宋体" w:eastAsia="宋体" w:cs="宋体"/>
                <w:sz w:val="24"/>
                <w:szCs w:val="24"/>
                <w:lang w:val="en-US" w:eastAsia="zh-CN" w:bidi="ar"/>
              </w:rPr>
              <w:br w:type="textWrapping"/>
            </w:r>
            <w:r>
              <w:rPr>
                <w:rStyle w:val="106"/>
                <w:rFonts w:hint="eastAsia" w:ascii="宋体" w:hAnsi="宋体" w:eastAsia="宋体" w:cs="宋体"/>
                <w:sz w:val="24"/>
                <w:szCs w:val="24"/>
                <w:lang w:val="en-US" w:eastAsia="zh-CN" w:bidi="ar"/>
              </w:rPr>
              <w:t>3、功率：40W±5%；（提供具有ilac-MRA、CNAS及CMA标志的检验报告复印件并加盖厂家公章）</w:t>
            </w:r>
            <w:r>
              <w:rPr>
                <w:rStyle w:val="106"/>
                <w:rFonts w:hint="eastAsia" w:ascii="宋体" w:hAnsi="宋体" w:eastAsia="宋体" w:cs="宋体"/>
                <w:sz w:val="24"/>
                <w:szCs w:val="24"/>
                <w:lang w:val="en-US" w:eastAsia="zh-CN" w:bidi="ar"/>
              </w:rPr>
              <w:br w:type="textWrapping"/>
            </w:r>
            <w:r>
              <w:rPr>
                <w:rStyle w:val="106"/>
                <w:rFonts w:hint="eastAsia" w:ascii="宋体" w:hAnsi="宋体" w:eastAsia="宋体" w:cs="宋体"/>
                <w:sz w:val="24"/>
                <w:szCs w:val="24"/>
                <w:lang w:val="en-US" w:eastAsia="zh-CN" w:bidi="ar"/>
              </w:rPr>
              <w:t>▲4、效率因数：&gt;0.95；（提供具有ilac-MRA、CNAS及CMA标志的检验报告复印件并加盖厂家公章）</w:t>
            </w:r>
            <w:r>
              <w:rPr>
                <w:rStyle w:val="106"/>
                <w:rFonts w:hint="eastAsia" w:ascii="宋体" w:hAnsi="宋体" w:eastAsia="宋体" w:cs="宋体"/>
                <w:sz w:val="24"/>
                <w:szCs w:val="24"/>
                <w:lang w:val="en-US" w:eastAsia="zh-CN" w:bidi="ar"/>
              </w:rPr>
              <w:br w:type="textWrapping"/>
            </w:r>
            <w:r>
              <w:rPr>
                <w:rStyle w:val="106"/>
                <w:rFonts w:hint="eastAsia" w:ascii="宋体" w:hAnsi="宋体" w:eastAsia="宋体" w:cs="宋体"/>
                <w:sz w:val="24"/>
                <w:szCs w:val="24"/>
                <w:lang w:val="en-US" w:eastAsia="zh-CN" w:bidi="ar"/>
              </w:rPr>
              <w:t>5、波动深度：&lt;3%；</w:t>
            </w:r>
            <w:r>
              <w:rPr>
                <w:rStyle w:val="106"/>
                <w:rFonts w:hint="eastAsia" w:ascii="宋体" w:hAnsi="宋体" w:eastAsia="宋体" w:cs="宋体"/>
                <w:sz w:val="24"/>
                <w:szCs w:val="24"/>
                <w:lang w:val="en-US" w:eastAsia="zh-CN" w:bidi="ar"/>
              </w:rPr>
              <w:br w:type="textWrapping"/>
            </w:r>
            <w:r>
              <w:rPr>
                <w:rStyle w:val="106"/>
                <w:rFonts w:hint="eastAsia" w:ascii="宋体" w:hAnsi="宋体" w:eastAsia="宋体" w:cs="宋体"/>
                <w:sz w:val="24"/>
                <w:szCs w:val="24"/>
                <w:lang w:val="en-US" w:eastAsia="zh-CN" w:bidi="ar"/>
              </w:rPr>
              <w:t>▲6、光通量：≥3538lm；（提供具有ilac-MRA、CNAS及CMA标志的检验报告复印件并加盖厂家公章）</w:t>
            </w:r>
            <w:r>
              <w:rPr>
                <w:rStyle w:val="106"/>
                <w:rFonts w:hint="eastAsia" w:ascii="宋体" w:hAnsi="宋体" w:eastAsia="宋体" w:cs="宋体"/>
                <w:sz w:val="24"/>
                <w:szCs w:val="24"/>
                <w:lang w:val="en-US" w:eastAsia="zh-CN" w:bidi="ar"/>
              </w:rPr>
              <w:br w:type="textWrapping"/>
            </w:r>
            <w:r>
              <w:rPr>
                <w:rStyle w:val="106"/>
                <w:rFonts w:hint="eastAsia" w:ascii="宋体" w:hAnsi="宋体" w:eastAsia="宋体" w:cs="宋体"/>
                <w:sz w:val="24"/>
                <w:szCs w:val="24"/>
                <w:lang w:val="en-US" w:eastAsia="zh-CN" w:bidi="ar"/>
              </w:rPr>
              <w:t>7、色 温：≥4860K；（提供具有ilac-MRA、CNAS及CMA标志的检验报告复印件并加盖厂家公章）</w:t>
            </w:r>
            <w:r>
              <w:rPr>
                <w:rStyle w:val="106"/>
                <w:rFonts w:hint="eastAsia" w:ascii="宋体" w:hAnsi="宋体" w:eastAsia="宋体" w:cs="宋体"/>
                <w:sz w:val="24"/>
                <w:szCs w:val="24"/>
                <w:lang w:val="en-US" w:eastAsia="zh-CN" w:bidi="ar"/>
              </w:rPr>
              <w:br w:type="textWrapping"/>
            </w:r>
            <w:r>
              <w:rPr>
                <w:rStyle w:val="106"/>
                <w:rFonts w:hint="eastAsia" w:ascii="宋体" w:hAnsi="宋体" w:eastAsia="宋体" w:cs="宋体"/>
                <w:sz w:val="24"/>
                <w:szCs w:val="24"/>
                <w:lang w:val="en-US" w:eastAsia="zh-CN" w:bidi="ar"/>
              </w:rPr>
              <w:t>▲8、显色指数;Ra&gt;90；（提供具有ilac-MRA、CNAS及CMA标志的检验报告复印件并加盖厂家公章）</w:t>
            </w:r>
            <w:r>
              <w:rPr>
                <w:rStyle w:val="106"/>
                <w:rFonts w:hint="eastAsia" w:ascii="宋体" w:hAnsi="宋体" w:eastAsia="宋体" w:cs="宋体"/>
                <w:sz w:val="24"/>
                <w:szCs w:val="24"/>
                <w:lang w:val="en-US" w:eastAsia="zh-CN" w:bidi="ar"/>
              </w:rPr>
              <w:br w:type="textWrapping"/>
            </w:r>
            <w:r>
              <w:rPr>
                <w:rStyle w:val="106"/>
                <w:rFonts w:hint="eastAsia" w:ascii="宋体" w:hAnsi="宋体" w:eastAsia="宋体" w:cs="宋体"/>
                <w:sz w:val="24"/>
                <w:szCs w:val="24"/>
                <w:lang w:val="en-US" w:eastAsia="zh-CN" w:bidi="ar"/>
              </w:rPr>
              <w:t>▲9、最大光强：≥1480cd；（提供具有ilac-MRA、CNAS及CMA标志的检验报告复印件并加盖厂家公章）</w:t>
            </w:r>
            <w:r>
              <w:rPr>
                <w:rStyle w:val="106"/>
                <w:rFonts w:hint="eastAsia" w:ascii="宋体" w:hAnsi="宋体" w:eastAsia="宋体" w:cs="宋体"/>
                <w:sz w:val="24"/>
                <w:szCs w:val="24"/>
                <w:lang w:val="en-US" w:eastAsia="zh-CN" w:bidi="ar"/>
              </w:rPr>
              <w:br w:type="textWrapping"/>
            </w:r>
            <w:r>
              <w:rPr>
                <w:rStyle w:val="106"/>
                <w:rFonts w:hint="eastAsia" w:ascii="宋体" w:hAnsi="宋体" w:eastAsia="宋体" w:cs="宋体"/>
                <w:sz w:val="24"/>
                <w:szCs w:val="24"/>
                <w:lang w:val="en-US" w:eastAsia="zh-CN" w:bidi="ar"/>
              </w:rPr>
              <w:t xml:space="preserve">10、最大光强角度：C:202.5° </w:t>
            </w:r>
            <w:r>
              <w:rPr>
                <w:rStyle w:val="107"/>
                <w:rFonts w:hint="eastAsia" w:ascii="宋体" w:hAnsi="宋体" w:eastAsia="宋体" w:cs="宋体"/>
                <w:sz w:val="24"/>
                <w:szCs w:val="24"/>
                <w:lang w:val="en-US" w:eastAsia="zh-CN" w:bidi="ar"/>
              </w:rPr>
              <w:t>γ</w:t>
            </w:r>
            <w:r>
              <w:rPr>
                <w:rStyle w:val="106"/>
                <w:rFonts w:hint="eastAsia" w:ascii="宋体" w:hAnsi="宋体" w:eastAsia="宋体" w:cs="宋体"/>
                <w:sz w:val="24"/>
                <w:szCs w:val="24"/>
                <w:lang w:val="en-US" w:eastAsia="zh-CN" w:bidi="ar"/>
              </w:rPr>
              <w:t>:1.0°；</w:t>
            </w:r>
            <w:r>
              <w:rPr>
                <w:rStyle w:val="106"/>
                <w:rFonts w:hint="eastAsia" w:ascii="宋体" w:hAnsi="宋体" w:eastAsia="宋体" w:cs="宋体"/>
                <w:sz w:val="24"/>
                <w:szCs w:val="24"/>
                <w:lang w:val="en-US" w:eastAsia="zh-CN" w:bidi="ar"/>
              </w:rPr>
              <w:br w:type="textWrapping"/>
            </w:r>
            <w:r>
              <w:rPr>
                <w:rStyle w:val="106"/>
                <w:rFonts w:hint="eastAsia" w:ascii="宋体" w:hAnsi="宋体" w:eastAsia="宋体" w:cs="宋体"/>
                <w:sz w:val="24"/>
                <w:szCs w:val="24"/>
                <w:lang w:val="en-US" w:eastAsia="zh-CN" w:bidi="ar"/>
              </w:rPr>
              <w:t>11、输入电压：AC220-240V 50/60Hz；</w:t>
            </w:r>
            <w:r>
              <w:rPr>
                <w:rStyle w:val="106"/>
                <w:rFonts w:hint="eastAsia" w:ascii="宋体" w:hAnsi="宋体" w:eastAsia="宋体" w:cs="宋体"/>
                <w:sz w:val="24"/>
                <w:szCs w:val="24"/>
                <w:lang w:val="en-US" w:eastAsia="zh-CN" w:bidi="ar"/>
              </w:rPr>
              <w:br w:type="textWrapping"/>
            </w:r>
            <w:r>
              <w:rPr>
                <w:rStyle w:val="106"/>
                <w:rFonts w:hint="eastAsia" w:ascii="宋体" w:hAnsi="宋体" w:eastAsia="宋体" w:cs="宋体"/>
                <w:sz w:val="24"/>
                <w:szCs w:val="24"/>
                <w:lang w:val="en-US" w:eastAsia="zh-CN" w:bidi="ar"/>
              </w:rPr>
              <w:t>12、电路保护:短路保护，过流保护， 过电压保护，抗浪涌，过温保护；</w:t>
            </w:r>
            <w:r>
              <w:rPr>
                <w:rStyle w:val="106"/>
                <w:rFonts w:hint="eastAsia" w:ascii="宋体" w:hAnsi="宋体" w:eastAsia="宋体" w:cs="宋体"/>
                <w:sz w:val="24"/>
                <w:szCs w:val="24"/>
                <w:lang w:val="en-US" w:eastAsia="zh-CN" w:bidi="ar"/>
              </w:rPr>
              <w:br w:type="textWrapping"/>
            </w:r>
            <w:r>
              <w:rPr>
                <w:rStyle w:val="106"/>
                <w:rFonts w:hint="eastAsia" w:ascii="宋体" w:hAnsi="宋体" w:eastAsia="宋体" w:cs="宋体"/>
                <w:sz w:val="24"/>
                <w:szCs w:val="24"/>
                <w:lang w:val="en-US" w:eastAsia="zh-CN" w:bidi="ar"/>
              </w:rPr>
              <w:t>▲13、通过国家强制性CCC认证，产品型号与CCC证书标注型号一致。（提供CCC认证证书复印件并加盖厂家公章）</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佳比、</w:t>
            </w:r>
            <w:r>
              <w:rPr>
                <w:rFonts w:hint="eastAsia" w:ascii="宋体" w:hAnsi="宋体" w:eastAsia="宋体" w:cs="宋体"/>
                <w:i w:val="0"/>
                <w:iCs w:val="0"/>
                <w:color w:val="000000"/>
                <w:sz w:val="24"/>
                <w:szCs w:val="24"/>
                <w:u w:val="none"/>
              </w:rPr>
              <w:t>节能通</w:t>
            </w:r>
            <w:r>
              <w:rPr>
                <w:rFonts w:hint="eastAsia" w:ascii="宋体" w:hAnsi="宋体" w:eastAsia="宋体" w:cs="宋体"/>
                <w:i w:val="0"/>
                <w:iCs w:val="0"/>
                <w:color w:val="000000"/>
                <w:sz w:val="24"/>
                <w:szCs w:val="24"/>
                <w:u w:val="none"/>
                <w:lang w:eastAsia="zh-CN"/>
              </w:rPr>
              <w:t>、</w:t>
            </w:r>
            <w:r>
              <w:rPr>
                <w:rFonts w:hint="eastAsia" w:ascii="宋体" w:hAnsi="宋体" w:eastAsia="宋体" w:cs="宋体"/>
                <w:i w:val="0"/>
                <w:iCs w:val="0"/>
                <w:color w:val="000000"/>
                <w:sz w:val="24"/>
                <w:szCs w:val="24"/>
                <w:u w:val="none"/>
              </w:rPr>
              <w:t>立达信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48"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校园AI实验室管控中心设备</w:t>
            </w:r>
          </w:p>
        </w:tc>
        <w:tc>
          <w:tcPr>
            <w:tcW w:w="666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1、CPU：不低于10代酷睿I7处理器，≥8核16线程,主频≥2.9G-4.8G；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2、内存：≥32G DDR4，最大支持128GB DDR4 2933/2666/2333Mhz内存；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3、网口：1个板载RJ-45千兆网口，可按需添加1-3个RJ-45千兆网口；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4、硬盘：≥1T SSD，最大支持6块3.5寸硬盘或6块2.5寸硬盘，支持≥1个2280 PCIE M.2 SSD。</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5、实验室使用情况总览：支持按楼宇筛选查看实验室的使用情况，包括正常上课信息、预约使用信息等。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6、▲实验室预约：支持通过Web端或微信小程序进行教室预约，学生/老师可提前预约使用实验工位，管理员可审核预约，预约成功后可与教室设备联动。（提供系统功能界面截图并加盖原厂公章）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7、实验室动态：支持查看最近一周的实验室动态，包括预约情况、使用情况等，对接物联网管控中心可将异常情况报警并突出显示。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8、设备资产管理：支持对接校园资产管理子系统，实现对实验室资产管理。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9、实验室档案管理：支持对接智慧校园数字化档案管理系统，实现实验室基础信息档案管理。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10、实验室管控：支持对接物联网管控中心子系统，实现对实验室外设（灯光、窗帘、插座）管控和获取实验室传感器（光照、温湿度、PM2.5、烟雾、可燃气体）数据，可查看信息详情并对异常数据报警。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11、实验室班牌：支持对接智慧班牌系统，在实验室模式下可实现班牌管理、设置实验室简介、设备图片、联系人等信息，支持实验室班牌刷卡、刷脸认证、开启门禁功能。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12、实验室考勤：支持对接智能考勤系统，实现实验课堂的学生考勤。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13、▲实验室门禁：支持对接智能门禁系统，可根据实验室的课表安排或者预约情况实现提前开启门禁；（提供系统功能界面截图并加盖原厂公章）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14、▲与校园物联网管控中心、校园信息管理中心和智慧教室门禁、考勤中心实现一体化建设，系统之间数据互联互通。（提供系统功能界面截图并加盖原厂公章）</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rPr>
              <w:t>蓝鸽</w:t>
            </w:r>
            <w:r>
              <w:rPr>
                <w:rFonts w:hint="eastAsia" w:ascii="宋体" w:hAnsi="宋体" w:eastAsia="宋体" w:cs="宋体"/>
                <w:i w:val="0"/>
                <w:iCs w:val="0"/>
                <w:color w:val="000000"/>
                <w:sz w:val="24"/>
                <w:szCs w:val="24"/>
                <w:u w:val="none"/>
                <w:lang w:eastAsia="zh-CN"/>
              </w:rPr>
              <w:t>、成都叠创科技有限公司、浙江海云天科技有限公司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18"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校园物联网管控中心设备</w:t>
            </w:r>
          </w:p>
        </w:tc>
        <w:tc>
          <w:tcPr>
            <w:tcW w:w="666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1、CPU：不低于10代酷睿I7处理器，≥8核16线程,主频≥2.9G-4.8G；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2、内存：≥32G DDR4，最大支持128GB DDR4 2933/2666/2333Mhz内存；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3、网口：1个板载RJ-45千兆网口，可按需添加1-3个RJ-45千兆网口；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4、硬盘：≥1T SSD，最大支持6块3.5寸硬盘或6块2.5寸硬盘，支持≥1个2280 PCIE M.2 SSD。</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设备远程统一控制：支持根据课表安排，通过PC、移动设备（Android、IOS）课前或考前对多媒体教室设备进行即时管控，或根据课表信息定时智能启停，可显示教室状态、教室监控，支持控制空气开关、灯光、窗帘、插座、风扇、新风机、空调、投影仪、投影幕、信号源切换、班牌开关、门禁开关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6、智能光感调节：支持通过设置光感调节时间段、光照阈值等参数，可实现自适应开关灯光。（需配套硬件光照传感器）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7、智能温控调节：支持通过设置温度调节时间段、温度阈值等参数，可实现自适应开启、关闭空调、设置温度（需配套硬件温度传感器）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8、▲教室预约：支持移动端或Web端、微信小程序进行教室预约，学生/老师可提前预约使用教室，管理员可审核预约，预约成功后可与教室设备联动。（提供系统功能界面截图并加盖原厂公章）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9、教室应用场景设置：支持对教室设置不同的应用场景，如教学、考试等，可根据场景自适应开关教室不同的物联网设备。也支持设置统一关机时间。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10、系统联动管控：支持通过课程表设置，提前开启教室、课后关闭教室；支持在未购买一卡通情况下，可通过Excel导入管理员/教师用户的卡片信息，实现刷卡取电，结合应用场景的设置联动上电的设备。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故障自动检测：支持根据课表安排安排，课前对多媒体教室与功能房间（考场、自习室、实验室、实训室等）的门禁、班牌、物联网外设（音频系统、视频系统、灯光、窗帘、插座、风扇、新风机、摄像头、空调、插座）进行故障检测，检测记录可生成检测报告。（提供系统功能界面截图并加盖原厂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12、维修通知：支持操作“通知维修”并选择维修人员后，将通知信息推送至该人员的消息中心及绑定的微信公众号。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13、故障总览：支持预览设备总数、未处理故障数、已处理故障数等数据，并支持按天或按周查看故障处理曲线图。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14、故障档案：支持查询故障记录，包括检测对象、故障级别、故障描述、告警时间、故障状态、已通知的维修人员信息等，并可对故障状态进行更改。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15、检测设置：支持对需要检测的对象进行配置，包括教师机（网络、系统、鼠标、键盘）、物联网外设（音频系统、视频系统、灯光、窗帘、插座、风扇、新风机、摄像头、空调、插座）。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16、▲与校园AI实验室管控中心、校园信息管理中心和智慧教室门禁、考勤中心实现一体化建设，系统之间数据互联互通。（提供系统功能界面截图并加盖原厂公章）</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蓝鸽</w:t>
            </w:r>
            <w:r>
              <w:rPr>
                <w:rFonts w:hint="eastAsia" w:ascii="宋体" w:hAnsi="宋体" w:eastAsia="宋体" w:cs="宋体"/>
                <w:i w:val="0"/>
                <w:iCs w:val="0"/>
                <w:color w:val="000000"/>
                <w:sz w:val="24"/>
                <w:szCs w:val="24"/>
                <w:u w:val="none"/>
                <w:lang w:eastAsia="zh-CN"/>
              </w:rPr>
              <w:t>、成都叠创科技有限公司、浙江海云天科技有限公司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1"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校园信息管理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中心设备</w:t>
            </w:r>
          </w:p>
        </w:tc>
        <w:tc>
          <w:tcPr>
            <w:tcW w:w="666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1、CPU：不低于Intel至强银牌服务器处理器，≥10核20线程,主频≥2.2G-3.2G；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2、内存：≥64G DDR4，支持2933MHz DDR4的RDIMM内存，最大支持2TB；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3、网口：集成≥2个千兆GE网口，可选配增加1个双千兆数据OCP网口模块，或1个双万兆数据OCP网口模块；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4、电源：≥2个550W白金牌效率电源，支持1+1冗余；电源电压：输入电压：100-240V 47Hz-63Hz，输出电压：+12v，+5v_SB；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5、硬盘：≥240G SSD+2*2T SSD(Raid1)，最大支持前置8块3.5/2.5寸SATA硬盘，支持≥1个2280 PCIE M.2 SSD。</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统一身份认证：支持单点登录、一体化认证，平台各应用系统之间可共享认证信息；PC端可通过智慧校园通app扫码登录或QQ、微博、微信小程序和钉钉进行第三方认证，移动端通过手机免密登录。（提供相关功能截图和第三方检测报告佐证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7、个人账号管理：支持对个人账号的基础信息、人脸照片信息、安全信息及账号绑定信息进行管理，可通过密保问题/密保邮箱的方式找回密码。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用户档案管理：支持单个和批量录入学生/老师等用户的基础档案信息，并可对接现有教务系统用户数据，具有对学校师生档案进行统计及修改/删除等操作、对毕业生档案进行管理、审核老师/学生账号的自主注册信息、跟踪查看用户档案的变更记录、支持同步用户基础数据至平台各应用系统等功能。（提供相关功能截图和第三方检测报告佐证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用户账号管理：支持对学生/老师/家长/管理员等不同身份的用户账号进行管理，具有账号查询、密码重置、禁用/启用账号、新增普通管理员等功能。（提供相关功能截图和第三方检测报告佐证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用户权限管理：支持对各类用户身份及其访问权限进行查看与管理，并支持自定义用户身份，实现不同用户身份权限的一体化控制，支持用户创建自定义身份，给下级用户进行身份授权设置，分派相应入口权限。（提供相关功能截图和第三方检测报告佐证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11、班级管理：支持添加及管理行政班、设置各班班主任及班长。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12、学科管理：支持初始化学科信息、添加默认学科、自定义或导入学科。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13、教学班管理：支持查看和管理教学班级信息，支持走班及常规教学；支持按年级/学科查看教学班的统计信息。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课程安排管理：支持批量导入课程表安排，并可对接排课系统课程表信息；管理员和教师可按需调课（添加临时课程/停课/调整老师/调整时间/调整教室等）；管理员可查看历次的调课日志，支持多种课时方案及节假日设置；老师及学生可查看个人课表及班级课表；管理员可从老师/班级/教室等角度查看课表并支持导出课表。（提供相关功能截图和第三方检测报告佐证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15、基础信息设置：支持设置学年学期信息，并可实现数据自动备份；设置学校基础信息，设置节假日信息。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16、在线用户管理：支持学校管理员查看在线的师生统计信息及详细名单，可对指定用户执行“即时下线”操作。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17、网络访问统计：支持学校管理员查看各类用户上机统计信息、各类终端使用统计信息及登录异常日志。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人脸数据采集及管理：支持学生/教师/管理员从本地电脑上传个人头像，管理员可利用人脸采集摄像头实时采集人脸图像并入库，可导出用户信息及人脸库图片，并可对人脸图片进行查询、修改、删除等操作。（提供相关功能截图和第三方检测报告佐证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19、组织结构设置：支持管理员对校内各级部门、部门岗位及岗位人员信息等进行统一管理。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应用资源一体化管理：支持对接智慧校园中的各应用系统和资源库，将不同用户身份的应用、资源一体化设计并分类呈现，用户可单点登录个人应用桌面中的各应用系统以及资源库，支持关键字模糊搜索平台内可用的系统功能模块入口。支持接入第三方入口。（提供相关功能截图和第三方检测报告佐证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21、▲用户应用桌面管理：（提供相关功能截图和第三方检测报告佐证并加盖厂家公章）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（1）固定菜单设置：系统根据用户身份初始化配置应用桌面模块入口；支持管理员对平台集成的应用系统及其功能模块进行集中统一管理。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个性化菜单定制：支持学校管理员对各类身份用户可访问的应用模块分组以及分组下的模块重新定制，包括新增、重命名、重新排序、删除等；用户可根据自身需求定制桌面各分组下的系统模块和学科资源入口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22.楼宇/区域档案管理：支持新建、编辑、删除楼宇/区域；支持通过Excel一键导入/导出楼宇/区域信息；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▲23.构建校园平面图：支持设定楼宇/区域大小、手动拖动构建校园平面图。（提供相关功能截图和第三方检测报告佐证并加盖厂家公章）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教室/场所档案管理：支持AI智慧教室、传统多媒体教室、实验室、操场等各种类型教室/场所新建、编辑、删除、查询；支持通过Excel一键导入/导出教室/场所档案信息。（提供相关功能截图和第三方检测报告佐证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25.设备清单管理：支持查看主要设备资产详细信息，包括设备清单、使用次数、设备厂家、型号、责任人等，支持日志筛查和导出。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26.操作日志管理：支持对所有身份人员的档案操作行为进行记录，并可对日志信息查询、导出等。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27、▲与校园AI实验室管控中心、校园物联网管控中心设备和智慧教室门禁、考勤中心实现一体化建设，系统之间数据互联互通。（提供系统功能界面截图并加盖原厂公章）</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蓝鸽</w:t>
            </w:r>
            <w:r>
              <w:rPr>
                <w:rFonts w:hint="eastAsia" w:ascii="宋体" w:hAnsi="宋体" w:eastAsia="宋体" w:cs="宋体"/>
                <w:i w:val="0"/>
                <w:iCs w:val="0"/>
                <w:color w:val="000000"/>
                <w:sz w:val="24"/>
                <w:szCs w:val="24"/>
                <w:u w:val="none"/>
                <w:lang w:eastAsia="zh-CN"/>
              </w:rPr>
              <w:t>、成都叠创科技有限公司、浙江海云天科技有限公司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智慧教室门禁、考勤中心设备</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1、CPU：不低于10代酷睿I7处理器，≥8核16线程,主频≥2.9G-4.8G；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2、内存：≥32G DDR4，最大支持128GB DDR4 2933/2666/2333Mhz内存；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3、显卡：≥4G显存半高独立显卡；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4、网口：≥1个板载RJ-45千兆网口；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5、电源：额定功率≥300W，输入电压：100-240V/7A-3.5A/50Hz-60Hz；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6、硬盘：≥1T SSD，最大支持6块3.5寸硬盘或6块2.5寸硬盘，支持≥1个PCIE M.2 SSD。</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7、▲课表联动开关：支持根据学校课程表定时开关教室门禁，即在上课当天上下午第一节课前打开对应门禁、最后一节课后关闭对应门禁。（提供相关功能截图和第三方检测报告佐证并加盖厂家公章）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8、多模式验证通行：支持IC卡验证、人脸验证、密码验证、远程开关、定时开关等多种通行方式。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9、消防门禁模式：支持管理员设置是否开启消防门禁常开模式，开启后打开教室门禁，且其他控制方式不可关闭该门禁；断电自动打开门禁、闸机自动开闸。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10、设备自检及异常上报：可监控设备异常状态，并可将异常信息报送至校园大数据中心。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11、▲离线开门：支持断网情况下，IC卡验证或密码验证打开教室门禁；同时支持同网段电子班牌设备IC卡验证打开教室门禁。（提供相关功能截图和第三方检测报告佐证并加盖厂家公章）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12、状态监控与管理：支持远程控制校门、楼宇、教室等各单位的门禁，可根据课表联动或门禁页面管理控制门禁，页面显示门禁状态。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13、▲通行记录查询：支持管理员查看指定教室门禁或闸机开启记录，包括用户账号、用户姓名、开门方式、开门时间等信息。（提供相关功能截图和第三方检测报告佐证并加盖厂家公章）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14、权限管理：支持管理员单个或批量导入用户门禁权限信息；管理员可添加、修改、删除校领导、管理员、教师、学生门禁权限的有效时间、开启指定教室权限。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15、用户管理：支持云平台用户、人脸库、一卡通或物联网管控中心的IC卡信息等信息同步，同时支持人脸信息、用户权限信息的信息导入。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登记部署：支持系统管理员管理门禁设备与管控区域（教室、校园等）的对应关系表，可进行增加、删除、按楼宇查询等操作，实现管控区域与门禁设备对应，便于远程管控门禁和闸机。（提供相关功能截图和第三方检测报告佐证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17、设备设置管理：支持设置门禁控制方式（如课表联动、班牌联动）、延时关门时间、开门密码等多种设置。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18、▲电子班牌联动：支持管理员设置电子班牌是否开启联动，开启后可使用电子班牌刷卡、人脸识别打开门禁；关闭则不可使用电子班牌打开门禁。（提供相关功能截图和第三方检测报告佐证并加盖厂家公章）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19、▲班牌考勤：（提供相关功能截图和第三方检测报告佐证并加盖厂家公章）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（1）实时考勤：支持电子班牌考勤数据的接入、汇总、统计等管理功能。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（2）设备注册：支持通过校园智能考勤和电子班牌系统完成考勤设备注册。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20、各模式考勤信息总览：查看校门口出入考勤、课堂考勤、上下班考勤今日应出勤总数、已出勤总数、请假人数、迟到人次、早退人次、缺勤人次；查看最新考勤申诉和异常考勤提醒。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考勤申诉管理：支持学生针对自己考勤结果存在异议的数据进行申诉，更改考勤状态并写明申诉原因后提交，教师核实后可针对申诉请求驳回或同意，学生端实时反馈教师审批结果；管理员查看全校用户考勤申诉、考勤异常和体温异常记录；可批量审核考勤申诉和向用户推送考勤异常记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22、考勤记录：可查看学生、教师、管理员的详细考勤记录；且能进行新增、删除、修改、导出以及批量导入等管理。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考勤日报：可按时间段查看每日校门口、课堂、上下班的考勤详情，可导出考勤日报；可按日期查看各师生考勤结果，支持单条和批量修改考勤记录。（提供相关功能截图和第三方检测报告佐证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24、考勤月报：支持自动按月汇总上个月的考勤日报结果；可按时间段查看每月校门口、课堂、上下班的考勤详情；支持导出考勤月报。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25、考勤安排：可按条件查询全校师生近期的应出勤安排，支持导出、导入和调整出勤安排；支持新增考勤分组，可设置对应的考勤日历及考勤时间段，且能删除、编辑分组；支持更新考勤表功能。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26、系统设置：支持按周、月、无固定休息日、是否同步节假日等新增考勤日历，支持修改、删除日历；可设置各考勤时间段的打卡时间及打卡类型；支持添加或调整节假日时间；可设置免考勤人员及各用户每天最多申诉次数等考勤规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27、系统日志：支持系统管理员查看、删除单条用户操作日志或批量操作日志。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28、▲与校园AI实验室管控中心、校园物联网管控中心设备和校园信息管理中心设备实现一体化建设，系统之间数据互联互通。（提供系统功能界面截图并加盖原厂公章）</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蓝鸽</w:t>
            </w:r>
            <w:r>
              <w:rPr>
                <w:rFonts w:hint="eastAsia" w:ascii="宋体" w:hAnsi="宋体" w:eastAsia="宋体" w:cs="宋体"/>
                <w:i w:val="0"/>
                <w:iCs w:val="0"/>
                <w:color w:val="000000"/>
                <w:sz w:val="24"/>
                <w:szCs w:val="24"/>
                <w:u w:val="none"/>
                <w:lang w:eastAsia="zh-CN"/>
              </w:rPr>
              <w:t>、成都叠创科技有限公司、浙江海云天科技有限公司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24口千兆交换机</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1、千兆web管理交换机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2、19英寸1U标准机架，金属外壳；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3、端口：≥24个10/100/1000BASE-T以太网端口,≥4个千兆光口；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4、包转发率≥42Mpps，交换容量≥336Gbps；</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华为、新华三、锐捷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8"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多媒体智慧教室控制主机</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1、教学电脑采用不低于intel 酷睿第8代高性能处理器，可支持≥8G DDR4内存、≥240G SSD固态硬盘。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2、内置的高清编码模块，可实时采集录制教学画面，最大支持1920*1080P@25Hz，采用H.264编码，支持RTSP/RTMP。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3、内置2+4全千兆交换机，提供≥2路标准PoE接口，≥4路标准以太网接口。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4、标配高清电容式触控面板，采用G+G全贴合工艺，≥60Hz刷新频率；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5、支持物联网管控，搭配物联网网关，轻松组网、配置，在触摸屏上对灯光、窗帘、幕布控制器、PM2.5等物联网统一管控。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6、采用不低于500万高清人脸识别模块，具有环境光线检测、活体检测等特点，可实现老师面部识别开机等操作。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7、内置三切一的HDMI信号切换分配器，提供≥2路HDMI信号输出，≥1路HDMI信号输入。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8、提供≥3路3.5mm音频输出，≥4路3.5mm音频输入（1路为幻象电源供电鹅颈话咪接口），≥1路功放输出（功率为≥2*30W/8欧，失真度 ≤1%，信噪比≥70dB(A计权)）。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9、专属界面定制：支持教师操作界面个性化定制，教师用户设定课程名称、资料显示背景、工具条展示位置，支持管理员设置登录方式。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10、统一身份认证：支持在当前系统登录后,无需再次认证可进入其他对接系统。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11、学生点名：支持教师设置点名方式，包括移动点名和手动点名。移动点名方式是根据学生进入系统时记录签到信息，系统自动匹配出勤信息；手动点名方式，教师可手动设置记录学生出勤状态。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资料展示及讲解：支持从不同资料来源选用各种类型的教学资料，支持PPT分页展示和音视频播放控制，支持手势放大缩小文本文字，支持图片旋转、手势放大缩小、位置拖动等功能。（提供相关功能截图和第三方检测报告佐证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13、资料共享：支持教师将共享资料上传至系统，文件格式包括音视频、文档、图片等，学生可通过移动端下载学习。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14、课堂教学工具：提供计时器、人工考勤、放大镜、量角器、直尺、资料共享、学生提问、信号源切换等特色工具。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15、视频展台：支持打开外置的USB视频展台，支持画笔标注、画面放大缩小、旋转、分辨率切换、亮度调节等功能，同时可以支持视频资料拍照并一键进入上课功能。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16、▲电子黑板：提供黑板书写、橡皮擦、撤回、恢复功能，可以新建多个黑板进行书写，提供黑板切换、板书内容保存功能。（提供相关功能截图和第三方检测报告佐证并加盖厂家公章）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17、互联网链接：支持教师打开互联网功能，截取屏幕内容进行上课。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18、▲电子画笔：提供电子画笔工具，包含截图、画笔、橡皮擦、撤销、清屏等功能。（提供相关功能截图和第三方检测报告佐证并加盖厂家公章）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19、▲平板教学：支持教师使用移动设备下载教学助手APP进行平板教学，提供无线投屏、课件演示、拍照上传、移动白板功能。（提供相关功能截图和第三方检测报告佐证并加盖厂家公章）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20、移动听课：支持学生使用移动设备下载智慧课堂学生端APP进行移动听课，支持课堂接入、上课资料显示、共享资料下载、学生提问、点名认证等功能。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21、随堂反馈测试：支持学生在听课端以文字、图片等形式进行提问，教师可查看提问内容。教师制作课堂测试内容，提供选择、抢答、问答等作答方式，系统自动评估且可视化呈现结果。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课堂录制：支持对接课堂录播软件，具有课堂录播功能，可实现自动录制（关联课程表信息）和手动录制（未关联课程表信息）两种方式，录制内容包括教师上课、学生听课、电脑屏幕三路画面；录制资源自动保存到录播资源中心，教师可选择相关视频资源上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23、设备管理：支持对接设备管控软件，教师可集中控制教室内外设设备状态，包括灯光、窗帘、投影仪、投影幕等。</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蓝鸽</w:t>
            </w:r>
            <w:r>
              <w:rPr>
                <w:rFonts w:hint="eastAsia" w:ascii="宋体" w:hAnsi="宋体" w:eastAsia="宋体" w:cs="宋体"/>
                <w:i w:val="0"/>
                <w:iCs w:val="0"/>
                <w:color w:val="000000"/>
                <w:sz w:val="24"/>
                <w:szCs w:val="24"/>
                <w:u w:val="none"/>
                <w:lang w:eastAsia="zh-CN"/>
              </w:rPr>
              <w:t>、成都叠创科技有限公司、浙江海云天科技有限公司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2"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智慧黑板</w:t>
            </w:r>
          </w:p>
        </w:tc>
        <w:tc>
          <w:tcPr>
            <w:tcW w:w="666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1、整机采用三拼接平面一体化设计，无推拉式结构及外露连接线，外观简洁。整机均支持普通粉笔、液体粉笔、水溶性粉笔进行板书书写黑板副板厚度≤4cm。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2、整机屏幕采用不低于86英寸 UHD超高清LED 液晶屏，显示比例16:9。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3、显示部分的钢化玻璃与液晶屏之间完全贴合，侧视角（水平视角）≥178°。（提供封面具有CNAS标志的权威检测机构的检测报告复印件加盖原厂公章）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4、整机可设置触摸及按键自动锁定，需要使用时只需插入USBKey即可解锁。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5、▲中间屏幕对比度≥6000:1（提供封面具有CNAS标志的权威检测机构的检测报告复印件加盖原厂公章）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内置触摸中控菜单，将信号源通道切换、亮度对比度调节、声音图像调节等整合到同一菜单下，无须实体按键，在任意显示通道下均可通过手势在屏幕上调取该触摸菜单，方便快捷。（提供封面具有CNAS标志的权威检测机构的检测报告复印件加盖原厂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外接电脑设备时，如整机处于关机上电状态，则接上外接电脑后自动开机。如整机处于正常使用状态，则设备能自动识别并切换到对应的信号源通道，且断开后能回到上一通道。自动跳转前支持选择确认，待确认后再跳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8、▲整机无故障运行时间≥120000小时。（提供权威机构出具的检测报告复印件加盖原厂红色公章）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9、整机需包含以下接口：TV，HDMI，YPbPr-IN，VGA，AV-IN等视频输入接口；LINE-IN等音频输入接口；LINE-OUT、SPDIF-OUT等音频输出接口；USB、Multi  USB、Touch-USB、RS232等存储控制接口，前置双系统USB接口不少于3个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10、触控方案：上下两条红外框形成红外触控方案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11、整机天线支持wifi 2.4GHz频段的station功能（上网），2.4&amp;5GHz的AP功能（分享热点）。station 模式，无干扰环境，通信距离≥10米；AP模式，无干扰环境，通信距离≥10米。（提供封面具有CNAS标志的权威检测机构的检测报告复印件加盖原厂公章）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12、具备良好的色彩显示效果，通过色域覆盖率检测，色域覆盖值≥130%。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13、支持一键除蓝光进入护眼模式，通过蓝光危害检测，无蓝光危害，蓝光透过率≤70%，并提供莱英低蓝光认证证书（提供封面具有CNAS标志的权威检测机构的检测报告复印件加盖原厂公章）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14、智慧黑板触控玻璃具有碎片状态、耐热冲击性，具有玻璃外观质量、弯曲度、玻璃表面应力、抗冲击、霰弹袋冲击性。（提供权威机构出具的检测报告复印件加盖原厂红色公章）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15、嵌入式系统版本不低于Android 8.0，内存RAM≥3GB，存储ROM≥8GB（提供封面具有CNAS标志的权威检测机构的检测报告复印件加盖原厂公章）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支持在系统中配置前置物理按键功能。如用户可以设置按键功能为短按或者长按响应，响应的功能是一键开关ops、ops一键还原、一键除蓝光（提供封面具有CNAS标志的权威检测机构的检测报告复印件加盖原厂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Android系统自带的白板软件，内容支持通过移动端扫描二维码或邮件的方式实现文件共享及板书内容共享，并支持以设备内置的文件的格式、PDF、图片的格式进行本地存储及再次编辑。（提供封面具有CNAS标志的权威检测机构的检测报告复印件加盖原厂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18、多点触控：设备支持双系统下20点同时书写触控功能。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支持一键自检：无需借助PC，整机可一键进行硬件自检，可对系统版本、内外部存储、网络状态、热点、背光、温度、PC模块、光感系统等模块进行监测，并针对不同模块给出问题原因提示，支持通过扫描界面二维码方式提交维修申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20、▲双网口：设备支持双网口网络交换的功能（提供封面具有CNAS标志的权威检测机构的检测报告复印件加盖原厂公章）</w:t>
            </w:r>
          </w:p>
        </w:tc>
        <w:tc>
          <w:tcPr>
            <w:tcW w:w="1526"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海康威视、文香、希沃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物联网网关</w:t>
            </w:r>
          </w:p>
        </w:tc>
        <w:tc>
          <w:tcPr>
            <w:tcW w:w="666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1、输入电压：DC 5V，功耗&lt;2W；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2、工作环境：温度0℃～50℃，空气相对湿度≤ 95%（不凝露），海拔≤2000m；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3、有线网络接口：10/100Base-TX自适应网络；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4、RS232接口：Microusb接口，≥2路串口，支持可编程波特率，最大115200bps，通讯距离＜20m；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5、通信协议：支持ZigBee HA 频段：2405~2480MHz；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6、无障碍通讯距离：≥100m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7、接收灵敏度：≥-97dBm 最大发射功率：≥20dBm。</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蓝鸽</w:t>
            </w:r>
            <w:r>
              <w:rPr>
                <w:rFonts w:hint="eastAsia" w:ascii="宋体" w:hAnsi="宋体" w:eastAsia="宋体" w:cs="宋体"/>
                <w:i w:val="0"/>
                <w:iCs w:val="0"/>
                <w:color w:val="000000"/>
                <w:sz w:val="24"/>
                <w:szCs w:val="24"/>
                <w:u w:val="none"/>
                <w:lang w:eastAsia="zh-CN"/>
              </w:rPr>
              <w:t>、成都叠创科技有限公司、浙江海云天科技有限公司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无线控制插座（10A）</w:t>
            </w:r>
          </w:p>
        </w:tc>
        <w:tc>
          <w:tcPr>
            <w:tcW w:w="666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1、输入电压：100-250VAC；平均功耗：≤0.5W；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2、功率范围：＜2000W；电压范围：AC100-240V；电流范围：＜10A；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3、联网方式：支持Zigbee HA；组网距离：≤100m；工作温度：-10℃~+50℃。</w:t>
            </w:r>
          </w:p>
        </w:tc>
        <w:tc>
          <w:tcPr>
            <w:tcW w:w="1526"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rPr>
              <w:t>蓝鸽</w:t>
            </w:r>
            <w:r>
              <w:rPr>
                <w:rFonts w:hint="eastAsia" w:ascii="宋体" w:hAnsi="宋体" w:eastAsia="宋体" w:cs="宋体"/>
                <w:i w:val="0"/>
                <w:iCs w:val="0"/>
                <w:color w:val="000000"/>
                <w:sz w:val="24"/>
                <w:szCs w:val="24"/>
                <w:u w:val="none"/>
                <w:lang w:eastAsia="zh-CN"/>
              </w:rPr>
              <w:t>、</w:t>
            </w:r>
            <w:r>
              <w:rPr>
                <w:rFonts w:hint="eastAsia" w:ascii="宋体" w:hAnsi="宋体" w:eastAsia="宋体" w:cs="宋体"/>
                <w:i w:val="0"/>
                <w:iCs w:val="0"/>
                <w:color w:val="000000"/>
                <w:sz w:val="24"/>
                <w:szCs w:val="24"/>
                <w:u w:val="none"/>
                <w:lang w:val="en-US" w:eastAsia="zh-CN"/>
              </w:rPr>
              <w:t>公牛、亿佰特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0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灯光控制器</w:t>
            </w:r>
          </w:p>
        </w:tc>
        <w:tc>
          <w:tcPr>
            <w:tcW w:w="666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1、输入电压: 110～260 VAC 50/60Hz。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2、通讯协议：Zigbee 3.0/HA；工作频率：2405-2480MHz；工作温度：-10~+50℃；控制距离：≥30m。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3、接线方式：零火线。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4、负载功率：≥600W/路。</w:t>
            </w:r>
          </w:p>
        </w:tc>
        <w:tc>
          <w:tcPr>
            <w:tcW w:w="1526"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rPr>
              <w:t>蓝鸽</w:t>
            </w:r>
            <w:r>
              <w:rPr>
                <w:rFonts w:hint="eastAsia" w:ascii="宋体" w:hAnsi="宋体" w:eastAsia="宋体" w:cs="宋体"/>
                <w:i w:val="0"/>
                <w:iCs w:val="0"/>
                <w:color w:val="000000"/>
                <w:sz w:val="24"/>
                <w:szCs w:val="24"/>
                <w:u w:val="none"/>
                <w:lang w:eastAsia="zh-CN"/>
              </w:rPr>
              <w:t>、</w:t>
            </w:r>
            <w:r>
              <w:rPr>
                <w:rFonts w:hint="eastAsia" w:ascii="宋体" w:hAnsi="宋体" w:eastAsia="宋体" w:cs="宋体"/>
                <w:i w:val="0"/>
                <w:iCs w:val="0"/>
                <w:color w:val="000000"/>
                <w:sz w:val="24"/>
                <w:szCs w:val="24"/>
                <w:u w:val="none"/>
                <w:lang w:val="en-US" w:eastAsia="zh-CN"/>
              </w:rPr>
              <w:t>峰辉电气、凤忠意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6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窗帘电机套装</w:t>
            </w:r>
          </w:p>
        </w:tc>
        <w:tc>
          <w:tcPr>
            <w:tcW w:w="666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1、含窗帘电机和导轨；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2、长度尺寸：2.2米-8.2米。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3、窗帘电机额定电压：100-240VAC 50/60HZ。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4、窗帘电机额定功率：≥72W；运行速度：约0.16m/s；额定扭矩：≥1N·m。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5、窗帘电机通讯协议：支持Zigbee HA；工作频率：2405-2480MHz。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6、导轨材质：铝型材。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7、导轨表面处理：电泳银色。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8、导轨轨道尺寸：约41.50mm(宽)*16.90mm(高)*实际选择长度。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9、导轨系统称重：最大35公斤（8m以内）；最大50公斤（4m以内）。</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rPr>
              <w:t>蓝鸽</w:t>
            </w:r>
            <w:r>
              <w:rPr>
                <w:rFonts w:hint="eastAsia" w:ascii="宋体" w:hAnsi="宋体" w:eastAsia="宋体" w:cs="宋体"/>
                <w:i w:val="0"/>
                <w:iCs w:val="0"/>
                <w:color w:val="000000"/>
                <w:sz w:val="24"/>
                <w:szCs w:val="24"/>
                <w:u w:val="none"/>
                <w:lang w:eastAsia="zh-CN"/>
              </w:rPr>
              <w:t>、欧瑞博、绿创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空调红外转发器</w:t>
            </w:r>
          </w:p>
        </w:tc>
        <w:tc>
          <w:tcPr>
            <w:tcW w:w="666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1、工作电压功率：DC 5V，功率≥0.75W；工作频段：2405~2480MHZ。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2、无障碍通讯距离：≥100m；无障碍组网距离：≥50m。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3、接收灵敏度：≥-95dBm；无线输出功率：≥10dBm；联网方式：支持Zigbee HA；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4、红外控制距离：≥6m。</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rPr>
              <w:t>蓝鸽</w:t>
            </w:r>
            <w:r>
              <w:rPr>
                <w:rFonts w:hint="eastAsia" w:ascii="宋体" w:hAnsi="宋体" w:eastAsia="宋体" w:cs="宋体"/>
                <w:i w:val="0"/>
                <w:iCs w:val="0"/>
                <w:color w:val="000000"/>
                <w:sz w:val="24"/>
                <w:szCs w:val="24"/>
                <w:u w:val="none"/>
                <w:lang w:eastAsia="zh-CN"/>
              </w:rPr>
              <w:t>、派谷、诚强光电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2"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PM2.5、温湿度监测仪</w:t>
            </w:r>
          </w:p>
        </w:tc>
        <w:tc>
          <w:tcPr>
            <w:tcW w:w="666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1、PM1.0质量浓度量程：0 - 500ug/m²；PM2.5精度：±10%；PM10分辨率：1ug/m²。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2、温度量程：-10 - 50℃，精度：±2℃；湿度量程：＜90%RH，精度：±5%RH。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3、通讯方式：支持Zigbee HA；工作频段：2405~2480MHZ；显示功能：不等于2.4英寸LCD液晶显示；电池：3.7V（可充电）/1800mAH。</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rPr>
              <w:t>蓝鸽</w:t>
            </w:r>
            <w:r>
              <w:rPr>
                <w:rFonts w:hint="eastAsia" w:ascii="宋体" w:hAnsi="宋体" w:eastAsia="宋体" w:cs="宋体"/>
                <w:i w:val="0"/>
                <w:iCs w:val="0"/>
                <w:color w:val="000000"/>
                <w:sz w:val="24"/>
                <w:szCs w:val="24"/>
                <w:u w:val="none"/>
                <w:lang w:eastAsia="zh-CN"/>
              </w:rPr>
              <w:t>、腾星凌科、建大仁科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光照仪</w:t>
            </w:r>
          </w:p>
        </w:tc>
        <w:tc>
          <w:tcPr>
            <w:tcW w:w="666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1、额定电压：≥3V，待机功耗：＜10uA。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2、光照度分辨率范围：1~83k lux，光谱范围：400~700（nm）可见光。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3、工作温度范围：-25℃~+85℃，工作频段：2405-2480MHz，通讯距离：≥200m，组网距离：≥100m。</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rPr>
              <w:t>蓝鸽</w:t>
            </w:r>
            <w:r>
              <w:rPr>
                <w:rFonts w:hint="eastAsia" w:ascii="宋体" w:hAnsi="宋体" w:eastAsia="宋体" w:cs="宋体"/>
                <w:i w:val="0"/>
                <w:iCs w:val="0"/>
                <w:color w:val="000000"/>
                <w:sz w:val="24"/>
                <w:szCs w:val="24"/>
                <w:u w:val="none"/>
                <w:lang w:eastAsia="zh-CN"/>
              </w:rPr>
              <w:t>、建大仁科、威盟士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49"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电子班牌</w:t>
            </w:r>
          </w:p>
        </w:tc>
        <w:tc>
          <w:tcPr>
            <w:tcW w:w="666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1、外壳：金属边框，钣金后壳，边框四角圆角处理，防误碰误伤；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2、横屏≥21.5寸电容式触摸屏，≥10点触控，分辨率≥1920*1080，显示比例16:9，亮度≥350cd/m2；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3、屏幕可视角度：89/89/89/89 (Typ.)(CR≥10)(左/右/上/下)；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4、内置电源板，支持上方/正中间/下方出线，方便走线和安装；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5、四核CPU，≥1.8GHz主频，内存/硬盘：≥2G/16G，内置Android操作系统；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6、内置不少于200万像素单目宽动态摄像头，居于底部；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7、纯平电容屏，正面与侧面全防水设计，防护等级不低于IP65；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8、具有内置IC卡刷卡器；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9、支持门禁模块，支持至少2个电磁锁。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信息显示与管理：支持多种应用模式下的信息分类显示及管理，包括重大公告、课程预告、本周课表、本周值日、班级风采、校园活动、失物招领、办公室资讯、宿舍资讯、宿舍管理规范等；支持管理员通过“班牌管理系统”添加、修改、查询、删除显示信息。（提供相关功能截图和第三方检测报告佐证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环境信息显示：支持通过对接智慧教室物联网管控软件，在多种应用模式下实时显示本地当前的天气信息，非上课时间显示教室内环境信息，如温度、湿度、PM2.5、光照等。（提供相关功能截图和第三方检测报告佐证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教学班牌：支持班牌显示课堂直播画面、学生考勤、同步课表信息联动，显示调课公告；支持班牌会议模式，自动显示会议相关信息，可切换会议考勤签到，参会人员可打卡认证或人脸识别认证；支持班牌考试模式，可显示考试信息、切换进行考试认证签到、查看考试实时监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13、办公室牌：支持教师预约，数据对接至智慧校园用户桌面（雨）管理平台，可接收预约通知；支持教师考勤。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14、宿舍楼宇牌：支持来访信息登记、调宿申请（对接宿舍管理系统）和资产报修（对接资产管理系统）。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15、实验室牌：支持实验室概况设置、安全须知和规章制度内容设置。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个人中心：支持不同用户采用刷卡认证、账户认证、人脸认证等方式进行认证登录，学生认证后，可查看个人考勤、个人课表，开关门禁、学生请假。教师认证后，可查看班级考勤、个人考勤，可以开关门禁、开关教室、资产报修。管理员认证后，可查看个人考勤、开关门禁、开关教室、资产报修。（提供相关功能截图和第三方检测报告佐证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17、智慧校园通APP班牌应用：支持对接智慧校园通APP，可实现全校师生在班牌上应用。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18、远程控制及离线开门：支持通过“班牌管理系统”远程开启、关闭指定班牌，并可以设置所有班牌按照预设的开关时间定时开启关闭；支持班牌离线情况下刷卡开门。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19、显示牌多媒体广播：支持指定的显示牌在指定时间内全屏播放多媒体广播内容，内容支持：图片、文字、文本、视频、音频等多媒体资料。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人脸数据采集及管理：支持学生/教师/管理员从本地电脑上传个人头像，管理员可利用人脸采集摄像头实时采集人脸图像并入库，可导出用户信息及人脸库图片，并对人脸图片进行查询、修改、删除等操作。（提供相关功能截图和第三方检测报告佐证并加盖厂家公章）</w:t>
            </w:r>
          </w:p>
        </w:tc>
        <w:tc>
          <w:tcPr>
            <w:tcW w:w="1526"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rPr>
              <w:t>触沃</w:t>
            </w:r>
            <w:r>
              <w:rPr>
                <w:rFonts w:hint="eastAsia" w:ascii="宋体" w:hAnsi="宋体" w:eastAsia="宋体" w:cs="宋体"/>
                <w:i w:val="0"/>
                <w:iCs w:val="0"/>
                <w:color w:val="000000"/>
                <w:sz w:val="24"/>
                <w:szCs w:val="24"/>
                <w:u w:val="none"/>
                <w:lang w:eastAsia="zh-CN"/>
              </w:rPr>
              <w:t>、</w:t>
            </w:r>
            <w:r>
              <w:rPr>
                <w:rFonts w:hint="eastAsia" w:ascii="宋体" w:hAnsi="宋体" w:eastAsia="宋体" w:cs="宋体"/>
                <w:i w:val="0"/>
                <w:iCs w:val="0"/>
                <w:color w:val="000000"/>
                <w:sz w:val="24"/>
                <w:szCs w:val="24"/>
                <w:u w:val="none"/>
                <w:lang w:val="en-US" w:eastAsia="zh-CN"/>
              </w:rPr>
              <w:t>希沃、鸿合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8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物联网串口服务器</w:t>
            </w:r>
          </w:p>
        </w:tc>
        <w:tc>
          <w:tcPr>
            <w:tcW w:w="666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1、输入电压：DC5V，功耗&lt;1W；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2、工作环境：温度0℃～40℃，空气相对湿度≤95%（不凝露）；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3、网络接口：支持10/100Base-TX自适应网络，RJ45接口，带收发数据指示；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4、网络协议：支持TCP、UDP、DHCP等，支持网络固件升级；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5、RS485接口：4P-3.81mm端子，支持可编程波特率,最大115200bps，连接数量＜32个，通讯距离＜300m；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6、RS232接口：DB9接口，支持可编程波特率，最大115200bps，通讯距离＜20m。</w:t>
            </w:r>
          </w:p>
        </w:tc>
        <w:tc>
          <w:tcPr>
            <w:tcW w:w="1526"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rPr>
              <w:t>蓝鸽</w:t>
            </w:r>
            <w:r>
              <w:rPr>
                <w:rFonts w:hint="eastAsia" w:ascii="宋体" w:hAnsi="宋体" w:eastAsia="宋体" w:cs="宋体"/>
                <w:i w:val="0"/>
                <w:iCs w:val="0"/>
                <w:color w:val="000000"/>
                <w:sz w:val="24"/>
                <w:szCs w:val="24"/>
                <w:u w:val="none"/>
                <w:lang w:eastAsia="zh-CN"/>
              </w:rPr>
              <w:t>、</w:t>
            </w:r>
            <w:r>
              <w:rPr>
                <w:rFonts w:hint="eastAsia" w:ascii="宋体" w:hAnsi="宋体" w:eastAsia="宋体" w:cs="宋体"/>
                <w:i w:val="0"/>
                <w:iCs w:val="0"/>
                <w:color w:val="000000"/>
                <w:sz w:val="24"/>
                <w:szCs w:val="24"/>
                <w:u w:val="none"/>
                <w:lang w:val="en-US" w:eastAsia="zh-CN"/>
              </w:rPr>
              <w:t>慧谷、亿佰特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4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空开电源模组</w:t>
            </w:r>
          </w:p>
        </w:tc>
        <w:tc>
          <w:tcPr>
            <w:tcW w:w="666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1、额定输入电压：AC100V~265V；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2、额定输出电压：DC12V；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3、额定输出电流：MAX DC2A；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4、防雷击浪涌保护最大泄放电流：20KA；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5、环境温度：-15℃～40℃；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6、空气相对湿度：≤ 95%（不凝露）,海拔≤ 2000m。</w:t>
            </w:r>
          </w:p>
        </w:tc>
        <w:tc>
          <w:tcPr>
            <w:tcW w:w="1526"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rPr>
              <w:t>曼顿</w:t>
            </w:r>
            <w:r>
              <w:rPr>
                <w:rFonts w:hint="eastAsia" w:ascii="宋体" w:hAnsi="宋体" w:eastAsia="宋体" w:cs="宋体"/>
                <w:i w:val="0"/>
                <w:iCs w:val="0"/>
                <w:color w:val="000000"/>
                <w:sz w:val="24"/>
                <w:szCs w:val="24"/>
                <w:u w:val="none"/>
                <w:lang w:eastAsia="zh-CN"/>
              </w:rPr>
              <w:t>、</w:t>
            </w:r>
            <w:r>
              <w:rPr>
                <w:rFonts w:hint="eastAsia" w:ascii="宋体" w:hAnsi="宋体" w:eastAsia="宋体" w:cs="宋体"/>
                <w:i w:val="0"/>
                <w:iCs w:val="0"/>
                <w:color w:val="000000"/>
                <w:sz w:val="24"/>
                <w:szCs w:val="24"/>
                <w:u w:val="none"/>
                <w:lang w:val="en-US" w:eastAsia="zh-CN"/>
              </w:rPr>
              <w:t>万联、安科瑞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空开通讯模组</w:t>
            </w:r>
          </w:p>
        </w:tc>
        <w:tc>
          <w:tcPr>
            <w:tcW w:w="666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1、额定输入电压：DC12V；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2、通讯方式：RS485；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3、环境温度：-15℃～40℃；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4、空气相对湿度：≤ 95%（不凝露）,海拔≤ 2000m；</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曼顿</w:t>
            </w:r>
            <w:r>
              <w:rPr>
                <w:rFonts w:hint="eastAsia" w:ascii="宋体" w:hAnsi="宋体" w:eastAsia="宋体" w:cs="宋体"/>
                <w:i w:val="0"/>
                <w:iCs w:val="0"/>
                <w:color w:val="000000"/>
                <w:sz w:val="24"/>
                <w:szCs w:val="24"/>
                <w:u w:val="none"/>
                <w:lang w:eastAsia="zh-CN"/>
              </w:rPr>
              <w:t>、</w:t>
            </w:r>
            <w:r>
              <w:rPr>
                <w:rFonts w:hint="eastAsia" w:ascii="宋体" w:hAnsi="宋体" w:eastAsia="宋体" w:cs="宋体"/>
                <w:i w:val="0"/>
                <w:iCs w:val="0"/>
                <w:color w:val="000000"/>
                <w:sz w:val="24"/>
                <w:szCs w:val="24"/>
                <w:u w:val="none"/>
                <w:lang w:val="en-US" w:eastAsia="zh-CN"/>
              </w:rPr>
              <w:t>万联、安科瑞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6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3P微型断路器</w:t>
            </w:r>
          </w:p>
        </w:tc>
        <w:tc>
          <w:tcPr>
            <w:tcW w:w="666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1、额定电压：AC380V；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2、额定电流：单相32A；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3、接线能力：25mm2及以下导线；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4、过压保护：入户电压超过456V，10s内断路保护。超过430V预警，低于320V预警；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5、功率限定：达到限定功率，5s后断路，漏电保护功能；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短路保护：线路短路时，断路器0.04s断电保护；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6、分断电流：lcs = lcn ≥ 6000A；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7、环境温度：-15℃～40℃；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8、空气相对湿度：≤ 95%（不凝露）；海拔≤ 2000m。</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曼顿</w:t>
            </w:r>
            <w:r>
              <w:rPr>
                <w:rFonts w:hint="eastAsia" w:ascii="宋体" w:hAnsi="宋体" w:eastAsia="宋体" w:cs="宋体"/>
                <w:i w:val="0"/>
                <w:iCs w:val="0"/>
                <w:color w:val="000000"/>
                <w:sz w:val="24"/>
                <w:szCs w:val="24"/>
                <w:u w:val="none"/>
                <w:lang w:eastAsia="zh-CN"/>
              </w:rPr>
              <w:t>、</w:t>
            </w:r>
            <w:r>
              <w:rPr>
                <w:rFonts w:hint="eastAsia" w:ascii="宋体" w:hAnsi="宋体" w:eastAsia="宋体" w:cs="宋体"/>
                <w:i w:val="0"/>
                <w:iCs w:val="0"/>
                <w:color w:val="000000"/>
                <w:sz w:val="24"/>
                <w:szCs w:val="24"/>
                <w:u w:val="none"/>
                <w:lang w:val="en-US" w:eastAsia="zh-CN"/>
              </w:rPr>
              <w:t>万联、正泰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31"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3P微型断路器</w:t>
            </w:r>
          </w:p>
        </w:tc>
        <w:tc>
          <w:tcPr>
            <w:tcW w:w="666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1、额定电压：AC380V；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2、额定电流：单相63A；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3、接线能力：25mm2及以下导线；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4、过压保护：入户电压超过456V，10s内断路保护。超过430V预警，低于320V预警；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5、功率限定：达到限定功率，5s后断路；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短路保护：线路短路时，断路器0.04s断电保护；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6、分断电流：lcs = lcn ≥ 6000A；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7、环境温度：-15℃～ 40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8、空气相对湿度：≤95%（不凝露）；海拔≤ 2000m。</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曼顿</w:t>
            </w:r>
            <w:r>
              <w:rPr>
                <w:rFonts w:hint="eastAsia" w:ascii="宋体" w:hAnsi="宋体" w:eastAsia="宋体" w:cs="宋体"/>
                <w:i w:val="0"/>
                <w:iCs w:val="0"/>
                <w:color w:val="000000"/>
                <w:sz w:val="24"/>
                <w:szCs w:val="24"/>
                <w:u w:val="none"/>
                <w:lang w:eastAsia="zh-CN"/>
              </w:rPr>
              <w:t>、</w:t>
            </w:r>
            <w:r>
              <w:rPr>
                <w:rFonts w:hint="eastAsia" w:ascii="宋体" w:hAnsi="宋体" w:eastAsia="宋体" w:cs="宋体"/>
                <w:i w:val="0"/>
                <w:iCs w:val="0"/>
                <w:color w:val="000000"/>
                <w:sz w:val="24"/>
                <w:szCs w:val="24"/>
                <w:u w:val="none"/>
                <w:lang w:val="en-US" w:eastAsia="zh-CN"/>
              </w:rPr>
              <w:t>万联、正泰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6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3P智慧微型断路器</w:t>
            </w:r>
          </w:p>
        </w:tc>
        <w:tc>
          <w:tcPr>
            <w:tcW w:w="666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1、额定电压：AC380V；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2、额定电流：单相80A；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3、接线能力：25mm2及以下导线；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4、过压保护：入户电压超过456V，10s内断路保护。超过430V预警，低于320V预警；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5、功率限定：达到限定功率，5s后断路，漏电保护功能；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短路保护：线路短路时，断路器0.04s断电保护；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6、分断电流：lcs = lcn ≥ 6000A；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7、环境温度：-15℃～40℃；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8、空气相对湿度：≤ 95%（不凝露）；海拔≤ 2000m。</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曼顿</w:t>
            </w:r>
            <w:r>
              <w:rPr>
                <w:rFonts w:hint="eastAsia" w:ascii="宋体" w:hAnsi="宋体" w:eastAsia="宋体" w:cs="宋体"/>
                <w:i w:val="0"/>
                <w:iCs w:val="0"/>
                <w:color w:val="000000"/>
                <w:sz w:val="24"/>
                <w:szCs w:val="24"/>
                <w:u w:val="none"/>
                <w:lang w:eastAsia="zh-CN"/>
              </w:rPr>
              <w:t>、</w:t>
            </w:r>
            <w:r>
              <w:rPr>
                <w:rFonts w:hint="eastAsia" w:ascii="宋体" w:hAnsi="宋体" w:eastAsia="宋体" w:cs="宋体"/>
                <w:i w:val="0"/>
                <w:iCs w:val="0"/>
                <w:color w:val="000000"/>
                <w:sz w:val="24"/>
                <w:szCs w:val="24"/>
                <w:u w:val="none"/>
                <w:lang w:val="en-US" w:eastAsia="zh-CN"/>
              </w:rPr>
              <w:t>万联、正泰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65</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电缆、电线</w:t>
            </w:r>
          </w:p>
        </w:tc>
        <w:tc>
          <w:tcPr>
            <w:tcW w:w="6664"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rPr>
              <w:t xml:space="preserve">广州电缆厂 </w:t>
            </w:r>
            <w:r>
              <w:rPr>
                <w:rFonts w:hint="eastAsia" w:ascii="宋体" w:hAnsi="宋体" w:eastAsia="宋体" w:cs="宋体"/>
                <w:i w:val="0"/>
                <w:iCs w:val="0"/>
                <w:color w:val="000000"/>
                <w:sz w:val="24"/>
                <w:szCs w:val="24"/>
                <w:u w:val="none"/>
                <w:lang w:eastAsia="zh-CN"/>
              </w:rPr>
              <w:t>、番禺电缆厂、庆丰电缆厂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66</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插座面板　</w:t>
            </w:r>
          </w:p>
        </w:tc>
        <w:tc>
          <w:tcPr>
            <w:tcW w:w="666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rPr>
              <w:t>广东松本</w:t>
            </w:r>
            <w:r>
              <w:rPr>
                <w:rFonts w:hint="eastAsia" w:ascii="宋体" w:hAnsi="宋体" w:eastAsia="宋体" w:cs="宋体"/>
                <w:i w:val="0"/>
                <w:iCs w:val="0"/>
                <w:color w:val="000000"/>
                <w:sz w:val="24"/>
                <w:szCs w:val="24"/>
                <w:u w:val="none"/>
                <w:lang w:eastAsia="zh-CN"/>
              </w:rPr>
              <w:t>、TCL－罗格朗、宁波公牛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67</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灯具</w:t>
            </w:r>
          </w:p>
        </w:tc>
        <w:tc>
          <w:tcPr>
            <w:tcW w:w="666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rPr>
              <w:t>佛山照明</w:t>
            </w:r>
            <w:r>
              <w:rPr>
                <w:rFonts w:hint="eastAsia" w:ascii="宋体" w:hAnsi="宋体" w:eastAsia="宋体" w:cs="宋体"/>
                <w:i w:val="0"/>
                <w:iCs w:val="0"/>
                <w:color w:val="000000"/>
                <w:sz w:val="24"/>
                <w:szCs w:val="24"/>
                <w:u w:val="none"/>
                <w:lang w:eastAsia="zh-CN"/>
              </w:rPr>
              <w:t>、欧普照明 、三雄极光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68</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应急灯、疏散指示灯</w:t>
            </w:r>
          </w:p>
        </w:tc>
        <w:tc>
          <w:tcPr>
            <w:tcW w:w="666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rPr>
              <w:t>海湾</w:t>
            </w:r>
            <w:r>
              <w:rPr>
                <w:rFonts w:hint="eastAsia" w:ascii="宋体" w:hAnsi="宋体" w:eastAsia="宋体" w:cs="宋体"/>
                <w:i w:val="0"/>
                <w:iCs w:val="0"/>
                <w:color w:val="000000"/>
                <w:sz w:val="24"/>
                <w:szCs w:val="24"/>
                <w:u w:val="none"/>
                <w:lang w:eastAsia="zh-CN"/>
              </w:rPr>
              <w:t>、雷士、广东松本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69</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铝合金门窗型材、铝合金纱窗</w:t>
            </w:r>
          </w:p>
        </w:tc>
        <w:tc>
          <w:tcPr>
            <w:tcW w:w="666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rPr>
              <w:t>广铝</w:t>
            </w:r>
            <w:r>
              <w:rPr>
                <w:rFonts w:hint="eastAsia" w:ascii="宋体" w:hAnsi="宋体" w:eastAsia="宋体" w:cs="宋体"/>
                <w:i w:val="0"/>
                <w:iCs w:val="0"/>
                <w:color w:val="000000"/>
                <w:sz w:val="24"/>
                <w:szCs w:val="24"/>
                <w:u w:val="none"/>
                <w:lang w:eastAsia="zh-CN"/>
              </w:rPr>
              <w:t>、凤铝、广东坚美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乳胶漆</w:t>
            </w:r>
          </w:p>
        </w:tc>
        <w:tc>
          <w:tcPr>
            <w:tcW w:w="666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rPr>
              <w:t>多乐士</w:t>
            </w:r>
            <w:r>
              <w:rPr>
                <w:rFonts w:hint="eastAsia" w:ascii="宋体" w:hAnsi="宋体" w:eastAsia="宋体" w:cs="宋体"/>
                <w:i w:val="0"/>
                <w:iCs w:val="0"/>
                <w:color w:val="000000"/>
                <w:sz w:val="24"/>
                <w:szCs w:val="24"/>
                <w:u w:val="none"/>
                <w:lang w:eastAsia="zh-CN"/>
              </w:rPr>
              <w:t>、立邦、广东美涂士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71</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配电箱</w:t>
            </w:r>
          </w:p>
        </w:tc>
        <w:tc>
          <w:tcPr>
            <w:tcW w:w="666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rPr>
              <w:t>东莞基业</w:t>
            </w:r>
            <w:r>
              <w:rPr>
                <w:rFonts w:hint="eastAsia" w:ascii="宋体" w:hAnsi="宋体" w:eastAsia="宋体" w:cs="宋体"/>
                <w:i w:val="0"/>
                <w:iCs w:val="0"/>
                <w:color w:val="000000"/>
                <w:sz w:val="24"/>
                <w:szCs w:val="24"/>
                <w:u w:val="none"/>
                <w:lang w:eastAsia="zh-CN"/>
              </w:rPr>
              <w:t>、</w:t>
            </w:r>
            <w:r>
              <w:rPr>
                <w:rFonts w:hint="eastAsia" w:ascii="宋体" w:hAnsi="宋体" w:eastAsia="宋体" w:cs="宋体"/>
                <w:i w:val="0"/>
                <w:iCs w:val="0"/>
                <w:color w:val="000000"/>
                <w:sz w:val="24"/>
                <w:szCs w:val="24"/>
                <w:u w:val="none"/>
              </w:rPr>
              <w:t>番禺宏达</w:t>
            </w:r>
            <w:r>
              <w:rPr>
                <w:rFonts w:hint="eastAsia" w:ascii="宋体" w:hAnsi="宋体" w:eastAsia="宋体" w:cs="宋体"/>
                <w:i w:val="0"/>
                <w:iCs w:val="0"/>
                <w:color w:val="000000"/>
                <w:sz w:val="24"/>
                <w:szCs w:val="24"/>
                <w:u w:val="none"/>
                <w:lang w:eastAsia="zh-CN"/>
              </w:rPr>
              <w:t>、广东松本、俊朗松田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72</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配电箱元器件</w:t>
            </w:r>
          </w:p>
        </w:tc>
        <w:tc>
          <w:tcPr>
            <w:tcW w:w="666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rPr>
              <w:t>广东松本</w:t>
            </w:r>
            <w:r>
              <w:rPr>
                <w:rFonts w:hint="eastAsia" w:ascii="宋体" w:hAnsi="宋体" w:eastAsia="宋体" w:cs="宋体"/>
                <w:i w:val="0"/>
                <w:iCs w:val="0"/>
                <w:color w:val="000000"/>
                <w:sz w:val="24"/>
                <w:szCs w:val="24"/>
                <w:u w:val="none"/>
                <w:lang w:eastAsia="zh-CN"/>
              </w:rPr>
              <w:t>、广东珠江、正泰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73</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防滑砖、抛光砖、釉面砖、耐磨砖、瓷砖</w:t>
            </w:r>
          </w:p>
        </w:tc>
        <w:tc>
          <w:tcPr>
            <w:tcW w:w="666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rPr>
              <w:t>冠珠</w:t>
            </w:r>
            <w:r>
              <w:rPr>
                <w:rFonts w:hint="eastAsia" w:ascii="宋体" w:hAnsi="宋体" w:eastAsia="宋体" w:cs="宋体"/>
                <w:i w:val="0"/>
                <w:iCs w:val="0"/>
                <w:color w:val="000000"/>
                <w:sz w:val="24"/>
                <w:szCs w:val="24"/>
                <w:u w:val="none"/>
                <w:lang w:eastAsia="zh-CN"/>
              </w:rPr>
              <w:t>、东鹏、鹰牌、白兔</w:t>
            </w:r>
          </w:p>
        </w:tc>
      </w:tr>
    </w:tbl>
    <w:p>
      <w:pPr>
        <w:shd w:val="clear" w:color="000000" w:fill="auto"/>
        <w:spacing w:line="360" w:lineRule="auto"/>
        <w:jc w:val="left"/>
        <w:outlineLvl w:val="0"/>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br w:type="page"/>
      </w:r>
      <w:bookmarkStart w:id="730" w:name="_Toc14710"/>
      <w:bookmarkStart w:id="731" w:name="_Toc26990"/>
      <w:r>
        <w:rPr>
          <w:rFonts w:hint="eastAsia" w:ascii="仿宋" w:hAnsi="仿宋" w:eastAsia="仿宋" w:cs="仿宋"/>
          <w:b/>
          <w:bCs/>
          <w:sz w:val="24"/>
          <w:szCs w:val="24"/>
        </w:rPr>
        <w:t>附件</w:t>
      </w:r>
      <w:bookmarkEnd w:id="724"/>
      <w:bookmarkEnd w:id="725"/>
      <w:bookmarkEnd w:id="726"/>
      <w:r>
        <w:rPr>
          <w:rFonts w:hint="eastAsia" w:ascii="仿宋" w:hAnsi="仿宋" w:eastAsia="仿宋" w:cs="仿宋"/>
          <w:b/>
          <w:bCs/>
          <w:sz w:val="24"/>
          <w:szCs w:val="24"/>
        </w:rPr>
        <w:t>二</w:t>
      </w:r>
      <w:bookmarkEnd w:id="730"/>
      <w:r>
        <w:rPr>
          <w:rFonts w:hint="eastAsia" w:ascii="仿宋" w:hAnsi="仿宋" w:eastAsia="仿宋" w:cs="仿宋"/>
          <w:b/>
          <w:bCs/>
          <w:sz w:val="24"/>
          <w:szCs w:val="24"/>
        </w:rPr>
        <w:t>：工程质量保修书</w:t>
      </w:r>
      <w:bookmarkEnd w:id="731"/>
    </w:p>
    <w:p>
      <w:pPr>
        <w:shd w:val="clear" w:color="000000" w:fill="auto"/>
        <w:spacing w:line="360" w:lineRule="auto"/>
        <w:rPr>
          <w:rFonts w:ascii="仿宋" w:hAnsi="仿宋" w:eastAsia="仿宋" w:cs="Times New Roman"/>
          <w:color w:val="auto"/>
          <w:sz w:val="24"/>
          <w:szCs w:val="24"/>
          <w:highlight w:val="none"/>
        </w:rPr>
      </w:pPr>
    </w:p>
    <w:p>
      <w:pPr>
        <w:shd w:val="clear" w:color="000000" w:fill="auto"/>
        <w:adjustRightInd w:val="0"/>
        <w:snapToGrid w:val="0"/>
        <w:spacing w:line="360" w:lineRule="auto"/>
        <w:jc w:val="center"/>
        <w:rPr>
          <w:rFonts w:ascii="仿宋" w:hAnsi="仿宋" w:eastAsia="仿宋" w:cs="Times New Roman"/>
          <w:b/>
          <w:bCs/>
          <w:color w:val="auto"/>
          <w:spacing w:val="32"/>
          <w:sz w:val="24"/>
          <w:szCs w:val="24"/>
          <w:highlight w:val="none"/>
        </w:rPr>
      </w:pPr>
      <w:r>
        <w:rPr>
          <w:rFonts w:hint="eastAsia" w:ascii="仿宋" w:hAnsi="仿宋" w:eastAsia="仿宋" w:cs="仿宋"/>
          <w:b/>
          <w:bCs/>
          <w:color w:val="auto"/>
          <w:spacing w:val="32"/>
          <w:sz w:val="24"/>
          <w:szCs w:val="24"/>
          <w:highlight w:val="none"/>
        </w:rPr>
        <w:t>工程质量保修书</w:t>
      </w:r>
    </w:p>
    <w:p>
      <w:pPr>
        <w:shd w:val="clear" w:color="000000" w:fill="auto"/>
        <w:adjustRightInd w:val="0"/>
        <w:snapToGrid w:val="0"/>
        <w:spacing w:line="400" w:lineRule="exact"/>
        <w:rPr>
          <w:rFonts w:ascii="仿宋" w:hAnsi="仿宋" w:eastAsia="仿宋" w:cs="Times New Roman"/>
          <w:color w:val="auto"/>
          <w:highlight w:val="none"/>
        </w:rPr>
      </w:pPr>
    </w:p>
    <w:p>
      <w:pPr>
        <w:shd w:val="clear" w:color="000000" w:fill="auto"/>
        <w:adjustRightInd w:val="0"/>
        <w:snapToGrid w:val="0"/>
        <w:spacing w:line="400" w:lineRule="exact"/>
        <w:ind w:firstLine="420" w:firstLineChars="200"/>
        <w:rPr>
          <w:rFonts w:ascii="仿宋" w:hAnsi="仿宋" w:eastAsia="仿宋" w:cs="Times New Roman"/>
          <w:color w:val="auto"/>
          <w:highlight w:val="none"/>
        </w:rPr>
      </w:pPr>
      <w:r>
        <w:rPr>
          <w:rFonts w:hint="eastAsia" w:ascii="仿宋" w:hAnsi="仿宋" w:eastAsia="仿宋" w:cs="仿宋"/>
          <w:color w:val="auto"/>
          <w:highlight w:val="none"/>
        </w:rPr>
        <w:t>发包人：（全称）</w:t>
      </w:r>
      <w:r>
        <w:rPr>
          <w:rFonts w:hint="eastAsia" w:ascii="仿宋" w:hAnsi="仿宋" w:eastAsia="仿宋" w:cs="仿宋"/>
          <w:color w:val="auto"/>
          <w:highlight w:val="none"/>
          <w:u w:val="single"/>
          <w:lang w:eastAsia="zh-CN"/>
        </w:rPr>
        <w:t>广州番禺职业技术学院</w:t>
      </w:r>
      <w:r>
        <w:rPr>
          <w:rFonts w:ascii="仿宋" w:hAnsi="仿宋" w:eastAsia="仿宋" w:cs="仿宋"/>
          <w:color w:val="auto"/>
          <w:highlight w:val="none"/>
          <w:u w:val="single"/>
        </w:rPr>
        <w:t xml:space="preserve">   </w:t>
      </w:r>
    </w:p>
    <w:p>
      <w:pPr>
        <w:shd w:val="clear" w:color="000000" w:fill="auto"/>
        <w:adjustRightInd w:val="0"/>
        <w:snapToGrid w:val="0"/>
        <w:spacing w:line="400" w:lineRule="exact"/>
        <w:ind w:firstLine="420" w:firstLineChars="200"/>
        <w:rPr>
          <w:rFonts w:ascii="仿宋" w:hAnsi="仿宋" w:eastAsia="仿宋" w:cs="Times New Roman"/>
          <w:color w:val="auto"/>
          <w:highlight w:val="none"/>
        </w:rPr>
      </w:pPr>
      <w:r>
        <w:rPr>
          <w:rFonts w:hint="eastAsia" w:ascii="仿宋" w:hAnsi="仿宋" w:eastAsia="仿宋" w:cs="仿宋"/>
          <w:color w:val="auto"/>
          <w:highlight w:val="none"/>
        </w:rPr>
        <w:t>承包人：（全称）</w:t>
      </w:r>
      <w:r>
        <w:rPr>
          <w:rFonts w:ascii="仿宋" w:hAnsi="仿宋" w:eastAsia="仿宋" w:cs="仿宋"/>
          <w:color w:val="auto"/>
          <w:highlight w:val="none"/>
          <w:u w:val="single"/>
        </w:rPr>
        <w:t xml:space="preserve">   </w:t>
      </w:r>
      <w:r>
        <w:rPr>
          <w:rFonts w:hint="eastAsia" w:ascii="仿宋" w:hAnsi="仿宋" w:eastAsia="仿宋" w:cs="仿宋"/>
          <w:color w:val="auto"/>
          <w:highlight w:val="none"/>
          <w:u w:val="single"/>
        </w:rPr>
        <w:t xml:space="preserve">                           </w:t>
      </w:r>
      <w:r>
        <w:rPr>
          <w:rFonts w:ascii="仿宋" w:hAnsi="仿宋" w:eastAsia="仿宋" w:cs="仿宋"/>
          <w:color w:val="auto"/>
          <w:highlight w:val="none"/>
          <w:u w:val="single"/>
        </w:rPr>
        <w:t xml:space="preserve"> </w:t>
      </w:r>
    </w:p>
    <w:p>
      <w:pPr>
        <w:pStyle w:val="6"/>
        <w:numPr>
          <w:ilvl w:val="0"/>
          <w:numId w:val="0"/>
        </w:numPr>
        <w:spacing w:before="0" w:after="0" w:line="400" w:lineRule="exact"/>
        <w:ind w:left="184" w:right="184" w:firstLine="210" w:firstLineChars="100"/>
        <w:rPr>
          <w:rFonts w:ascii="仿宋" w:hAnsi="仿宋" w:eastAsia="仿宋" w:cs="仿宋"/>
          <w:b w:val="0"/>
          <w:bCs w:val="0"/>
          <w:color w:val="auto"/>
          <w:kern w:val="2"/>
          <w:sz w:val="21"/>
          <w:szCs w:val="21"/>
          <w:highlight w:val="none"/>
        </w:rPr>
      </w:pPr>
      <w:r>
        <w:rPr>
          <w:rFonts w:hint="eastAsia" w:ascii="仿宋" w:hAnsi="仿宋" w:eastAsia="仿宋" w:cs="仿宋"/>
          <w:b w:val="0"/>
          <w:bCs w:val="0"/>
          <w:color w:val="auto"/>
          <w:kern w:val="2"/>
          <w:sz w:val="21"/>
          <w:szCs w:val="21"/>
          <w:highlight w:val="none"/>
        </w:rPr>
        <w:t>为保证</w:t>
      </w:r>
      <w:r>
        <w:rPr>
          <w:rFonts w:ascii="仿宋" w:hAnsi="仿宋" w:eastAsia="仿宋" w:cs="仿宋"/>
          <w:b w:val="0"/>
          <w:bCs w:val="0"/>
          <w:color w:val="auto"/>
          <w:kern w:val="2"/>
          <w:sz w:val="21"/>
          <w:szCs w:val="21"/>
          <w:highlight w:val="none"/>
        </w:rPr>
        <w:t xml:space="preserve"> </w:t>
      </w:r>
      <w:r>
        <w:rPr>
          <w:rFonts w:hint="eastAsia" w:ascii="仿宋" w:hAnsi="仿宋" w:eastAsia="仿宋" w:cs="仿宋"/>
          <w:b w:val="0"/>
          <w:bCs w:val="0"/>
          <w:color w:val="auto"/>
          <w:kern w:val="2"/>
          <w:sz w:val="21"/>
          <w:szCs w:val="21"/>
          <w:highlight w:val="none"/>
          <w:u w:val="single"/>
        </w:rPr>
        <w:t xml:space="preserve"> </w:t>
      </w:r>
      <w:r>
        <w:rPr>
          <w:rFonts w:hint="eastAsia" w:ascii="仿宋" w:hAnsi="仿宋" w:eastAsia="仿宋" w:cs="仿宋"/>
          <w:b w:val="0"/>
          <w:bCs w:val="0"/>
          <w:color w:val="auto"/>
          <w:kern w:val="2"/>
          <w:sz w:val="21"/>
          <w:szCs w:val="21"/>
          <w:highlight w:val="none"/>
          <w:u w:val="single"/>
          <w:lang w:val="en-US" w:eastAsia="zh-CN"/>
        </w:rPr>
        <w:t xml:space="preserve">                        </w:t>
      </w:r>
      <w:r>
        <w:rPr>
          <w:rFonts w:hint="eastAsia" w:ascii="仿宋" w:hAnsi="仿宋" w:eastAsia="仿宋" w:cs="仿宋"/>
          <w:b w:val="0"/>
          <w:bCs w:val="0"/>
          <w:color w:val="auto"/>
          <w:kern w:val="2"/>
          <w:sz w:val="21"/>
          <w:szCs w:val="21"/>
          <w:highlight w:val="none"/>
        </w:rPr>
        <w:t>（工程名称）在合理使用期限内正常使用，合同双方当事人根据《中华人民共和国建筑法》、《建设工程质量管理条例》和《房屋建筑工程质量保修办法》等规定，经协商一致，订立本质量保修书。</w:t>
      </w:r>
    </w:p>
    <w:p>
      <w:pPr>
        <w:shd w:val="clear" w:color="000000" w:fill="auto"/>
        <w:adjustRightInd w:val="0"/>
        <w:snapToGrid w:val="0"/>
        <w:spacing w:line="400" w:lineRule="exact"/>
        <w:ind w:firstLine="420" w:firstLineChars="200"/>
        <w:rPr>
          <w:rFonts w:ascii="仿宋" w:hAnsi="仿宋" w:eastAsia="仿宋" w:cs="Times New Roman"/>
          <w:color w:val="auto"/>
          <w:highlight w:val="none"/>
        </w:rPr>
      </w:pPr>
    </w:p>
    <w:p>
      <w:pPr>
        <w:numPr>
          <w:ilvl w:val="0"/>
          <w:numId w:val="31"/>
        </w:numPr>
        <w:shd w:val="clear" w:color="000000" w:fill="auto"/>
        <w:adjustRightInd w:val="0"/>
        <w:snapToGrid w:val="0"/>
        <w:spacing w:line="400" w:lineRule="exact"/>
        <w:ind w:left="842" w:leftChars="200" w:hanging="422" w:hangingChars="200"/>
        <w:rPr>
          <w:rFonts w:ascii="仿宋" w:hAnsi="仿宋" w:eastAsia="仿宋" w:cs="Times New Roman"/>
          <w:b/>
          <w:bCs/>
          <w:color w:val="auto"/>
          <w:highlight w:val="none"/>
        </w:rPr>
      </w:pPr>
      <w:r>
        <w:rPr>
          <w:rFonts w:hint="eastAsia" w:ascii="仿宋" w:hAnsi="仿宋" w:eastAsia="仿宋" w:cs="仿宋"/>
          <w:b/>
          <w:bCs/>
          <w:color w:val="auto"/>
          <w:highlight w:val="none"/>
        </w:rPr>
        <w:t>质量保修范围</w:t>
      </w:r>
    </w:p>
    <w:p>
      <w:pPr>
        <w:shd w:val="clear" w:color="000000" w:fill="auto"/>
        <w:adjustRightInd w:val="0"/>
        <w:snapToGrid w:val="0"/>
        <w:spacing w:line="400" w:lineRule="exact"/>
        <w:rPr>
          <w:rFonts w:ascii="仿宋" w:hAnsi="仿宋" w:eastAsia="仿宋" w:cs="Times New Roman"/>
          <w:color w:val="auto"/>
          <w:highlight w:val="none"/>
        </w:rPr>
      </w:pPr>
    </w:p>
    <w:p>
      <w:pPr>
        <w:shd w:val="clear" w:color="000000" w:fill="auto"/>
        <w:adjustRightInd w:val="0"/>
        <w:snapToGrid w:val="0"/>
        <w:spacing w:line="400" w:lineRule="exact"/>
        <w:ind w:firstLine="420" w:firstLineChars="200"/>
        <w:rPr>
          <w:rFonts w:ascii="仿宋" w:hAnsi="仿宋" w:eastAsia="仿宋" w:cs="仿宋"/>
          <w:color w:val="auto"/>
          <w:highlight w:val="none"/>
        </w:rPr>
      </w:pPr>
      <w:r>
        <w:rPr>
          <w:rFonts w:hint="eastAsia" w:ascii="仿宋" w:hAnsi="仿宋" w:eastAsia="仿宋" w:cs="仿宋"/>
          <w:color w:val="auto"/>
          <w:highlight w:val="none"/>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合同双方当事人约定如下：合同中所签订的承包人所承包的全部内容。</w:t>
      </w:r>
      <w:r>
        <w:rPr>
          <w:rFonts w:ascii="仿宋" w:hAnsi="仿宋" w:eastAsia="仿宋" w:cs="仿宋"/>
          <w:color w:val="auto"/>
          <w:highlight w:val="none"/>
        </w:rPr>
        <w:t xml:space="preserve">  </w:t>
      </w:r>
    </w:p>
    <w:p>
      <w:pPr>
        <w:shd w:val="clear" w:color="000000" w:fill="auto"/>
        <w:adjustRightInd w:val="0"/>
        <w:snapToGrid w:val="0"/>
        <w:spacing w:line="400" w:lineRule="exact"/>
        <w:ind w:firstLine="420" w:firstLineChars="200"/>
        <w:rPr>
          <w:rFonts w:ascii="仿宋" w:hAnsi="仿宋" w:eastAsia="仿宋" w:cs="仿宋"/>
          <w:color w:val="auto"/>
          <w:highlight w:val="none"/>
        </w:rPr>
      </w:pPr>
      <w:r>
        <w:rPr>
          <w:rFonts w:ascii="仿宋" w:hAnsi="仿宋" w:eastAsia="仿宋" w:cs="仿宋"/>
          <w:color w:val="auto"/>
          <w:highlight w:val="none"/>
        </w:rPr>
        <w:t xml:space="preserve">                                                                                 </w:t>
      </w:r>
    </w:p>
    <w:p>
      <w:pPr>
        <w:numPr>
          <w:ilvl w:val="0"/>
          <w:numId w:val="31"/>
        </w:numPr>
        <w:shd w:val="clear" w:color="000000" w:fill="auto"/>
        <w:adjustRightInd w:val="0"/>
        <w:snapToGrid w:val="0"/>
        <w:spacing w:line="400" w:lineRule="exact"/>
        <w:ind w:left="842" w:leftChars="200" w:hanging="422" w:hangingChars="200"/>
        <w:rPr>
          <w:rFonts w:ascii="仿宋" w:hAnsi="仿宋" w:eastAsia="仿宋" w:cs="Times New Roman"/>
          <w:b/>
          <w:bCs/>
          <w:color w:val="auto"/>
          <w:highlight w:val="none"/>
        </w:rPr>
      </w:pPr>
      <w:r>
        <w:rPr>
          <w:rFonts w:hint="eastAsia" w:ascii="仿宋" w:hAnsi="仿宋" w:eastAsia="仿宋" w:cs="仿宋"/>
          <w:b/>
          <w:bCs/>
          <w:color w:val="auto"/>
          <w:highlight w:val="none"/>
        </w:rPr>
        <w:t>质量保修期</w:t>
      </w:r>
    </w:p>
    <w:p>
      <w:pPr>
        <w:shd w:val="clear" w:color="000000" w:fill="auto"/>
        <w:adjustRightInd w:val="0"/>
        <w:snapToGrid w:val="0"/>
        <w:spacing w:line="400" w:lineRule="exact"/>
        <w:ind w:firstLine="420" w:firstLineChars="200"/>
        <w:rPr>
          <w:rFonts w:ascii="仿宋" w:hAnsi="仿宋" w:eastAsia="仿宋" w:cs="Times New Roman"/>
          <w:color w:val="auto"/>
          <w:highlight w:val="none"/>
        </w:rPr>
      </w:pPr>
    </w:p>
    <w:p>
      <w:pPr>
        <w:shd w:val="clear" w:color="000000" w:fill="auto"/>
        <w:adjustRightInd w:val="0"/>
        <w:snapToGrid w:val="0"/>
        <w:spacing w:line="400" w:lineRule="exact"/>
        <w:ind w:firstLine="420" w:firstLineChars="200"/>
        <w:rPr>
          <w:rFonts w:ascii="仿宋" w:hAnsi="仿宋" w:eastAsia="仿宋" w:cs="Times New Roman"/>
          <w:color w:val="auto"/>
          <w:highlight w:val="none"/>
        </w:rPr>
      </w:pPr>
      <w:r>
        <w:rPr>
          <w:rFonts w:ascii="仿宋" w:hAnsi="仿宋" w:eastAsia="仿宋" w:cs="仿宋"/>
          <w:color w:val="auto"/>
          <w:highlight w:val="none"/>
        </w:rPr>
        <w:t xml:space="preserve">2.1 </w:t>
      </w:r>
      <w:r>
        <w:rPr>
          <w:rFonts w:hint="eastAsia" w:ascii="仿宋" w:hAnsi="仿宋" w:eastAsia="仿宋" w:cs="仿宋"/>
          <w:color w:val="auto"/>
          <w:highlight w:val="none"/>
        </w:rPr>
        <w:t>质量保修期从工程实际竣工之日算起。单项竣工验收的工程，按单项工程分别计算质量保修期。</w:t>
      </w:r>
    </w:p>
    <w:p>
      <w:pPr>
        <w:shd w:val="clear" w:color="000000" w:fill="auto"/>
        <w:adjustRightInd w:val="0"/>
        <w:snapToGrid w:val="0"/>
        <w:spacing w:line="400" w:lineRule="exact"/>
        <w:ind w:firstLine="420" w:firstLineChars="200"/>
        <w:rPr>
          <w:rFonts w:ascii="仿宋" w:hAnsi="仿宋" w:eastAsia="仿宋" w:cs="Times New Roman"/>
          <w:color w:val="auto"/>
          <w:highlight w:val="none"/>
        </w:rPr>
      </w:pPr>
      <w:r>
        <w:rPr>
          <w:rFonts w:ascii="仿宋" w:hAnsi="仿宋" w:eastAsia="仿宋" w:cs="仿宋"/>
          <w:color w:val="auto"/>
          <w:highlight w:val="none"/>
        </w:rPr>
        <w:t xml:space="preserve">2.2 </w:t>
      </w:r>
      <w:r>
        <w:rPr>
          <w:rFonts w:hint="eastAsia" w:ascii="仿宋" w:hAnsi="仿宋" w:eastAsia="仿宋" w:cs="仿宋"/>
          <w:color w:val="auto"/>
          <w:kern w:val="0"/>
          <w:highlight w:val="none"/>
          <w:lang w:val="zh-CN"/>
        </w:rPr>
        <w:t>合同工程质量保修期，合同双方当事人约定如下</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本项目保修期为二年</w:t>
      </w:r>
      <w:r>
        <w:rPr>
          <w:rFonts w:hint="eastAsia" w:ascii="仿宋" w:hAnsi="仿宋" w:eastAsia="仿宋" w:cs="仿宋"/>
          <w:color w:val="auto"/>
          <w:highlight w:val="none"/>
        </w:rPr>
        <w:t>。</w:t>
      </w:r>
    </w:p>
    <w:p>
      <w:pPr>
        <w:shd w:val="clear" w:color="000000" w:fill="auto"/>
        <w:adjustRightInd w:val="0"/>
        <w:snapToGrid w:val="0"/>
        <w:spacing w:line="400" w:lineRule="exact"/>
        <w:ind w:firstLine="420" w:firstLineChars="200"/>
        <w:rPr>
          <w:rFonts w:ascii="仿宋" w:hAnsi="仿宋" w:eastAsia="仿宋" w:cs="Times New Roman"/>
          <w:color w:val="auto"/>
          <w:highlight w:val="none"/>
        </w:rPr>
      </w:pPr>
    </w:p>
    <w:p>
      <w:pPr>
        <w:shd w:val="clear" w:color="000000" w:fill="auto"/>
        <w:adjustRightInd w:val="0"/>
        <w:snapToGrid w:val="0"/>
        <w:spacing w:line="400" w:lineRule="exact"/>
        <w:ind w:left="480"/>
        <w:rPr>
          <w:rFonts w:ascii="仿宋" w:hAnsi="仿宋" w:eastAsia="仿宋" w:cs="Times New Roman"/>
          <w:color w:val="auto"/>
          <w:highlight w:val="none"/>
        </w:rPr>
      </w:pPr>
      <w:r>
        <w:rPr>
          <w:rFonts w:ascii="仿宋" w:hAnsi="仿宋" w:eastAsia="仿宋" w:cs="仿宋"/>
          <w:color w:val="auto"/>
          <w:highlight w:val="none"/>
        </w:rPr>
        <w:t>3</w:t>
      </w:r>
      <w:r>
        <w:rPr>
          <w:rFonts w:hint="eastAsia" w:ascii="仿宋" w:hAnsi="仿宋" w:eastAsia="仿宋" w:cs="仿宋"/>
          <w:color w:val="auto"/>
          <w:highlight w:val="none"/>
        </w:rPr>
        <w:t>．</w:t>
      </w:r>
      <w:r>
        <w:rPr>
          <w:rFonts w:ascii="仿宋" w:hAnsi="仿宋" w:eastAsia="仿宋" w:cs="仿宋"/>
          <w:color w:val="auto"/>
          <w:highlight w:val="none"/>
        </w:rPr>
        <w:t xml:space="preserve"> </w:t>
      </w:r>
      <w:r>
        <w:rPr>
          <w:rFonts w:hint="eastAsia" w:ascii="仿宋" w:hAnsi="仿宋" w:eastAsia="仿宋" w:cs="仿宋"/>
          <w:b/>
          <w:bCs/>
          <w:color w:val="auto"/>
          <w:highlight w:val="none"/>
        </w:rPr>
        <w:t>质量保修责任</w:t>
      </w:r>
    </w:p>
    <w:p>
      <w:pPr>
        <w:shd w:val="clear" w:color="000000" w:fill="auto"/>
        <w:adjustRightInd w:val="0"/>
        <w:snapToGrid w:val="0"/>
        <w:spacing w:line="400" w:lineRule="exact"/>
        <w:ind w:firstLine="420" w:firstLineChars="200"/>
        <w:rPr>
          <w:rFonts w:ascii="仿宋" w:hAnsi="仿宋" w:eastAsia="仿宋" w:cs="Times New Roman"/>
          <w:color w:val="auto"/>
          <w:highlight w:val="none"/>
        </w:rPr>
      </w:pPr>
    </w:p>
    <w:p>
      <w:pPr>
        <w:shd w:val="clear" w:color="000000" w:fill="auto"/>
        <w:adjustRightInd w:val="0"/>
        <w:snapToGrid w:val="0"/>
        <w:spacing w:line="400" w:lineRule="exact"/>
        <w:ind w:firstLine="420" w:firstLineChars="200"/>
        <w:rPr>
          <w:rFonts w:ascii="仿宋" w:hAnsi="仿宋" w:eastAsia="仿宋" w:cs="Times New Roman"/>
          <w:color w:val="auto"/>
          <w:highlight w:val="none"/>
        </w:rPr>
      </w:pPr>
      <w:r>
        <w:rPr>
          <w:rFonts w:ascii="仿宋" w:hAnsi="仿宋" w:eastAsia="仿宋" w:cs="仿宋"/>
          <w:color w:val="auto"/>
          <w:highlight w:val="none"/>
        </w:rPr>
        <w:t xml:space="preserve">3.1  </w:t>
      </w:r>
      <w:r>
        <w:rPr>
          <w:rFonts w:hint="eastAsia" w:ascii="仿宋" w:hAnsi="仿宋" w:eastAsia="仿宋" w:cs="仿宋"/>
          <w:color w:val="auto"/>
          <w:kern w:val="0"/>
          <w:highlight w:val="none"/>
          <w:lang w:val="zh-CN"/>
        </w:rPr>
        <w:t>属于保修范围的项目，承包人应在接到发包人通知后的</w:t>
      </w:r>
      <w:r>
        <w:rPr>
          <w:rFonts w:ascii="仿宋" w:hAnsi="仿宋" w:eastAsia="仿宋" w:cs="仿宋"/>
          <w:color w:val="auto"/>
          <w:kern w:val="0"/>
          <w:highlight w:val="none"/>
        </w:rPr>
        <w:t xml:space="preserve"> 7 </w:t>
      </w:r>
      <w:r>
        <w:rPr>
          <w:rFonts w:hint="eastAsia" w:ascii="仿宋" w:hAnsi="仿宋" w:eastAsia="仿宋" w:cs="仿宋"/>
          <w:color w:val="auto"/>
          <w:kern w:val="0"/>
          <w:highlight w:val="none"/>
          <w:lang w:val="zh-CN"/>
        </w:rPr>
        <w:t>天内派人保修。承包人未能</w:t>
      </w:r>
      <w:r>
        <w:rPr>
          <w:rFonts w:ascii="仿宋" w:hAnsi="仿宋" w:eastAsia="仿宋" w:cs="仿宋"/>
          <w:color w:val="auto"/>
          <w:kern w:val="0"/>
          <w:highlight w:val="none"/>
        </w:rPr>
        <w:t xml:space="preserve"> </w:t>
      </w:r>
      <w:r>
        <w:rPr>
          <w:rFonts w:hint="eastAsia" w:ascii="仿宋" w:hAnsi="仿宋" w:eastAsia="仿宋" w:cs="仿宋"/>
          <w:color w:val="auto"/>
          <w:kern w:val="0"/>
          <w:highlight w:val="none"/>
          <w:lang w:val="zh-CN"/>
        </w:rPr>
        <w:t>在规定时间内派人保修的，发包人可自行或委托第三方保修</w:t>
      </w:r>
      <w:r>
        <w:rPr>
          <w:rFonts w:hint="eastAsia" w:ascii="仿宋" w:hAnsi="仿宋" w:eastAsia="仿宋" w:cs="仿宋"/>
          <w:color w:val="auto"/>
          <w:highlight w:val="none"/>
        </w:rPr>
        <w:t>。</w:t>
      </w:r>
    </w:p>
    <w:p>
      <w:pPr>
        <w:shd w:val="clear" w:color="000000" w:fill="auto"/>
        <w:adjustRightInd w:val="0"/>
        <w:snapToGrid w:val="0"/>
        <w:spacing w:line="400" w:lineRule="exact"/>
        <w:ind w:firstLine="420" w:firstLineChars="200"/>
        <w:rPr>
          <w:rFonts w:ascii="仿宋" w:hAnsi="仿宋" w:eastAsia="仿宋" w:cs="Times New Roman"/>
          <w:color w:val="auto"/>
          <w:highlight w:val="none"/>
        </w:rPr>
      </w:pPr>
      <w:r>
        <w:rPr>
          <w:rFonts w:ascii="仿宋" w:hAnsi="仿宋" w:eastAsia="仿宋" w:cs="仿宋"/>
          <w:color w:val="auto"/>
          <w:highlight w:val="none"/>
        </w:rPr>
        <w:t xml:space="preserve">3.2  </w:t>
      </w:r>
      <w:r>
        <w:rPr>
          <w:rFonts w:hint="eastAsia" w:ascii="仿宋" w:hAnsi="仿宋" w:eastAsia="仿宋" w:cs="仿宋"/>
          <w:color w:val="auto"/>
          <w:highlight w:val="none"/>
        </w:rPr>
        <w:t>发生紧急抢修事故的，承包人在接到通知后，应立即到达事故现场抢修。</w:t>
      </w:r>
    </w:p>
    <w:p>
      <w:pPr>
        <w:shd w:val="clear" w:color="000000" w:fill="auto"/>
        <w:adjustRightInd w:val="0"/>
        <w:snapToGrid w:val="0"/>
        <w:spacing w:line="400" w:lineRule="exact"/>
        <w:ind w:firstLine="420" w:firstLineChars="200"/>
        <w:rPr>
          <w:rFonts w:ascii="仿宋" w:hAnsi="仿宋" w:eastAsia="仿宋" w:cs="Times New Roman"/>
          <w:color w:val="auto"/>
          <w:highlight w:val="none"/>
        </w:rPr>
      </w:pPr>
      <w:r>
        <w:rPr>
          <w:rFonts w:ascii="仿宋" w:hAnsi="仿宋" w:eastAsia="仿宋" w:cs="仿宋"/>
          <w:color w:val="auto"/>
          <w:highlight w:val="none"/>
        </w:rPr>
        <w:t xml:space="preserve">3.3  </w:t>
      </w:r>
      <w:r>
        <w:rPr>
          <w:rFonts w:hint="eastAsia" w:ascii="仿宋" w:hAnsi="仿宋" w:eastAsia="仿宋" w:cs="仿宋"/>
          <w:color w:val="auto"/>
          <w:highlight w:val="none"/>
        </w:rPr>
        <w:t>在国家规定的工程合理使用期限内，承包人应确保地基基础工程和主体结构的质量和安全。凡出现其质量问题，应立即报告当地建设行政主管部门，经设计人提出保修方案后，承包人应立即实施保修。</w:t>
      </w:r>
    </w:p>
    <w:p>
      <w:pPr>
        <w:shd w:val="clear" w:color="000000" w:fill="auto"/>
        <w:adjustRightInd w:val="0"/>
        <w:snapToGrid w:val="0"/>
        <w:spacing w:line="400" w:lineRule="exact"/>
        <w:ind w:firstLine="420" w:firstLineChars="200"/>
        <w:rPr>
          <w:rFonts w:ascii="仿宋" w:hAnsi="仿宋" w:eastAsia="仿宋" w:cs="Times New Roman"/>
          <w:color w:val="auto"/>
          <w:highlight w:val="none"/>
        </w:rPr>
      </w:pPr>
      <w:r>
        <w:rPr>
          <w:rFonts w:ascii="仿宋" w:hAnsi="仿宋" w:eastAsia="仿宋" w:cs="仿宋"/>
          <w:color w:val="auto"/>
          <w:highlight w:val="none"/>
        </w:rPr>
        <w:t xml:space="preserve">3.4  </w:t>
      </w:r>
      <w:r>
        <w:rPr>
          <w:rFonts w:hint="eastAsia" w:ascii="仿宋" w:hAnsi="仿宋" w:eastAsia="仿宋" w:cs="仿宋"/>
          <w:color w:val="auto"/>
          <w:highlight w:val="none"/>
        </w:rPr>
        <w:t>质量保修完成后，由发包人组织验收。</w:t>
      </w:r>
    </w:p>
    <w:p>
      <w:pPr>
        <w:shd w:val="clear" w:color="000000" w:fill="auto"/>
        <w:adjustRightInd w:val="0"/>
        <w:snapToGrid w:val="0"/>
        <w:spacing w:line="400" w:lineRule="exact"/>
        <w:rPr>
          <w:rFonts w:ascii="仿宋" w:hAnsi="仿宋" w:eastAsia="仿宋" w:cs="Times New Roman"/>
          <w:color w:val="auto"/>
          <w:highlight w:val="none"/>
        </w:rPr>
      </w:pPr>
    </w:p>
    <w:p>
      <w:pPr>
        <w:shd w:val="clear" w:color="000000" w:fill="auto"/>
        <w:adjustRightInd w:val="0"/>
        <w:snapToGrid w:val="0"/>
        <w:spacing w:line="400" w:lineRule="exact"/>
        <w:ind w:left="480"/>
        <w:rPr>
          <w:rFonts w:ascii="仿宋" w:hAnsi="仿宋" w:eastAsia="仿宋" w:cs="Times New Roman"/>
          <w:color w:val="auto"/>
          <w:highlight w:val="none"/>
        </w:rPr>
      </w:pPr>
      <w:r>
        <w:rPr>
          <w:rFonts w:ascii="仿宋" w:hAnsi="仿宋" w:eastAsia="仿宋" w:cs="仿宋"/>
          <w:color w:val="auto"/>
          <w:highlight w:val="none"/>
        </w:rPr>
        <w:t>4</w:t>
      </w:r>
      <w:r>
        <w:rPr>
          <w:rFonts w:hint="eastAsia" w:ascii="仿宋" w:hAnsi="仿宋" w:eastAsia="仿宋" w:cs="仿宋"/>
          <w:color w:val="auto"/>
          <w:highlight w:val="none"/>
        </w:rPr>
        <w:t>．</w:t>
      </w:r>
      <w:r>
        <w:rPr>
          <w:rFonts w:hint="eastAsia" w:ascii="仿宋" w:hAnsi="仿宋" w:eastAsia="仿宋" w:cs="仿宋"/>
          <w:b/>
          <w:bCs/>
          <w:color w:val="auto"/>
          <w:highlight w:val="none"/>
        </w:rPr>
        <w:t>质量保修费用</w:t>
      </w:r>
    </w:p>
    <w:p>
      <w:pPr>
        <w:shd w:val="clear" w:color="000000" w:fill="auto"/>
        <w:adjustRightInd w:val="0"/>
        <w:snapToGrid w:val="0"/>
        <w:spacing w:line="400" w:lineRule="exact"/>
        <w:ind w:firstLine="420" w:firstLineChars="200"/>
        <w:rPr>
          <w:rFonts w:ascii="仿宋" w:hAnsi="仿宋" w:eastAsia="仿宋" w:cs="Times New Roman"/>
          <w:color w:val="auto"/>
          <w:highlight w:val="none"/>
        </w:rPr>
      </w:pPr>
    </w:p>
    <w:p>
      <w:pPr>
        <w:shd w:val="clear" w:color="000000" w:fill="auto"/>
        <w:adjustRightInd w:val="0"/>
        <w:snapToGrid w:val="0"/>
        <w:spacing w:line="400" w:lineRule="exact"/>
        <w:ind w:firstLine="420" w:firstLineChars="200"/>
        <w:rPr>
          <w:rFonts w:ascii="仿宋" w:hAnsi="仿宋" w:eastAsia="仿宋" w:cs="Times New Roman"/>
          <w:color w:val="auto"/>
          <w:highlight w:val="none"/>
        </w:rPr>
      </w:pPr>
      <w:r>
        <w:rPr>
          <w:rFonts w:hint="eastAsia" w:ascii="仿宋" w:hAnsi="仿宋" w:eastAsia="仿宋" w:cs="仿宋"/>
          <w:color w:val="auto"/>
          <w:kern w:val="0"/>
          <w:highlight w:val="none"/>
          <w:lang w:val="zh-CN"/>
        </w:rPr>
        <w:t>质量保修等费用，由责任方承担</w:t>
      </w:r>
      <w:r>
        <w:rPr>
          <w:rFonts w:hint="eastAsia" w:ascii="仿宋" w:hAnsi="仿宋" w:eastAsia="仿宋" w:cs="仿宋"/>
          <w:color w:val="auto"/>
          <w:highlight w:val="none"/>
        </w:rPr>
        <w:t>。</w:t>
      </w:r>
    </w:p>
    <w:p>
      <w:pPr>
        <w:shd w:val="clear" w:color="000000" w:fill="auto"/>
        <w:adjustRightInd w:val="0"/>
        <w:snapToGrid w:val="0"/>
        <w:spacing w:line="400" w:lineRule="exact"/>
        <w:ind w:firstLine="420" w:firstLineChars="200"/>
        <w:rPr>
          <w:rFonts w:ascii="仿宋" w:hAnsi="仿宋" w:eastAsia="仿宋" w:cs="Times New Roman"/>
          <w:color w:val="auto"/>
          <w:highlight w:val="none"/>
        </w:rPr>
      </w:pPr>
    </w:p>
    <w:p>
      <w:pPr>
        <w:shd w:val="clear" w:color="000000" w:fill="auto"/>
        <w:adjustRightInd w:val="0"/>
        <w:snapToGrid w:val="0"/>
        <w:spacing w:line="400" w:lineRule="exact"/>
        <w:ind w:firstLine="420" w:firstLineChars="200"/>
        <w:rPr>
          <w:rFonts w:ascii="仿宋" w:hAnsi="仿宋" w:eastAsia="仿宋" w:cs="Times New Roman"/>
          <w:color w:val="auto"/>
          <w:highlight w:val="none"/>
        </w:rPr>
      </w:pPr>
      <w:r>
        <w:rPr>
          <w:rFonts w:ascii="仿宋" w:hAnsi="仿宋" w:eastAsia="仿宋" w:cs="仿宋"/>
          <w:color w:val="auto"/>
          <w:highlight w:val="none"/>
        </w:rPr>
        <w:t>5</w:t>
      </w:r>
      <w:r>
        <w:rPr>
          <w:rFonts w:hint="eastAsia" w:ascii="仿宋" w:hAnsi="仿宋" w:eastAsia="仿宋" w:cs="仿宋"/>
          <w:color w:val="auto"/>
          <w:highlight w:val="none"/>
        </w:rPr>
        <w:t>．</w:t>
      </w:r>
      <w:r>
        <w:rPr>
          <w:rFonts w:hint="eastAsia" w:ascii="仿宋" w:hAnsi="仿宋" w:eastAsia="仿宋" w:cs="仿宋"/>
          <w:b/>
          <w:bCs/>
          <w:color w:val="auto"/>
          <w:highlight w:val="none"/>
        </w:rPr>
        <w:t>质量保证金</w:t>
      </w:r>
    </w:p>
    <w:p>
      <w:pPr>
        <w:shd w:val="clear" w:color="000000" w:fill="auto"/>
        <w:adjustRightInd w:val="0"/>
        <w:snapToGrid w:val="0"/>
        <w:spacing w:line="400" w:lineRule="exact"/>
        <w:ind w:firstLine="420" w:firstLineChars="200"/>
        <w:rPr>
          <w:rFonts w:ascii="仿宋" w:hAnsi="仿宋" w:eastAsia="仿宋" w:cs="Times New Roman"/>
          <w:color w:val="auto"/>
          <w:highlight w:val="none"/>
        </w:rPr>
      </w:pPr>
    </w:p>
    <w:p>
      <w:pPr>
        <w:shd w:val="clear" w:color="000000" w:fill="auto"/>
        <w:adjustRightInd w:val="0"/>
        <w:snapToGrid w:val="0"/>
        <w:spacing w:line="400" w:lineRule="exact"/>
        <w:ind w:firstLine="420" w:firstLineChars="200"/>
        <w:rPr>
          <w:rFonts w:ascii="仿宋" w:hAnsi="仿宋" w:eastAsia="仿宋" w:cs="Times New Roman"/>
          <w:color w:val="auto"/>
          <w:highlight w:val="none"/>
        </w:rPr>
      </w:pPr>
      <w:r>
        <w:rPr>
          <w:rFonts w:hint="eastAsia" w:ascii="仿宋" w:hAnsi="仿宋" w:eastAsia="仿宋" w:cs="仿宋"/>
          <w:color w:val="auto"/>
          <w:kern w:val="0"/>
          <w:highlight w:val="none"/>
          <w:lang w:val="zh-CN"/>
        </w:rPr>
        <w:t>质量保证金的约定、支付和使用与本合同第二部分《通用条款》第</w:t>
      </w:r>
      <w:r>
        <w:rPr>
          <w:rFonts w:ascii="仿宋" w:hAnsi="仿宋" w:eastAsia="仿宋" w:cs="仿宋"/>
          <w:color w:val="auto"/>
          <w:kern w:val="0"/>
          <w:highlight w:val="none"/>
        </w:rPr>
        <w:t xml:space="preserve"> 84 </w:t>
      </w:r>
      <w:r>
        <w:rPr>
          <w:rFonts w:hint="eastAsia" w:ascii="仿宋" w:hAnsi="仿宋" w:eastAsia="仿宋" w:cs="仿宋"/>
          <w:color w:val="auto"/>
          <w:kern w:val="0"/>
          <w:highlight w:val="none"/>
          <w:lang w:val="zh-CN"/>
        </w:rPr>
        <w:t>条赋予的规</w:t>
      </w:r>
      <w:r>
        <w:rPr>
          <w:rFonts w:hint="eastAsia" w:ascii="仿宋" w:hAnsi="仿宋" w:eastAsia="仿宋" w:cs="仿宋"/>
          <w:color w:val="auto"/>
          <w:highlight w:val="none"/>
        </w:rPr>
        <w:t>定一致。</w:t>
      </w:r>
    </w:p>
    <w:p>
      <w:pPr>
        <w:shd w:val="clear" w:color="000000" w:fill="auto"/>
        <w:adjustRightInd w:val="0"/>
        <w:snapToGrid w:val="0"/>
        <w:spacing w:line="400" w:lineRule="exact"/>
        <w:ind w:left="480"/>
        <w:rPr>
          <w:rFonts w:ascii="仿宋" w:hAnsi="仿宋" w:eastAsia="仿宋" w:cs="Times New Roman"/>
          <w:color w:val="auto"/>
          <w:highlight w:val="none"/>
        </w:rPr>
      </w:pPr>
    </w:p>
    <w:p>
      <w:pPr>
        <w:shd w:val="clear" w:color="000000" w:fill="auto"/>
        <w:adjustRightInd w:val="0"/>
        <w:snapToGrid w:val="0"/>
        <w:spacing w:line="400" w:lineRule="exact"/>
        <w:ind w:left="480"/>
        <w:rPr>
          <w:rFonts w:ascii="仿宋" w:hAnsi="仿宋" w:eastAsia="仿宋" w:cs="Times New Roman"/>
          <w:color w:val="auto"/>
          <w:highlight w:val="none"/>
        </w:rPr>
      </w:pPr>
      <w:r>
        <w:rPr>
          <w:rFonts w:ascii="仿宋" w:hAnsi="仿宋" w:eastAsia="仿宋" w:cs="仿宋"/>
          <w:color w:val="auto"/>
          <w:highlight w:val="none"/>
        </w:rPr>
        <w:t>6</w:t>
      </w:r>
      <w:r>
        <w:rPr>
          <w:rFonts w:hint="eastAsia" w:ascii="仿宋" w:hAnsi="仿宋" w:eastAsia="仿宋" w:cs="仿宋"/>
          <w:color w:val="auto"/>
          <w:highlight w:val="none"/>
        </w:rPr>
        <w:t>．</w:t>
      </w:r>
      <w:r>
        <w:rPr>
          <w:rFonts w:hint="eastAsia" w:ascii="仿宋" w:hAnsi="仿宋" w:eastAsia="仿宋" w:cs="仿宋"/>
          <w:b/>
          <w:bCs/>
          <w:color w:val="auto"/>
          <w:highlight w:val="none"/>
        </w:rPr>
        <w:t>其他</w:t>
      </w:r>
    </w:p>
    <w:p>
      <w:pPr>
        <w:shd w:val="clear" w:color="000000" w:fill="auto"/>
        <w:adjustRightInd w:val="0"/>
        <w:snapToGrid w:val="0"/>
        <w:spacing w:line="400" w:lineRule="exact"/>
        <w:ind w:firstLine="420" w:firstLineChars="200"/>
        <w:rPr>
          <w:rFonts w:ascii="仿宋" w:hAnsi="仿宋" w:eastAsia="仿宋" w:cs="Times New Roman"/>
          <w:color w:val="auto"/>
          <w:highlight w:val="none"/>
        </w:rPr>
      </w:pPr>
    </w:p>
    <w:p>
      <w:pPr>
        <w:shd w:val="clear" w:color="000000" w:fill="auto"/>
        <w:adjustRightInd w:val="0"/>
        <w:snapToGrid w:val="0"/>
        <w:spacing w:line="400" w:lineRule="exact"/>
        <w:ind w:firstLine="420" w:firstLineChars="200"/>
        <w:rPr>
          <w:rFonts w:ascii="仿宋" w:hAnsi="仿宋" w:eastAsia="仿宋" w:cs="Times New Roman"/>
          <w:color w:val="auto"/>
          <w:highlight w:val="none"/>
        </w:rPr>
      </w:pPr>
      <w:r>
        <w:rPr>
          <w:rFonts w:ascii="仿宋" w:hAnsi="仿宋" w:eastAsia="仿宋" w:cs="仿宋"/>
          <w:color w:val="auto"/>
          <w:highlight w:val="none"/>
        </w:rPr>
        <w:t xml:space="preserve">6.1  </w:t>
      </w:r>
      <w:r>
        <w:rPr>
          <w:rFonts w:hint="eastAsia" w:ascii="仿宋" w:hAnsi="仿宋" w:eastAsia="仿宋" w:cs="仿宋"/>
          <w:color w:val="auto"/>
          <w:kern w:val="0"/>
          <w:highlight w:val="none"/>
          <w:lang w:val="zh-CN"/>
        </w:rPr>
        <w:t>合同双方当事人约定的其他质量保修事</w:t>
      </w:r>
      <w:r>
        <w:rPr>
          <w:rFonts w:hint="eastAsia" w:ascii="仿宋" w:hAnsi="仿宋" w:eastAsia="仿宋" w:cs="仿宋"/>
          <w:color w:val="auto"/>
          <w:highlight w:val="none"/>
        </w:rPr>
        <w:t>项：</w:t>
      </w:r>
    </w:p>
    <w:p>
      <w:pPr>
        <w:shd w:val="clear" w:color="000000" w:fill="auto"/>
        <w:adjustRightInd w:val="0"/>
        <w:snapToGrid w:val="0"/>
        <w:spacing w:line="400" w:lineRule="exact"/>
        <w:ind w:firstLine="420" w:firstLineChars="200"/>
        <w:rPr>
          <w:rFonts w:ascii="仿宋" w:hAnsi="仿宋" w:eastAsia="仿宋" w:cs="Times New Roman"/>
          <w:color w:val="auto"/>
          <w:highlight w:val="none"/>
        </w:rPr>
      </w:pPr>
    </w:p>
    <w:p>
      <w:pPr>
        <w:shd w:val="clear" w:color="000000" w:fill="auto"/>
        <w:adjustRightInd w:val="0"/>
        <w:snapToGrid w:val="0"/>
        <w:spacing w:line="400" w:lineRule="exact"/>
        <w:ind w:firstLine="420" w:firstLineChars="200"/>
        <w:rPr>
          <w:rFonts w:ascii="仿宋" w:hAnsi="仿宋" w:eastAsia="仿宋" w:cs="Times New Roman"/>
          <w:color w:val="auto"/>
          <w:highlight w:val="none"/>
        </w:rPr>
      </w:pPr>
      <w:r>
        <w:rPr>
          <w:rFonts w:ascii="仿宋" w:hAnsi="仿宋" w:eastAsia="仿宋" w:cs="仿宋"/>
          <w:color w:val="auto"/>
          <w:highlight w:val="none"/>
        </w:rPr>
        <w:t xml:space="preserve">6.2  </w:t>
      </w:r>
      <w:r>
        <w:rPr>
          <w:rFonts w:hint="eastAsia" w:ascii="仿宋" w:hAnsi="仿宋" w:eastAsia="仿宋" w:cs="仿宋"/>
          <w:color w:val="auto"/>
          <w:kern w:val="0"/>
          <w:highlight w:val="none"/>
          <w:lang w:val="zh-CN"/>
        </w:rPr>
        <w:t>本质量保修书，由合同双方当事人在承包人向发包人提交竣工验收申请报告时签署，</w:t>
      </w:r>
      <w:r>
        <w:rPr>
          <w:rFonts w:ascii="仿宋" w:hAnsi="仿宋" w:eastAsia="仿宋" w:cs="仿宋"/>
          <w:color w:val="auto"/>
          <w:kern w:val="0"/>
          <w:highlight w:val="none"/>
        </w:rPr>
        <w:t xml:space="preserve"> </w:t>
      </w:r>
      <w:r>
        <w:rPr>
          <w:rFonts w:hint="eastAsia" w:ascii="仿宋" w:hAnsi="仿宋" w:eastAsia="仿宋" w:cs="仿宋"/>
          <w:color w:val="auto"/>
          <w:kern w:val="0"/>
          <w:highlight w:val="none"/>
          <w:lang w:val="zh-CN"/>
        </w:rPr>
        <w:t>作为本合同的附件</w:t>
      </w:r>
      <w:r>
        <w:rPr>
          <w:rFonts w:hint="eastAsia" w:ascii="仿宋" w:hAnsi="仿宋" w:eastAsia="仿宋" w:cs="仿宋"/>
          <w:color w:val="auto"/>
          <w:highlight w:val="none"/>
        </w:rPr>
        <w:t>。</w:t>
      </w:r>
    </w:p>
    <w:p>
      <w:pPr>
        <w:shd w:val="clear" w:color="000000" w:fill="auto"/>
        <w:adjustRightInd w:val="0"/>
        <w:snapToGrid w:val="0"/>
        <w:spacing w:line="400" w:lineRule="exact"/>
        <w:ind w:firstLine="420" w:firstLineChars="200"/>
        <w:rPr>
          <w:rFonts w:ascii="仿宋" w:hAnsi="仿宋" w:eastAsia="仿宋" w:cs="Times New Roman"/>
          <w:color w:val="auto"/>
          <w:highlight w:val="none"/>
        </w:rPr>
      </w:pPr>
      <w:r>
        <w:rPr>
          <w:rFonts w:ascii="仿宋" w:hAnsi="仿宋" w:eastAsia="仿宋" w:cs="仿宋"/>
          <w:color w:val="auto"/>
          <w:highlight w:val="none"/>
        </w:rPr>
        <w:t xml:space="preserve">6.3  </w:t>
      </w:r>
      <w:r>
        <w:rPr>
          <w:rFonts w:hint="eastAsia" w:ascii="仿宋" w:hAnsi="仿宋" w:eastAsia="仿宋" w:cs="仿宋"/>
          <w:color w:val="auto"/>
          <w:kern w:val="0"/>
          <w:highlight w:val="none"/>
          <w:lang w:val="zh-CN"/>
        </w:rPr>
        <w:t>本质量保修书，自合同双方当事人签署之日起生效，至质量保修期满后失效。</w:t>
      </w:r>
    </w:p>
    <w:p>
      <w:pPr>
        <w:shd w:val="clear" w:color="000000" w:fill="auto"/>
        <w:adjustRightInd w:val="0"/>
        <w:snapToGrid w:val="0"/>
        <w:spacing w:line="400" w:lineRule="exact"/>
        <w:ind w:firstLine="420" w:firstLineChars="200"/>
        <w:rPr>
          <w:rFonts w:ascii="仿宋" w:hAnsi="仿宋" w:eastAsia="仿宋" w:cs="Times New Roman"/>
          <w:color w:val="auto"/>
          <w:highlight w:val="none"/>
        </w:rPr>
      </w:pPr>
    </w:p>
    <w:p>
      <w:pPr>
        <w:shd w:val="clear" w:color="000000" w:fill="auto"/>
        <w:adjustRightInd w:val="0"/>
        <w:snapToGrid w:val="0"/>
        <w:spacing w:line="400" w:lineRule="exact"/>
        <w:ind w:firstLine="210" w:firstLineChars="100"/>
        <w:rPr>
          <w:rFonts w:ascii="仿宋" w:hAnsi="仿宋" w:eastAsia="仿宋" w:cs="Times New Roman"/>
          <w:color w:val="auto"/>
          <w:highlight w:val="none"/>
        </w:rPr>
      </w:pPr>
      <w:r>
        <w:rPr>
          <w:rFonts w:hint="eastAsia" w:ascii="仿宋" w:hAnsi="仿宋" w:eastAsia="仿宋" w:cs="仿宋"/>
          <w:color w:val="auto"/>
          <w:highlight w:val="none"/>
        </w:rPr>
        <w:t>发包人：</w:t>
      </w:r>
      <w:r>
        <w:rPr>
          <w:rFonts w:hint="eastAsia" w:ascii="仿宋" w:hAnsi="仿宋" w:eastAsia="仿宋" w:cs="仿宋"/>
          <w:color w:val="auto"/>
          <w:highlight w:val="none"/>
          <w:lang w:eastAsia="zh-CN"/>
        </w:rPr>
        <w:t>广州番禺职业技术学院</w:t>
      </w:r>
      <w:r>
        <w:rPr>
          <w:rFonts w:hint="eastAsia" w:ascii="仿宋" w:hAnsi="仿宋" w:eastAsia="仿宋" w:cs="仿宋"/>
          <w:color w:val="auto"/>
          <w:highlight w:val="none"/>
        </w:rPr>
        <w:t xml:space="preserve">   </w:t>
      </w:r>
      <w:r>
        <w:rPr>
          <w:rFonts w:ascii="仿宋" w:hAnsi="仿宋" w:eastAsia="仿宋" w:cs="仿宋"/>
          <w:color w:val="auto"/>
          <w:highlight w:val="none"/>
        </w:rPr>
        <w:t xml:space="preserve">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 xml:space="preserve"> 承包人：</w:t>
      </w:r>
    </w:p>
    <w:p>
      <w:pPr>
        <w:shd w:val="clear" w:color="000000" w:fill="auto"/>
        <w:adjustRightInd w:val="0"/>
        <w:snapToGrid w:val="0"/>
        <w:spacing w:line="400" w:lineRule="exact"/>
        <w:ind w:firstLine="420" w:firstLineChars="200"/>
        <w:rPr>
          <w:rFonts w:ascii="仿宋" w:hAnsi="仿宋" w:eastAsia="仿宋" w:cs="Times New Roman"/>
          <w:color w:val="auto"/>
          <w:highlight w:val="none"/>
        </w:rPr>
      </w:pPr>
      <w:r>
        <w:rPr>
          <w:rFonts w:hint="eastAsia" w:ascii="仿宋" w:hAnsi="仿宋" w:eastAsia="仿宋" w:cs="仿宋"/>
          <w:color w:val="auto"/>
          <w:highlight w:val="none"/>
        </w:rPr>
        <w:t>法定代表人：（签章）</w:t>
      </w:r>
      <w:r>
        <w:rPr>
          <w:rFonts w:ascii="仿宋" w:hAnsi="仿宋" w:eastAsia="仿宋" w:cs="仿宋"/>
          <w:color w:val="auto"/>
          <w:highlight w:val="none"/>
        </w:rPr>
        <w:t xml:space="preserve">                     </w:t>
      </w:r>
      <w:r>
        <w:rPr>
          <w:rFonts w:hint="eastAsia" w:ascii="仿宋" w:hAnsi="仿宋" w:eastAsia="仿宋" w:cs="仿宋"/>
          <w:color w:val="auto"/>
          <w:highlight w:val="none"/>
        </w:rPr>
        <w:t>法定代表人：（签章）</w:t>
      </w:r>
    </w:p>
    <w:p>
      <w:pPr>
        <w:shd w:val="clear" w:color="000000" w:fill="auto"/>
        <w:spacing w:line="400" w:lineRule="exact"/>
        <w:ind w:firstLine="420" w:firstLineChars="200"/>
        <w:jc w:val="left"/>
        <w:rPr>
          <w:rFonts w:ascii="仿宋" w:hAnsi="仿宋" w:eastAsia="仿宋" w:cs="仿宋"/>
          <w:color w:val="auto"/>
          <w:highlight w:val="none"/>
          <w:u w:val="single"/>
        </w:rPr>
      </w:pPr>
      <w:r>
        <w:rPr>
          <w:rFonts w:hint="eastAsia" w:ascii="仿宋" w:hAnsi="仿宋" w:eastAsia="仿宋" w:cs="仿宋"/>
          <w:color w:val="auto"/>
          <w:highlight w:val="none"/>
        </w:rPr>
        <w:t>联系电话：</w:t>
      </w:r>
      <w:r>
        <w:rPr>
          <w:rFonts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ascii="仿宋" w:hAnsi="仿宋" w:eastAsia="仿宋" w:cs="仿宋"/>
          <w:color w:val="auto"/>
          <w:highlight w:val="none"/>
          <w:u w:val="single"/>
        </w:rPr>
        <w:t xml:space="preserve">   </w:t>
      </w:r>
      <w:r>
        <w:rPr>
          <w:rFonts w:ascii="仿宋" w:hAnsi="仿宋" w:eastAsia="仿宋" w:cs="仿宋"/>
          <w:color w:val="auto"/>
          <w:highlight w:val="none"/>
        </w:rPr>
        <w:t xml:space="preserve">             </w:t>
      </w:r>
      <w:r>
        <w:rPr>
          <w:rFonts w:hint="eastAsia" w:ascii="仿宋" w:hAnsi="仿宋" w:eastAsia="仿宋" w:cs="仿宋"/>
          <w:color w:val="auto"/>
          <w:highlight w:val="none"/>
        </w:rPr>
        <w:t>联系电话：</w:t>
      </w:r>
      <w:r>
        <w:rPr>
          <w:rFonts w:ascii="仿宋" w:hAnsi="仿宋" w:eastAsia="仿宋" w:cs="仿宋"/>
          <w:color w:val="auto"/>
          <w:highlight w:val="none"/>
          <w:u w:val="single"/>
        </w:rPr>
        <w:t xml:space="preserve">  </w:t>
      </w:r>
    </w:p>
    <w:p>
      <w:pPr>
        <w:shd w:val="clear" w:color="000000" w:fill="auto"/>
        <w:spacing w:line="400" w:lineRule="exact"/>
        <w:ind w:firstLine="420" w:firstLineChars="200"/>
        <w:rPr>
          <w:rFonts w:ascii="仿宋" w:hAnsi="仿宋" w:eastAsia="仿宋" w:cs="Times New Roman"/>
          <w:color w:val="auto"/>
          <w:highlight w:val="none"/>
        </w:rPr>
      </w:pPr>
      <w:r>
        <w:rPr>
          <w:rFonts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ascii="仿宋" w:hAnsi="仿宋" w:eastAsia="仿宋" w:cs="仿宋"/>
          <w:color w:val="auto"/>
          <w:highlight w:val="none"/>
          <w:u w:val="single"/>
        </w:rPr>
        <w:t xml:space="preserve"> </w:t>
      </w:r>
      <w:r>
        <w:rPr>
          <w:rFonts w:hint="eastAsia" w:ascii="仿宋" w:hAnsi="仿宋" w:eastAsia="仿宋" w:cs="仿宋"/>
          <w:color w:val="auto"/>
          <w:highlight w:val="none"/>
          <w:u w:val="single"/>
        </w:rPr>
        <w:t xml:space="preserve">  </w:t>
      </w:r>
      <w:r>
        <w:rPr>
          <w:rFonts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ascii="仿宋" w:hAnsi="仿宋" w:eastAsia="仿宋" w:cs="仿宋"/>
          <w:color w:val="auto"/>
          <w:highlight w:val="none"/>
          <w:u w:val="single"/>
        </w:rPr>
        <w:t xml:space="preserve">  </w:t>
      </w:r>
      <w:r>
        <w:rPr>
          <w:rFonts w:hint="eastAsia" w:ascii="仿宋" w:hAnsi="仿宋" w:eastAsia="仿宋" w:cs="仿宋"/>
          <w:color w:val="auto"/>
          <w:highlight w:val="none"/>
          <w:u w:val="single"/>
        </w:rPr>
        <w:t xml:space="preserve">  </w:t>
      </w:r>
      <w:r>
        <w:rPr>
          <w:rFonts w:ascii="仿宋" w:hAnsi="仿宋" w:eastAsia="仿宋" w:cs="仿宋"/>
          <w:color w:val="auto"/>
          <w:highlight w:val="none"/>
          <w:u w:val="single"/>
        </w:rPr>
        <w:t xml:space="preserve"> </w:t>
      </w:r>
      <w:r>
        <w:rPr>
          <w:rFonts w:hint="eastAsia" w:ascii="仿宋" w:hAnsi="仿宋" w:eastAsia="仿宋" w:cs="仿宋"/>
          <w:color w:val="auto"/>
          <w:highlight w:val="none"/>
        </w:rPr>
        <w:t>日</w:t>
      </w:r>
      <w:r>
        <w:rPr>
          <w:rFonts w:ascii="仿宋" w:hAnsi="仿宋" w:eastAsia="仿宋" w:cs="仿宋"/>
          <w:color w:val="auto"/>
          <w:highlight w:val="none"/>
        </w:rPr>
        <w:t xml:space="preserve">               </w:t>
      </w:r>
      <w:r>
        <w:rPr>
          <w:rFonts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ascii="仿宋" w:hAnsi="仿宋" w:eastAsia="仿宋" w:cs="仿宋"/>
          <w:color w:val="auto"/>
          <w:highlight w:val="none"/>
          <w:u w:val="single"/>
        </w:rPr>
        <w:t xml:space="preserve">    </w:t>
      </w:r>
    </w:p>
    <w:p>
      <w:pPr>
        <w:shd w:val="clear" w:color="000000" w:fill="auto"/>
        <w:spacing w:line="400" w:lineRule="exact"/>
        <w:outlineLvl w:val="0"/>
        <w:rPr>
          <w:rFonts w:ascii="仿宋" w:hAnsi="仿宋" w:eastAsia="仿宋" w:cs="Times New Roman"/>
          <w:color w:val="auto"/>
          <w:kern w:val="0"/>
          <w:highlight w:val="none"/>
        </w:rPr>
      </w:pPr>
      <w:r>
        <w:rPr>
          <w:rFonts w:ascii="仿宋" w:hAnsi="仿宋" w:eastAsia="仿宋" w:cs="Times New Roman"/>
          <w:color w:val="auto"/>
          <w:kern w:val="0"/>
          <w:highlight w:val="none"/>
        </w:rPr>
        <w:br w:type="page"/>
      </w:r>
      <w:bookmarkStart w:id="732" w:name="_Toc10624986"/>
      <w:bookmarkStart w:id="733" w:name="_Toc2921"/>
      <w:bookmarkStart w:id="734" w:name="_Toc469384142"/>
      <w:bookmarkStart w:id="735" w:name="_Toc266892926"/>
    </w:p>
    <w:bookmarkEnd w:id="732"/>
    <w:bookmarkEnd w:id="733"/>
    <w:bookmarkEnd w:id="734"/>
    <w:bookmarkEnd w:id="735"/>
    <w:p>
      <w:pPr>
        <w:spacing w:line="360" w:lineRule="auto"/>
        <w:outlineLvl w:val="1"/>
        <w:rPr>
          <w:rFonts w:hint="eastAsia" w:ascii="仿宋" w:hAnsi="仿宋" w:eastAsia="仿宋" w:cs="Times New Roman"/>
          <w:b/>
          <w:bCs/>
          <w:sz w:val="24"/>
          <w:szCs w:val="24"/>
          <w:lang w:val="en-US" w:eastAsia="zh-CN"/>
        </w:rPr>
      </w:pPr>
      <w:r>
        <w:rPr>
          <w:rFonts w:hint="eastAsia" w:ascii="仿宋" w:hAnsi="仿宋" w:eastAsia="仿宋" w:cs="仿宋"/>
          <w:b/>
          <w:bCs/>
          <w:sz w:val="24"/>
          <w:szCs w:val="24"/>
        </w:rPr>
        <w:t>附件</w:t>
      </w:r>
      <w:r>
        <w:rPr>
          <w:rFonts w:hint="eastAsia" w:ascii="仿宋" w:hAnsi="仿宋" w:eastAsia="仿宋" w:cs="仿宋"/>
          <w:b/>
          <w:bCs/>
          <w:sz w:val="24"/>
          <w:szCs w:val="24"/>
          <w:lang w:val="en-US" w:eastAsia="zh-CN"/>
        </w:rPr>
        <w:t>三</w:t>
      </w:r>
    </w:p>
    <w:p>
      <w:pPr>
        <w:spacing w:line="360" w:lineRule="auto"/>
        <w:jc w:val="center"/>
        <w:rPr>
          <w:rFonts w:ascii="仿宋" w:hAnsi="仿宋" w:eastAsia="仿宋" w:cs="Times New Roman"/>
          <w:b/>
          <w:bCs/>
          <w:sz w:val="36"/>
          <w:szCs w:val="36"/>
        </w:rPr>
      </w:pPr>
      <w:r>
        <w:rPr>
          <w:rFonts w:hint="eastAsia" w:ascii="仿宋" w:hAnsi="仿宋" w:eastAsia="仿宋" w:cs="仿宋"/>
          <w:b/>
          <w:bCs/>
          <w:sz w:val="36"/>
          <w:szCs w:val="36"/>
        </w:rPr>
        <w:t>廉</w:t>
      </w:r>
      <w:r>
        <w:rPr>
          <w:rFonts w:ascii="仿宋" w:hAnsi="仿宋" w:eastAsia="仿宋" w:cs="仿宋"/>
          <w:b/>
          <w:bCs/>
          <w:sz w:val="36"/>
          <w:szCs w:val="36"/>
        </w:rPr>
        <w:t xml:space="preserve"> </w:t>
      </w:r>
      <w:r>
        <w:rPr>
          <w:rFonts w:hint="eastAsia" w:ascii="仿宋" w:hAnsi="仿宋" w:eastAsia="仿宋" w:cs="仿宋"/>
          <w:b/>
          <w:bCs/>
          <w:sz w:val="36"/>
          <w:szCs w:val="36"/>
        </w:rPr>
        <w:t>政</w:t>
      </w:r>
      <w:r>
        <w:rPr>
          <w:rFonts w:ascii="仿宋" w:hAnsi="仿宋" w:eastAsia="仿宋" w:cs="仿宋"/>
          <w:b/>
          <w:bCs/>
          <w:sz w:val="36"/>
          <w:szCs w:val="36"/>
        </w:rPr>
        <w:t xml:space="preserve"> </w:t>
      </w:r>
      <w:r>
        <w:rPr>
          <w:rFonts w:hint="eastAsia" w:ascii="仿宋" w:hAnsi="仿宋" w:eastAsia="仿宋" w:cs="仿宋"/>
          <w:b/>
          <w:bCs/>
          <w:sz w:val="36"/>
          <w:szCs w:val="36"/>
        </w:rPr>
        <w:t>合</w:t>
      </w:r>
      <w:r>
        <w:rPr>
          <w:rFonts w:ascii="仿宋" w:hAnsi="仿宋" w:eastAsia="仿宋" w:cs="仿宋"/>
          <w:b/>
          <w:bCs/>
          <w:sz w:val="36"/>
          <w:szCs w:val="36"/>
        </w:rPr>
        <w:t xml:space="preserve"> </w:t>
      </w:r>
      <w:r>
        <w:rPr>
          <w:rFonts w:hint="eastAsia" w:ascii="仿宋" w:hAnsi="仿宋" w:eastAsia="仿宋" w:cs="仿宋"/>
          <w:b/>
          <w:bCs/>
          <w:sz w:val="36"/>
          <w:szCs w:val="36"/>
        </w:rPr>
        <w:t>同</w:t>
      </w:r>
    </w:p>
    <w:p>
      <w:pPr>
        <w:spacing w:line="360" w:lineRule="auto"/>
        <w:rPr>
          <w:rFonts w:ascii="仿宋" w:hAnsi="仿宋" w:eastAsia="仿宋" w:cs="Times New Roman"/>
          <w:sz w:val="24"/>
          <w:szCs w:val="24"/>
        </w:rPr>
      </w:pPr>
    </w:p>
    <w:p>
      <w:pPr>
        <w:spacing w:line="360" w:lineRule="auto"/>
        <w:rPr>
          <w:rFonts w:ascii="仿宋" w:hAnsi="仿宋" w:eastAsia="仿宋" w:cs="仿宋"/>
          <w:sz w:val="24"/>
          <w:szCs w:val="24"/>
          <w:u w:val="single"/>
        </w:rPr>
      </w:pPr>
      <w:r>
        <w:rPr>
          <w:rFonts w:hint="eastAsia" w:ascii="仿宋" w:hAnsi="仿宋" w:eastAsia="仿宋" w:cs="仿宋"/>
          <w:sz w:val="24"/>
          <w:szCs w:val="24"/>
        </w:rPr>
        <w:t>发包人：（全称）</w:t>
      </w:r>
      <w:r>
        <w:rPr>
          <w:rFonts w:ascii="仿宋" w:hAnsi="仿宋" w:eastAsia="仿宋" w:cs="仿宋"/>
          <w:sz w:val="24"/>
          <w:szCs w:val="24"/>
          <w:u w:val="single"/>
        </w:rPr>
        <w:t xml:space="preserve">                                    </w:t>
      </w:r>
    </w:p>
    <w:p>
      <w:pPr>
        <w:spacing w:line="360" w:lineRule="auto"/>
        <w:rPr>
          <w:rFonts w:ascii="仿宋" w:hAnsi="仿宋" w:eastAsia="仿宋" w:cs="仿宋"/>
          <w:sz w:val="24"/>
          <w:szCs w:val="24"/>
          <w:u w:val="single"/>
        </w:rPr>
      </w:pPr>
      <w:r>
        <w:rPr>
          <w:rFonts w:hint="eastAsia" w:ascii="仿宋" w:hAnsi="仿宋" w:eastAsia="仿宋" w:cs="仿宋"/>
          <w:sz w:val="24"/>
          <w:szCs w:val="24"/>
        </w:rPr>
        <w:t>承包人：（全称）</w:t>
      </w:r>
      <w:r>
        <w:rPr>
          <w:rFonts w:ascii="仿宋" w:hAnsi="仿宋" w:eastAsia="仿宋" w:cs="仿宋"/>
          <w:sz w:val="24"/>
          <w:szCs w:val="24"/>
          <w:u w:val="single"/>
        </w:rPr>
        <w:t xml:space="preserve">                                    </w:t>
      </w:r>
    </w:p>
    <w:p>
      <w:pPr>
        <w:spacing w:line="360" w:lineRule="auto"/>
        <w:rPr>
          <w:rFonts w:ascii="仿宋" w:hAnsi="仿宋" w:eastAsia="仿宋" w:cs="仿宋"/>
          <w:sz w:val="24"/>
          <w:szCs w:val="24"/>
        </w:rPr>
      </w:pPr>
      <w:r>
        <w:rPr>
          <w:rFonts w:ascii="仿宋" w:hAnsi="仿宋" w:eastAsia="仿宋" w:cs="仿宋"/>
          <w:sz w:val="24"/>
          <w:szCs w:val="24"/>
        </w:rPr>
        <w:t xml:space="preserve">    </w:t>
      </w:r>
    </w:p>
    <w:p>
      <w:pPr>
        <w:spacing w:line="360" w:lineRule="auto"/>
        <w:ind w:firstLine="480" w:firstLineChars="200"/>
        <w:jc w:val="left"/>
        <w:rPr>
          <w:rFonts w:ascii="仿宋" w:hAnsi="仿宋" w:eastAsia="仿宋" w:cs="Times New Roman"/>
          <w:sz w:val="24"/>
          <w:szCs w:val="24"/>
        </w:rPr>
      </w:pPr>
      <w:r>
        <w:rPr>
          <w:rFonts w:hint="eastAsia" w:ascii="仿宋" w:hAnsi="仿宋" w:eastAsia="仿宋" w:cs="仿宋"/>
          <w:kern w:val="0"/>
          <w:sz w:val="24"/>
          <w:szCs w:val="24"/>
          <w:lang w:val="zh-CN"/>
        </w:rPr>
        <w:t>根据国家、省有关廉政建设的规定，为做好合同工程的廉政建设，保证工程质量与施工安</w:t>
      </w:r>
      <w:r>
        <w:rPr>
          <w:rFonts w:ascii="仿宋" w:hAnsi="仿宋" w:eastAsia="仿宋" w:cs="仿宋"/>
          <w:kern w:val="0"/>
          <w:sz w:val="24"/>
          <w:szCs w:val="24"/>
        </w:rPr>
        <w:t xml:space="preserve"> </w:t>
      </w:r>
      <w:r>
        <w:rPr>
          <w:rFonts w:hint="eastAsia" w:ascii="仿宋" w:hAnsi="仿宋" w:eastAsia="仿宋" w:cs="仿宋"/>
          <w:kern w:val="0"/>
          <w:sz w:val="24"/>
          <w:szCs w:val="24"/>
          <w:lang w:val="zh-CN"/>
        </w:rPr>
        <w:t>全，提高建设资金的有效使用和投资效益，合同双方当事人就加强合同工程的廉政建设，订立</w:t>
      </w:r>
      <w:r>
        <w:rPr>
          <w:rFonts w:ascii="仿宋" w:hAnsi="仿宋" w:eastAsia="仿宋" w:cs="仿宋"/>
          <w:kern w:val="0"/>
          <w:sz w:val="24"/>
          <w:szCs w:val="24"/>
        </w:rPr>
        <w:t xml:space="preserve"> </w:t>
      </w:r>
      <w:r>
        <w:rPr>
          <w:rFonts w:hint="eastAsia" w:ascii="仿宋" w:hAnsi="仿宋" w:eastAsia="仿宋" w:cs="仿宋"/>
          <w:kern w:val="0"/>
          <w:sz w:val="24"/>
          <w:szCs w:val="24"/>
          <w:lang w:val="zh-CN"/>
        </w:rPr>
        <w:t>本合同</w:t>
      </w:r>
      <w:r>
        <w:rPr>
          <w:rFonts w:hint="eastAsia" w:ascii="仿宋" w:hAnsi="仿宋" w:eastAsia="仿宋" w:cs="仿宋"/>
          <w:sz w:val="24"/>
          <w:szCs w:val="24"/>
        </w:rPr>
        <w:t>。</w:t>
      </w:r>
    </w:p>
    <w:p>
      <w:pPr>
        <w:spacing w:line="360" w:lineRule="auto"/>
        <w:ind w:firstLine="562" w:firstLineChars="200"/>
        <w:jc w:val="left"/>
        <w:rPr>
          <w:rFonts w:ascii="仿宋" w:hAnsi="仿宋" w:eastAsia="仿宋" w:cs="Times New Roman"/>
          <w:b/>
          <w:bCs/>
          <w:sz w:val="28"/>
          <w:szCs w:val="28"/>
        </w:rPr>
      </w:pPr>
      <w:r>
        <w:rPr>
          <w:rFonts w:ascii="仿宋" w:hAnsi="仿宋" w:eastAsia="仿宋" w:cs="仿宋"/>
          <w:b/>
          <w:bCs/>
          <w:sz w:val="28"/>
          <w:szCs w:val="28"/>
        </w:rPr>
        <w:t xml:space="preserve">1  </w:t>
      </w:r>
      <w:r>
        <w:rPr>
          <w:rFonts w:hint="eastAsia" w:ascii="仿宋" w:hAnsi="仿宋" w:eastAsia="仿宋" w:cs="仿宋"/>
          <w:b/>
          <w:bCs/>
          <w:sz w:val="28"/>
          <w:szCs w:val="28"/>
        </w:rPr>
        <w:t>双方权利和义务</w:t>
      </w:r>
    </w:p>
    <w:p>
      <w:pPr>
        <w:spacing w:line="360" w:lineRule="auto"/>
        <w:ind w:firstLine="480" w:firstLineChars="200"/>
        <w:jc w:val="left"/>
        <w:rPr>
          <w:rFonts w:ascii="仿宋" w:hAnsi="仿宋" w:eastAsia="仿宋" w:cs="Times New Roman"/>
          <w:sz w:val="24"/>
          <w:szCs w:val="24"/>
        </w:rPr>
      </w:pPr>
      <w:r>
        <w:rPr>
          <w:rFonts w:ascii="仿宋" w:hAnsi="仿宋" w:eastAsia="仿宋" w:cs="仿宋"/>
          <w:sz w:val="24"/>
          <w:szCs w:val="24"/>
        </w:rPr>
        <w:t xml:space="preserve">1.1  </w:t>
      </w:r>
      <w:r>
        <w:rPr>
          <w:rFonts w:hint="eastAsia" w:ascii="仿宋" w:hAnsi="仿宋" w:eastAsia="仿宋" w:cs="仿宋"/>
          <w:sz w:val="24"/>
          <w:szCs w:val="24"/>
        </w:rPr>
        <w:t>严格遵守国家、省有关法律法规的规定。</w:t>
      </w:r>
    </w:p>
    <w:p>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1.2  </w:t>
      </w:r>
      <w:r>
        <w:rPr>
          <w:rFonts w:hint="eastAsia" w:ascii="仿宋" w:hAnsi="仿宋" w:eastAsia="仿宋" w:cs="仿宋"/>
          <w:sz w:val="24"/>
          <w:szCs w:val="24"/>
        </w:rPr>
        <w:t>严格执行合同工程一切合同文件，自觉按合同办事。</w:t>
      </w:r>
    </w:p>
    <w:p>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1.3  </w:t>
      </w:r>
      <w:r>
        <w:rPr>
          <w:rFonts w:hint="eastAsia" w:ascii="仿宋" w:hAnsi="仿宋" w:eastAsia="仿宋" w:cs="仿宋"/>
          <w:kern w:val="0"/>
          <w:sz w:val="24"/>
          <w:szCs w:val="24"/>
          <w:lang w:val="zh-CN"/>
        </w:rPr>
        <w:t>合同双方当事人的业务活动应坚持公平、公开、公正和诚信的原则（法律认定的商业</w:t>
      </w:r>
      <w:r>
        <w:rPr>
          <w:rFonts w:ascii="仿宋" w:hAnsi="仿宋" w:eastAsia="仿宋" w:cs="仿宋"/>
          <w:kern w:val="0"/>
          <w:sz w:val="24"/>
          <w:szCs w:val="24"/>
        </w:rPr>
        <w:t xml:space="preserve"> </w:t>
      </w:r>
      <w:r>
        <w:rPr>
          <w:rFonts w:hint="eastAsia" w:ascii="仿宋" w:hAnsi="仿宋" w:eastAsia="仿宋" w:cs="仿宋"/>
          <w:kern w:val="0"/>
          <w:sz w:val="24"/>
          <w:szCs w:val="24"/>
          <w:lang w:val="zh-CN"/>
        </w:rPr>
        <w:t>秘密和合同文件另有规定除外），不得损害国家和集体利益，不得违反工程建设管理规章制度</w:t>
      </w:r>
      <w:r>
        <w:rPr>
          <w:rFonts w:hint="eastAsia" w:ascii="仿宋" w:hAnsi="仿宋" w:eastAsia="仿宋" w:cs="仿宋"/>
          <w:sz w:val="24"/>
          <w:szCs w:val="24"/>
        </w:rPr>
        <w:t>。</w:t>
      </w:r>
    </w:p>
    <w:p>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1.4  </w:t>
      </w:r>
      <w:r>
        <w:rPr>
          <w:rFonts w:hint="eastAsia" w:ascii="仿宋" w:hAnsi="仿宋" w:eastAsia="仿宋" w:cs="仿宋"/>
          <w:sz w:val="24"/>
          <w:szCs w:val="24"/>
        </w:rPr>
        <w:t>建立健全廉政制度，开展廉政教育，设立廉政告示牌，公布举报电话，监督并认真查处违法违纪行为。</w:t>
      </w:r>
    </w:p>
    <w:p>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1.5  </w:t>
      </w:r>
      <w:r>
        <w:rPr>
          <w:rFonts w:hint="eastAsia" w:ascii="仿宋" w:hAnsi="仿宋" w:eastAsia="仿宋" w:cs="仿宋"/>
          <w:sz w:val="24"/>
          <w:szCs w:val="24"/>
        </w:rPr>
        <w:t>发现对方在业务活动中有违反廉政建设规定的行为，应及时给予提醒和纠正。</w:t>
      </w:r>
    </w:p>
    <w:p>
      <w:pPr>
        <w:spacing w:line="360" w:lineRule="auto"/>
        <w:ind w:firstLine="480" w:firstLineChars="200"/>
        <w:jc w:val="left"/>
        <w:rPr>
          <w:rFonts w:ascii="仿宋" w:hAnsi="仿宋" w:eastAsia="仿宋" w:cs="Times New Roman"/>
          <w:sz w:val="24"/>
          <w:szCs w:val="24"/>
        </w:rPr>
      </w:pPr>
      <w:r>
        <w:rPr>
          <w:rFonts w:ascii="仿宋" w:hAnsi="仿宋" w:eastAsia="仿宋" w:cs="仿宋"/>
          <w:sz w:val="24"/>
          <w:szCs w:val="24"/>
        </w:rPr>
        <w:t xml:space="preserve">1.6  </w:t>
      </w:r>
      <w:r>
        <w:rPr>
          <w:rFonts w:hint="eastAsia" w:ascii="仿宋" w:hAnsi="仿宋" w:eastAsia="仿宋" w:cs="仿宋"/>
          <w:sz w:val="24"/>
          <w:szCs w:val="24"/>
        </w:rPr>
        <w:t>发现对方严重违反合同的行为，有向其上级部门举报、建议给予处理并要求告知处理结果的权利。没有上级部门的，</w:t>
      </w:r>
      <w:r>
        <w:rPr>
          <w:rFonts w:hint="eastAsia" w:ascii="仿宋" w:hAnsi="仿宋" w:eastAsia="仿宋" w:cs="仿宋"/>
          <w:kern w:val="0"/>
          <w:sz w:val="24"/>
          <w:szCs w:val="24"/>
          <w:lang w:val="zh-CN"/>
        </w:rPr>
        <w:t>可按本合同第二部分《通用条款》第</w:t>
      </w:r>
      <w:r>
        <w:rPr>
          <w:rFonts w:ascii="仿宋" w:hAnsi="仿宋" w:eastAsia="仿宋" w:cs="仿宋"/>
          <w:kern w:val="0"/>
          <w:sz w:val="24"/>
          <w:szCs w:val="24"/>
        </w:rPr>
        <w:t xml:space="preserve"> 87 </w:t>
      </w:r>
      <w:r>
        <w:rPr>
          <w:rFonts w:hint="eastAsia" w:ascii="仿宋" w:hAnsi="仿宋" w:eastAsia="仿宋" w:cs="仿宋"/>
          <w:kern w:val="0"/>
          <w:sz w:val="24"/>
          <w:szCs w:val="24"/>
          <w:lang w:val="zh-CN"/>
        </w:rPr>
        <w:t>条规定处</w:t>
      </w:r>
      <w:r>
        <w:rPr>
          <w:rFonts w:hint="eastAsia" w:ascii="仿宋" w:hAnsi="仿宋" w:eastAsia="仿宋" w:cs="仿宋"/>
          <w:sz w:val="24"/>
          <w:szCs w:val="24"/>
        </w:rPr>
        <w:t>。</w:t>
      </w:r>
    </w:p>
    <w:p>
      <w:pPr>
        <w:spacing w:line="360" w:lineRule="auto"/>
        <w:ind w:firstLine="562" w:firstLineChars="200"/>
        <w:jc w:val="left"/>
        <w:rPr>
          <w:rFonts w:ascii="仿宋" w:hAnsi="仿宋" w:eastAsia="仿宋" w:cs="Times New Roman"/>
          <w:b/>
          <w:bCs/>
          <w:sz w:val="28"/>
          <w:szCs w:val="28"/>
        </w:rPr>
      </w:pPr>
      <w:r>
        <w:rPr>
          <w:rFonts w:ascii="仿宋" w:hAnsi="仿宋" w:eastAsia="仿宋" w:cs="仿宋"/>
          <w:b/>
          <w:bCs/>
          <w:sz w:val="28"/>
          <w:szCs w:val="28"/>
        </w:rPr>
        <w:t xml:space="preserve">2  </w:t>
      </w:r>
      <w:r>
        <w:rPr>
          <w:rFonts w:hint="eastAsia" w:ascii="仿宋" w:hAnsi="仿宋" w:eastAsia="仿宋" w:cs="仿宋"/>
          <w:b/>
          <w:bCs/>
          <w:sz w:val="28"/>
          <w:szCs w:val="28"/>
        </w:rPr>
        <w:t>发包人义务</w:t>
      </w:r>
    </w:p>
    <w:p>
      <w:pPr>
        <w:spacing w:line="360" w:lineRule="auto"/>
        <w:ind w:firstLine="480" w:firstLineChars="200"/>
        <w:jc w:val="left"/>
        <w:rPr>
          <w:rFonts w:ascii="仿宋" w:hAnsi="仿宋" w:eastAsia="仿宋" w:cs="Times New Roman"/>
          <w:sz w:val="24"/>
          <w:szCs w:val="24"/>
        </w:rPr>
      </w:pPr>
      <w:r>
        <w:rPr>
          <w:rFonts w:ascii="仿宋" w:hAnsi="仿宋" w:eastAsia="仿宋" w:cs="仿宋"/>
          <w:sz w:val="24"/>
          <w:szCs w:val="24"/>
        </w:rPr>
        <w:t xml:space="preserve">2.1  </w:t>
      </w:r>
      <w:r>
        <w:rPr>
          <w:rFonts w:hint="eastAsia" w:ascii="仿宋" w:hAnsi="仿宋" w:eastAsia="仿宋" w:cs="仿宋"/>
          <w:sz w:val="24"/>
          <w:szCs w:val="24"/>
        </w:rPr>
        <w:t>发包人及其工作人员不得索要或接受承包人的礼金、有价证券和贵重物品，不得在承包人报销任何应由发包人或工作人员个人支付的费用等。</w:t>
      </w:r>
    </w:p>
    <w:p>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2.2  </w:t>
      </w:r>
      <w:r>
        <w:rPr>
          <w:rFonts w:hint="eastAsia" w:ascii="仿宋" w:hAnsi="仿宋" w:eastAsia="仿宋" w:cs="仿宋"/>
          <w:sz w:val="24"/>
          <w:szCs w:val="24"/>
        </w:rPr>
        <w:t>发包人及其工作人员不得参加承包人安排的宴请（工作餐除外）和娱乐活动；不得接受承包人提供的通讯工具、交通工具和高档办公用品等。</w:t>
      </w:r>
    </w:p>
    <w:p>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2.3  </w:t>
      </w:r>
      <w:r>
        <w:rPr>
          <w:rFonts w:hint="eastAsia" w:ascii="仿宋" w:hAnsi="仿宋" w:eastAsia="仿宋" w:cs="仿宋"/>
          <w:sz w:val="24"/>
          <w:szCs w:val="24"/>
        </w:rPr>
        <w:t>发包人及其工作人员不得要求或者接受承包人为其住房装修、婚丧嫁娶活动、配偶子女的工作安排以及出国出境、旅游等提供方便等。</w:t>
      </w:r>
    </w:p>
    <w:p>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2.4  </w:t>
      </w:r>
      <w:r>
        <w:rPr>
          <w:rFonts w:hint="eastAsia" w:ascii="仿宋" w:hAnsi="仿宋" w:eastAsia="仿宋" w:cs="仿宋"/>
          <w:kern w:val="0"/>
          <w:sz w:val="24"/>
          <w:szCs w:val="24"/>
          <w:lang w:val="zh-CN"/>
        </w:rPr>
        <w:t>发包人及其工作人员不得以任何理由向承包人推荐分包人、推销材料和工程设备，不得要求承包人购买合同以外的材料和工程设备</w:t>
      </w:r>
      <w:r>
        <w:rPr>
          <w:rFonts w:hint="eastAsia" w:ascii="仿宋" w:hAnsi="仿宋" w:eastAsia="仿宋" w:cs="仿宋"/>
          <w:sz w:val="24"/>
          <w:szCs w:val="24"/>
        </w:rPr>
        <w:t>。</w:t>
      </w:r>
    </w:p>
    <w:p>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2.5  </w:t>
      </w:r>
      <w:r>
        <w:rPr>
          <w:rFonts w:hint="eastAsia" w:ascii="仿宋" w:hAnsi="仿宋" w:eastAsia="仿宋" w:cs="仿宋"/>
          <w:kern w:val="0"/>
          <w:sz w:val="24"/>
          <w:szCs w:val="24"/>
          <w:lang w:val="zh-CN"/>
        </w:rPr>
        <w:t>发包人及其工作人员要秉公办事，不准营私舞弊，不准利用职权私自为合同工程安排施工队伍，也不得从事与合同工程有关的各种有偿中介活动</w:t>
      </w:r>
      <w:r>
        <w:rPr>
          <w:rFonts w:hint="eastAsia" w:ascii="仿宋" w:hAnsi="仿宋" w:eastAsia="仿宋" w:cs="仿宋"/>
          <w:sz w:val="24"/>
          <w:szCs w:val="24"/>
        </w:rPr>
        <w:t>。</w:t>
      </w:r>
    </w:p>
    <w:p>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2.6  </w:t>
      </w:r>
      <w:r>
        <w:rPr>
          <w:rFonts w:hint="eastAsia" w:ascii="仿宋" w:hAnsi="仿宋" w:eastAsia="仿宋" w:cs="仿宋"/>
          <w:kern w:val="0"/>
          <w:sz w:val="24"/>
          <w:szCs w:val="24"/>
          <w:lang w:val="zh-CN"/>
        </w:rPr>
        <w:t>发包人及其工作人员（含其配偶、子女）不得从事与合同工程有关的材料和工程设备供应、工程分包、劳务等经济活动</w:t>
      </w:r>
      <w:r>
        <w:rPr>
          <w:rFonts w:hint="eastAsia" w:ascii="仿宋" w:hAnsi="仿宋" w:eastAsia="仿宋" w:cs="仿宋"/>
          <w:sz w:val="24"/>
          <w:szCs w:val="24"/>
        </w:rPr>
        <w:t>。</w:t>
      </w:r>
    </w:p>
    <w:p>
      <w:pPr>
        <w:spacing w:line="360" w:lineRule="auto"/>
        <w:ind w:firstLine="562" w:firstLineChars="200"/>
        <w:rPr>
          <w:rFonts w:ascii="仿宋" w:hAnsi="仿宋" w:eastAsia="仿宋" w:cs="Times New Roman"/>
          <w:b/>
          <w:bCs/>
          <w:sz w:val="28"/>
          <w:szCs w:val="28"/>
        </w:rPr>
      </w:pPr>
      <w:r>
        <w:rPr>
          <w:rFonts w:ascii="仿宋" w:hAnsi="仿宋" w:eastAsia="仿宋" w:cs="仿宋"/>
          <w:b/>
          <w:bCs/>
          <w:sz w:val="28"/>
          <w:szCs w:val="28"/>
        </w:rPr>
        <w:t xml:space="preserve">3  </w:t>
      </w:r>
      <w:r>
        <w:rPr>
          <w:rFonts w:hint="eastAsia" w:ascii="仿宋" w:hAnsi="仿宋" w:eastAsia="仿宋" w:cs="仿宋"/>
          <w:b/>
          <w:bCs/>
          <w:sz w:val="28"/>
          <w:szCs w:val="28"/>
        </w:rPr>
        <w:t>承包人义务</w:t>
      </w:r>
    </w:p>
    <w:p>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3.1  </w:t>
      </w:r>
      <w:r>
        <w:rPr>
          <w:rFonts w:hint="eastAsia" w:ascii="仿宋" w:hAnsi="仿宋" w:eastAsia="仿宋" w:cs="仿宋"/>
          <w:sz w:val="24"/>
          <w:szCs w:val="24"/>
        </w:rPr>
        <w:t>承包人不得以任何理由向发包人及其工作人员行贿或馈赠礼金、有价证券、贵重礼品。</w:t>
      </w:r>
    </w:p>
    <w:p>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3.2  </w:t>
      </w:r>
      <w:r>
        <w:rPr>
          <w:rFonts w:hint="eastAsia" w:ascii="仿宋" w:hAnsi="仿宋" w:eastAsia="仿宋" w:cs="仿宋"/>
          <w:sz w:val="24"/>
          <w:szCs w:val="24"/>
        </w:rPr>
        <w:t>承包人不得以任何名义为发包人及其工作人员报销应由发包人或工作人员个人支付的任何费用。</w:t>
      </w:r>
    </w:p>
    <w:p>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3.3  </w:t>
      </w:r>
      <w:r>
        <w:rPr>
          <w:rFonts w:hint="eastAsia" w:ascii="仿宋" w:hAnsi="仿宋" w:eastAsia="仿宋" w:cs="仿宋"/>
          <w:sz w:val="24"/>
          <w:szCs w:val="24"/>
        </w:rPr>
        <w:t>承包人不得以任何理由安排发包人及其工作人员参加宴请（工作餐除外）及娱乐活动。</w:t>
      </w:r>
    </w:p>
    <w:p>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3.4  </w:t>
      </w:r>
      <w:r>
        <w:rPr>
          <w:rFonts w:hint="eastAsia" w:ascii="仿宋" w:hAnsi="仿宋" w:eastAsia="仿宋" w:cs="仿宋"/>
          <w:sz w:val="24"/>
          <w:szCs w:val="24"/>
        </w:rPr>
        <w:t>承包人不得为发包人和个人购置或提供通讯工具、交通工具和高档办公用品等。</w:t>
      </w:r>
    </w:p>
    <w:p>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3.5  </w:t>
      </w:r>
      <w:r>
        <w:rPr>
          <w:rFonts w:hint="eastAsia" w:ascii="仿宋" w:hAnsi="仿宋" w:eastAsia="仿宋" w:cs="仿宋"/>
          <w:kern w:val="0"/>
          <w:sz w:val="24"/>
          <w:szCs w:val="24"/>
          <w:lang w:val="zh-CN"/>
        </w:rPr>
        <w:t>承包人不得为发包人及其工作人员的住房装修、婚丧嫁娶活动、配偶子女工作安排以及出国出境、旅游等提供方便。</w:t>
      </w:r>
    </w:p>
    <w:p>
      <w:pPr>
        <w:tabs>
          <w:tab w:val="left" w:pos="900"/>
        </w:tabs>
        <w:spacing w:line="360" w:lineRule="auto"/>
        <w:ind w:firstLine="562" w:firstLineChars="200"/>
        <w:rPr>
          <w:rFonts w:ascii="仿宋" w:hAnsi="仿宋" w:eastAsia="仿宋" w:cs="Times New Roman"/>
          <w:b/>
          <w:bCs/>
          <w:sz w:val="28"/>
          <w:szCs w:val="28"/>
        </w:rPr>
      </w:pPr>
      <w:r>
        <w:rPr>
          <w:rFonts w:ascii="仿宋" w:hAnsi="仿宋" w:eastAsia="仿宋" w:cs="仿宋"/>
          <w:b/>
          <w:bCs/>
          <w:sz w:val="28"/>
          <w:szCs w:val="28"/>
        </w:rPr>
        <w:t xml:space="preserve">4  </w:t>
      </w:r>
      <w:r>
        <w:rPr>
          <w:rFonts w:hint="eastAsia" w:ascii="仿宋" w:hAnsi="仿宋" w:eastAsia="仿宋" w:cs="仿宋"/>
          <w:b/>
          <w:bCs/>
          <w:sz w:val="28"/>
          <w:szCs w:val="28"/>
        </w:rPr>
        <w:t>违约责任</w:t>
      </w:r>
    </w:p>
    <w:p>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4.1  </w:t>
      </w:r>
      <w:r>
        <w:rPr>
          <w:rFonts w:hint="eastAsia" w:ascii="仿宋" w:hAnsi="仿宋" w:eastAsia="仿宋" w:cs="仿宋"/>
          <w:sz w:val="24"/>
          <w:szCs w:val="24"/>
        </w:rPr>
        <w:t>发包人及其工作人员违反本合同第</w:t>
      </w:r>
      <w:r>
        <w:rPr>
          <w:rFonts w:ascii="仿宋" w:hAnsi="仿宋" w:eastAsia="仿宋" w:cs="仿宋"/>
          <w:sz w:val="24"/>
          <w:szCs w:val="24"/>
        </w:rPr>
        <w:t>1</w:t>
      </w:r>
      <w:r>
        <w:rPr>
          <w:rFonts w:hint="eastAsia" w:ascii="仿宋" w:hAnsi="仿宋" w:eastAsia="仿宋" w:cs="仿宋"/>
          <w:sz w:val="24"/>
          <w:szCs w:val="24"/>
        </w:rPr>
        <w:t>条和第</w:t>
      </w:r>
      <w:r>
        <w:rPr>
          <w:rFonts w:ascii="仿宋" w:hAnsi="仿宋" w:eastAsia="仿宋" w:cs="仿宋"/>
          <w:sz w:val="24"/>
          <w:szCs w:val="24"/>
        </w:rPr>
        <w:t>2</w:t>
      </w:r>
      <w:r>
        <w:rPr>
          <w:rFonts w:hint="eastAsia" w:ascii="仿宋" w:hAnsi="仿宋" w:eastAsia="仿宋" w:cs="仿宋"/>
          <w:sz w:val="24"/>
          <w:szCs w:val="24"/>
        </w:rPr>
        <w:t>条规定，应依据有关规定给予廉政建设规定的处分；涉嫌犯罪的，移交司法机关追究刑事责任；给承包人造成经济损失的，应予赔偿。</w:t>
      </w:r>
    </w:p>
    <w:p>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4.2  </w:t>
      </w:r>
      <w:r>
        <w:rPr>
          <w:rFonts w:hint="eastAsia" w:ascii="仿宋" w:hAnsi="仿宋" w:eastAsia="仿宋" w:cs="仿宋"/>
          <w:kern w:val="0"/>
          <w:sz w:val="24"/>
          <w:szCs w:val="24"/>
          <w:lang w:val="zh-CN"/>
        </w:rPr>
        <w:t>承包人及其工作人员违反本合同第</w:t>
      </w:r>
      <w:r>
        <w:rPr>
          <w:rFonts w:ascii="仿宋" w:hAnsi="仿宋" w:eastAsia="仿宋" w:cs="仿宋"/>
          <w:kern w:val="0"/>
          <w:sz w:val="24"/>
          <w:szCs w:val="24"/>
        </w:rPr>
        <w:t xml:space="preserve"> 1 </w:t>
      </w:r>
      <w:r>
        <w:rPr>
          <w:rFonts w:hint="eastAsia" w:ascii="仿宋" w:hAnsi="仿宋" w:eastAsia="仿宋" w:cs="仿宋"/>
          <w:kern w:val="0"/>
          <w:sz w:val="24"/>
          <w:szCs w:val="24"/>
          <w:lang w:val="zh-CN"/>
        </w:rPr>
        <w:t>条和第</w:t>
      </w:r>
      <w:r>
        <w:rPr>
          <w:rFonts w:ascii="仿宋" w:hAnsi="仿宋" w:eastAsia="仿宋" w:cs="仿宋"/>
          <w:kern w:val="0"/>
          <w:sz w:val="24"/>
          <w:szCs w:val="24"/>
        </w:rPr>
        <w:t xml:space="preserve"> 3 </w:t>
      </w:r>
      <w:r>
        <w:rPr>
          <w:rFonts w:hint="eastAsia" w:ascii="仿宋" w:hAnsi="仿宋" w:eastAsia="仿宋" w:cs="仿宋"/>
          <w:kern w:val="0"/>
          <w:sz w:val="24"/>
          <w:szCs w:val="24"/>
          <w:lang w:val="zh-CN"/>
        </w:rPr>
        <w:t>条规定，应按照廉政建设的有关规定给</w:t>
      </w:r>
      <w:r>
        <w:rPr>
          <w:rFonts w:ascii="仿宋" w:hAnsi="仿宋" w:eastAsia="仿宋" w:cs="仿宋"/>
          <w:kern w:val="0"/>
          <w:sz w:val="24"/>
          <w:szCs w:val="24"/>
        </w:rPr>
        <w:t xml:space="preserve"> </w:t>
      </w:r>
      <w:r>
        <w:rPr>
          <w:rFonts w:hint="eastAsia" w:ascii="仿宋" w:hAnsi="仿宋" w:eastAsia="仿宋" w:cs="仿宋"/>
          <w:kern w:val="0"/>
          <w:sz w:val="24"/>
          <w:szCs w:val="24"/>
          <w:lang w:val="zh-CN"/>
        </w:rPr>
        <w:t>予处分；情节严重的，给予承包人</w:t>
      </w:r>
      <w:r>
        <w:rPr>
          <w:rFonts w:ascii="仿宋" w:hAnsi="仿宋" w:eastAsia="仿宋" w:cs="仿宋"/>
          <w:kern w:val="0"/>
          <w:sz w:val="24"/>
          <w:szCs w:val="24"/>
        </w:rPr>
        <w:t xml:space="preserve"> 1</w:t>
      </w:r>
      <w:r>
        <w:rPr>
          <w:rFonts w:hint="eastAsia" w:ascii="仿宋" w:hAnsi="仿宋" w:eastAsia="仿宋" w:cs="仿宋"/>
          <w:kern w:val="0"/>
          <w:sz w:val="24"/>
          <w:szCs w:val="24"/>
          <w:lang w:val="zh-CN"/>
        </w:rPr>
        <w:t>～</w:t>
      </w:r>
      <w:r>
        <w:rPr>
          <w:rFonts w:ascii="仿宋" w:hAnsi="仿宋" w:eastAsia="仿宋" w:cs="仿宋"/>
          <w:kern w:val="0"/>
          <w:sz w:val="24"/>
          <w:szCs w:val="24"/>
        </w:rPr>
        <w:t xml:space="preserve">3 </w:t>
      </w:r>
      <w:r>
        <w:rPr>
          <w:rFonts w:hint="eastAsia" w:ascii="仿宋" w:hAnsi="仿宋" w:eastAsia="仿宋" w:cs="仿宋"/>
          <w:kern w:val="0"/>
          <w:sz w:val="24"/>
          <w:szCs w:val="24"/>
          <w:lang w:val="zh-CN"/>
        </w:rPr>
        <w:t>年内不得进入工程建设市场的处罚；涉嫌犯罪的，移交</w:t>
      </w:r>
      <w:r>
        <w:rPr>
          <w:rFonts w:ascii="仿宋" w:hAnsi="仿宋" w:eastAsia="仿宋" w:cs="仿宋"/>
          <w:kern w:val="0"/>
          <w:sz w:val="24"/>
          <w:szCs w:val="24"/>
        </w:rPr>
        <w:t xml:space="preserve"> </w:t>
      </w:r>
      <w:r>
        <w:rPr>
          <w:rFonts w:hint="eastAsia" w:ascii="仿宋" w:hAnsi="仿宋" w:eastAsia="仿宋" w:cs="仿宋"/>
          <w:kern w:val="0"/>
          <w:sz w:val="24"/>
          <w:szCs w:val="24"/>
          <w:lang w:val="zh-CN"/>
        </w:rPr>
        <w:t>司法机关追究刑事责任；给发包人造成损失的，应予赔偿；</w:t>
      </w:r>
    </w:p>
    <w:p>
      <w:pPr>
        <w:numPr>
          <w:ilvl w:val="0"/>
          <w:numId w:val="32"/>
        </w:numPr>
        <w:spacing w:line="360" w:lineRule="auto"/>
        <w:rPr>
          <w:rFonts w:ascii="仿宋" w:hAnsi="仿宋" w:eastAsia="仿宋" w:cs="Times New Roman"/>
          <w:b/>
          <w:bCs/>
          <w:sz w:val="28"/>
          <w:szCs w:val="28"/>
        </w:rPr>
      </w:pPr>
      <w:r>
        <w:rPr>
          <w:rFonts w:hint="eastAsia" w:ascii="仿宋" w:hAnsi="仿宋" w:eastAsia="仿宋" w:cs="仿宋"/>
          <w:b/>
          <w:bCs/>
          <w:sz w:val="28"/>
          <w:szCs w:val="28"/>
        </w:rPr>
        <w:t>双方约定</w:t>
      </w:r>
    </w:p>
    <w:p>
      <w:pPr>
        <w:pStyle w:val="19"/>
        <w:spacing w:line="360" w:lineRule="auto"/>
        <w:ind w:firstLine="480" w:firstLineChars="200"/>
        <w:rPr>
          <w:rFonts w:ascii="仿宋" w:hAnsi="仿宋" w:eastAsia="仿宋" w:cs="Times New Roman"/>
          <w:sz w:val="24"/>
          <w:szCs w:val="24"/>
        </w:rPr>
      </w:pPr>
      <w:r>
        <w:rPr>
          <w:rFonts w:hint="eastAsia" w:ascii="仿宋" w:hAnsi="仿宋" w:eastAsia="仿宋" w:cs="仿宋"/>
          <w:kern w:val="0"/>
          <w:sz w:val="24"/>
          <w:szCs w:val="24"/>
          <w:lang w:val="zh-CN"/>
        </w:rPr>
        <w:t>本合同由合同双方当事人或其上级部门负责监督执行，并由合同双方当事人或其上级部门</w:t>
      </w:r>
      <w:r>
        <w:rPr>
          <w:rFonts w:ascii="仿宋" w:hAnsi="仿宋" w:eastAsia="仿宋" w:cs="仿宋"/>
          <w:kern w:val="0"/>
          <w:sz w:val="24"/>
          <w:szCs w:val="24"/>
        </w:rPr>
        <w:t xml:space="preserve"> </w:t>
      </w:r>
      <w:r>
        <w:rPr>
          <w:rFonts w:hint="eastAsia" w:ascii="仿宋" w:hAnsi="仿宋" w:eastAsia="仿宋" w:cs="仿宋"/>
          <w:kern w:val="0"/>
          <w:sz w:val="24"/>
          <w:szCs w:val="24"/>
          <w:lang w:val="zh-CN"/>
        </w:rPr>
        <w:t>相互约请对本合同执行情况进行检查</w:t>
      </w:r>
      <w:r>
        <w:rPr>
          <w:rFonts w:hint="eastAsia" w:ascii="仿宋" w:hAnsi="仿宋" w:eastAsia="仿宋" w:cs="仿宋"/>
          <w:sz w:val="24"/>
          <w:szCs w:val="24"/>
        </w:rPr>
        <w:t>。</w:t>
      </w:r>
    </w:p>
    <w:p>
      <w:pPr>
        <w:spacing w:line="360" w:lineRule="auto"/>
        <w:ind w:firstLine="562" w:firstLineChars="200"/>
        <w:rPr>
          <w:rFonts w:ascii="仿宋" w:hAnsi="仿宋" w:eastAsia="仿宋" w:cs="Times New Roman"/>
          <w:b/>
          <w:bCs/>
          <w:sz w:val="28"/>
          <w:szCs w:val="28"/>
        </w:rPr>
      </w:pPr>
      <w:r>
        <w:rPr>
          <w:rFonts w:ascii="仿宋" w:hAnsi="仿宋" w:eastAsia="仿宋" w:cs="仿宋"/>
          <w:b/>
          <w:bCs/>
          <w:sz w:val="28"/>
          <w:szCs w:val="28"/>
        </w:rPr>
        <w:t xml:space="preserve">6  </w:t>
      </w:r>
      <w:r>
        <w:rPr>
          <w:rFonts w:hint="eastAsia" w:ascii="仿宋" w:hAnsi="仿宋" w:eastAsia="仿宋" w:cs="仿宋"/>
          <w:b/>
          <w:bCs/>
          <w:sz w:val="28"/>
          <w:szCs w:val="28"/>
        </w:rPr>
        <w:t>合同法律效力</w:t>
      </w:r>
    </w:p>
    <w:p>
      <w:pPr>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本合同作为</w:t>
      </w:r>
      <w:r>
        <w:rPr>
          <w:rFonts w:ascii="仿宋" w:hAnsi="仿宋" w:eastAsia="仿宋" w:cs="仿宋"/>
          <w:sz w:val="24"/>
          <w:szCs w:val="24"/>
          <w:u w:val="single"/>
        </w:rPr>
        <w:t xml:space="preserve">                      </w:t>
      </w:r>
      <w:r>
        <w:rPr>
          <w:rFonts w:hint="eastAsia" w:ascii="仿宋" w:hAnsi="仿宋" w:eastAsia="仿宋" w:cs="仿宋"/>
          <w:sz w:val="24"/>
          <w:szCs w:val="24"/>
        </w:rPr>
        <w:t>（工程名称）</w:t>
      </w:r>
      <w:r>
        <w:rPr>
          <w:rFonts w:ascii="仿宋" w:hAnsi="仿宋" w:eastAsia="仿宋" w:cs="仿宋"/>
          <w:sz w:val="24"/>
          <w:szCs w:val="24"/>
        </w:rPr>
        <w:t xml:space="preserve"> </w:t>
      </w:r>
      <w:r>
        <w:rPr>
          <w:rFonts w:hint="eastAsia" w:ascii="仿宋" w:hAnsi="仿宋" w:eastAsia="仿宋" w:cs="仿宋"/>
          <w:sz w:val="24"/>
          <w:szCs w:val="24"/>
        </w:rPr>
        <w:t>工程施工合同的附件，与施工合同具有同等的法律效力。</w:t>
      </w:r>
    </w:p>
    <w:p>
      <w:pPr>
        <w:spacing w:line="360" w:lineRule="auto"/>
        <w:ind w:firstLine="551" w:firstLineChars="196"/>
        <w:rPr>
          <w:rFonts w:ascii="仿宋" w:hAnsi="仿宋" w:eastAsia="仿宋" w:cs="Times New Roman"/>
          <w:b/>
          <w:bCs/>
          <w:sz w:val="28"/>
          <w:szCs w:val="28"/>
        </w:rPr>
      </w:pPr>
      <w:r>
        <w:rPr>
          <w:rFonts w:ascii="仿宋" w:hAnsi="仿宋" w:eastAsia="仿宋" w:cs="仿宋"/>
          <w:b/>
          <w:bCs/>
          <w:sz w:val="28"/>
          <w:szCs w:val="28"/>
        </w:rPr>
        <w:t xml:space="preserve">7  </w:t>
      </w:r>
      <w:r>
        <w:rPr>
          <w:rFonts w:hint="eastAsia" w:ascii="仿宋" w:hAnsi="仿宋" w:eastAsia="仿宋" w:cs="仿宋"/>
          <w:b/>
          <w:bCs/>
          <w:sz w:val="28"/>
          <w:szCs w:val="28"/>
        </w:rPr>
        <w:t>合同份数</w:t>
      </w:r>
    </w:p>
    <w:p>
      <w:pPr>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本合同一式</w:t>
      </w:r>
      <w:r>
        <w:rPr>
          <w:rFonts w:ascii="仿宋" w:hAnsi="仿宋" w:eastAsia="仿宋" w:cs="仿宋"/>
          <w:sz w:val="24"/>
          <w:szCs w:val="24"/>
          <w:u w:val="single"/>
        </w:rPr>
        <w:t xml:space="preserve">    </w:t>
      </w:r>
      <w:r>
        <w:rPr>
          <w:rFonts w:hint="eastAsia" w:ascii="仿宋" w:hAnsi="仿宋" w:eastAsia="仿宋" w:cs="仿宋"/>
          <w:sz w:val="24"/>
          <w:szCs w:val="24"/>
        </w:rPr>
        <w:t>份，合同双方当事人各执</w:t>
      </w:r>
      <w:r>
        <w:rPr>
          <w:rFonts w:ascii="仿宋" w:hAnsi="仿宋" w:eastAsia="仿宋" w:cs="仿宋"/>
          <w:sz w:val="24"/>
          <w:szCs w:val="24"/>
          <w:u w:val="single"/>
        </w:rPr>
        <w:t xml:space="preserve">    </w:t>
      </w:r>
      <w:r>
        <w:rPr>
          <w:rFonts w:hint="eastAsia" w:ascii="仿宋" w:hAnsi="仿宋" w:eastAsia="仿宋" w:cs="仿宋"/>
          <w:sz w:val="24"/>
          <w:szCs w:val="24"/>
        </w:rPr>
        <w:t>份。有上级部门的，合同双方当事人应送交其上级部门各一份。</w:t>
      </w:r>
    </w:p>
    <w:p>
      <w:pPr>
        <w:spacing w:line="360" w:lineRule="auto"/>
        <w:ind w:firstLine="480" w:firstLineChars="200"/>
        <w:rPr>
          <w:rFonts w:ascii="仿宋" w:hAnsi="仿宋" w:eastAsia="仿宋" w:cs="Times New Roman"/>
          <w:sz w:val="24"/>
          <w:szCs w:val="24"/>
        </w:rPr>
      </w:pPr>
    </w:p>
    <w:p>
      <w:pPr>
        <w:adjustRightInd w:val="0"/>
        <w:snapToGrid w:val="0"/>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发</w:t>
      </w:r>
      <w:r>
        <w:rPr>
          <w:rFonts w:ascii="仿宋" w:hAnsi="仿宋" w:eastAsia="仿宋" w:cs="仿宋"/>
          <w:sz w:val="24"/>
          <w:szCs w:val="24"/>
        </w:rPr>
        <w:t xml:space="preserve"> </w:t>
      </w:r>
      <w:r>
        <w:rPr>
          <w:rFonts w:hint="eastAsia" w:ascii="仿宋" w:hAnsi="仿宋" w:eastAsia="仿宋" w:cs="仿宋"/>
          <w:sz w:val="24"/>
          <w:szCs w:val="24"/>
        </w:rPr>
        <w:t>包</w:t>
      </w:r>
      <w:r>
        <w:rPr>
          <w:rFonts w:ascii="仿宋" w:hAnsi="仿宋" w:eastAsia="仿宋" w:cs="仿宋"/>
          <w:sz w:val="24"/>
          <w:szCs w:val="24"/>
        </w:rPr>
        <w:t xml:space="preserve"> </w:t>
      </w:r>
      <w:r>
        <w:rPr>
          <w:rFonts w:hint="eastAsia" w:ascii="仿宋" w:hAnsi="仿宋" w:eastAsia="仿宋" w:cs="仿宋"/>
          <w:sz w:val="24"/>
          <w:szCs w:val="24"/>
        </w:rPr>
        <w:t>人：（盖章）</w:t>
      </w:r>
      <w:r>
        <w:rPr>
          <w:rFonts w:ascii="仿宋" w:hAnsi="仿宋" w:eastAsia="仿宋" w:cs="仿宋"/>
          <w:sz w:val="24"/>
          <w:szCs w:val="24"/>
        </w:rPr>
        <w:t xml:space="preserve">                       </w:t>
      </w:r>
      <w:r>
        <w:rPr>
          <w:rFonts w:hint="eastAsia" w:ascii="仿宋" w:hAnsi="仿宋" w:eastAsia="仿宋" w:cs="仿宋"/>
          <w:sz w:val="24"/>
          <w:szCs w:val="24"/>
        </w:rPr>
        <w:t>承</w:t>
      </w:r>
      <w:r>
        <w:rPr>
          <w:rFonts w:ascii="仿宋" w:hAnsi="仿宋" w:eastAsia="仿宋" w:cs="仿宋"/>
          <w:sz w:val="24"/>
          <w:szCs w:val="24"/>
        </w:rPr>
        <w:t xml:space="preserve"> </w:t>
      </w:r>
      <w:r>
        <w:rPr>
          <w:rFonts w:hint="eastAsia" w:ascii="仿宋" w:hAnsi="仿宋" w:eastAsia="仿宋" w:cs="仿宋"/>
          <w:sz w:val="24"/>
          <w:szCs w:val="24"/>
        </w:rPr>
        <w:t>包</w:t>
      </w:r>
      <w:r>
        <w:rPr>
          <w:rFonts w:ascii="仿宋" w:hAnsi="仿宋" w:eastAsia="仿宋" w:cs="仿宋"/>
          <w:sz w:val="24"/>
          <w:szCs w:val="24"/>
        </w:rPr>
        <w:t xml:space="preserve"> </w:t>
      </w:r>
      <w:r>
        <w:rPr>
          <w:rFonts w:hint="eastAsia" w:ascii="仿宋" w:hAnsi="仿宋" w:eastAsia="仿宋" w:cs="仿宋"/>
          <w:sz w:val="24"/>
          <w:szCs w:val="24"/>
        </w:rPr>
        <w:t>人：（盖章）</w:t>
      </w:r>
    </w:p>
    <w:p>
      <w:pPr>
        <w:adjustRightInd w:val="0"/>
        <w:snapToGrid w:val="0"/>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法定代表人：（签字）</w:t>
      </w:r>
      <w:r>
        <w:rPr>
          <w:rFonts w:ascii="仿宋" w:hAnsi="仿宋" w:eastAsia="仿宋" w:cs="仿宋"/>
          <w:sz w:val="24"/>
          <w:szCs w:val="24"/>
        </w:rPr>
        <w:t xml:space="preserve">                     </w:t>
      </w:r>
      <w:r>
        <w:rPr>
          <w:rFonts w:hint="eastAsia" w:ascii="仿宋" w:hAnsi="仿宋" w:eastAsia="仿宋" w:cs="仿宋"/>
          <w:sz w:val="24"/>
          <w:szCs w:val="24"/>
        </w:rPr>
        <w:t>法定代表人：（签字）</w:t>
      </w:r>
    </w:p>
    <w:p>
      <w:pPr>
        <w:spacing w:line="360" w:lineRule="auto"/>
        <w:ind w:firstLine="480" w:firstLineChars="200"/>
        <w:jc w:val="left"/>
        <w:rPr>
          <w:rFonts w:ascii="仿宋" w:hAnsi="仿宋" w:eastAsia="仿宋" w:cs="仿宋"/>
          <w:sz w:val="24"/>
          <w:szCs w:val="24"/>
          <w:u w:val="single"/>
        </w:rPr>
      </w:pPr>
      <w:r>
        <w:rPr>
          <w:rFonts w:hint="eastAsia" w:ascii="仿宋" w:hAnsi="仿宋" w:eastAsia="仿宋" w:cs="仿宋"/>
          <w:sz w:val="24"/>
          <w:szCs w:val="24"/>
        </w:rPr>
        <w:t>联系电话：</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联系电话：</w:t>
      </w:r>
      <w:r>
        <w:rPr>
          <w:rFonts w:ascii="仿宋" w:hAnsi="仿宋" w:eastAsia="仿宋" w:cs="仿宋"/>
          <w:sz w:val="24"/>
          <w:szCs w:val="24"/>
          <w:u w:val="single"/>
        </w:rPr>
        <w:t xml:space="preserve">              </w:t>
      </w:r>
    </w:p>
    <w:p>
      <w:pPr>
        <w:spacing w:line="360" w:lineRule="auto"/>
        <w:ind w:firstLine="480" w:firstLineChars="200"/>
        <w:jc w:val="left"/>
        <w:rPr>
          <w:rFonts w:ascii="仿宋" w:hAnsi="仿宋" w:eastAsia="仿宋" w:cs="Times New Roman"/>
          <w:sz w:val="24"/>
          <w:szCs w:val="24"/>
          <w:u w:val="single"/>
        </w:rPr>
      </w:pPr>
      <w:r>
        <w:rPr>
          <w:rFonts w:hint="eastAsia" w:ascii="仿宋" w:hAnsi="仿宋" w:eastAsia="仿宋" w:cs="仿宋"/>
          <w:sz w:val="24"/>
          <w:szCs w:val="24"/>
        </w:rPr>
        <w:t>上级部门：（盖章）</w:t>
      </w:r>
      <w:r>
        <w:rPr>
          <w:rFonts w:ascii="仿宋" w:hAnsi="仿宋" w:eastAsia="仿宋" w:cs="仿宋"/>
          <w:sz w:val="24"/>
          <w:szCs w:val="24"/>
        </w:rPr>
        <w:t xml:space="preserve">                       </w:t>
      </w:r>
      <w:r>
        <w:rPr>
          <w:rFonts w:hint="eastAsia" w:ascii="仿宋" w:hAnsi="仿宋" w:eastAsia="仿宋" w:cs="仿宋"/>
          <w:sz w:val="24"/>
          <w:szCs w:val="24"/>
        </w:rPr>
        <w:t>上级部门：（盖章）</w:t>
      </w:r>
    </w:p>
    <w:p>
      <w:pPr>
        <w:adjustRightInd w:val="0"/>
        <w:snapToGrid w:val="0"/>
        <w:spacing w:line="360" w:lineRule="auto"/>
        <w:ind w:firstLine="480" w:firstLineChars="200"/>
        <w:rPr>
          <w:rFonts w:ascii="仿宋" w:hAnsi="仿宋" w:eastAsia="仿宋" w:cs="Times New Roman"/>
          <w:sz w:val="24"/>
          <w:szCs w:val="24"/>
        </w:rPr>
      </w:pP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p>
    <w:p>
      <w:pPr>
        <w:spacing w:before="240" w:beforeLines="100" w:after="240" w:afterLines="100" w:line="360" w:lineRule="auto"/>
        <w:outlineLvl w:val="1"/>
        <w:rPr>
          <w:rFonts w:ascii="仿宋" w:hAnsi="仿宋" w:eastAsia="仿宋" w:cs="仿宋"/>
          <w:b/>
          <w:bCs/>
          <w:color w:val="000000"/>
          <w:kern w:val="0"/>
          <w:sz w:val="24"/>
          <w:szCs w:val="24"/>
        </w:rPr>
      </w:pPr>
      <w:r>
        <w:rPr>
          <w:rFonts w:ascii="仿宋" w:hAnsi="仿宋" w:eastAsia="仿宋" w:cs="Times New Roman"/>
          <w:kern w:val="0"/>
          <w:sz w:val="24"/>
          <w:szCs w:val="24"/>
        </w:rPr>
        <w:br w:type="page"/>
      </w:r>
      <w:bookmarkStart w:id="736" w:name="_Toc266892927"/>
      <w:bookmarkStart w:id="737" w:name="_Toc10624987"/>
      <w:bookmarkStart w:id="738" w:name="_Toc469384143"/>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1</w:t>
      </w:r>
      <w:bookmarkEnd w:id="736"/>
      <w:bookmarkEnd w:id="737"/>
      <w:bookmarkEnd w:id="738"/>
    </w:p>
    <w:p>
      <w:pPr>
        <w:spacing w:line="360" w:lineRule="auto"/>
        <w:jc w:val="center"/>
        <w:rPr>
          <w:rFonts w:ascii="仿宋" w:hAnsi="仿宋" w:eastAsia="仿宋" w:cs="Times New Roman"/>
          <w:b/>
          <w:bCs/>
          <w:spacing w:val="40"/>
          <w:sz w:val="36"/>
          <w:szCs w:val="36"/>
        </w:rPr>
      </w:pPr>
      <w:r>
        <w:rPr>
          <w:rFonts w:hint="eastAsia" w:ascii="仿宋" w:hAnsi="仿宋" w:eastAsia="仿宋" w:cs="仿宋"/>
          <w:b/>
          <w:bCs/>
          <w:spacing w:val="40"/>
          <w:sz w:val="36"/>
          <w:szCs w:val="36"/>
        </w:rPr>
        <w:t>履约担保</w:t>
      </w:r>
    </w:p>
    <w:p>
      <w:pPr>
        <w:spacing w:line="360" w:lineRule="auto"/>
        <w:rPr>
          <w:rFonts w:ascii="仿宋" w:hAnsi="仿宋" w:eastAsia="仿宋" w:cs="Times New Roman"/>
          <w:sz w:val="24"/>
          <w:szCs w:val="24"/>
        </w:rPr>
      </w:pPr>
    </w:p>
    <w:p>
      <w:pPr>
        <w:spacing w:line="360" w:lineRule="auto"/>
        <w:rPr>
          <w:rFonts w:ascii="仿宋" w:hAnsi="仿宋" w:eastAsia="仿宋" w:cs="仿宋"/>
          <w:sz w:val="24"/>
          <w:szCs w:val="24"/>
        </w:rPr>
      </w:pPr>
      <w:r>
        <w:rPr>
          <w:rFonts w:hint="eastAsia" w:ascii="仿宋" w:hAnsi="仿宋" w:eastAsia="仿宋" w:cs="仿宋"/>
          <w:sz w:val="24"/>
          <w:szCs w:val="24"/>
        </w:rPr>
        <w:t>致：</w:t>
      </w:r>
      <w:r>
        <w:rPr>
          <w:rFonts w:ascii="仿宋" w:hAnsi="仿宋" w:eastAsia="仿宋" w:cs="仿宋"/>
          <w:sz w:val="24"/>
          <w:szCs w:val="24"/>
          <w:u w:val="single"/>
        </w:rPr>
        <w:t xml:space="preserve">                                                  </w:t>
      </w:r>
      <w:r>
        <w:rPr>
          <w:rFonts w:hint="eastAsia" w:ascii="仿宋" w:hAnsi="仿宋" w:eastAsia="仿宋" w:cs="仿宋"/>
          <w:sz w:val="24"/>
          <w:szCs w:val="24"/>
        </w:rPr>
        <w:t>（发包人全称）</w:t>
      </w:r>
      <w:r>
        <w:rPr>
          <w:rFonts w:ascii="仿宋" w:hAnsi="仿宋" w:eastAsia="仿宋" w:cs="仿宋"/>
          <w:sz w:val="24"/>
          <w:szCs w:val="24"/>
        </w:rPr>
        <w:t xml:space="preserve">   </w:t>
      </w:r>
    </w:p>
    <w:p>
      <w:pPr>
        <w:spacing w:line="360" w:lineRule="auto"/>
        <w:ind w:firstLine="480"/>
        <w:jc w:val="left"/>
        <w:rPr>
          <w:rFonts w:ascii="仿宋" w:hAnsi="仿宋" w:eastAsia="仿宋" w:cs="Times New Roman"/>
          <w:sz w:val="24"/>
          <w:szCs w:val="24"/>
          <w:u w:val="single"/>
        </w:rPr>
      </w:pPr>
      <w:r>
        <w:rPr>
          <w:rFonts w:hint="eastAsia" w:ascii="仿宋" w:hAnsi="仿宋" w:eastAsia="仿宋" w:cs="仿宋"/>
          <w:sz w:val="24"/>
          <w:szCs w:val="24"/>
        </w:rPr>
        <w:t>鉴于</w:t>
      </w:r>
      <w:r>
        <w:rPr>
          <w:rFonts w:ascii="仿宋" w:hAnsi="仿宋" w:eastAsia="仿宋" w:cs="仿宋"/>
          <w:sz w:val="24"/>
          <w:szCs w:val="24"/>
          <w:u w:val="single"/>
        </w:rPr>
        <w:t xml:space="preserve">             </w:t>
      </w:r>
      <w:r>
        <w:rPr>
          <w:rFonts w:hint="eastAsia" w:ascii="仿宋" w:hAnsi="仿宋" w:eastAsia="仿宋" w:cs="仿宋"/>
          <w:sz w:val="24"/>
          <w:szCs w:val="24"/>
        </w:rPr>
        <w:t>（承包人全称）</w:t>
      </w:r>
      <w:r>
        <w:rPr>
          <w:rFonts w:ascii="仿宋" w:hAnsi="仿宋" w:eastAsia="仿宋" w:cs="仿宋"/>
          <w:sz w:val="24"/>
          <w:szCs w:val="24"/>
        </w:rPr>
        <w:t>(</w:t>
      </w:r>
      <w:r>
        <w:rPr>
          <w:rFonts w:hint="eastAsia" w:ascii="仿宋" w:hAnsi="仿宋" w:eastAsia="仿宋" w:cs="仿宋"/>
          <w:sz w:val="24"/>
          <w:szCs w:val="24"/>
        </w:rPr>
        <w:t>下称“承包人”</w:t>
      </w:r>
      <w:r>
        <w:rPr>
          <w:rFonts w:ascii="仿宋" w:hAnsi="仿宋" w:eastAsia="仿宋" w:cs="仿宋"/>
          <w:sz w:val="24"/>
          <w:szCs w:val="24"/>
        </w:rPr>
        <w:t>)</w:t>
      </w:r>
      <w:r>
        <w:rPr>
          <w:rFonts w:hint="eastAsia" w:ascii="仿宋" w:hAnsi="仿宋" w:eastAsia="仿宋" w:cs="仿宋"/>
          <w:sz w:val="24"/>
          <w:szCs w:val="24"/>
        </w:rPr>
        <w:t>与</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hint="eastAsia" w:ascii="仿宋" w:hAnsi="仿宋" w:eastAsia="仿宋" w:cs="仿宋"/>
          <w:sz w:val="24"/>
          <w:szCs w:val="24"/>
        </w:rPr>
        <w:t>发包人全称）</w:t>
      </w:r>
      <w:r>
        <w:rPr>
          <w:rFonts w:ascii="仿宋" w:hAnsi="仿宋" w:eastAsia="仿宋" w:cs="仿宋"/>
          <w:sz w:val="24"/>
          <w:szCs w:val="24"/>
        </w:rPr>
        <w:t>(</w:t>
      </w:r>
      <w:r>
        <w:rPr>
          <w:rFonts w:hint="eastAsia" w:ascii="仿宋" w:hAnsi="仿宋" w:eastAsia="仿宋" w:cs="仿宋"/>
          <w:sz w:val="24"/>
          <w:szCs w:val="24"/>
        </w:rPr>
        <w:t>下称“发包人”</w:t>
      </w:r>
      <w:r>
        <w:rPr>
          <w:rFonts w:ascii="仿宋" w:hAnsi="仿宋" w:eastAsia="仿宋" w:cs="仿宋"/>
          <w:sz w:val="24"/>
          <w:szCs w:val="24"/>
        </w:rPr>
        <w:t>)</w:t>
      </w:r>
      <w:r>
        <w:rPr>
          <w:rFonts w:hint="eastAsia" w:ascii="仿宋" w:hAnsi="仿宋" w:eastAsia="仿宋" w:cs="仿宋"/>
          <w:sz w:val="24"/>
          <w:szCs w:val="24"/>
        </w:rPr>
        <w:t>签订</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（工程名称）施工合同</w:t>
      </w:r>
      <w:r>
        <w:rPr>
          <w:rFonts w:ascii="仿宋" w:hAnsi="仿宋" w:eastAsia="仿宋" w:cs="仿宋"/>
          <w:sz w:val="24"/>
          <w:szCs w:val="24"/>
        </w:rPr>
        <w:t>(</w:t>
      </w:r>
      <w:r>
        <w:rPr>
          <w:rFonts w:hint="eastAsia" w:ascii="仿宋" w:hAnsi="仿宋" w:eastAsia="仿宋" w:cs="仿宋"/>
          <w:sz w:val="24"/>
          <w:szCs w:val="24"/>
        </w:rPr>
        <w:t>编号</w:t>
      </w:r>
      <w:r>
        <w:rPr>
          <w:rFonts w:ascii="仿宋" w:hAnsi="仿宋" w:eastAsia="仿宋" w:cs="仿宋"/>
          <w:sz w:val="24"/>
          <w:szCs w:val="24"/>
          <w:u w:val="single"/>
        </w:rPr>
        <w:t xml:space="preserve">     </w:t>
      </w:r>
      <w:r>
        <w:rPr>
          <w:rFonts w:hint="eastAsia"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日签署</w:t>
      </w:r>
      <w:r>
        <w:rPr>
          <w:rFonts w:ascii="仿宋" w:hAnsi="仿宋" w:eastAsia="仿宋" w:cs="仿宋"/>
          <w:sz w:val="24"/>
          <w:szCs w:val="24"/>
        </w:rPr>
        <w:t>)</w:t>
      </w:r>
      <w:r>
        <w:rPr>
          <w:rFonts w:hint="eastAsia" w:ascii="仿宋" w:hAnsi="仿宋" w:eastAsia="仿宋" w:cs="仿宋"/>
          <w:sz w:val="24"/>
          <w:szCs w:val="24"/>
        </w:rPr>
        <w:t>，并保证承包人按合同约定履行实施、完成并保修合同工程的义务和责任；发包人在合同中要求承包人应通过经认可的银行提交合同指定的承包人履行本合同全部义务和责任的担保金额等事实，我方愿意为承包人担保，以担保金额人民币</w:t>
      </w:r>
      <w:r>
        <w:rPr>
          <w:rFonts w:ascii="仿宋" w:hAnsi="仿宋" w:eastAsia="仿宋" w:cs="仿宋"/>
          <w:sz w:val="24"/>
          <w:szCs w:val="24"/>
        </w:rPr>
        <w:t>(</w:t>
      </w:r>
      <w:r>
        <w:rPr>
          <w:rFonts w:hint="eastAsia" w:ascii="仿宋" w:hAnsi="仿宋" w:eastAsia="仿宋" w:cs="仿宋"/>
          <w:sz w:val="24"/>
          <w:szCs w:val="24"/>
        </w:rPr>
        <w:t>大写</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元</w:t>
      </w:r>
      <w:r>
        <w:rPr>
          <w:rFonts w:ascii="仿宋" w:hAnsi="仿宋" w:eastAsia="仿宋" w:cs="仿宋"/>
          <w:sz w:val="24"/>
          <w:szCs w:val="24"/>
        </w:rPr>
        <w:t>(</w:t>
      </w:r>
      <w:r>
        <w:rPr>
          <w:rFonts w:ascii="宋体" w:hAnsi="宋体" w:eastAsia="仿宋" w:cs="Times New Roman"/>
          <w:sz w:val="24"/>
          <w:szCs w:val="24"/>
        </w:rPr>
        <w:t>¥</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元</w:t>
      </w:r>
      <w:r>
        <w:rPr>
          <w:rFonts w:ascii="仿宋" w:hAnsi="仿宋" w:eastAsia="仿宋" w:cs="仿宋"/>
          <w:sz w:val="24"/>
          <w:szCs w:val="24"/>
        </w:rPr>
        <w:t>)</w:t>
      </w:r>
      <w:r>
        <w:rPr>
          <w:rFonts w:hint="eastAsia" w:ascii="仿宋" w:hAnsi="仿宋" w:eastAsia="仿宋" w:cs="仿宋"/>
          <w:sz w:val="24"/>
          <w:szCs w:val="24"/>
        </w:rPr>
        <w:t>向发包人提供不可撤销的担保。</w:t>
      </w:r>
    </w:p>
    <w:p>
      <w:pPr>
        <w:spacing w:line="360" w:lineRule="auto"/>
        <w:ind w:firstLine="480"/>
        <w:rPr>
          <w:rFonts w:ascii="仿宋" w:hAnsi="仿宋" w:eastAsia="仿宋" w:cs="Times New Roman"/>
          <w:sz w:val="24"/>
          <w:szCs w:val="24"/>
        </w:rPr>
      </w:pPr>
      <w:r>
        <w:rPr>
          <w:rFonts w:hint="eastAsia" w:ascii="仿宋" w:hAnsi="仿宋" w:eastAsia="仿宋" w:cs="仿宋"/>
          <w:sz w:val="24"/>
          <w:szCs w:val="24"/>
        </w:rPr>
        <w:t>如果承包人在履行合同过程中发生违约或违背合同约定的义务和责任时，我方保证在担保金额额度内偿还或偿清发包人因承包人该项违约或违背所造成的经济损失，并在接到发包人提出赔偿要求的第</w:t>
      </w:r>
      <w:r>
        <w:rPr>
          <w:rFonts w:ascii="仿宋" w:hAnsi="仿宋" w:eastAsia="仿宋" w:cs="仿宋"/>
          <w:sz w:val="24"/>
          <w:szCs w:val="24"/>
          <w:u w:val="single"/>
        </w:rPr>
        <w:t xml:space="preserve">    </w:t>
      </w:r>
      <w:r>
        <w:rPr>
          <w:rFonts w:hint="eastAsia" w:ascii="仿宋" w:hAnsi="仿宋" w:eastAsia="仿宋" w:cs="仿宋"/>
          <w:sz w:val="24"/>
          <w:szCs w:val="24"/>
        </w:rPr>
        <w:t>天内予以支付，发包人应提供承包人有上述违约或违背合同约定事实的证据或相关的证明材料。</w:t>
      </w:r>
    </w:p>
    <w:p>
      <w:pPr>
        <w:spacing w:line="360" w:lineRule="auto"/>
        <w:ind w:firstLine="480"/>
        <w:rPr>
          <w:rFonts w:ascii="仿宋" w:hAnsi="仿宋" w:eastAsia="仿宋" w:cs="Times New Roman"/>
          <w:sz w:val="24"/>
          <w:szCs w:val="24"/>
        </w:rPr>
      </w:pPr>
      <w:r>
        <w:rPr>
          <w:rFonts w:hint="eastAsia" w:ascii="仿宋" w:hAnsi="仿宋" w:eastAsia="仿宋" w:cs="仿宋"/>
          <w:sz w:val="24"/>
          <w:szCs w:val="24"/>
        </w:rPr>
        <w:t>在向我方提出要求前，我方将不坚持要求发包人首先向承包人提出上述款项的索赔。</w:t>
      </w:r>
    </w:p>
    <w:p>
      <w:pPr>
        <w:spacing w:line="360" w:lineRule="auto"/>
        <w:ind w:firstLine="480"/>
        <w:rPr>
          <w:rFonts w:ascii="仿宋" w:hAnsi="仿宋" w:eastAsia="仿宋" w:cs="Times New Roman"/>
          <w:sz w:val="24"/>
          <w:szCs w:val="24"/>
        </w:rPr>
      </w:pPr>
      <w:r>
        <w:rPr>
          <w:rFonts w:hint="eastAsia" w:ascii="仿宋" w:hAnsi="仿宋" w:eastAsia="仿宋" w:cs="仿宋"/>
          <w:sz w:val="24"/>
          <w:szCs w:val="24"/>
        </w:rPr>
        <w:t>我方承诺：不论是否经我方知晓或同意，我方的义务和责任不因合同双方当事人对合同条款所作的任何修改或补充而解除。</w:t>
      </w:r>
    </w:p>
    <w:p>
      <w:pPr>
        <w:spacing w:line="360" w:lineRule="auto"/>
        <w:ind w:firstLine="480"/>
        <w:rPr>
          <w:rFonts w:ascii="仿宋" w:hAnsi="仿宋" w:eastAsia="仿宋" w:cs="Times New Roman"/>
          <w:sz w:val="24"/>
          <w:szCs w:val="24"/>
        </w:rPr>
      </w:pPr>
      <w:r>
        <w:rPr>
          <w:rFonts w:hint="eastAsia" w:ascii="仿宋" w:hAnsi="仿宋" w:eastAsia="仿宋" w:cs="仿宋"/>
          <w:sz w:val="24"/>
          <w:szCs w:val="24"/>
        </w:rPr>
        <w:t>本履约担保自合同双方当事人签署施工合同之日起生效，至担保金额支付完毕，或工程竣工验收合格，发包人向承包人颁发竣工验收证书后第</w:t>
      </w:r>
      <w:r>
        <w:rPr>
          <w:rFonts w:ascii="仿宋" w:hAnsi="仿宋" w:eastAsia="仿宋" w:cs="仿宋"/>
          <w:sz w:val="24"/>
          <w:szCs w:val="24"/>
        </w:rPr>
        <w:t>15</w:t>
      </w:r>
      <w:r>
        <w:rPr>
          <w:rFonts w:hint="eastAsia" w:ascii="仿宋" w:hAnsi="仿宋" w:eastAsia="仿宋" w:cs="仿宋"/>
          <w:sz w:val="24"/>
          <w:szCs w:val="24"/>
        </w:rPr>
        <w:t>天止。</w:t>
      </w:r>
    </w:p>
    <w:p>
      <w:pPr>
        <w:spacing w:line="360" w:lineRule="auto"/>
        <w:ind w:firstLine="480"/>
        <w:rPr>
          <w:rFonts w:ascii="仿宋" w:hAnsi="仿宋" w:eastAsia="仿宋" w:cs="Times New Roman"/>
          <w:sz w:val="24"/>
          <w:szCs w:val="24"/>
        </w:rPr>
      </w:pPr>
    </w:p>
    <w:p>
      <w:pPr>
        <w:spacing w:line="360" w:lineRule="auto"/>
        <w:ind w:firstLine="480"/>
        <w:rPr>
          <w:rFonts w:ascii="仿宋" w:hAnsi="仿宋" w:eastAsia="仿宋" w:cs="Times New Roman"/>
          <w:sz w:val="24"/>
          <w:szCs w:val="24"/>
        </w:rPr>
      </w:pPr>
    </w:p>
    <w:p>
      <w:pPr>
        <w:spacing w:line="360" w:lineRule="auto"/>
        <w:ind w:firstLine="480"/>
        <w:rPr>
          <w:rFonts w:ascii="仿宋" w:hAnsi="仿宋" w:eastAsia="仿宋" w:cs="Times New Roman"/>
          <w:sz w:val="24"/>
          <w:szCs w:val="24"/>
        </w:rPr>
      </w:pPr>
    </w:p>
    <w:p>
      <w:pPr>
        <w:spacing w:line="360" w:lineRule="auto"/>
        <w:ind w:firstLine="480"/>
        <w:rPr>
          <w:rFonts w:ascii="仿宋" w:hAnsi="仿宋" w:eastAsia="仿宋" w:cs="Times New Roman"/>
          <w:sz w:val="24"/>
          <w:szCs w:val="24"/>
        </w:rPr>
      </w:pPr>
    </w:p>
    <w:p>
      <w:pPr>
        <w:spacing w:line="360" w:lineRule="auto"/>
        <w:ind w:firstLine="480"/>
        <w:rPr>
          <w:rFonts w:ascii="仿宋" w:hAnsi="仿宋" w:eastAsia="仿宋" w:cs="Times New Roman"/>
          <w:sz w:val="24"/>
          <w:szCs w:val="24"/>
        </w:rPr>
      </w:pPr>
    </w:p>
    <w:p>
      <w:pPr>
        <w:spacing w:line="360" w:lineRule="auto"/>
        <w:ind w:firstLine="480"/>
        <w:rPr>
          <w:rFonts w:ascii="仿宋" w:hAnsi="仿宋" w:eastAsia="仿宋" w:cs="Times New Roman"/>
          <w:sz w:val="24"/>
          <w:szCs w:val="24"/>
        </w:rPr>
      </w:pPr>
    </w:p>
    <w:p>
      <w:pPr>
        <w:spacing w:line="360" w:lineRule="auto"/>
        <w:ind w:firstLine="480"/>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担保人盖章：</w:t>
      </w:r>
    </w:p>
    <w:p>
      <w:pPr>
        <w:spacing w:line="360" w:lineRule="auto"/>
        <w:ind w:firstLine="480"/>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法定代表人或其授权的代理人：</w:t>
      </w:r>
      <w:r>
        <w:rPr>
          <w:rFonts w:ascii="仿宋" w:hAnsi="仿宋" w:eastAsia="仿宋" w:cs="仿宋"/>
          <w:sz w:val="24"/>
          <w:szCs w:val="24"/>
        </w:rPr>
        <w:t>(</w:t>
      </w:r>
      <w:r>
        <w:rPr>
          <w:rFonts w:hint="eastAsia" w:ascii="仿宋" w:hAnsi="仿宋" w:eastAsia="仿宋" w:cs="仿宋"/>
          <w:sz w:val="24"/>
          <w:szCs w:val="24"/>
        </w:rPr>
        <w:t>签字签章</w:t>
      </w:r>
      <w:r>
        <w:rPr>
          <w:rFonts w:ascii="仿宋" w:hAnsi="仿宋" w:eastAsia="仿宋" w:cs="仿宋"/>
          <w:sz w:val="24"/>
          <w:szCs w:val="24"/>
        </w:rPr>
        <w:t xml:space="preserve">)                                                         </w:t>
      </w:r>
    </w:p>
    <w:p>
      <w:pPr>
        <w:spacing w:line="360" w:lineRule="auto"/>
        <w:ind w:firstLine="4560" w:firstLineChars="1900"/>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地址：</w:t>
      </w:r>
      <w:r>
        <w:rPr>
          <w:rFonts w:ascii="仿宋" w:hAnsi="仿宋" w:eastAsia="仿宋" w:cs="仿宋"/>
          <w:sz w:val="24"/>
          <w:szCs w:val="24"/>
        </w:rPr>
        <w:t xml:space="preserve"> </w:t>
      </w:r>
    </w:p>
    <w:p>
      <w:pPr>
        <w:spacing w:line="360" w:lineRule="auto"/>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日期：</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p>
    <w:p>
      <w:pPr>
        <w:spacing w:before="240" w:beforeLines="100" w:after="240" w:afterLines="100" w:line="360" w:lineRule="auto"/>
        <w:outlineLvl w:val="1"/>
        <w:rPr>
          <w:rFonts w:ascii="仿宋" w:hAnsi="仿宋" w:eastAsia="仿宋" w:cs="仿宋"/>
          <w:b/>
          <w:bCs/>
          <w:color w:val="000000"/>
          <w:kern w:val="0"/>
          <w:sz w:val="24"/>
          <w:szCs w:val="24"/>
        </w:rPr>
      </w:pPr>
      <w:r>
        <w:rPr>
          <w:rFonts w:ascii="仿宋" w:hAnsi="仿宋" w:eastAsia="仿宋" w:cs="Times New Roman"/>
          <w:kern w:val="0"/>
          <w:sz w:val="24"/>
          <w:szCs w:val="24"/>
        </w:rPr>
        <w:br w:type="page"/>
      </w:r>
      <w:bookmarkStart w:id="739" w:name="_Toc469384144"/>
      <w:bookmarkStart w:id="740" w:name="_Toc10624988"/>
      <w:bookmarkStart w:id="741" w:name="_Toc266892928"/>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2</w:t>
      </w:r>
      <w:bookmarkEnd w:id="739"/>
      <w:bookmarkEnd w:id="740"/>
      <w:bookmarkEnd w:id="741"/>
    </w:p>
    <w:p>
      <w:pPr>
        <w:spacing w:line="360" w:lineRule="auto"/>
        <w:jc w:val="center"/>
        <w:rPr>
          <w:rFonts w:ascii="仿宋" w:hAnsi="仿宋" w:eastAsia="仿宋" w:cs="Times New Roman"/>
          <w:b/>
          <w:bCs/>
          <w:spacing w:val="40"/>
          <w:sz w:val="36"/>
          <w:szCs w:val="36"/>
        </w:rPr>
      </w:pPr>
      <w:r>
        <w:rPr>
          <w:rFonts w:hint="eastAsia" w:ascii="仿宋" w:hAnsi="仿宋" w:eastAsia="仿宋" w:cs="仿宋"/>
          <w:b/>
          <w:bCs/>
          <w:spacing w:val="40"/>
          <w:sz w:val="36"/>
          <w:szCs w:val="36"/>
        </w:rPr>
        <w:t>支付担保</w:t>
      </w:r>
    </w:p>
    <w:p>
      <w:pPr>
        <w:spacing w:line="360" w:lineRule="auto"/>
        <w:rPr>
          <w:rFonts w:ascii="仿宋" w:hAnsi="仿宋" w:eastAsia="仿宋" w:cs="Times New Roman"/>
          <w:sz w:val="24"/>
          <w:szCs w:val="24"/>
        </w:rPr>
      </w:pPr>
    </w:p>
    <w:p>
      <w:pPr>
        <w:spacing w:line="360" w:lineRule="auto"/>
        <w:rPr>
          <w:rFonts w:ascii="仿宋" w:hAnsi="仿宋" w:eastAsia="仿宋" w:cs="仿宋"/>
          <w:sz w:val="24"/>
          <w:szCs w:val="24"/>
        </w:rPr>
      </w:pPr>
      <w:r>
        <w:rPr>
          <w:rFonts w:hint="eastAsia" w:ascii="仿宋" w:hAnsi="仿宋" w:eastAsia="仿宋" w:cs="仿宋"/>
          <w:sz w:val="24"/>
          <w:szCs w:val="24"/>
        </w:rPr>
        <w:t>致：</w:t>
      </w:r>
      <w:r>
        <w:rPr>
          <w:rFonts w:ascii="仿宋" w:hAnsi="仿宋" w:eastAsia="仿宋" w:cs="仿宋"/>
          <w:sz w:val="24"/>
          <w:szCs w:val="24"/>
          <w:u w:val="single"/>
        </w:rPr>
        <w:t xml:space="preserve">                                              </w:t>
      </w:r>
      <w:r>
        <w:rPr>
          <w:rFonts w:hint="eastAsia" w:ascii="仿宋" w:hAnsi="仿宋" w:eastAsia="仿宋" w:cs="仿宋"/>
          <w:sz w:val="24"/>
          <w:szCs w:val="24"/>
        </w:rPr>
        <w:t>（承包人全称）</w:t>
      </w:r>
      <w:r>
        <w:rPr>
          <w:rFonts w:ascii="仿宋" w:hAnsi="仿宋" w:eastAsia="仿宋" w:cs="仿宋"/>
          <w:sz w:val="24"/>
          <w:szCs w:val="24"/>
        </w:rPr>
        <w:t xml:space="preserve">   </w:t>
      </w:r>
    </w:p>
    <w:p>
      <w:pPr>
        <w:spacing w:line="360" w:lineRule="auto"/>
        <w:ind w:firstLine="480"/>
        <w:jc w:val="left"/>
        <w:rPr>
          <w:rFonts w:ascii="仿宋" w:hAnsi="仿宋" w:eastAsia="仿宋" w:cs="Times New Roman"/>
          <w:sz w:val="24"/>
          <w:szCs w:val="24"/>
        </w:rPr>
      </w:pPr>
      <w:r>
        <w:rPr>
          <w:rFonts w:hint="eastAsia" w:ascii="仿宋" w:hAnsi="仿宋" w:eastAsia="仿宋" w:cs="仿宋"/>
          <w:sz w:val="24"/>
          <w:szCs w:val="24"/>
        </w:rPr>
        <w:t>鉴于</w:t>
      </w:r>
      <w:r>
        <w:rPr>
          <w:rFonts w:ascii="仿宋" w:hAnsi="仿宋" w:eastAsia="仿宋" w:cs="仿宋"/>
          <w:sz w:val="24"/>
          <w:szCs w:val="24"/>
          <w:u w:val="single"/>
        </w:rPr>
        <w:t xml:space="preserve">                                                </w:t>
      </w:r>
      <w:r>
        <w:rPr>
          <w:rFonts w:hint="eastAsia" w:ascii="仿宋" w:hAnsi="仿宋" w:eastAsia="仿宋" w:cs="仿宋"/>
          <w:sz w:val="24"/>
          <w:szCs w:val="24"/>
        </w:rPr>
        <w:t>（发包人全称）</w:t>
      </w:r>
      <w:r>
        <w:rPr>
          <w:rFonts w:ascii="仿宋" w:hAnsi="仿宋" w:eastAsia="仿宋" w:cs="仿宋"/>
          <w:sz w:val="24"/>
          <w:szCs w:val="24"/>
        </w:rPr>
        <w:t>(</w:t>
      </w:r>
      <w:r>
        <w:rPr>
          <w:rFonts w:hint="eastAsia" w:ascii="仿宋" w:hAnsi="仿宋" w:eastAsia="仿宋" w:cs="仿宋"/>
          <w:sz w:val="24"/>
          <w:szCs w:val="24"/>
        </w:rPr>
        <w:t>下称“发包人”</w:t>
      </w:r>
      <w:r>
        <w:rPr>
          <w:rFonts w:ascii="仿宋" w:hAnsi="仿宋" w:eastAsia="仿宋" w:cs="仿宋"/>
          <w:sz w:val="24"/>
          <w:szCs w:val="24"/>
        </w:rPr>
        <w:t>)</w:t>
      </w:r>
      <w:r>
        <w:rPr>
          <w:rFonts w:hint="eastAsia" w:ascii="仿宋" w:hAnsi="仿宋" w:eastAsia="仿宋" w:cs="仿宋"/>
          <w:sz w:val="24"/>
          <w:szCs w:val="24"/>
        </w:rPr>
        <w:t>与</w:t>
      </w:r>
      <w:r>
        <w:rPr>
          <w:rFonts w:ascii="仿宋" w:hAnsi="仿宋" w:eastAsia="仿宋" w:cs="仿宋"/>
          <w:sz w:val="24"/>
          <w:szCs w:val="24"/>
          <w:u w:val="single"/>
        </w:rPr>
        <w:t xml:space="preserve">                           </w:t>
      </w:r>
      <w:r>
        <w:rPr>
          <w:rFonts w:hint="eastAsia" w:ascii="仿宋" w:hAnsi="仿宋" w:eastAsia="仿宋" w:cs="仿宋"/>
          <w:sz w:val="24"/>
          <w:szCs w:val="24"/>
        </w:rPr>
        <w:t>（承包人全称）</w:t>
      </w:r>
      <w:r>
        <w:rPr>
          <w:rFonts w:ascii="仿宋" w:hAnsi="仿宋" w:eastAsia="仿宋" w:cs="仿宋"/>
          <w:sz w:val="24"/>
          <w:szCs w:val="24"/>
        </w:rPr>
        <w:t xml:space="preserve">( </w:t>
      </w:r>
      <w:r>
        <w:rPr>
          <w:rFonts w:hint="eastAsia" w:ascii="仿宋" w:hAnsi="仿宋" w:eastAsia="仿宋" w:cs="仿宋"/>
          <w:sz w:val="24"/>
          <w:szCs w:val="24"/>
        </w:rPr>
        <w:t>下称“承包人”</w:t>
      </w:r>
      <w:r>
        <w:rPr>
          <w:rFonts w:ascii="仿宋" w:hAnsi="仿宋" w:eastAsia="仿宋" w:cs="仿宋"/>
          <w:sz w:val="24"/>
          <w:szCs w:val="24"/>
        </w:rPr>
        <w:t xml:space="preserve"> )</w:t>
      </w:r>
      <w:r>
        <w:rPr>
          <w:rFonts w:hint="eastAsia" w:ascii="仿宋" w:hAnsi="仿宋" w:eastAsia="仿宋" w:cs="仿宋"/>
          <w:sz w:val="24"/>
          <w:szCs w:val="24"/>
        </w:rPr>
        <w:t>签订</w:t>
      </w:r>
      <w:r>
        <w:rPr>
          <w:rFonts w:ascii="仿宋" w:hAnsi="仿宋" w:eastAsia="仿宋" w:cs="仿宋"/>
          <w:sz w:val="24"/>
          <w:szCs w:val="24"/>
          <w:u w:val="single"/>
        </w:rPr>
        <w:t xml:space="preserve">                                </w:t>
      </w:r>
      <w:r>
        <w:rPr>
          <w:rFonts w:hint="eastAsia" w:ascii="仿宋" w:hAnsi="仿宋" w:eastAsia="仿宋" w:cs="仿宋"/>
          <w:sz w:val="24"/>
          <w:szCs w:val="24"/>
        </w:rPr>
        <w:t>（工程名称）施工合同</w:t>
      </w:r>
      <w:r>
        <w:rPr>
          <w:rFonts w:ascii="仿宋" w:hAnsi="仿宋" w:eastAsia="仿宋" w:cs="仿宋"/>
          <w:sz w:val="24"/>
          <w:szCs w:val="24"/>
        </w:rPr>
        <w:t>(</w:t>
      </w:r>
      <w:r>
        <w:rPr>
          <w:rFonts w:hint="eastAsia" w:ascii="仿宋" w:hAnsi="仿宋" w:eastAsia="仿宋" w:cs="仿宋"/>
          <w:sz w:val="24"/>
          <w:szCs w:val="24"/>
        </w:rPr>
        <w:t>编号</w:t>
      </w:r>
      <w:r>
        <w:rPr>
          <w:rFonts w:ascii="仿宋" w:hAnsi="仿宋" w:eastAsia="仿宋" w:cs="仿宋"/>
          <w:sz w:val="24"/>
          <w:szCs w:val="24"/>
          <w:u w:val="single"/>
        </w:rPr>
        <w:t xml:space="preserve">       </w:t>
      </w:r>
      <w:r>
        <w:rPr>
          <w:rFonts w:hint="eastAsia"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日签署</w:t>
      </w:r>
      <w:r>
        <w:rPr>
          <w:rFonts w:ascii="仿宋" w:hAnsi="仿宋" w:eastAsia="仿宋" w:cs="仿宋"/>
          <w:sz w:val="24"/>
          <w:szCs w:val="24"/>
        </w:rPr>
        <w:t>)</w:t>
      </w:r>
      <w:r>
        <w:rPr>
          <w:rFonts w:hint="eastAsia" w:ascii="仿宋" w:hAnsi="仿宋" w:eastAsia="仿宋" w:cs="仿宋"/>
          <w:sz w:val="24"/>
          <w:szCs w:val="24"/>
        </w:rPr>
        <w:t>，并保证发包人按合同约定履行向承包人支付工程价款及其他应支付款项等全部合同价款的义务和责任；承包人在合同中要求发包人应通过经认可的担保人提交合同指约定的发包人履行本合同全部义务和责任的担保金额等事实，我方愿意为发包人担保，以担保金额人民币</w:t>
      </w:r>
      <w:r>
        <w:rPr>
          <w:rFonts w:ascii="仿宋" w:hAnsi="仿宋" w:eastAsia="仿宋" w:cs="仿宋"/>
          <w:sz w:val="24"/>
          <w:szCs w:val="24"/>
        </w:rPr>
        <w:t>(</w:t>
      </w:r>
      <w:r>
        <w:rPr>
          <w:rFonts w:hint="eastAsia" w:ascii="仿宋" w:hAnsi="仿宋" w:eastAsia="仿宋" w:cs="仿宋"/>
          <w:sz w:val="24"/>
          <w:szCs w:val="24"/>
        </w:rPr>
        <w:t>大写</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元</w:t>
      </w:r>
      <w:r>
        <w:rPr>
          <w:rFonts w:ascii="仿宋" w:hAnsi="仿宋" w:eastAsia="仿宋" w:cs="仿宋"/>
          <w:sz w:val="24"/>
          <w:szCs w:val="24"/>
        </w:rPr>
        <w:t xml:space="preserve"> (</w:t>
      </w:r>
      <w:r>
        <w:rPr>
          <w:rFonts w:ascii="宋体" w:hAnsi="宋体" w:eastAsia="仿宋" w:cs="Times New Roman"/>
          <w:sz w:val="24"/>
          <w:szCs w:val="24"/>
        </w:rPr>
        <w:t>¥</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元</w:t>
      </w:r>
      <w:r>
        <w:rPr>
          <w:rFonts w:ascii="仿宋" w:hAnsi="仿宋" w:eastAsia="仿宋" w:cs="仿宋"/>
          <w:sz w:val="24"/>
          <w:szCs w:val="24"/>
        </w:rPr>
        <w:t>)</w:t>
      </w:r>
      <w:r>
        <w:rPr>
          <w:rFonts w:hint="eastAsia" w:ascii="仿宋" w:hAnsi="仿宋" w:eastAsia="仿宋" w:cs="仿宋"/>
          <w:sz w:val="24"/>
          <w:szCs w:val="24"/>
        </w:rPr>
        <w:t>向承包人提供不可撤销的担保。</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如果发包人在履行合同过程中不按合同约定支付全部合同价款或违背合同约定的义务和责任时，我方保证在担保金额额度内偿还或偿清承包人因发包人该项违约或违背所造成的经济损失，并在接到承包人要求的第</w:t>
      </w:r>
      <w:r>
        <w:rPr>
          <w:rFonts w:ascii="仿宋" w:hAnsi="仿宋" w:eastAsia="仿宋" w:cs="仿宋"/>
          <w:sz w:val="24"/>
          <w:szCs w:val="24"/>
          <w:u w:val="single"/>
        </w:rPr>
        <w:t xml:space="preserve">    </w:t>
      </w:r>
      <w:r>
        <w:rPr>
          <w:rFonts w:hint="eastAsia" w:ascii="仿宋" w:hAnsi="仿宋" w:eastAsia="仿宋" w:cs="仿宋"/>
          <w:sz w:val="24"/>
          <w:szCs w:val="24"/>
        </w:rPr>
        <w:t>天内予以支付，承包人应提供发包人有上述违约或违背合同约定事实的证据或相关的证明材料。</w:t>
      </w:r>
      <w:r>
        <w:rPr>
          <w:rFonts w:ascii="仿宋" w:hAnsi="仿宋" w:eastAsia="仿宋" w:cs="仿宋"/>
          <w:sz w:val="24"/>
          <w:szCs w:val="24"/>
        </w:rPr>
        <w:t xml:space="preserve">         </w:t>
      </w:r>
    </w:p>
    <w:p>
      <w:pPr>
        <w:spacing w:line="360" w:lineRule="auto"/>
        <w:ind w:firstLine="480"/>
        <w:rPr>
          <w:rFonts w:ascii="仿宋" w:hAnsi="仿宋" w:eastAsia="仿宋" w:cs="Times New Roman"/>
          <w:sz w:val="24"/>
          <w:szCs w:val="24"/>
        </w:rPr>
      </w:pPr>
      <w:r>
        <w:rPr>
          <w:rFonts w:hint="eastAsia" w:ascii="仿宋" w:hAnsi="仿宋" w:eastAsia="仿宋" w:cs="仿宋"/>
          <w:sz w:val="24"/>
          <w:szCs w:val="24"/>
        </w:rPr>
        <w:t>在向我方提出要求前，我方将不坚持要求承包人首先向发包人提出上述款项的索赔。</w:t>
      </w:r>
    </w:p>
    <w:p>
      <w:pPr>
        <w:spacing w:line="360" w:lineRule="auto"/>
        <w:ind w:firstLine="480"/>
        <w:rPr>
          <w:rFonts w:ascii="仿宋" w:hAnsi="仿宋" w:eastAsia="仿宋" w:cs="Times New Roman"/>
          <w:sz w:val="24"/>
          <w:szCs w:val="24"/>
        </w:rPr>
      </w:pPr>
      <w:r>
        <w:rPr>
          <w:rFonts w:hint="eastAsia" w:ascii="仿宋" w:hAnsi="仿宋" w:eastAsia="仿宋" w:cs="仿宋"/>
          <w:sz w:val="24"/>
          <w:szCs w:val="24"/>
        </w:rPr>
        <w:t>我方承诺：不论是否经我方知晓或同意，我方的义务和责任不因合同双方当事人对合同条款所作的任何修改或补充而解除。</w:t>
      </w:r>
    </w:p>
    <w:p>
      <w:pPr>
        <w:spacing w:line="360" w:lineRule="auto"/>
        <w:ind w:firstLine="480"/>
        <w:rPr>
          <w:rFonts w:ascii="仿宋" w:hAnsi="仿宋" w:eastAsia="仿宋" w:cs="Times New Roman"/>
          <w:sz w:val="24"/>
          <w:szCs w:val="24"/>
        </w:rPr>
      </w:pPr>
      <w:r>
        <w:rPr>
          <w:rFonts w:hint="eastAsia" w:ascii="仿宋" w:hAnsi="仿宋" w:eastAsia="仿宋" w:cs="仿宋"/>
          <w:sz w:val="24"/>
          <w:szCs w:val="24"/>
        </w:rPr>
        <w:t>本支付担保自合同双方当事人签署施工合同之日起生效，至担保金额支付完毕，或除质量保证金外，发包人向承包人支付全部合同价款完毕后的第</w:t>
      </w:r>
      <w:r>
        <w:rPr>
          <w:rFonts w:ascii="仿宋" w:hAnsi="仿宋" w:eastAsia="仿宋" w:cs="仿宋"/>
          <w:sz w:val="24"/>
          <w:szCs w:val="24"/>
        </w:rPr>
        <w:t>15</w:t>
      </w:r>
      <w:r>
        <w:rPr>
          <w:rFonts w:hint="eastAsia" w:ascii="仿宋" w:hAnsi="仿宋" w:eastAsia="仿宋" w:cs="仿宋"/>
          <w:sz w:val="24"/>
          <w:szCs w:val="24"/>
        </w:rPr>
        <w:t>天止。</w:t>
      </w:r>
    </w:p>
    <w:p>
      <w:pPr>
        <w:spacing w:line="360" w:lineRule="auto"/>
        <w:ind w:firstLine="480"/>
        <w:rPr>
          <w:rFonts w:ascii="仿宋" w:hAnsi="仿宋" w:eastAsia="仿宋" w:cs="Times New Roman"/>
          <w:sz w:val="24"/>
          <w:szCs w:val="24"/>
        </w:rPr>
      </w:pPr>
    </w:p>
    <w:p>
      <w:pPr>
        <w:spacing w:line="360" w:lineRule="auto"/>
        <w:ind w:firstLine="480"/>
        <w:rPr>
          <w:rFonts w:ascii="仿宋" w:hAnsi="仿宋" w:eastAsia="仿宋" w:cs="Times New Roman"/>
          <w:sz w:val="24"/>
          <w:szCs w:val="24"/>
        </w:rPr>
      </w:pPr>
    </w:p>
    <w:p>
      <w:pPr>
        <w:spacing w:line="360" w:lineRule="auto"/>
        <w:ind w:firstLine="480"/>
        <w:rPr>
          <w:rFonts w:ascii="仿宋" w:hAnsi="仿宋" w:eastAsia="仿宋" w:cs="Times New Roman"/>
          <w:sz w:val="24"/>
          <w:szCs w:val="24"/>
        </w:rPr>
      </w:pPr>
    </w:p>
    <w:p>
      <w:pPr>
        <w:spacing w:line="360" w:lineRule="auto"/>
        <w:ind w:firstLine="480"/>
        <w:rPr>
          <w:rFonts w:ascii="仿宋" w:hAnsi="仿宋" w:eastAsia="仿宋" w:cs="Times New Roman"/>
          <w:sz w:val="24"/>
          <w:szCs w:val="24"/>
        </w:rPr>
      </w:pPr>
    </w:p>
    <w:p>
      <w:pPr>
        <w:spacing w:line="360" w:lineRule="auto"/>
        <w:ind w:firstLine="480"/>
        <w:rPr>
          <w:rFonts w:ascii="仿宋" w:hAnsi="仿宋" w:eastAsia="仿宋" w:cs="Times New Roman"/>
          <w:sz w:val="24"/>
          <w:szCs w:val="24"/>
        </w:rPr>
      </w:pPr>
    </w:p>
    <w:p>
      <w:pPr>
        <w:spacing w:line="360" w:lineRule="auto"/>
        <w:ind w:firstLine="480"/>
        <w:rPr>
          <w:rFonts w:ascii="仿宋" w:hAnsi="仿宋" w:eastAsia="仿宋" w:cs="仿宋"/>
          <w:sz w:val="24"/>
          <w:szCs w:val="24"/>
        </w:rPr>
      </w:pPr>
      <w:r>
        <w:rPr>
          <w:rFonts w:ascii="仿宋" w:hAnsi="仿宋" w:eastAsia="仿宋" w:cs="仿宋"/>
          <w:sz w:val="24"/>
          <w:szCs w:val="24"/>
        </w:rPr>
        <w:t xml:space="preserve">                                    </w:t>
      </w:r>
    </w:p>
    <w:p>
      <w:pPr>
        <w:spacing w:line="360" w:lineRule="auto"/>
        <w:ind w:firstLine="480"/>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担保人盖章：</w:t>
      </w:r>
    </w:p>
    <w:p>
      <w:pPr>
        <w:spacing w:line="360" w:lineRule="auto"/>
        <w:ind w:firstLine="480"/>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法定代表人或其授权的代理人：</w:t>
      </w:r>
      <w:r>
        <w:rPr>
          <w:rFonts w:ascii="仿宋" w:hAnsi="仿宋" w:eastAsia="仿宋" w:cs="仿宋"/>
          <w:sz w:val="24"/>
          <w:szCs w:val="24"/>
        </w:rPr>
        <w:t>(</w:t>
      </w:r>
      <w:r>
        <w:rPr>
          <w:rFonts w:hint="eastAsia" w:ascii="仿宋" w:hAnsi="仿宋" w:eastAsia="仿宋" w:cs="仿宋"/>
          <w:sz w:val="24"/>
          <w:szCs w:val="24"/>
        </w:rPr>
        <w:t>签字签章</w:t>
      </w:r>
      <w:r>
        <w:rPr>
          <w:rFonts w:ascii="仿宋" w:hAnsi="仿宋" w:eastAsia="仿宋" w:cs="仿宋"/>
          <w:sz w:val="24"/>
          <w:szCs w:val="24"/>
        </w:rPr>
        <w:t xml:space="preserve">)                                                         </w:t>
      </w:r>
    </w:p>
    <w:p>
      <w:pPr>
        <w:spacing w:line="360" w:lineRule="auto"/>
        <w:ind w:firstLine="4560" w:firstLineChars="1900"/>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地址：</w:t>
      </w:r>
      <w:r>
        <w:rPr>
          <w:rFonts w:ascii="仿宋" w:hAnsi="仿宋" w:eastAsia="仿宋" w:cs="仿宋"/>
          <w:sz w:val="24"/>
          <w:szCs w:val="24"/>
        </w:rPr>
        <w:t xml:space="preserve"> </w:t>
      </w:r>
    </w:p>
    <w:p>
      <w:pPr>
        <w:spacing w:line="360" w:lineRule="auto"/>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日期：</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p>
    <w:p>
      <w:pPr>
        <w:spacing w:before="240" w:beforeLines="100" w:after="240" w:afterLines="100" w:line="360" w:lineRule="auto"/>
        <w:outlineLvl w:val="1"/>
        <w:rPr>
          <w:rFonts w:ascii="仿宋" w:hAnsi="仿宋" w:eastAsia="仿宋" w:cs="仿宋"/>
          <w:b/>
          <w:bCs/>
          <w:color w:val="000000"/>
          <w:kern w:val="0"/>
          <w:sz w:val="24"/>
          <w:szCs w:val="24"/>
        </w:rPr>
      </w:pPr>
      <w:r>
        <w:rPr>
          <w:rFonts w:ascii="仿宋" w:hAnsi="仿宋" w:eastAsia="仿宋" w:cs="Times New Roman"/>
          <w:kern w:val="0"/>
          <w:sz w:val="24"/>
          <w:szCs w:val="24"/>
        </w:rPr>
        <w:br w:type="page"/>
      </w:r>
      <w:bookmarkStart w:id="742" w:name="_Toc266892929"/>
      <w:bookmarkStart w:id="743" w:name="_Toc469384145"/>
      <w:bookmarkStart w:id="744" w:name="_Toc10624989"/>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3</w:t>
      </w:r>
      <w:bookmarkEnd w:id="742"/>
      <w:bookmarkEnd w:id="743"/>
      <w:bookmarkEnd w:id="744"/>
    </w:p>
    <w:p>
      <w:pPr>
        <w:spacing w:line="360" w:lineRule="auto"/>
        <w:jc w:val="center"/>
        <w:rPr>
          <w:rFonts w:ascii="仿宋" w:hAnsi="仿宋" w:eastAsia="仿宋" w:cs="Times New Roman"/>
          <w:b/>
          <w:bCs/>
          <w:spacing w:val="40"/>
          <w:sz w:val="36"/>
          <w:szCs w:val="36"/>
        </w:rPr>
      </w:pPr>
      <w:r>
        <w:rPr>
          <w:rFonts w:hint="eastAsia" w:ascii="仿宋" w:hAnsi="仿宋" w:eastAsia="仿宋" w:cs="仿宋"/>
          <w:b/>
          <w:bCs/>
          <w:spacing w:val="40"/>
          <w:sz w:val="36"/>
          <w:szCs w:val="36"/>
        </w:rPr>
        <w:t>预付款担保</w:t>
      </w:r>
    </w:p>
    <w:p>
      <w:pPr>
        <w:spacing w:line="360" w:lineRule="auto"/>
        <w:rPr>
          <w:rFonts w:ascii="仿宋" w:hAnsi="仿宋" w:eastAsia="仿宋" w:cs="Times New Roman"/>
          <w:sz w:val="24"/>
          <w:szCs w:val="24"/>
        </w:rPr>
      </w:pPr>
    </w:p>
    <w:p>
      <w:pPr>
        <w:spacing w:line="360" w:lineRule="auto"/>
        <w:rPr>
          <w:rFonts w:ascii="仿宋" w:hAnsi="仿宋" w:eastAsia="仿宋" w:cs="仿宋"/>
          <w:sz w:val="24"/>
          <w:szCs w:val="24"/>
        </w:rPr>
      </w:pPr>
      <w:r>
        <w:rPr>
          <w:rFonts w:hint="eastAsia" w:ascii="仿宋" w:hAnsi="仿宋" w:eastAsia="仿宋" w:cs="仿宋"/>
          <w:sz w:val="24"/>
          <w:szCs w:val="24"/>
        </w:rPr>
        <w:t>致：</w:t>
      </w:r>
      <w:r>
        <w:rPr>
          <w:rFonts w:ascii="仿宋" w:hAnsi="仿宋" w:eastAsia="仿宋" w:cs="仿宋"/>
          <w:sz w:val="24"/>
          <w:szCs w:val="24"/>
          <w:u w:val="single"/>
        </w:rPr>
        <w:t xml:space="preserve">                                                  </w:t>
      </w:r>
      <w:r>
        <w:rPr>
          <w:rFonts w:hint="eastAsia" w:ascii="仿宋" w:hAnsi="仿宋" w:eastAsia="仿宋" w:cs="仿宋"/>
          <w:sz w:val="24"/>
          <w:szCs w:val="24"/>
        </w:rPr>
        <w:t>（发包人全称）</w:t>
      </w:r>
      <w:r>
        <w:rPr>
          <w:rFonts w:ascii="仿宋" w:hAnsi="仿宋" w:eastAsia="仿宋" w:cs="仿宋"/>
          <w:sz w:val="24"/>
          <w:szCs w:val="24"/>
        </w:rPr>
        <w:t xml:space="preserve">   </w:t>
      </w:r>
    </w:p>
    <w:p>
      <w:pPr>
        <w:spacing w:line="360" w:lineRule="auto"/>
        <w:ind w:firstLine="480"/>
        <w:jc w:val="left"/>
        <w:rPr>
          <w:rFonts w:ascii="仿宋" w:hAnsi="仿宋" w:eastAsia="仿宋" w:cs="Times New Roman"/>
          <w:sz w:val="24"/>
          <w:szCs w:val="24"/>
        </w:rPr>
      </w:pPr>
      <w:r>
        <w:rPr>
          <w:rFonts w:hint="eastAsia" w:ascii="仿宋" w:hAnsi="仿宋" w:eastAsia="仿宋" w:cs="仿宋"/>
          <w:sz w:val="24"/>
          <w:szCs w:val="24"/>
        </w:rPr>
        <w:t>鉴于</w:t>
      </w:r>
      <w:r>
        <w:rPr>
          <w:rFonts w:ascii="仿宋" w:hAnsi="仿宋" w:eastAsia="仿宋" w:cs="仿宋"/>
          <w:sz w:val="24"/>
          <w:szCs w:val="24"/>
          <w:u w:val="single"/>
        </w:rPr>
        <w:t xml:space="preserve">                                                </w:t>
      </w:r>
      <w:r>
        <w:rPr>
          <w:rFonts w:hint="eastAsia" w:ascii="仿宋" w:hAnsi="仿宋" w:eastAsia="仿宋" w:cs="仿宋"/>
          <w:sz w:val="24"/>
          <w:szCs w:val="24"/>
        </w:rPr>
        <w:t>（承包人全称）</w:t>
      </w:r>
      <w:r>
        <w:rPr>
          <w:rFonts w:ascii="仿宋" w:hAnsi="仿宋" w:eastAsia="仿宋" w:cs="仿宋"/>
          <w:sz w:val="24"/>
          <w:szCs w:val="24"/>
        </w:rPr>
        <w:t>(</w:t>
      </w:r>
      <w:r>
        <w:rPr>
          <w:rFonts w:hint="eastAsia" w:ascii="仿宋" w:hAnsi="仿宋" w:eastAsia="仿宋" w:cs="仿宋"/>
          <w:sz w:val="24"/>
          <w:szCs w:val="24"/>
        </w:rPr>
        <w:t>下称“承包人”</w:t>
      </w:r>
      <w:r>
        <w:rPr>
          <w:rFonts w:ascii="仿宋" w:hAnsi="仿宋" w:eastAsia="仿宋" w:cs="仿宋"/>
          <w:sz w:val="24"/>
          <w:szCs w:val="24"/>
        </w:rPr>
        <w:t>)</w:t>
      </w:r>
      <w:r>
        <w:rPr>
          <w:rFonts w:hint="eastAsia" w:ascii="仿宋" w:hAnsi="仿宋" w:eastAsia="仿宋" w:cs="仿宋"/>
          <w:sz w:val="24"/>
          <w:szCs w:val="24"/>
        </w:rPr>
        <w:t>与</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hint="eastAsia" w:ascii="仿宋" w:hAnsi="仿宋" w:eastAsia="仿宋" w:cs="仿宋"/>
          <w:sz w:val="24"/>
          <w:szCs w:val="24"/>
        </w:rPr>
        <w:t>发包人全称）</w:t>
      </w:r>
      <w:r>
        <w:rPr>
          <w:rFonts w:ascii="仿宋" w:hAnsi="仿宋" w:eastAsia="仿宋" w:cs="仿宋"/>
          <w:sz w:val="24"/>
          <w:szCs w:val="24"/>
        </w:rPr>
        <w:t>(</w:t>
      </w:r>
      <w:r>
        <w:rPr>
          <w:rFonts w:hint="eastAsia" w:ascii="仿宋" w:hAnsi="仿宋" w:eastAsia="仿宋" w:cs="仿宋"/>
          <w:sz w:val="24"/>
          <w:szCs w:val="24"/>
        </w:rPr>
        <w:t>下称“发包人”</w:t>
      </w:r>
      <w:r>
        <w:rPr>
          <w:rFonts w:ascii="仿宋" w:hAnsi="仿宋" w:eastAsia="仿宋" w:cs="仿宋"/>
          <w:sz w:val="24"/>
          <w:szCs w:val="24"/>
        </w:rPr>
        <w:t>)</w:t>
      </w:r>
      <w:r>
        <w:rPr>
          <w:rFonts w:hint="eastAsia" w:ascii="仿宋" w:hAnsi="仿宋" w:eastAsia="仿宋" w:cs="仿宋"/>
          <w:sz w:val="24"/>
          <w:szCs w:val="24"/>
        </w:rPr>
        <w:t>签订</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（工程名称）施工合同</w:t>
      </w:r>
      <w:r>
        <w:rPr>
          <w:rFonts w:ascii="仿宋" w:hAnsi="仿宋" w:eastAsia="仿宋" w:cs="仿宋"/>
          <w:sz w:val="24"/>
          <w:szCs w:val="24"/>
        </w:rPr>
        <w:t>(</w:t>
      </w:r>
      <w:r>
        <w:rPr>
          <w:rFonts w:hint="eastAsia" w:ascii="仿宋" w:hAnsi="仿宋" w:eastAsia="仿宋" w:cs="仿宋"/>
          <w:sz w:val="24"/>
          <w:szCs w:val="24"/>
        </w:rPr>
        <w:t>编号</w:t>
      </w:r>
      <w:r>
        <w:rPr>
          <w:rFonts w:ascii="仿宋" w:hAnsi="仿宋" w:eastAsia="仿宋" w:cs="仿宋"/>
          <w:sz w:val="24"/>
          <w:szCs w:val="24"/>
          <w:u w:val="single"/>
        </w:rPr>
        <w:t xml:space="preserve">     </w:t>
      </w:r>
      <w:r>
        <w:rPr>
          <w:rFonts w:hint="eastAsia"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日签署</w:t>
      </w:r>
      <w:r>
        <w:rPr>
          <w:rFonts w:ascii="仿宋" w:hAnsi="仿宋" w:eastAsia="仿宋" w:cs="仿宋"/>
          <w:sz w:val="24"/>
          <w:szCs w:val="24"/>
        </w:rPr>
        <w:t>)</w:t>
      </w:r>
      <w:r>
        <w:rPr>
          <w:rFonts w:hint="eastAsia" w:ascii="仿宋" w:hAnsi="仿宋" w:eastAsia="仿宋" w:cs="仿宋"/>
          <w:sz w:val="24"/>
          <w:szCs w:val="24"/>
        </w:rPr>
        <w:t>，并保证承包人有权获得按合同约定为保证工程按时开工的由发包人支付的预付款；发包人在合同中要求承包人应通过经认可的担保人提交合同约定的与开工预付款等额的担保金额等事实，我方愿意为承包人担保，以担保金额人民币</w:t>
      </w:r>
      <w:r>
        <w:rPr>
          <w:rFonts w:ascii="仿宋" w:hAnsi="仿宋" w:eastAsia="仿宋" w:cs="仿宋"/>
          <w:sz w:val="24"/>
          <w:szCs w:val="24"/>
        </w:rPr>
        <w:t>(</w:t>
      </w:r>
      <w:r>
        <w:rPr>
          <w:rFonts w:hint="eastAsia" w:ascii="仿宋" w:hAnsi="仿宋" w:eastAsia="仿宋" w:cs="仿宋"/>
          <w:sz w:val="24"/>
          <w:szCs w:val="24"/>
        </w:rPr>
        <w:t>大写</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元</w:t>
      </w:r>
      <w:r>
        <w:rPr>
          <w:rFonts w:ascii="仿宋" w:hAnsi="仿宋" w:eastAsia="仿宋" w:cs="仿宋"/>
          <w:sz w:val="24"/>
          <w:szCs w:val="24"/>
        </w:rPr>
        <w:t>(</w:t>
      </w:r>
      <w:r>
        <w:rPr>
          <w:rFonts w:ascii="宋体" w:hAnsi="宋体" w:eastAsia="仿宋" w:cs="Times New Roman"/>
          <w:sz w:val="24"/>
          <w:szCs w:val="24"/>
        </w:rPr>
        <w:t>¥</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元</w:t>
      </w:r>
      <w:r>
        <w:rPr>
          <w:rFonts w:ascii="仿宋" w:hAnsi="仿宋" w:eastAsia="仿宋" w:cs="仿宋"/>
          <w:sz w:val="24"/>
          <w:szCs w:val="24"/>
        </w:rPr>
        <w:t>)</w:t>
      </w:r>
      <w:r>
        <w:rPr>
          <w:rFonts w:hint="eastAsia" w:ascii="仿宋" w:hAnsi="仿宋" w:eastAsia="仿宋" w:cs="仿宋"/>
          <w:sz w:val="24"/>
          <w:szCs w:val="24"/>
        </w:rPr>
        <w:t>向发包人提供不可撤销的担保。</w:t>
      </w:r>
    </w:p>
    <w:p>
      <w:pPr>
        <w:spacing w:line="360" w:lineRule="auto"/>
        <w:ind w:firstLine="480"/>
        <w:rPr>
          <w:rFonts w:ascii="仿宋" w:hAnsi="仿宋" w:eastAsia="仿宋" w:cs="Times New Roman"/>
          <w:sz w:val="24"/>
          <w:szCs w:val="24"/>
        </w:rPr>
      </w:pPr>
      <w:r>
        <w:rPr>
          <w:rFonts w:hint="eastAsia" w:ascii="仿宋" w:hAnsi="仿宋" w:eastAsia="仿宋" w:cs="仿宋"/>
          <w:sz w:val="24"/>
          <w:szCs w:val="24"/>
        </w:rPr>
        <w:t>如果承包人在履行合同过程中发生违约或违背合同约定的义务和责任时</w:t>
      </w:r>
      <w:r>
        <w:rPr>
          <w:rFonts w:ascii="仿宋" w:hAnsi="仿宋" w:eastAsia="仿宋" w:cs="仿宋"/>
          <w:sz w:val="24"/>
          <w:szCs w:val="24"/>
        </w:rPr>
        <w:t xml:space="preserve"> </w:t>
      </w:r>
      <w:r>
        <w:rPr>
          <w:rFonts w:hint="eastAsia" w:ascii="仿宋" w:hAnsi="仿宋" w:eastAsia="仿宋" w:cs="仿宋"/>
          <w:sz w:val="24"/>
          <w:szCs w:val="24"/>
        </w:rPr>
        <w:t>，我方保证在担保金额额度内偿还或偿清发包人因承包人该项违约或违背所造成的经济损失，并在接到发包人提出赔偿要求的第</w:t>
      </w:r>
      <w:r>
        <w:rPr>
          <w:rFonts w:ascii="仿宋" w:hAnsi="仿宋" w:eastAsia="仿宋" w:cs="仿宋"/>
          <w:sz w:val="24"/>
          <w:szCs w:val="24"/>
          <w:u w:val="single"/>
        </w:rPr>
        <w:t xml:space="preserve">     </w:t>
      </w:r>
      <w:r>
        <w:rPr>
          <w:rFonts w:hint="eastAsia" w:ascii="仿宋" w:hAnsi="仿宋" w:eastAsia="仿宋" w:cs="仿宋"/>
          <w:sz w:val="24"/>
          <w:szCs w:val="24"/>
        </w:rPr>
        <w:t>天内予以支付，发包人应提供承包人有上述违约或违背合同约定事实的证据或相关的证明材料。</w:t>
      </w:r>
    </w:p>
    <w:p>
      <w:pPr>
        <w:spacing w:line="360" w:lineRule="auto"/>
        <w:ind w:firstLine="480"/>
        <w:rPr>
          <w:rFonts w:ascii="仿宋" w:hAnsi="仿宋" w:eastAsia="仿宋" w:cs="Times New Roman"/>
          <w:sz w:val="24"/>
          <w:szCs w:val="24"/>
        </w:rPr>
      </w:pPr>
      <w:r>
        <w:rPr>
          <w:rFonts w:hint="eastAsia" w:ascii="仿宋" w:hAnsi="仿宋" w:eastAsia="仿宋" w:cs="仿宋"/>
          <w:sz w:val="24"/>
          <w:szCs w:val="24"/>
        </w:rPr>
        <w:t>在向我方提出要求前，我方将不坚持要求发包人首先向承包人提出上述款项的索赔。</w:t>
      </w:r>
    </w:p>
    <w:p>
      <w:pPr>
        <w:spacing w:line="360" w:lineRule="auto"/>
        <w:ind w:firstLine="480"/>
        <w:rPr>
          <w:rFonts w:ascii="仿宋" w:hAnsi="仿宋" w:eastAsia="仿宋" w:cs="Times New Roman"/>
          <w:sz w:val="24"/>
          <w:szCs w:val="24"/>
        </w:rPr>
      </w:pPr>
      <w:r>
        <w:rPr>
          <w:rFonts w:hint="eastAsia" w:ascii="仿宋" w:hAnsi="仿宋" w:eastAsia="仿宋" w:cs="仿宋"/>
          <w:sz w:val="24"/>
          <w:szCs w:val="24"/>
        </w:rPr>
        <w:t>我方承诺：不论是否经我方知晓或同意，我方的义务和责任不因合同双方当事人对合同条款所作的任何修改或补充而解除。</w:t>
      </w:r>
    </w:p>
    <w:p>
      <w:pPr>
        <w:spacing w:line="360" w:lineRule="auto"/>
        <w:ind w:firstLine="480"/>
        <w:rPr>
          <w:rFonts w:ascii="仿宋" w:hAnsi="仿宋" w:eastAsia="仿宋" w:cs="Times New Roman"/>
          <w:sz w:val="24"/>
          <w:szCs w:val="24"/>
        </w:rPr>
      </w:pPr>
      <w:r>
        <w:rPr>
          <w:rFonts w:hint="eastAsia" w:ascii="仿宋" w:hAnsi="仿宋" w:eastAsia="仿宋" w:cs="仿宋"/>
          <w:sz w:val="24"/>
          <w:szCs w:val="24"/>
        </w:rPr>
        <w:t>本预付款担保自承包人获得预付款之日起生效，至与预付款等额的担保金额的担保支付完毕，或发包人抵扣完工预付款后的第</w:t>
      </w:r>
      <w:r>
        <w:rPr>
          <w:rFonts w:ascii="仿宋" w:hAnsi="仿宋" w:eastAsia="仿宋" w:cs="仿宋"/>
          <w:sz w:val="24"/>
          <w:szCs w:val="24"/>
        </w:rPr>
        <w:t>15</w:t>
      </w:r>
      <w:r>
        <w:rPr>
          <w:rFonts w:hint="eastAsia" w:ascii="仿宋" w:hAnsi="仿宋" w:eastAsia="仿宋" w:cs="仿宋"/>
          <w:sz w:val="24"/>
          <w:szCs w:val="24"/>
        </w:rPr>
        <w:t>天止。</w:t>
      </w:r>
    </w:p>
    <w:p>
      <w:pPr>
        <w:spacing w:line="360" w:lineRule="auto"/>
        <w:ind w:firstLine="480"/>
        <w:rPr>
          <w:rFonts w:ascii="仿宋" w:hAnsi="仿宋" w:eastAsia="仿宋" w:cs="Times New Roman"/>
          <w:sz w:val="24"/>
          <w:szCs w:val="24"/>
        </w:rPr>
      </w:pPr>
    </w:p>
    <w:p>
      <w:pPr>
        <w:spacing w:line="360" w:lineRule="auto"/>
        <w:ind w:firstLine="480"/>
        <w:rPr>
          <w:rFonts w:ascii="仿宋" w:hAnsi="仿宋" w:eastAsia="仿宋" w:cs="Times New Roman"/>
          <w:sz w:val="24"/>
          <w:szCs w:val="24"/>
        </w:rPr>
      </w:pPr>
    </w:p>
    <w:p>
      <w:pPr>
        <w:spacing w:line="360" w:lineRule="auto"/>
        <w:ind w:firstLine="480"/>
        <w:rPr>
          <w:rFonts w:ascii="仿宋" w:hAnsi="仿宋" w:eastAsia="仿宋" w:cs="Times New Roman"/>
          <w:sz w:val="24"/>
          <w:szCs w:val="24"/>
        </w:rPr>
      </w:pPr>
    </w:p>
    <w:p>
      <w:pPr>
        <w:spacing w:line="360" w:lineRule="auto"/>
        <w:ind w:firstLine="480"/>
        <w:rPr>
          <w:rFonts w:ascii="仿宋" w:hAnsi="仿宋" w:eastAsia="仿宋" w:cs="Times New Roman"/>
          <w:sz w:val="24"/>
          <w:szCs w:val="24"/>
        </w:rPr>
      </w:pPr>
    </w:p>
    <w:p>
      <w:pPr>
        <w:spacing w:line="360" w:lineRule="auto"/>
        <w:ind w:firstLine="480"/>
        <w:rPr>
          <w:rFonts w:ascii="仿宋" w:hAnsi="仿宋" w:eastAsia="仿宋" w:cs="Times New Roman"/>
          <w:sz w:val="24"/>
          <w:szCs w:val="24"/>
        </w:rPr>
      </w:pPr>
    </w:p>
    <w:p>
      <w:pPr>
        <w:spacing w:line="360" w:lineRule="auto"/>
        <w:ind w:firstLine="480"/>
        <w:rPr>
          <w:rFonts w:ascii="仿宋" w:hAnsi="仿宋" w:eastAsia="仿宋" w:cs="仿宋"/>
          <w:sz w:val="24"/>
          <w:szCs w:val="24"/>
        </w:rPr>
      </w:pPr>
      <w:r>
        <w:rPr>
          <w:rFonts w:ascii="仿宋" w:hAnsi="仿宋" w:eastAsia="仿宋" w:cs="仿宋"/>
          <w:sz w:val="24"/>
          <w:szCs w:val="24"/>
        </w:rPr>
        <w:t xml:space="preserve">                                    </w:t>
      </w:r>
    </w:p>
    <w:p>
      <w:pPr>
        <w:spacing w:line="360" w:lineRule="auto"/>
        <w:ind w:firstLine="480"/>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担保人盖章：</w:t>
      </w:r>
    </w:p>
    <w:p>
      <w:pPr>
        <w:spacing w:line="360" w:lineRule="auto"/>
        <w:ind w:firstLine="480"/>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法定代表人或其授权的代理人：</w:t>
      </w:r>
      <w:r>
        <w:rPr>
          <w:rFonts w:ascii="仿宋" w:hAnsi="仿宋" w:eastAsia="仿宋" w:cs="仿宋"/>
          <w:sz w:val="24"/>
          <w:szCs w:val="24"/>
        </w:rPr>
        <w:t>(</w:t>
      </w:r>
      <w:r>
        <w:rPr>
          <w:rFonts w:hint="eastAsia" w:ascii="仿宋" w:hAnsi="仿宋" w:eastAsia="仿宋" w:cs="仿宋"/>
          <w:sz w:val="24"/>
          <w:szCs w:val="24"/>
        </w:rPr>
        <w:t>签字签章</w:t>
      </w:r>
      <w:r>
        <w:rPr>
          <w:rFonts w:ascii="仿宋" w:hAnsi="仿宋" w:eastAsia="仿宋" w:cs="仿宋"/>
          <w:sz w:val="24"/>
          <w:szCs w:val="24"/>
        </w:rPr>
        <w:t xml:space="preserve">)                                                         </w:t>
      </w:r>
    </w:p>
    <w:p>
      <w:pPr>
        <w:spacing w:line="360" w:lineRule="auto"/>
        <w:ind w:firstLine="4560" w:firstLineChars="1900"/>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地址：</w:t>
      </w:r>
      <w:r>
        <w:rPr>
          <w:rFonts w:ascii="仿宋" w:hAnsi="仿宋" w:eastAsia="仿宋" w:cs="仿宋"/>
          <w:sz w:val="24"/>
          <w:szCs w:val="24"/>
        </w:rPr>
        <w:t xml:space="preserve"> </w:t>
      </w:r>
    </w:p>
    <w:p>
      <w:pPr>
        <w:spacing w:line="360" w:lineRule="auto"/>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日期：</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p>
    <w:p>
      <w:pPr>
        <w:spacing w:line="360" w:lineRule="auto"/>
        <w:rPr>
          <w:rFonts w:ascii="仿宋" w:hAnsi="仿宋" w:eastAsia="仿宋" w:cs="Times New Roman"/>
          <w:sz w:val="24"/>
          <w:szCs w:val="24"/>
        </w:rPr>
      </w:pPr>
    </w:p>
    <w:p>
      <w:pPr>
        <w:spacing w:before="240" w:beforeLines="100" w:after="240" w:afterLines="100" w:line="360" w:lineRule="auto"/>
        <w:outlineLvl w:val="1"/>
        <w:rPr>
          <w:rFonts w:ascii="仿宋" w:hAnsi="仿宋" w:eastAsia="仿宋" w:cs="仿宋"/>
          <w:b/>
          <w:bCs/>
          <w:color w:val="000000"/>
          <w:kern w:val="0"/>
          <w:sz w:val="24"/>
          <w:szCs w:val="24"/>
        </w:rPr>
      </w:pPr>
      <w:r>
        <w:rPr>
          <w:rFonts w:ascii="仿宋" w:hAnsi="仿宋" w:eastAsia="仿宋" w:cs="Times New Roman"/>
          <w:kern w:val="0"/>
          <w:sz w:val="24"/>
          <w:szCs w:val="24"/>
        </w:rPr>
        <w:br w:type="page"/>
      </w:r>
      <w:bookmarkStart w:id="745" w:name="_Toc469384146"/>
      <w:bookmarkStart w:id="746" w:name="_Toc10624990"/>
      <w:bookmarkStart w:id="747" w:name="_Toc266892930"/>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4</w:t>
      </w:r>
      <w:bookmarkEnd w:id="745"/>
      <w:bookmarkEnd w:id="746"/>
      <w:bookmarkEnd w:id="747"/>
    </w:p>
    <w:p>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工程项目一览表</w:t>
      </w:r>
    </w:p>
    <w:tbl>
      <w:tblPr>
        <w:tblStyle w:val="40"/>
        <w:tblW w:w="10155" w:type="dxa"/>
        <w:jc w:val="center"/>
        <w:tblLayout w:type="fixed"/>
        <w:tblCellMar>
          <w:top w:w="0" w:type="dxa"/>
          <w:left w:w="108" w:type="dxa"/>
          <w:bottom w:w="0" w:type="dxa"/>
          <w:right w:w="108" w:type="dxa"/>
        </w:tblCellMar>
      </w:tblPr>
      <w:tblGrid>
        <w:gridCol w:w="1960"/>
        <w:gridCol w:w="2993"/>
        <w:gridCol w:w="5202"/>
      </w:tblGrid>
      <w:tr>
        <w:tblPrEx>
          <w:tblCellMar>
            <w:top w:w="0" w:type="dxa"/>
            <w:left w:w="108" w:type="dxa"/>
            <w:bottom w:w="0" w:type="dxa"/>
            <w:right w:w="108" w:type="dxa"/>
          </w:tblCellMar>
        </w:tblPrEx>
        <w:trPr>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spacing w:line="360" w:lineRule="auto"/>
              <w:jc w:val="center"/>
              <w:rPr>
                <w:rFonts w:ascii="仿宋" w:hAnsi="仿宋" w:eastAsia="仿宋" w:cs="Times New Roman"/>
                <w:b/>
                <w:bCs/>
                <w:sz w:val="32"/>
                <w:szCs w:val="32"/>
              </w:rPr>
            </w:pPr>
            <w:r>
              <w:rPr>
                <w:rFonts w:hint="eastAsia" w:ascii="仿宋" w:hAnsi="仿宋" w:eastAsia="仿宋" w:cs="仿宋"/>
                <w:b/>
                <w:bCs/>
                <w:sz w:val="32"/>
                <w:szCs w:val="32"/>
              </w:rPr>
              <w:t>项号</w:t>
            </w:r>
          </w:p>
        </w:tc>
        <w:tc>
          <w:tcPr>
            <w:tcW w:w="2993"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spacing w:line="360" w:lineRule="auto"/>
              <w:jc w:val="center"/>
              <w:rPr>
                <w:rFonts w:ascii="仿宋" w:hAnsi="仿宋" w:eastAsia="仿宋" w:cs="Times New Roman"/>
                <w:b/>
                <w:bCs/>
                <w:sz w:val="32"/>
                <w:szCs w:val="32"/>
              </w:rPr>
            </w:pPr>
            <w:r>
              <w:rPr>
                <w:rFonts w:hint="eastAsia" w:ascii="仿宋" w:hAnsi="仿宋" w:eastAsia="仿宋" w:cs="仿宋"/>
                <w:b/>
                <w:bCs/>
                <w:sz w:val="32"/>
                <w:szCs w:val="32"/>
              </w:rPr>
              <w:t>项</w:t>
            </w:r>
            <w:r>
              <w:rPr>
                <w:rFonts w:ascii="仿宋" w:hAnsi="仿宋" w:eastAsia="仿宋" w:cs="仿宋"/>
                <w:b/>
                <w:bCs/>
                <w:sz w:val="32"/>
                <w:szCs w:val="32"/>
              </w:rPr>
              <w:t xml:space="preserve"> </w:t>
            </w:r>
            <w:r>
              <w:rPr>
                <w:rFonts w:hint="eastAsia" w:ascii="仿宋" w:hAnsi="仿宋" w:eastAsia="仿宋" w:cs="仿宋"/>
                <w:b/>
                <w:bCs/>
                <w:sz w:val="32"/>
                <w:szCs w:val="32"/>
              </w:rPr>
              <w:t>目</w:t>
            </w:r>
          </w:p>
        </w:tc>
        <w:tc>
          <w:tcPr>
            <w:tcW w:w="5202"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spacing w:line="360" w:lineRule="auto"/>
              <w:jc w:val="center"/>
              <w:rPr>
                <w:rFonts w:ascii="仿宋" w:hAnsi="仿宋" w:eastAsia="仿宋" w:cs="Times New Roman"/>
                <w:b/>
                <w:bCs/>
                <w:sz w:val="32"/>
                <w:szCs w:val="32"/>
              </w:rPr>
            </w:pPr>
            <w:r>
              <w:rPr>
                <w:rFonts w:hint="eastAsia" w:ascii="仿宋" w:hAnsi="仿宋" w:eastAsia="仿宋" w:cs="仿宋"/>
                <w:b/>
                <w:bCs/>
                <w:sz w:val="32"/>
                <w:szCs w:val="32"/>
              </w:rPr>
              <w:t>内</w:t>
            </w:r>
            <w:r>
              <w:rPr>
                <w:rFonts w:ascii="仿宋" w:hAnsi="仿宋" w:eastAsia="仿宋" w:cs="仿宋"/>
                <w:b/>
                <w:bCs/>
                <w:sz w:val="32"/>
                <w:szCs w:val="32"/>
              </w:rPr>
              <w:t xml:space="preserve">      </w:t>
            </w:r>
            <w:r>
              <w:rPr>
                <w:rFonts w:hint="eastAsia" w:ascii="仿宋" w:hAnsi="仿宋" w:eastAsia="仿宋" w:cs="仿宋"/>
                <w:b/>
                <w:bCs/>
                <w:sz w:val="32"/>
                <w:szCs w:val="32"/>
              </w:rPr>
              <w:t>容</w:t>
            </w:r>
          </w:p>
        </w:tc>
      </w:tr>
      <w:tr>
        <w:tblPrEx>
          <w:tblCellMar>
            <w:top w:w="0" w:type="dxa"/>
            <w:left w:w="108" w:type="dxa"/>
            <w:bottom w:w="0" w:type="dxa"/>
            <w:right w:w="108" w:type="dxa"/>
          </w:tblCellMar>
        </w:tblPrEx>
        <w:trPr>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spacing w:line="360" w:lineRule="auto"/>
              <w:jc w:val="center"/>
              <w:rPr>
                <w:rFonts w:ascii="仿宋" w:hAnsi="仿宋" w:eastAsia="仿宋" w:cs="仿宋"/>
                <w:b/>
                <w:bCs/>
                <w:sz w:val="28"/>
                <w:szCs w:val="28"/>
              </w:rPr>
            </w:pPr>
            <w:r>
              <w:rPr>
                <w:rFonts w:ascii="仿宋" w:hAnsi="仿宋" w:eastAsia="仿宋" w:cs="仿宋"/>
                <w:b/>
                <w:bCs/>
                <w:sz w:val="28"/>
                <w:szCs w:val="28"/>
              </w:rPr>
              <w:t>1</w:t>
            </w:r>
          </w:p>
        </w:tc>
        <w:tc>
          <w:tcPr>
            <w:tcW w:w="2993"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360" w:lineRule="auto"/>
              <w:jc w:val="center"/>
              <w:rPr>
                <w:rFonts w:ascii="仿宋" w:hAnsi="仿宋" w:eastAsia="仿宋" w:cs="Times New Roman"/>
                <w:sz w:val="28"/>
                <w:szCs w:val="28"/>
              </w:rPr>
            </w:pPr>
            <w:r>
              <w:rPr>
                <w:rFonts w:hint="eastAsia" w:ascii="仿宋" w:hAnsi="仿宋" w:eastAsia="仿宋" w:cs="仿宋"/>
                <w:sz w:val="28"/>
                <w:szCs w:val="28"/>
              </w:rPr>
              <w:t>工程名称</w:t>
            </w:r>
          </w:p>
        </w:tc>
        <w:tc>
          <w:tcPr>
            <w:tcW w:w="5202"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spacing w:line="360" w:lineRule="auto"/>
              <w:jc w:val="center"/>
              <w:rPr>
                <w:rFonts w:ascii="仿宋" w:hAnsi="仿宋" w:eastAsia="仿宋" w:cs="Times New Roman"/>
                <w:sz w:val="28"/>
                <w:szCs w:val="28"/>
              </w:rPr>
            </w:pPr>
          </w:p>
        </w:tc>
      </w:tr>
      <w:tr>
        <w:tblPrEx>
          <w:tblCellMar>
            <w:top w:w="0" w:type="dxa"/>
            <w:left w:w="108" w:type="dxa"/>
            <w:bottom w:w="0" w:type="dxa"/>
            <w:right w:w="108" w:type="dxa"/>
          </w:tblCellMar>
        </w:tblPrEx>
        <w:trPr>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spacing w:line="360" w:lineRule="auto"/>
              <w:jc w:val="center"/>
              <w:rPr>
                <w:rFonts w:ascii="仿宋" w:hAnsi="仿宋" w:eastAsia="仿宋" w:cs="仿宋"/>
                <w:b/>
                <w:bCs/>
                <w:sz w:val="28"/>
                <w:szCs w:val="28"/>
              </w:rPr>
            </w:pPr>
            <w:r>
              <w:rPr>
                <w:rFonts w:ascii="仿宋" w:hAnsi="仿宋" w:eastAsia="仿宋" w:cs="仿宋"/>
                <w:b/>
                <w:bCs/>
                <w:sz w:val="28"/>
                <w:szCs w:val="28"/>
              </w:rPr>
              <w:t>2</w:t>
            </w:r>
          </w:p>
        </w:tc>
        <w:tc>
          <w:tcPr>
            <w:tcW w:w="2993"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360" w:lineRule="auto"/>
              <w:jc w:val="center"/>
              <w:rPr>
                <w:rFonts w:ascii="仿宋" w:hAnsi="仿宋" w:eastAsia="仿宋" w:cs="Times New Roman"/>
                <w:w w:val="90"/>
                <w:sz w:val="28"/>
                <w:szCs w:val="28"/>
              </w:rPr>
            </w:pPr>
            <w:r>
              <w:rPr>
                <w:rFonts w:hint="eastAsia" w:ascii="仿宋" w:hAnsi="仿宋" w:eastAsia="仿宋" w:cs="仿宋"/>
                <w:sz w:val="28"/>
                <w:szCs w:val="28"/>
              </w:rPr>
              <w:t>工程地点</w:t>
            </w:r>
          </w:p>
        </w:tc>
        <w:tc>
          <w:tcPr>
            <w:tcW w:w="5202"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360" w:lineRule="auto"/>
              <w:ind w:left="-6" w:firstLine="6"/>
              <w:jc w:val="center"/>
              <w:rPr>
                <w:rFonts w:ascii="仿宋" w:hAnsi="仿宋" w:eastAsia="仿宋" w:cs="Times New Roman"/>
                <w:sz w:val="28"/>
                <w:szCs w:val="28"/>
              </w:rPr>
            </w:pPr>
          </w:p>
          <w:p>
            <w:pPr>
              <w:spacing w:line="360" w:lineRule="auto"/>
              <w:ind w:left="-6" w:firstLine="6"/>
              <w:jc w:val="center"/>
              <w:rPr>
                <w:rFonts w:ascii="仿宋" w:hAnsi="仿宋" w:eastAsia="仿宋" w:cs="Times New Roman"/>
                <w:sz w:val="28"/>
                <w:szCs w:val="28"/>
              </w:rPr>
            </w:pPr>
          </w:p>
        </w:tc>
      </w:tr>
      <w:tr>
        <w:tblPrEx>
          <w:tblCellMar>
            <w:top w:w="0" w:type="dxa"/>
            <w:left w:w="108" w:type="dxa"/>
            <w:bottom w:w="0" w:type="dxa"/>
            <w:right w:w="108" w:type="dxa"/>
          </w:tblCellMar>
        </w:tblPrEx>
        <w:trPr>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spacing w:line="360" w:lineRule="auto"/>
              <w:jc w:val="center"/>
              <w:rPr>
                <w:rFonts w:ascii="仿宋" w:hAnsi="仿宋" w:eastAsia="仿宋" w:cs="仿宋"/>
                <w:b/>
                <w:bCs/>
                <w:sz w:val="28"/>
                <w:szCs w:val="28"/>
              </w:rPr>
            </w:pPr>
            <w:r>
              <w:rPr>
                <w:rFonts w:ascii="仿宋" w:hAnsi="仿宋" w:eastAsia="仿宋" w:cs="仿宋"/>
                <w:b/>
                <w:bCs/>
                <w:sz w:val="28"/>
                <w:szCs w:val="28"/>
              </w:rPr>
              <w:t>3</w:t>
            </w:r>
          </w:p>
        </w:tc>
        <w:tc>
          <w:tcPr>
            <w:tcW w:w="2993"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360" w:lineRule="auto"/>
              <w:jc w:val="center"/>
              <w:rPr>
                <w:rFonts w:ascii="仿宋" w:hAnsi="仿宋" w:eastAsia="仿宋" w:cs="Times New Roman"/>
                <w:sz w:val="28"/>
                <w:szCs w:val="28"/>
              </w:rPr>
            </w:pPr>
            <w:r>
              <w:rPr>
                <w:rFonts w:hint="eastAsia" w:ascii="仿宋" w:hAnsi="仿宋" w:eastAsia="仿宋" w:cs="仿宋"/>
                <w:sz w:val="28"/>
                <w:szCs w:val="28"/>
              </w:rPr>
              <w:t>发包人</w:t>
            </w:r>
          </w:p>
        </w:tc>
        <w:tc>
          <w:tcPr>
            <w:tcW w:w="5202"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360" w:lineRule="auto"/>
              <w:ind w:left="-6" w:firstLine="6"/>
              <w:jc w:val="center"/>
              <w:rPr>
                <w:rFonts w:ascii="仿宋" w:hAnsi="仿宋" w:eastAsia="仿宋" w:cs="Times New Roman"/>
                <w:sz w:val="28"/>
                <w:szCs w:val="28"/>
              </w:rPr>
            </w:pPr>
          </w:p>
        </w:tc>
      </w:tr>
      <w:tr>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spacing w:line="360" w:lineRule="auto"/>
              <w:jc w:val="center"/>
              <w:rPr>
                <w:rFonts w:ascii="仿宋" w:hAnsi="仿宋" w:eastAsia="仿宋" w:cs="仿宋"/>
                <w:b/>
                <w:bCs/>
                <w:sz w:val="28"/>
                <w:szCs w:val="28"/>
              </w:rPr>
            </w:pPr>
            <w:r>
              <w:rPr>
                <w:rFonts w:ascii="仿宋" w:hAnsi="仿宋" w:eastAsia="仿宋" w:cs="仿宋"/>
                <w:b/>
                <w:bCs/>
                <w:sz w:val="28"/>
                <w:szCs w:val="28"/>
              </w:rPr>
              <w:t>4</w:t>
            </w:r>
          </w:p>
        </w:tc>
        <w:tc>
          <w:tcPr>
            <w:tcW w:w="2993"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360" w:lineRule="auto"/>
              <w:jc w:val="center"/>
              <w:rPr>
                <w:rFonts w:ascii="仿宋" w:hAnsi="仿宋" w:eastAsia="仿宋" w:cs="Times New Roman"/>
                <w:sz w:val="28"/>
                <w:szCs w:val="28"/>
              </w:rPr>
            </w:pPr>
            <w:r>
              <w:rPr>
                <w:rFonts w:hint="eastAsia" w:ascii="仿宋" w:hAnsi="仿宋" w:eastAsia="仿宋" w:cs="仿宋"/>
                <w:sz w:val="28"/>
                <w:szCs w:val="28"/>
              </w:rPr>
              <w:t>设计人</w:t>
            </w:r>
          </w:p>
        </w:tc>
        <w:tc>
          <w:tcPr>
            <w:tcW w:w="5202"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spacing w:line="360" w:lineRule="auto"/>
              <w:jc w:val="center"/>
              <w:rPr>
                <w:rFonts w:ascii="仿宋" w:hAnsi="仿宋" w:eastAsia="仿宋" w:cs="Times New Roman"/>
                <w:sz w:val="28"/>
                <w:szCs w:val="28"/>
              </w:rPr>
            </w:pPr>
          </w:p>
        </w:tc>
      </w:tr>
      <w:tr>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spacing w:line="360" w:lineRule="auto"/>
              <w:jc w:val="center"/>
              <w:rPr>
                <w:rFonts w:ascii="仿宋" w:hAnsi="仿宋" w:eastAsia="仿宋" w:cs="仿宋"/>
                <w:b/>
                <w:bCs/>
                <w:sz w:val="28"/>
                <w:szCs w:val="28"/>
              </w:rPr>
            </w:pPr>
            <w:r>
              <w:rPr>
                <w:rFonts w:ascii="仿宋" w:hAnsi="仿宋" w:eastAsia="仿宋" w:cs="仿宋"/>
                <w:b/>
                <w:bCs/>
                <w:sz w:val="28"/>
                <w:szCs w:val="28"/>
              </w:rPr>
              <w:t>5</w:t>
            </w:r>
          </w:p>
        </w:tc>
        <w:tc>
          <w:tcPr>
            <w:tcW w:w="2993"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360" w:lineRule="auto"/>
              <w:jc w:val="center"/>
              <w:rPr>
                <w:rFonts w:ascii="仿宋" w:hAnsi="仿宋" w:eastAsia="仿宋" w:cs="Times New Roman"/>
                <w:sz w:val="28"/>
                <w:szCs w:val="28"/>
              </w:rPr>
            </w:pPr>
            <w:r>
              <w:rPr>
                <w:rFonts w:hint="eastAsia" w:ascii="仿宋" w:hAnsi="仿宋" w:eastAsia="仿宋" w:cs="仿宋"/>
                <w:sz w:val="28"/>
                <w:szCs w:val="28"/>
              </w:rPr>
              <w:t>监理人</w:t>
            </w:r>
          </w:p>
        </w:tc>
        <w:tc>
          <w:tcPr>
            <w:tcW w:w="5202"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spacing w:line="360" w:lineRule="auto"/>
              <w:jc w:val="center"/>
              <w:rPr>
                <w:rFonts w:ascii="仿宋" w:hAnsi="仿宋" w:eastAsia="仿宋" w:cs="Times New Roman"/>
                <w:sz w:val="28"/>
                <w:szCs w:val="28"/>
              </w:rPr>
            </w:pPr>
          </w:p>
        </w:tc>
      </w:tr>
      <w:tr>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spacing w:line="360" w:lineRule="auto"/>
              <w:jc w:val="center"/>
              <w:rPr>
                <w:rFonts w:ascii="仿宋" w:hAnsi="仿宋" w:eastAsia="仿宋" w:cs="仿宋"/>
                <w:b/>
                <w:bCs/>
                <w:sz w:val="28"/>
                <w:szCs w:val="28"/>
              </w:rPr>
            </w:pPr>
            <w:r>
              <w:rPr>
                <w:rFonts w:ascii="仿宋" w:hAnsi="仿宋" w:eastAsia="仿宋" w:cs="仿宋"/>
                <w:b/>
                <w:bCs/>
                <w:sz w:val="28"/>
                <w:szCs w:val="28"/>
              </w:rPr>
              <w:t>6</w:t>
            </w:r>
          </w:p>
        </w:tc>
        <w:tc>
          <w:tcPr>
            <w:tcW w:w="2993"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360" w:lineRule="auto"/>
              <w:jc w:val="center"/>
              <w:rPr>
                <w:rFonts w:ascii="仿宋" w:hAnsi="仿宋" w:eastAsia="仿宋" w:cs="Times New Roman"/>
                <w:sz w:val="28"/>
                <w:szCs w:val="28"/>
              </w:rPr>
            </w:pPr>
            <w:r>
              <w:rPr>
                <w:rFonts w:hint="eastAsia" w:ascii="仿宋" w:hAnsi="仿宋" w:eastAsia="仿宋" w:cs="仿宋"/>
                <w:sz w:val="28"/>
                <w:szCs w:val="28"/>
              </w:rPr>
              <w:t>工程造价咨询人（如有）</w:t>
            </w:r>
          </w:p>
        </w:tc>
        <w:tc>
          <w:tcPr>
            <w:tcW w:w="5202"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spacing w:line="360" w:lineRule="auto"/>
              <w:jc w:val="center"/>
              <w:rPr>
                <w:rFonts w:ascii="仿宋" w:hAnsi="仿宋" w:eastAsia="仿宋" w:cs="Times New Roman"/>
                <w:sz w:val="28"/>
                <w:szCs w:val="28"/>
              </w:rPr>
            </w:pPr>
          </w:p>
        </w:tc>
      </w:tr>
      <w:tr>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spacing w:line="360" w:lineRule="auto"/>
              <w:jc w:val="center"/>
              <w:rPr>
                <w:rFonts w:ascii="仿宋" w:hAnsi="仿宋" w:eastAsia="仿宋" w:cs="仿宋"/>
                <w:b/>
                <w:bCs/>
                <w:sz w:val="28"/>
                <w:szCs w:val="28"/>
              </w:rPr>
            </w:pPr>
            <w:r>
              <w:rPr>
                <w:rFonts w:ascii="仿宋" w:hAnsi="仿宋" w:eastAsia="仿宋" w:cs="仿宋"/>
                <w:b/>
                <w:bCs/>
                <w:sz w:val="28"/>
                <w:szCs w:val="28"/>
              </w:rPr>
              <w:t>7</w:t>
            </w:r>
          </w:p>
        </w:tc>
        <w:tc>
          <w:tcPr>
            <w:tcW w:w="2993"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360" w:lineRule="auto"/>
              <w:jc w:val="center"/>
              <w:rPr>
                <w:rFonts w:ascii="仿宋" w:hAnsi="仿宋" w:eastAsia="仿宋" w:cs="Times New Roman"/>
                <w:sz w:val="28"/>
                <w:szCs w:val="28"/>
              </w:rPr>
            </w:pPr>
            <w:r>
              <w:rPr>
                <w:rFonts w:hint="eastAsia" w:ascii="仿宋" w:hAnsi="仿宋" w:eastAsia="仿宋" w:cs="仿宋"/>
                <w:sz w:val="28"/>
                <w:szCs w:val="28"/>
              </w:rPr>
              <w:t>承包人</w:t>
            </w:r>
          </w:p>
        </w:tc>
        <w:tc>
          <w:tcPr>
            <w:tcW w:w="5202"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spacing w:line="360" w:lineRule="auto"/>
              <w:jc w:val="center"/>
              <w:rPr>
                <w:rFonts w:ascii="仿宋" w:hAnsi="仿宋" w:eastAsia="仿宋" w:cs="Times New Roman"/>
                <w:sz w:val="28"/>
                <w:szCs w:val="28"/>
              </w:rPr>
            </w:pPr>
          </w:p>
        </w:tc>
      </w:tr>
      <w:tr>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spacing w:line="360" w:lineRule="auto"/>
              <w:jc w:val="center"/>
              <w:rPr>
                <w:rFonts w:ascii="仿宋" w:hAnsi="仿宋" w:eastAsia="仿宋" w:cs="仿宋"/>
                <w:b/>
                <w:bCs/>
                <w:sz w:val="28"/>
                <w:szCs w:val="28"/>
              </w:rPr>
            </w:pPr>
            <w:r>
              <w:rPr>
                <w:rFonts w:ascii="仿宋" w:hAnsi="仿宋" w:eastAsia="仿宋" w:cs="仿宋"/>
                <w:b/>
                <w:bCs/>
                <w:sz w:val="28"/>
                <w:szCs w:val="28"/>
              </w:rPr>
              <w:t>8</w:t>
            </w:r>
          </w:p>
        </w:tc>
        <w:tc>
          <w:tcPr>
            <w:tcW w:w="2993"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360" w:lineRule="auto"/>
              <w:jc w:val="center"/>
              <w:rPr>
                <w:rFonts w:ascii="仿宋" w:hAnsi="仿宋" w:eastAsia="仿宋" w:cs="Times New Roman"/>
                <w:w w:val="90"/>
                <w:sz w:val="28"/>
                <w:szCs w:val="28"/>
              </w:rPr>
            </w:pPr>
            <w:r>
              <w:rPr>
                <w:rFonts w:hint="eastAsia" w:ascii="仿宋" w:hAnsi="仿宋" w:eastAsia="仿宋" w:cs="仿宋"/>
                <w:sz w:val="28"/>
                <w:szCs w:val="28"/>
              </w:rPr>
              <w:t>工程总投资</w:t>
            </w:r>
          </w:p>
        </w:tc>
        <w:tc>
          <w:tcPr>
            <w:tcW w:w="5202"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19"/>
              <w:spacing w:line="360" w:lineRule="auto"/>
              <w:ind w:left="-3" w:firstLine="3"/>
              <w:jc w:val="center"/>
              <w:rPr>
                <w:rFonts w:ascii="仿宋" w:hAnsi="仿宋" w:eastAsia="仿宋" w:cs="Times New Roman"/>
                <w:sz w:val="28"/>
                <w:szCs w:val="28"/>
              </w:rPr>
            </w:pPr>
          </w:p>
        </w:tc>
      </w:tr>
      <w:tr>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spacing w:line="360" w:lineRule="auto"/>
              <w:jc w:val="center"/>
              <w:rPr>
                <w:rFonts w:ascii="仿宋" w:hAnsi="仿宋" w:eastAsia="仿宋" w:cs="仿宋"/>
                <w:b/>
                <w:bCs/>
                <w:sz w:val="28"/>
                <w:szCs w:val="28"/>
              </w:rPr>
            </w:pPr>
            <w:r>
              <w:rPr>
                <w:rFonts w:ascii="仿宋" w:hAnsi="仿宋" w:eastAsia="仿宋" w:cs="仿宋"/>
                <w:b/>
                <w:bCs/>
                <w:sz w:val="28"/>
                <w:szCs w:val="28"/>
              </w:rPr>
              <w:t>9</w:t>
            </w:r>
          </w:p>
        </w:tc>
        <w:tc>
          <w:tcPr>
            <w:tcW w:w="2993"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360" w:lineRule="auto"/>
              <w:jc w:val="center"/>
              <w:rPr>
                <w:rFonts w:ascii="仿宋" w:hAnsi="仿宋" w:eastAsia="仿宋" w:cs="Times New Roman"/>
                <w:sz w:val="28"/>
                <w:szCs w:val="28"/>
              </w:rPr>
            </w:pPr>
            <w:r>
              <w:rPr>
                <w:rFonts w:hint="eastAsia" w:ascii="仿宋" w:hAnsi="仿宋" w:eastAsia="仿宋" w:cs="仿宋"/>
                <w:sz w:val="28"/>
                <w:szCs w:val="28"/>
              </w:rPr>
              <w:t>计划开工日期</w:t>
            </w:r>
          </w:p>
        </w:tc>
        <w:tc>
          <w:tcPr>
            <w:tcW w:w="5202"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spacing w:line="360" w:lineRule="auto"/>
              <w:jc w:val="center"/>
              <w:rPr>
                <w:rFonts w:ascii="仿宋" w:hAnsi="仿宋" w:eastAsia="仿宋" w:cs="Times New Roman"/>
                <w:sz w:val="28"/>
                <w:szCs w:val="28"/>
              </w:rPr>
            </w:pPr>
          </w:p>
        </w:tc>
      </w:tr>
      <w:tr>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spacing w:line="360" w:lineRule="auto"/>
              <w:jc w:val="center"/>
              <w:rPr>
                <w:rFonts w:ascii="仿宋" w:hAnsi="仿宋" w:eastAsia="仿宋" w:cs="仿宋"/>
                <w:b/>
                <w:bCs/>
                <w:sz w:val="28"/>
                <w:szCs w:val="28"/>
              </w:rPr>
            </w:pPr>
            <w:r>
              <w:rPr>
                <w:rFonts w:ascii="仿宋" w:hAnsi="仿宋" w:eastAsia="仿宋" w:cs="仿宋"/>
                <w:b/>
                <w:bCs/>
                <w:sz w:val="28"/>
                <w:szCs w:val="28"/>
              </w:rPr>
              <w:t>10</w:t>
            </w:r>
          </w:p>
        </w:tc>
        <w:tc>
          <w:tcPr>
            <w:tcW w:w="2993"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360" w:lineRule="auto"/>
              <w:jc w:val="center"/>
              <w:rPr>
                <w:rFonts w:ascii="仿宋" w:hAnsi="仿宋" w:eastAsia="仿宋" w:cs="Times New Roman"/>
                <w:sz w:val="28"/>
                <w:szCs w:val="28"/>
              </w:rPr>
            </w:pPr>
            <w:r>
              <w:rPr>
                <w:rFonts w:hint="eastAsia" w:ascii="仿宋" w:hAnsi="仿宋" w:eastAsia="仿宋" w:cs="仿宋"/>
                <w:sz w:val="28"/>
                <w:szCs w:val="28"/>
              </w:rPr>
              <w:t>计划竣工日期</w:t>
            </w:r>
          </w:p>
        </w:tc>
        <w:tc>
          <w:tcPr>
            <w:tcW w:w="5202"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spacing w:line="360" w:lineRule="auto"/>
              <w:jc w:val="center"/>
              <w:rPr>
                <w:rFonts w:ascii="仿宋" w:hAnsi="仿宋" w:eastAsia="仿宋" w:cs="Times New Roman"/>
                <w:sz w:val="28"/>
                <w:szCs w:val="28"/>
              </w:rPr>
            </w:pPr>
          </w:p>
        </w:tc>
      </w:tr>
      <w:tr>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spacing w:line="360" w:lineRule="auto"/>
              <w:jc w:val="center"/>
              <w:rPr>
                <w:rFonts w:ascii="仿宋" w:hAnsi="仿宋" w:eastAsia="仿宋" w:cs="仿宋"/>
                <w:b/>
                <w:bCs/>
                <w:sz w:val="28"/>
                <w:szCs w:val="28"/>
              </w:rPr>
            </w:pPr>
            <w:r>
              <w:rPr>
                <w:rFonts w:ascii="仿宋" w:hAnsi="仿宋" w:eastAsia="仿宋" w:cs="仿宋"/>
                <w:b/>
                <w:bCs/>
                <w:sz w:val="28"/>
                <w:szCs w:val="28"/>
              </w:rPr>
              <w:t>11</w:t>
            </w:r>
          </w:p>
        </w:tc>
        <w:tc>
          <w:tcPr>
            <w:tcW w:w="2993"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360" w:lineRule="auto"/>
              <w:jc w:val="center"/>
              <w:rPr>
                <w:rFonts w:ascii="仿宋" w:hAnsi="仿宋" w:eastAsia="仿宋" w:cs="Times New Roman"/>
                <w:sz w:val="28"/>
                <w:szCs w:val="28"/>
              </w:rPr>
            </w:pPr>
            <w:r>
              <w:rPr>
                <w:rFonts w:hint="eastAsia" w:ascii="仿宋" w:hAnsi="仿宋" w:eastAsia="仿宋" w:cs="仿宋"/>
                <w:sz w:val="28"/>
                <w:szCs w:val="28"/>
              </w:rPr>
              <w:t>工程质量</w:t>
            </w:r>
          </w:p>
        </w:tc>
        <w:tc>
          <w:tcPr>
            <w:tcW w:w="5202"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spacing w:line="360" w:lineRule="auto"/>
              <w:jc w:val="center"/>
              <w:rPr>
                <w:rFonts w:ascii="仿宋" w:hAnsi="仿宋" w:eastAsia="仿宋" w:cs="Times New Roman"/>
                <w:sz w:val="28"/>
                <w:szCs w:val="28"/>
              </w:rPr>
            </w:pPr>
          </w:p>
        </w:tc>
      </w:tr>
    </w:tbl>
    <w:p>
      <w:pPr>
        <w:widowControl/>
        <w:spacing w:line="360" w:lineRule="auto"/>
        <w:jc w:val="left"/>
        <w:rPr>
          <w:rFonts w:ascii="仿宋" w:hAnsi="仿宋" w:eastAsia="仿宋" w:cs="Times New Roman"/>
          <w:kern w:val="0"/>
          <w:sz w:val="24"/>
          <w:szCs w:val="24"/>
        </w:rPr>
        <w:sectPr>
          <w:endnotePr>
            <w:numFmt w:val="decimal"/>
          </w:endnotePr>
          <w:pgSz w:w="11906" w:h="16838"/>
          <w:pgMar w:top="1418" w:right="737" w:bottom="851" w:left="737" w:header="0" w:footer="0" w:gutter="0"/>
          <w:cols w:space="720" w:num="1"/>
        </w:sectPr>
      </w:pPr>
    </w:p>
    <w:p>
      <w:pPr>
        <w:spacing w:before="240" w:beforeLines="100" w:after="240" w:afterLines="100" w:line="360" w:lineRule="auto"/>
        <w:outlineLvl w:val="1"/>
        <w:rPr>
          <w:rFonts w:ascii="仿宋" w:hAnsi="仿宋" w:eastAsia="仿宋" w:cs="仿宋"/>
          <w:b/>
          <w:bCs/>
          <w:color w:val="000000"/>
          <w:kern w:val="0"/>
          <w:sz w:val="24"/>
          <w:szCs w:val="24"/>
        </w:rPr>
      </w:pPr>
      <w:bookmarkStart w:id="748" w:name="_Toc10624991"/>
      <w:bookmarkStart w:id="749" w:name="_Toc469384147"/>
      <w:bookmarkStart w:id="750" w:name="_Toc266892931"/>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5</w:t>
      </w:r>
      <w:bookmarkEnd w:id="748"/>
      <w:bookmarkEnd w:id="749"/>
      <w:bookmarkEnd w:id="750"/>
      <w:bookmarkStart w:id="819" w:name="_GoBack"/>
      <w:bookmarkEnd w:id="819"/>
    </w:p>
    <w:p>
      <w:pPr>
        <w:spacing w:line="360" w:lineRule="auto"/>
        <w:jc w:val="center"/>
        <w:rPr>
          <w:rFonts w:ascii="仿宋" w:hAnsi="仿宋" w:eastAsia="仿宋" w:cs="Times New Roman"/>
          <w:b/>
          <w:bCs/>
          <w:spacing w:val="32"/>
          <w:kern w:val="36"/>
          <w:sz w:val="36"/>
          <w:szCs w:val="36"/>
        </w:rPr>
      </w:pPr>
      <w:r>
        <w:rPr>
          <w:rFonts w:hint="eastAsia" w:ascii="仿宋" w:hAnsi="仿宋" w:eastAsia="仿宋" w:cs="仿宋"/>
          <w:b/>
          <w:bCs/>
          <w:spacing w:val="32"/>
          <w:kern w:val="36"/>
          <w:sz w:val="36"/>
          <w:szCs w:val="36"/>
        </w:rPr>
        <w:t>承包人派驻现场主要管理人员及技术骨干名单</w:t>
      </w:r>
    </w:p>
    <w:p>
      <w:pPr>
        <w:spacing w:line="360" w:lineRule="auto"/>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工程名称：</w:t>
      </w:r>
      <w:r>
        <w:rPr>
          <w:rFonts w:ascii="仿宋" w:hAnsi="仿宋" w:eastAsia="仿宋" w:cs="仿宋"/>
          <w:sz w:val="24"/>
          <w:szCs w:val="24"/>
        </w:rPr>
        <w:t xml:space="preserve">                                                                                  </w:t>
      </w:r>
      <w:r>
        <w:rPr>
          <w:rFonts w:hint="eastAsia" w:ascii="仿宋" w:hAnsi="仿宋" w:eastAsia="仿宋" w:cs="仿宋"/>
          <w:sz w:val="24"/>
          <w:szCs w:val="24"/>
        </w:rPr>
        <w:t>编号：</w:t>
      </w:r>
    </w:p>
    <w:tbl>
      <w:tblPr>
        <w:tblStyle w:val="40"/>
        <w:tblW w:w="1585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831"/>
        <w:gridCol w:w="831"/>
        <w:gridCol w:w="831"/>
        <w:gridCol w:w="831"/>
        <w:gridCol w:w="831"/>
        <w:gridCol w:w="1377"/>
        <w:gridCol w:w="1243"/>
        <w:gridCol w:w="1042"/>
        <w:gridCol w:w="1054"/>
        <w:gridCol w:w="1406"/>
        <w:gridCol w:w="2287"/>
        <w:gridCol w:w="2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831"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序号</w:t>
            </w:r>
          </w:p>
        </w:tc>
        <w:tc>
          <w:tcPr>
            <w:tcW w:w="831" w:type="dxa"/>
            <w:vAlign w:val="center"/>
          </w:tcPr>
          <w:p>
            <w:pPr>
              <w:tabs>
                <w:tab w:val="left" w:pos="150"/>
              </w:tabs>
              <w:jc w:val="center"/>
              <w:rPr>
                <w:rFonts w:ascii="仿宋" w:hAnsi="仿宋" w:eastAsia="仿宋" w:cs="Times New Roman"/>
                <w:sz w:val="24"/>
                <w:szCs w:val="24"/>
              </w:rPr>
            </w:pPr>
            <w:r>
              <w:rPr>
                <w:rFonts w:hint="eastAsia" w:ascii="仿宋" w:hAnsi="仿宋" w:eastAsia="仿宋" w:cs="仿宋"/>
                <w:sz w:val="24"/>
                <w:szCs w:val="24"/>
              </w:rPr>
              <w:t>姓名</w:t>
            </w:r>
          </w:p>
        </w:tc>
        <w:tc>
          <w:tcPr>
            <w:tcW w:w="831"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性别</w:t>
            </w:r>
          </w:p>
        </w:tc>
        <w:tc>
          <w:tcPr>
            <w:tcW w:w="831"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年龄</w:t>
            </w:r>
          </w:p>
        </w:tc>
        <w:tc>
          <w:tcPr>
            <w:tcW w:w="831"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学历</w:t>
            </w:r>
          </w:p>
        </w:tc>
        <w:tc>
          <w:tcPr>
            <w:tcW w:w="831"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专业</w:t>
            </w:r>
          </w:p>
        </w:tc>
        <w:tc>
          <w:tcPr>
            <w:tcW w:w="1377"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现任职务、</w:t>
            </w:r>
          </w:p>
          <w:p>
            <w:pPr>
              <w:spacing w:line="360" w:lineRule="auto"/>
              <w:jc w:val="center"/>
              <w:rPr>
                <w:rFonts w:ascii="仿宋" w:hAnsi="仿宋" w:eastAsia="仿宋" w:cs="Times New Roman"/>
                <w:sz w:val="24"/>
                <w:szCs w:val="24"/>
              </w:rPr>
            </w:pPr>
            <w:r>
              <w:rPr>
                <w:rFonts w:hint="eastAsia" w:ascii="仿宋" w:hAnsi="仿宋" w:eastAsia="仿宋" w:cs="仿宋"/>
                <w:sz w:val="24"/>
                <w:szCs w:val="24"/>
              </w:rPr>
              <w:t>技术职务</w:t>
            </w:r>
          </w:p>
        </w:tc>
        <w:tc>
          <w:tcPr>
            <w:tcW w:w="1243"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联系电话</w:t>
            </w:r>
          </w:p>
        </w:tc>
        <w:tc>
          <w:tcPr>
            <w:tcW w:w="1042"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专业</w:t>
            </w:r>
          </w:p>
          <w:p>
            <w:pPr>
              <w:spacing w:line="360" w:lineRule="auto"/>
              <w:jc w:val="center"/>
              <w:rPr>
                <w:rFonts w:ascii="仿宋" w:hAnsi="仿宋" w:eastAsia="仿宋" w:cs="Times New Roman"/>
                <w:sz w:val="24"/>
                <w:szCs w:val="24"/>
              </w:rPr>
            </w:pPr>
            <w:r>
              <w:rPr>
                <w:rFonts w:hint="eastAsia" w:ascii="仿宋" w:hAnsi="仿宋" w:eastAsia="仿宋" w:cs="仿宋"/>
                <w:sz w:val="24"/>
                <w:szCs w:val="24"/>
              </w:rPr>
              <w:t>工龄</w:t>
            </w:r>
          </w:p>
        </w:tc>
        <w:tc>
          <w:tcPr>
            <w:tcW w:w="1054"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专业</w:t>
            </w:r>
          </w:p>
          <w:p>
            <w:pPr>
              <w:spacing w:line="360" w:lineRule="auto"/>
              <w:jc w:val="center"/>
              <w:rPr>
                <w:rFonts w:ascii="仿宋" w:hAnsi="仿宋" w:eastAsia="仿宋" w:cs="Times New Roman"/>
                <w:sz w:val="24"/>
                <w:szCs w:val="24"/>
              </w:rPr>
            </w:pPr>
            <w:r>
              <w:rPr>
                <w:rFonts w:hint="eastAsia" w:ascii="仿宋" w:hAnsi="仿宋" w:eastAsia="仿宋" w:cs="仿宋"/>
                <w:sz w:val="24"/>
                <w:szCs w:val="24"/>
              </w:rPr>
              <w:t>特长</w:t>
            </w:r>
          </w:p>
        </w:tc>
        <w:tc>
          <w:tcPr>
            <w:tcW w:w="1406"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从事施工</w:t>
            </w:r>
          </w:p>
          <w:p>
            <w:pPr>
              <w:spacing w:line="360" w:lineRule="auto"/>
              <w:jc w:val="center"/>
              <w:rPr>
                <w:rFonts w:ascii="仿宋" w:hAnsi="仿宋" w:eastAsia="仿宋" w:cs="Times New Roman"/>
                <w:sz w:val="24"/>
                <w:szCs w:val="24"/>
              </w:rPr>
            </w:pPr>
            <w:r>
              <w:rPr>
                <w:rFonts w:hint="eastAsia" w:ascii="仿宋" w:hAnsi="仿宋" w:eastAsia="仿宋" w:cs="仿宋"/>
                <w:sz w:val="24"/>
                <w:szCs w:val="24"/>
              </w:rPr>
              <w:t>工作年限</w:t>
            </w:r>
          </w:p>
        </w:tc>
        <w:tc>
          <w:tcPr>
            <w:tcW w:w="2287"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主要专业工作经历（曾参与过的羡慕和获奖情况）</w:t>
            </w:r>
          </w:p>
        </w:tc>
        <w:tc>
          <w:tcPr>
            <w:tcW w:w="2462"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在本工程担任职务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31" w:type="dxa"/>
            <w:vAlign w:val="center"/>
          </w:tcPr>
          <w:p>
            <w:pPr>
              <w:spacing w:line="360" w:lineRule="auto"/>
              <w:jc w:val="center"/>
              <w:rPr>
                <w:rFonts w:ascii="仿宋" w:hAnsi="仿宋" w:eastAsia="仿宋" w:cs="Times New Roman"/>
              </w:rPr>
            </w:pPr>
          </w:p>
        </w:tc>
        <w:tc>
          <w:tcPr>
            <w:tcW w:w="831" w:type="dxa"/>
            <w:vAlign w:val="top"/>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1377" w:type="dxa"/>
            <w:vAlign w:val="center"/>
          </w:tcPr>
          <w:p>
            <w:pPr>
              <w:spacing w:line="360" w:lineRule="auto"/>
              <w:jc w:val="center"/>
              <w:rPr>
                <w:rFonts w:ascii="仿宋" w:hAnsi="仿宋" w:eastAsia="仿宋" w:cs="Times New Roman"/>
              </w:rPr>
            </w:pPr>
          </w:p>
        </w:tc>
        <w:tc>
          <w:tcPr>
            <w:tcW w:w="1243" w:type="dxa"/>
            <w:vAlign w:val="center"/>
          </w:tcPr>
          <w:p>
            <w:pPr>
              <w:spacing w:line="360" w:lineRule="auto"/>
              <w:jc w:val="center"/>
              <w:rPr>
                <w:rFonts w:ascii="仿宋" w:hAnsi="仿宋" w:eastAsia="仿宋" w:cs="Times New Roman"/>
              </w:rPr>
            </w:pPr>
          </w:p>
        </w:tc>
        <w:tc>
          <w:tcPr>
            <w:tcW w:w="1042" w:type="dxa"/>
            <w:vAlign w:val="center"/>
          </w:tcPr>
          <w:p>
            <w:pPr>
              <w:spacing w:line="360" w:lineRule="auto"/>
              <w:jc w:val="center"/>
              <w:rPr>
                <w:rFonts w:ascii="仿宋" w:hAnsi="仿宋" w:eastAsia="仿宋" w:cs="Times New Roman"/>
              </w:rPr>
            </w:pPr>
          </w:p>
        </w:tc>
        <w:tc>
          <w:tcPr>
            <w:tcW w:w="1054" w:type="dxa"/>
            <w:vAlign w:val="center"/>
          </w:tcPr>
          <w:p>
            <w:pPr>
              <w:spacing w:line="360" w:lineRule="auto"/>
              <w:jc w:val="center"/>
              <w:rPr>
                <w:rFonts w:ascii="仿宋" w:hAnsi="仿宋" w:eastAsia="仿宋" w:cs="Times New Roman"/>
              </w:rPr>
            </w:pPr>
          </w:p>
        </w:tc>
        <w:tc>
          <w:tcPr>
            <w:tcW w:w="1406" w:type="dxa"/>
            <w:vAlign w:val="center"/>
          </w:tcPr>
          <w:p>
            <w:pPr>
              <w:spacing w:line="360" w:lineRule="auto"/>
              <w:jc w:val="center"/>
              <w:rPr>
                <w:rFonts w:ascii="仿宋" w:hAnsi="仿宋" w:eastAsia="仿宋" w:cs="Times New Roman"/>
              </w:rPr>
            </w:pPr>
          </w:p>
        </w:tc>
        <w:tc>
          <w:tcPr>
            <w:tcW w:w="2287" w:type="dxa"/>
            <w:vAlign w:val="top"/>
          </w:tcPr>
          <w:p>
            <w:pPr>
              <w:spacing w:line="360" w:lineRule="auto"/>
              <w:jc w:val="center"/>
              <w:rPr>
                <w:rFonts w:ascii="仿宋" w:hAnsi="仿宋" w:eastAsia="仿宋" w:cs="Times New Roman"/>
              </w:rPr>
            </w:pPr>
          </w:p>
        </w:tc>
        <w:tc>
          <w:tcPr>
            <w:tcW w:w="2462" w:type="dxa"/>
            <w:vAlign w:val="top"/>
          </w:tcPr>
          <w:p>
            <w:pPr>
              <w:spacing w:line="360" w:lineRule="auto"/>
              <w:jc w:val="cente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31" w:type="dxa"/>
            <w:vAlign w:val="center"/>
          </w:tcPr>
          <w:p>
            <w:pPr>
              <w:spacing w:line="360" w:lineRule="auto"/>
              <w:jc w:val="center"/>
              <w:rPr>
                <w:rFonts w:ascii="仿宋" w:hAnsi="仿宋" w:eastAsia="仿宋" w:cs="Times New Roman"/>
              </w:rPr>
            </w:pPr>
          </w:p>
        </w:tc>
        <w:tc>
          <w:tcPr>
            <w:tcW w:w="831" w:type="dxa"/>
            <w:vAlign w:val="top"/>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1377" w:type="dxa"/>
            <w:vAlign w:val="center"/>
          </w:tcPr>
          <w:p>
            <w:pPr>
              <w:spacing w:line="360" w:lineRule="auto"/>
              <w:jc w:val="center"/>
              <w:rPr>
                <w:rFonts w:ascii="仿宋" w:hAnsi="仿宋" w:eastAsia="仿宋" w:cs="Times New Roman"/>
              </w:rPr>
            </w:pPr>
          </w:p>
        </w:tc>
        <w:tc>
          <w:tcPr>
            <w:tcW w:w="1243" w:type="dxa"/>
            <w:vAlign w:val="center"/>
          </w:tcPr>
          <w:p>
            <w:pPr>
              <w:spacing w:line="360" w:lineRule="auto"/>
              <w:jc w:val="center"/>
              <w:rPr>
                <w:rFonts w:ascii="仿宋" w:hAnsi="仿宋" w:eastAsia="仿宋" w:cs="Times New Roman"/>
              </w:rPr>
            </w:pPr>
          </w:p>
        </w:tc>
        <w:tc>
          <w:tcPr>
            <w:tcW w:w="1042" w:type="dxa"/>
            <w:vAlign w:val="center"/>
          </w:tcPr>
          <w:p>
            <w:pPr>
              <w:spacing w:line="360" w:lineRule="auto"/>
              <w:jc w:val="center"/>
              <w:rPr>
                <w:rFonts w:ascii="仿宋" w:hAnsi="仿宋" w:eastAsia="仿宋" w:cs="Times New Roman"/>
              </w:rPr>
            </w:pPr>
          </w:p>
        </w:tc>
        <w:tc>
          <w:tcPr>
            <w:tcW w:w="1054" w:type="dxa"/>
            <w:vAlign w:val="center"/>
          </w:tcPr>
          <w:p>
            <w:pPr>
              <w:spacing w:line="360" w:lineRule="auto"/>
              <w:jc w:val="center"/>
              <w:rPr>
                <w:rFonts w:ascii="仿宋" w:hAnsi="仿宋" w:eastAsia="仿宋" w:cs="Times New Roman"/>
              </w:rPr>
            </w:pPr>
          </w:p>
        </w:tc>
        <w:tc>
          <w:tcPr>
            <w:tcW w:w="1406" w:type="dxa"/>
            <w:vAlign w:val="center"/>
          </w:tcPr>
          <w:p>
            <w:pPr>
              <w:spacing w:line="360" w:lineRule="auto"/>
              <w:jc w:val="center"/>
              <w:rPr>
                <w:rFonts w:ascii="仿宋" w:hAnsi="仿宋" w:eastAsia="仿宋" w:cs="Times New Roman"/>
              </w:rPr>
            </w:pPr>
          </w:p>
        </w:tc>
        <w:tc>
          <w:tcPr>
            <w:tcW w:w="2287" w:type="dxa"/>
            <w:vAlign w:val="top"/>
          </w:tcPr>
          <w:p>
            <w:pPr>
              <w:spacing w:line="360" w:lineRule="auto"/>
              <w:jc w:val="center"/>
              <w:rPr>
                <w:rFonts w:ascii="仿宋" w:hAnsi="仿宋" w:eastAsia="仿宋" w:cs="Times New Roman"/>
              </w:rPr>
            </w:pPr>
          </w:p>
        </w:tc>
        <w:tc>
          <w:tcPr>
            <w:tcW w:w="2462" w:type="dxa"/>
            <w:vAlign w:val="top"/>
          </w:tcPr>
          <w:p>
            <w:pPr>
              <w:spacing w:line="360" w:lineRule="auto"/>
              <w:jc w:val="cente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31" w:type="dxa"/>
            <w:vAlign w:val="center"/>
          </w:tcPr>
          <w:p>
            <w:pPr>
              <w:spacing w:line="360" w:lineRule="auto"/>
              <w:jc w:val="center"/>
              <w:rPr>
                <w:rFonts w:ascii="仿宋" w:hAnsi="仿宋" w:eastAsia="仿宋" w:cs="Times New Roman"/>
              </w:rPr>
            </w:pPr>
          </w:p>
        </w:tc>
        <w:tc>
          <w:tcPr>
            <w:tcW w:w="831" w:type="dxa"/>
            <w:vAlign w:val="top"/>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1377" w:type="dxa"/>
            <w:vAlign w:val="center"/>
          </w:tcPr>
          <w:p>
            <w:pPr>
              <w:spacing w:line="360" w:lineRule="auto"/>
              <w:jc w:val="center"/>
              <w:rPr>
                <w:rFonts w:ascii="仿宋" w:hAnsi="仿宋" w:eastAsia="仿宋" w:cs="Times New Roman"/>
              </w:rPr>
            </w:pPr>
          </w:p>
        </w:tc>
        <w:tc>
          <w:tcPr>
            <w:tcW w:w="1243" w:type="dxa"/>
            <w:vAlign w:val="center"/>
          </w:tcPr>
          <w:p>
            <w:pPr>
              <w:spacing w:line="360" w:lineRule="auto"/>
              <w:jc w:val="center"/>
              <w:rPr>
                <w:rFonts w:ascii="仿宋" w:hAnsi="仿宋" w:eastAsia="仿宋" w:cs="Times New Roman"/>
              </w:rPr>
            </w:pPr>
          </w:p>
        </w:tc>
        <w:tc>
          <w:tcPr>
            <w:tcW w:w="1042" w:type="dxa"/>
            <w:vAlign w:val="center"/>
          </w:tcPr>
          <w:p>
            <w:pPr>
              <w:spacing w:line="360" w:lineRule="auto"/>
              <w:jc w:val="center"/>
              <w:rPr>
                <w:rFonts w:ascii="仿宋" w:hAnsi="仿宋" w:eastAsia="仿宋" w:cs="Times New Roman"/>
              </w:rPr>
            </w:pPr>
          </w:p>
        </w:tc>
        <w:tc>
          <w:tcPr>
            <w:tcW w:w="1054" w:type="dxa"/>
            <w:vAlign w:val="center"/>
          </w:tcPr>
          <w:p>
            <w:pPr>
              <w:spacing w:line="360" w:lineRule="auto"/>
              <w:jc w:val="center"/>
              <w:rPr>
                <w:rFonts w:ascii="仿宋" w:hAnsi="仿宋" w:eastAsia="仿宋" w:cs="Times New Roman"/>
              </w:rPr>
            </w:pPr>
          </w:p>
        </w:tc>
        <w:tc>
          <w:tcPr>
            <w:tcW w:w="1406" w:type="dxa"/>
            <w:vAlign w:val="center"/>
          </w:tcPr>
          <w:p>
            <w:pPr>
              <w:spacing w:line="360" w:lineRule="auto"/>
              <w:jc w:val="center"/>
              <w:rPr>
                <w:rFonts w:ascii="仿宋" w:hAnsi="仿宋" w:eastAsia="仿宋" w:cs="Times New Roman"/>
              </w:rPr>
            </w:pPr>
          </w:p>
        </w:tc>
        <w:tc>
          <w:tcPr>
            <w:tcW w:w="2287" w:type="dxa"/>
            <w:vAlign w:val="top"/>
          </w:tcPr>
          <w:p>
            <w:pPr>
              <w:spacing w:line="360" w:lineRule="auto"/>
              <w:jc w:val="center"/>
              <w:rPr>
                <w:rFonts w:ascii="仿宋" w:hAnsi="仿宋" w:eastAsia="仿宋" w:cs="Times New Roman"/>
              </w:rPr>
            </w:pPr>
          </w:p>
        </w:tc>
        <w:tc>
          <w:tcPr>
            <w:tcW w:w="2462" w:type="dxa"/>
            <w:vAlign w:val="top"/>
          </w:tcPr>
          <w:p>
            <w:pPr>
              <w:spacing w:line="360" w:lineRule="auto"/>
              <w:jc w:val="cente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31" w:type="dxa"/>
            <w:vAlign w:val="center"/>
          </w:tcPr>
          <w:p>
            <w:pPr>
              <w:spacing w:line="360" w:lineRule="auto"/>
              <w:jc w:val="center"/>
              <w:rPr>
                <w:rFonts w:ascii="仿宋" w:hAnsi="仿宋" w:eastAsia="仿宋" w:cs="Times New Roman"/>
              </w:rPr>
            </w:pPr>
          </w:p>
        </w:tc>
        <w:tc>
          <w:tcPr>
            <w:tcW w:w="831" w:type="dxa"/>
            <w:vAlign w:val="top"/>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1377" w:type="dxa"/>
            <w:vAlign w:val="center"/>
          </w:tcPr>
          <w:p>
            <w:pPr>
              <w:spacing w:line="360" w:lineRule="auto"/>
              <w:jc w:val="center"/>
              <w:rPr>
                <w:rFonts w:ascii="仿宋" w:hAnsi="仿宋" w:eastAsia="仿宋" w:cs="Times New Roman"/>
              </w:rPr>
            </w:pPr>
          </w:p>
        </w:tc>
        <w:tc>
          <w:tcPr>
            <w:tcW w:w="1243" w:type="dxa"/>
            <w:vAlign w:val="center"/>
          </w:tcPr>
          <w:p>
            <w:pPr>
              <w:spacing w:line="360" w:lineRule="auto"/>
              <w:jc w:val="center"/>
              <w:rPr>
                <w:rFonts w:ascii="仿宋" w:hAnsi="仿宋" w:eastAsia="仿宋" w:cs="Times New Roman"/>
              </w:rPr>
            </w:pPr>
          </w:p>
        </w:tc>
        <w:tc>
          <w:tcPr>
            <w:tcW w:w="1042" w:type="dxa"/>
            <w:vAlign w:val="center"/>
          </w:tcPr>
          <w:p>
            <w:pPr>
              <w:spacing w:line="360" w:lineRule="auto"/>
              <w:jc w:val="center"/>
              <w:rPr>
                <w:rFonts w:ascii="仿宋" w:hAnsi="仿宋" w:eastAsia="仿宋" w:cs="Times New Roman"/>
              </w:rPr>
            </w:pPr>
          </w:p>
        </w:tc>
        <w:tc>
          <w:tcPr>
            <w:tcW w:w="1054" w:type="dxa"/>
            <w:vAlign w:val="center"/>
          </w:tcPr>
          <w:p>
            <w:pPr>
              <w:spacing w:line="360" w:lineRule="auto"/>
              <w:jc w:val="center"/>
              <w:rPr>
                <w:rFonts w:ascii="仿宋" w:hAnsi="仿宋" w:eastAsia="仿宋" w:cs="Times New Roman"/>
              </w:rPr>
            </w:pPr>
          </w:p>
        </w:tc>
        <w:tc>
          <w:tcPr>
            <w:tcW w:w="1406" w:type="dxa"/>
            <w:vAlign w:val="center"/>
          </w:tcPr>
          <w:p>
            <w:pPr>
              <w:spacing w:line="360" w:lineRule="auto"/>
              <w:jc w:val="center"/>
              <w:rPr>
                <w:rFonts w:ascii="仿宋" w:hAnsi="仿宋" w:eastAsia="仿宋" w:cs="Times New Roman"/>
              </w:rPr>
            </w:pPr>
          </w:p>
        </w:tc>
        <w:tc>
          <w:tcPr>
            <w:tcW w:w="2287" w:type="dxa"/>
            <w:vAlign w:val="top"/>
          </w:tcPr>
          <w:p>
            <w:pPr>
              <w:spacing w:line="360" w:lineRule="auto"/>
              <w:jc w:val="center"/>
              <w:rPr>
                <w:rFonts w:ascii="仿宋" w:hAnsi="仿宋" w:eastAsia="仿宋" w:cs="Times New Roman"/>
              </w:rPr>
            </w:pPr>
          </w:p>
        </w:tc>
        <w:tc>
          <w:tcPr>
            <w:tcW w:w="2462" w:type="dxa"/>
            <w:vAlign w:val="top"/>
          </w:tcPr>
          <w:p>
            <w:pPr>
              <w:spacing w:line="360" w:lineRule="auto"/>
              <w:jc w:val="cente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31" w:type="dxa"/>
            <w:vAlign w:val="center"/>
          </w:tcPr>
          <w:p>
            <w:pPr>
              <w:spacing w:line="360" w:lineRule="auto"/>
              <w:jc w:val="center"/>
              <w:rPr>
                <w:rFonts w:ascii="仿宋" w:hAnsi="仿宋" w:eastAsia="仿宋" w:cs="Times New Roman"/>
              </w:rPr>
            </w:pPr>
          </w:p>
        </w:tc>
        <w:tc>
          <w:tcPr>
            <w:tcW w:w="831" w:type="dxa"/>
            <w:vAlign w:val="top"/>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1377" w:type="dxa"/>
            <w:vAlign w:val="center"/>
          </w:tcPr>
          <w:p>
            <w:pPr>
              <w:spacing w:line="360" w:lineRule="auto"/>
              <w:jc w:val="center"/>
              <w:rPr>
                <w:rFonts w:ascii="仿宋" w:hAnsi="仿宋" w:eastAsia="仿宋" w:cs="Times New Roman"/>
              </w:rPr>
            </w:pPr>
          </w:p>
        </w:tc>
        <w:tc>
          <w:tcPr>
            <w:tcW w:w="1243" w:type="dxa"/>
            <w:vAlign w:val="center"/>
          </w:tcPr>
          <w:p>
            <w:pPr>
              <w:spacing w:line="360" w:lineRule="auto"/>
              <w:jc w:val="center"/>
              <w:rPr>
                <w:rFonts w:ascii="仿宋" w:hAnsi="仿宋" w:eastAsia="仿宋" w:cs="Times New Roman"/>
              </w:rPr>
            </w:pPr>
          </w:p>
        </w:tc>
        <w:tc>
          <w:tcPr>
            <w:tcW w:w="1042" w:type="dxa"/>
            <w:vAlign w:val="center"/>
          </w:tcPr>
          <w:p>
            <w:pPr>
              <w:spacing w:line="360" w:lineRule="auto"/>
              <w:jc w:val="center"/>
              <w:rPr>
                <w:rFonts w:ascii="仿宋" w:hAnsi="仿宋" w:eastAsia="仿宋" w:cs="Times New Roman"/>
              </w:rPr>
            </w:pPr>
          </w:p>
        </w:tc>
        <w:tc>
          <w:tcPr>
            <w:tcW w:w="1054" w:type="dxa"/>
            <w:vAlign w:val="center"/>
          </w:tcPr>
          <w:p>
            <w:pPr>
              <w:spacing w:line="360" w:lineRule="auto"/>
              <w:jc w:val="center"/>
              <w:rPr>
                <w:rFonts w:ascii="仿宋" w:hAnsi="仿宋" w:eastAsia="仿宋" w:cs="Times New Roman"/>
              </w:rPr>
            </w:pPr>
          </w:p>
        </w:tc>
        <w:tc>
          <w:tcPr>
            <w:tcW w:w="1406" w:type="dxa"/>
            <w:vAlign w:val="center"/>
          </w:tcPr>
          <w:p>
            <w:pPr>
              <w:spacing w:line="360" w:lineRule="auto"/>
              <w:jc w:val="center"/>
              <w:rPr>
                <w:rFonts w:ascii="仿宋" w:hAnsi="仿宋" w:eastAsia="仿宋" w:cs="Times New Roman"/>
              </w:rPr>
            </w:pPr>
          </w:p>
        </w:tc>
        <w:tc>
          <w:tcPr>
            <w:tcW w:w="2287" w:type="dxa"/>
            <w:vAlign w:val="top"/>
          </w:tcPr>
          <w:p>
            <w:pPr>
              <w:spacing w:line="360" w:lineRule="auto"/>
              <w:jc w:val="center"/>
              <w:rPr>
                <w:rFonts w:ascii="仿宋" w:hAnsi="仿宋" w:eastAsia="仿宋" w:cs="Times New Roman"/>
              </w:rPr>
            </w:pPr>
          </w:p>
        </w:tc>
        <w:tc>
          <w:tcPr>
            <w:tcW w:w="2462" w:type="dxa"/>
            <w:vAlign w:val="top"/>
          </w:tcPr>
          <w:p>
            <w:pPr>
              <w:spacing w:line="360" w:lineRule="auto"/>
              <w:jc w:val="cente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31" w:type="dxa"/>
            <w:vAlign w:val="center"/>
          </w:tcPr>
          <w:p>
            <w:pPr>
              <w:spacing w:line="360" w:lineRule="auto"/>
              <w:jc w:val="center"/>
              <w:rPr>
                <w:rFonts w:ascii="仿宋" w:hAnsi="仿宋" w:eastAsia="仿宋" w:cs="Times New Roman"/>
              </w:rPr>
            </w:pPr>
          </w:p>
        </w:tc>
        <w:tc>
          <w:tcPr>
            <w:tcW w:w="831" w:type="dxa"/>
            <w:vAlign w:val="top"/>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1377" w:type="dxa"/>
            <w:vAlign w:val="center"/>
          </w:tcPr>
          <w:p>
            <w:pPr>
              <w:spacing w:line="360" w:lineRule="auto"/>
              <w:jc w:val="center"/>
              <w:rPr>
                <w:rFonts w:ascii="仿宋" w:hAnsi="仿宋" w:eastAsia="仿宋" w:cs="Times New Roman"/>
              </w:rPr>
            </w:pPr>
          </w:p>
        </w:tc>
        <w:tc>
          <w:tcPr>
            <w:tcW w:w="1243" w:type="dxa"/>
            <w:vAlign w:val="center"/>
          </w:tcPr>
          <w:p>
            <w:pPr>
              <w:spacing w:line="360" w:lineRule="auto"/>
              <w:jc w:val="center"/>
              <w:rPr>
                <w:rFonts w:ascii="仿宋" w:hAnsi="仿宋" w:eastAsia="仿宋" w:cs="Times New Roman"/>
              </w:rPr>
            </w:pPr>
          </w:p>
        </w:tc>
        <w:tc>
          <w:tcPr>
            <w:tcW w:w="1042" w:type="dxa"/>
            <w:vAlign w:val="center"/>
          </w:tcPr>
          <w:p>
            <w:pPr>
              <w:spacing w:line="360" w:lineRule="auto"/>
              <w:jc w:val="center"/>
              <w:rPr>
                <w:rFonts w:ascii="仿宋" w:hAnsi="仿宋" w:eastAsia="仿宋" w:cs="Times New Roman"/>
              </w:rPr>
            </w:pPr>
          </w:p>
        </w:tc>
        <w:tc>
          <w:tcPr>
            <w:tcW w:w="1054" w:type="dxa"/>
            <w:vAlign w:val="center"/>
          </w:tcPr>
          <w:p>
            <w:pPr>
              <w:spacing w:line="360" w:lineRule="auto"/>
              <w:jc w:val="center"/>
              <w:rPr>
                <w:rFonts w:ascii="仿宋" w:hAnsi="仿宋" w:eastAsia="仿宋" w:cs="Times New Roman"/>
              </w:rPr>
            </w:pPr>
          </w:p>
        </w:tc>
        <w:tc>
          <w:tcPr>
            <w:tcW w:w="1406" w:type="dxa"/>
            <w:vAlign w:val="center"/>
          </w:tcPr>
          <w:p>
            <w:pPr>
              <w:spacing w:line="360" w:lineRule="auto"/>
              <w:jc w:val="center"/>
              <w:rPr>
                <w:rFonts w:ascii="仿宋" w:hAnsi="仿宋" w:eastAsia="仿宋" w:cs="Times New Roman"/>
              </w:rPr>
            </w:pPr>
          </w:p>
        </w:tc>
        <w:tc>
          <w:tcPr>
            <w:tcW w:w="2287" w:type="dxa"/>
            <w:vAlign w:val="top"/>
          </w:tcPr>
          <w:p>
            <w:pPr>
              <w:spacing w:line="360" w:lineRule="auto"/>
              <w:jc w:val="center"/>
              <w:rPr>
                <w:rFonts w:ascii="仿宋" w:hAnsi="仿宋" w:eastAsia="仿宋" w:cs="Times New Roman"/>
              </w:rPr>
            </w:pPr>
          </w:p>
        </w:tc>
        <w:tc>
          <w:tcPr>
            <w:tcW w:w="2462" w:type="dxa"/>
            <w:vAlign w:val="top"/>
          </w:tcPr>
          <w:p>
            <w:pPr>
              <w:spacing w:line="360" w:lineRule="auto"/>
              <w:jc w:val="cente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31" w:type="dxa"/>
            <w:vAlign w:val="center"/>
          </w:tcPr>
          <w:p>
            <w:pPr>
              <w:spacing w:line="360" w:lineRule="auto"/>
              <w:jc w:val="center"/>
              <w:rPr>
                <w:rFonts w:ascii="仿宋" w:hAnsi="仿宋" w:eastAsia="仿宋" w:cs="Times New Roman"/>
              </w:rPr>
            </w:pPr>
          </w:p>
        </w:tc>
        <w:tc>
          <w:tcPr>
            <w:tcW w:w="831" w:type="dxa"/>
            <w:vAlign w:val="top"/>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1377" w:type="dxa"/>
            <w:vAlign w:val="center"/>
          </w:tcPr>
          <w:p>
            <w:pPr>
              <w:spacing w:line="360" w:lineRule="auto"/>
              <w:jc w:val="center"/>
              <w:rPr>
                <w:rFonts w:ascii="仿宋" w:hAnsi="仿宋" w:eastAsia="仿宋" w:cs="Times New Roman"/>
              </w:rPr>
            </w:pPr>
          </w:p>
        </w:tc>
        <w:tc>
          <w:tcPr>
            <w:tcW w:w="1243" w:type="dxa"/>
            <w:vAlign w:val="center"/>
          </w:tcPr>
          <w:p>
            <w:pPr>
              <w:spacing w:line="360" w:lineRule="auto"/>
              <w:jc w:val="center"/>
              <w:rPr>
                <w:rFonts w:ascii="仿宋" w:hAnsi="仿宋" w:eastAsia="仿宋" w:cs="Times New Roman"/>
              </w:rPr>
            </w:pPr>
          </w:p>
        </w:tc>
        <w:tc>
          <w:tcPr>
            <w:tcW w:w="1042" w:type="dxa"/>
            <w:vAlign w:val="center"/>
          </w:tcPr>
          <w:p>
            <w:pPr>
              <w:spacing w:line="360" w:lineRule="auto"/>
              <w:jc w:val="center"/>
              <w:rPr>
                <w:rFonts w:ascii="仿宋" w:hAnsi="仿宋" w:eastAsia="仿宋" w:cs="Times New Roman"/>
              </w:rPr>
            </w:pPr>
          </w:p>
        </w:tc>
        <w:tc>
          <w:tcPr>
            <w:tcW w:w="1054" w:type="dxa"/>
            <w:vAlign w:val="center"/>
          </w:tcPr>
          <w:p>
            <w:pPr>
              <w:spacing w:line="360" w:lineRule="auto"/>
              <w:jc w:val="center"/>
              <w:rPr>
                <w:rFonts w:ascii="仿宋" w:hAnsi="仿宋" w:eastAsia="仿宋" w:cs="Times New Roman"/>
              </w:rPr>
            </w:pPr>
          </w:p>
        </w:tc>
        <w:tc>
          <w:tcPr>
            <w:tcW w:w="1406" w:type="dxa"/>
            <w:vAlign w:val="center"/>
          </w:tcPr>
          <w:p>
            <w:pPr>
              <w:spacing w:line="360" w:lineRule="auto"/>
              <w:jc w:val="center"/>
              <w:rPr>
                <w:rFonts w:ascii="仿宋" w:hAnsi="仿宋" w:eastAsia="仿宋" w:cs="Times New Roman"/>
              </w:rPr>
            </w:pPr>
          </w:p>
        </w:tc>
        <w:tc>
          <w:tcPr>
            <w:tcW w:w="2287" w:type="dxa"/>
            <w:vAlign w:val="top"/>
          </w:tcPr>
          <w:p>
            <w:pPr>
              <w:spacing w:line="360" w:lineRule="auto"/>
              <w:jc w:val="center"/>
              <w:rPr>
                <w:rFonts w:ascii="仿宋" w:hAnsi="仿宋" w:eastAsia="仿宋" w:cs="Times New Roman"/>
              </w:rPr>
            </w:pPr>
          </w:p>
        </w:tc>
        <w:tc>
          <w:tcPr>
            <w:tcW w:w="2462" w:type="dxa"/>
            <w:vAlign w:val="top"/>
          </w:tcPr>
          <w:p>
            <w:pPr>
              <w:spacing w:line="360" w:lineRule="auto"/>
              <w:jc w:val="cente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31" w:type="dxa"/>
            <w:vAlign w:val="center"/>
          </w:tcPr>
          <w:p>
            <w:pPr>
              <w:spacing w:line="360" w:lineRule="auto"/>
              <w:jc w:val="center"/>
              <w:rPr>
                <w:rFonts w:ascii="仿宋" w:hAnsi="仿宋" w:eastAsia="仿宋" w:cs="Times New Roman"/>
              </w:rPr>
            </w:pPr>
          </w:p>
        </w:tc>
        <w:tc>
          <w:tcPr>
            <w:tcW w:w="831" w:type="dxa"/>
            <w:vAlign w:val="top"/>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1377" w:type="dxa"/>
            <w:vAlign w:val="center"/>
          </w:tcPr>
          <w:p>
            <w:pPr>
              <w:spacing w:line="360" w:lineRule="auto"/>
              <w:jc w:val="center"/>
              <w:rPr>
                <w:rFonts w:ascii="仿宋" w:hAnsi="仿宋" w:eastAsia="仿宋" w:cs="Times New Roman"/>
              </w:rPr>
            </w:pPr>
          </w:p>
        </w:tc>
        <w:tc>
          <w:tcPr>
            <w:tcW w:w="1243" w:type="dxa"/>
            <w:vAlign w:val="center"/>
          </w:tcPr>
          <w:p>
            <w:pPr>
              <w:spacing w:line="360" w:lineRule="auto"/>
              <w:jc w:val="center"/>
              <w:rPr>
                <w:rFonts w:ascii="仿宋" w:hAnsi="仿宋" w:eastAsia="仿宋" w:cs="Times New Roman"/>
              </w:rPr>
            </w:pPr>
          </w:p>
        </w:tc>
        <w:tc>
          <w:tcPr>
            <w:tcW w:w="1042" w:type="dxa"/>
            <w:vAlign w:val="center"/>
          </w:tcPr>
          <w:p>
            <w:pPr>
              <w:spacing w:line="360" w:lineRule="auto"/>
              <w:jc w:val="center"/>
              <w:rPr>
                <w:rFonts w:ascii="仿宋" w:hAnsi="仿宋" w:eastAsia="仿宋" w:cs="Times New Roman"/>
              </w:rPr>
            </w:pPr>
          </w:p>
        </w:tc>
        <w:tc>
          <w:tcPr>
            <w:tcW w:w="1054" w:type="dxa"/>
            <w:vAlign w:val="center"/>
          </w:tcPr>
          <w:p>
            <w:pPr>
              <w:spacing w:line="360" w:lineRule="auto"/>
              <w:jc w:val="center"/>
              <w:rPr>
                <w:rFonts w:ascii="仿宋" w:hAnsi="仿宋" w:eastAsia="仿宋" w:cs="Times New Roman"/>
              </w:rPr>
            </w:pPr>
          </w:p>
        </w:tc>
        <w:tc>
          <w:tcPr>
            <w:tcW w:w="1406" w:type="dxa"/>
            <w:vAlign w:val="center"/>
          </w:tcPr>
          <w:p>
            <w:pPr>
              <w:spacing w:line="360" w:lineRule="auto"/>
              <w:jc w:val="center"/>
              <w:rPr>
                <w:rFonts w:ascii="仿宋" w:hAnsi="仿宋" w:eastAsia="仿宋" w:cs="Times New Roman"/>
              </w:rPr>
            </w:pPr>
          </w:p>
        </w:tc>
        <w:tc>
          <w:tcPr>
            <w:tcW w:w="2287" w:type="dxa"/>
            <w:vAlign w:val="top"/>
          </w:tcPr>
          <w:p>
            <w:pPr>
              <w:spacing w:line="360" w:lineRule="auto"/>
              <w:jc w:val="center"/>
              <w:rPr>
                <w:rFonts w:ascii="仿宋" w:hAnsi="仿宋" w:eastAsia="仿宋" w:cs="Times New Roman"/>
              </w:rPr>
            </w:pPr>
          </w:p>
        </w:tc>
        <w:tc>
          <w:tcPr>
            <w:tcW w:w="2462" w:type="dxa"/>
            <w:vAlign w:val="top"/>
          </w:tcPr>
          <w:p>
            <w:pPr>
              <w:spacing w:line="360" w:lineRule="auto"/>
              <w:jc w:val="cente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31" w:type="dxa"/>
            <w:vAlign w:val="center"/>
          </w:tcPr>
          <w:p>
            <w:pPr>
              <w:spacing w:line="360" w:lineRule="auto"/>
              <w:jc w:val="center"/>
              <w:rPr>
                <w:rFonts w:ascii="仿宋" w:hAnsi="仿宋" w:eastAsia="仿宋" w:cs="Times New Roman"/>
              </w:rPr>
            </w:pPr>
          </w:p>
        </w:tc>
        <w:tc>
          <w:tcPr>
            <w:tcW w:w="831" w:type="dxa"/>
            <w:vAlign w:val="top"/>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1377" w:type="dxa"/>
            <w:vAlign w:val="center"/>
          </w:tcPr>
          <w:p>
            <w:pPr>
              <w:spacing w:line="360" w:lineRule="auto"/>
              <w:jc w:val="center"/>
              <w:rPr>
                <w:rFonts w:ascii="仿宋" w:hAnsi="仿宋" w:eastAsia="仿宋" w:cs="Times New Roman"/>
              </w:rPr>
            </w:pPr>
          </w:p>
        </w:tc>
        <w:tc>
          <w:tcPr>
            <w:tcW w:w="1243" w:type="dxa"/>
            <w:vAlign w:val="center"/>
          </w:tcPr>
          <w:p>
            <w:pPr>
              <w:spacing w:line="360" w:lineRule="auto"/>
              <w:jc w:val="center"/>
              <w:rPr>
                <w:rFonts w:ascii="仿宋" w:hAnsi="仿宋" w:eastAsia="仿宋" w:cs="Times New Roman"/>
              </w:rPr>
            </w:pPr>
          </w:p>
        </w:tc>
        <w:tc>
          <w:tcPr>
            <w:tcW w:w="1042" w:type="dxa"/>
            <w:vAlign w:val="center"/>
          </w:tcPr>
          <w:p>
            <w:pPr>
              <w:spacing w:line="360" w:lineRule="auto"/>
              <w:jc w:val="center"/>
              <w:rPr>
                <w:rFonts w:ascii="仿宋" w:hAnsi="仿宋" w:eastAsia="仿宋" w:cs="Times New Roman"/>
              </w:rPr>
            </w:pPr>
          </w:p>
        </w:tc>
        <w:tc>
          <w:tcPr>
            <w:tcW w:w="1054" w:type="dxa"/>
            <w:vAlign w:val="center"/>
          </w:tcPr>
          <w:p>
            <w:pPr>
              <w:spacing w:line="360" w:lineRule="auto"/>
              <w:jc w:val="center"/>
              <w:rPr>
                <w:rFonts w:ascii="仿宋" w:hAnsi="仿宋" w:eastAsia="仿宋" w:cs="Times New Roman"/>
              </w:rPr>
            </w:pPr>
          </w:p>
        </w:tc>
        <w:tc>
          <w:tcPr>
            <w:tcW w:w="1406" w:type="dxa"/>
            <w:vAlign w:val="center"/>
          </w:tcPr>
          <w:p>
            <w:pPr>
              <w:spacing w:line="360" w:lineRule="auto"/>
              <w:jc w:val="center"/>
              <w:rPr>
                <w:rFonts w:ascii="仿宋" w:hAnsi="仿宋" w:eastAsia="仿宋" w:cs="Times New Roman"/>
              </w:rPr>
            </w:pPr>
          </w:p>
        </w:tc>
        <w:tc>
          <w:tcPr>
            <w:tcW w:w="2287" w:type="dxa"/>
            <w:vAlign w:val="top"/>
          </w:tcPr>
          <w:p>
            <w:pPr>
              <w:spacing w:line="360" w:lineRule="auto"/>
              <w:jc w:val="center"/>
              <w:rPr>
                <w:rFonts w:ascii="仿宋" w:hAnsi="仿宋" w:eastAsia="仿宋" w:cs="Times New Roman"/>
              </w:rPr>
            </w:pPr>
          </w:p>
        </w:tc>
        <w:tc>
          <w:tcPr>
            <w:tcW w:w="2462" w:type="dxa"/>
            <w:vAlign w:val="top"/>
          </w:tcPr>
          <w:p>
            <w:pPr>
              <w:spacing w:line="360" w:lineRule="auto"/>
              <w:jc w:val="cente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31" w:type="dxa"/>
            <w:vAlign w:val="center"/>
          </w:tcPr>
          <w:p>
            <w:pPr>
              <w:spacing w:line="360" w:lineRule="auto"/>
              <w:jc w:val="center"/>
              <w:rPr>
                <w:rFonts w:ascii="仿宋" w:hAnsi="仿宋" w:eastAsia="仿宋" w:cs="Times New Roman"/>
              </w:rPr>
            </w:pPr>
          </w:p>
        </w:tc>
        <w:tc>
          <w:tcPr>
            <w:tcW w:w="831" w:type="dxa"/>
            <w:vAlign w:val="top"/>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1377" w:type="dxa"/>
            <w:vAlign w:val="center"/>
          </w:tcPr>
          <w:p>
            <w:pPr>
              <w:spacing w:line="360" w:lineRule="auto"/>
              <w:jc w:val="center"/>
              <w:rPr>
                <w:rFonts w:ascii="仿宋" w:hAnsi="仿宋" w:eastAsia="仿宋" w:cs="Times New Roman"/>
              </w:rPr>
            </w:pPr>
          </w:p>
        </w:tc>
        <w:tc>
          <w:tcPr>
            <w:tcW w:w="1243" w:type="dxa"/>
            <w:vAlign w:val="center"/>
          </w:tcPr>
          <w:p>
            <w:pPr>
              <w:spacing w:line="360" w:lineRule="auto"/>
              <w:jc w:val="center"/>
              <w:rPr>
                <w:rFonts w:ascii="仿宋" w:hAnsi="仿宋" w:eastAsia="仿宋" w:cs="Times New Roman"/>
              </w:rPr>
            </w:pPr>
          </w:p>
        </w:tc>
        <w:tc>
          <w:tcPr>
            <w:tcW w:w="1042" w:type="dxa"/>
            <w:vAlign w:val="center"/>
          </w:tcPr>
          <w:p>
            <w:pPr>
              <w:spacing w:line="360" w:lineRule="auto"/>
              <w:jc w:val="center"/>
              <w:rPr>
                <w:rFonts w:ascii="仿宋" w:hAnsi="仿宋" w:eastAsia="仿宋" w:cs="Times New Roman"/>
              </w:rPr>
            </w:pPr>
          </w:p>
        </w:tc>
        <w:tc>
          <w:tcPr>
            <w:tcW w:w="1054" w:type="dxa"/>
            <w:vAlign w:val="center"/>
          </w:tcPr>
          <w:p>
            <w:pPr>
              <w:spacing w:line="360" w:lineRule="auto"/>
              <w:jc w:val="center"/>
              <w:rPr>
                <w:rFonts w:ascii="仿宋" w:hAnsi="仿宋" w:eastAsia="仿宋" w:cs="Times New Roman"/>
              </w:rPr>
            </w:pPr>
          </w:p>
        </w:tc>
        <w:tc>
          <w:tcPr>
            <w:tcW w:w="1406" w:type="dxa"/>
            <w:vAlign w:val="center"/>
          </w:tcPr>
          <w:p>
            <w:pPr>
              <w:spacing w:line="360" w:lineRule="auto"/>
              <w:jc w:val="center"/>
              <w:rPr>
                <w:rFonts w:ascii="仿宋" w:hAnsi="仿宋" w:eastAsia="仿宋" w:cs="Times New Roman"/>
              </w:rPr>
            </w:pPr>
          </w:p>
        </w:tc>
        <w:tc>
          <w:tcPr>
            <w:tcW w:w="2287" w:type="dxa"/>
            <w:vAlign w:val="top"/>
          </w:tcPr>
          <w:p>
            <w:pPr>
              <w:spacing w:line="360" w:lineRule="auto"/>
              <w:jc w:val="center"/>
              <w:rPr>
                <w:rFonts w:ascii="仿宋" w:hAnsi="仿宋" w:eastAsia="仿宋" w:cs="Times New Roman"/>
              </w:rPr>
            </w:pPr>
          </w:p>
        </w:tc>
        <w:tc>
          <w:tcPr>
            <w:tcW w:w="2462" w:type="dxa"/>
            <w:vAlign w:val="top"/>
          </w:tcPr>
          <w:p>
            <w:pPr>
              <w:spacing w:line="360" w:lineRule="auto"/>
              <w:jc w:val="cente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31" w:type="dxa"/>
            <w:vAlign w:val="center"/>
          </w:tcPr>
          <w:p>
            <w:pPr>
              <w:spacing w:line="360" w:lineRule="auto"/>
              <w:jc w:val="center"/>
              <w:rPr>
                <w:rFonts w:ascii="仿宋" w:hAnsi="仿宋" w:eastAsia="仿宋" w:cs="Times New Roman"/>
              </w:rPr>
            </w:pPr>
          </w:p>
        </w:tc>
        <w:tc>
          <w:tcPr>
            <w:tcW w:w="831" w:type="dxa"/>
            <w:vAlign w:val="top"/>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1377" w:type="dxa"/>
            <w:vAlign w:val="center"/>
          </w:tcPr>
          <w:p>
            <w:pPr>
              <w:spacing w:line="360" w:lineRule="auto"/>
              <w:jc w:val="center"/>
              <w:rPr>
                <w:rFonts w:ascii="仿宋" w:hAnsi="仿宋" w:eastAsia="仿宋" w:cs="Times New Roman"/>
              </w:rPr>
            </w:pPr>
          </w:p>
        </w:tc>
        <w:tc>
          <w:tcPr>
            <w:tcW w:w="1243" w:type="dxa"/>
            <w:vAlign w:val="center"/>
          </w:tcPr>
          <w:p>
            <w:pPr>
              <w:spacing w:line="360" w:lineRule="auto"/>
              <w:jc w:val="center"/>
              <w:rPr>
                <w:rFonts w:ascii="仿宋" w:hAnsi="仿宋" w:eastAsia="仿宋" w:cs="Times New Roman"/>
              </w:rPr>
            </w:pPr>
          </w:p>
        </w:tc>
        <w:tc>
          <w:tcPr>
            <w:tcW w:w="1042" w:type="dxa"/>
            <w:vAlign w:val="center"/>
          </w:tcPr>
          <w:p>
            <w:pPr>
              <w:spacing w:line="360" w:lineRule="auto"/>
              <w:jc w:val="center"/>
              <w:rPr>
                <w:rFonts w:ascii="仿宋" w:hAnsi="仿宋" w:eastAsia="仿宋" w:cs="Times New Roman"/>
              </w:rPr>
            </w:pPr>
          </w:p>
        </w:tc>
        <w:tc>
          <w:tcPr>
            <w:tcW w:w="1054" w:type="dxa"/>
            <w:vAlign w:val="center"/>
          </w:tcPr>
          <w:p>
            <w:pPr>
              <w:spacing w:line="360" w:lineRule="auto"/>
              <w:jc w:val="center"/>
              <w:rPr>
                <w:rFonts w:ascii="仿宋" w:hAnsi="仿宋" w:eastAsia="仿宋" w:cs="Times New Roman"/>
              </w:rPr>
            </w:pPr>
          </w:p>
        </w:tc>
        <w:tc>
          <w:tcPr>
            <w:tcW w:w="1406" w:type="dxa"/>
            <w:vAlign w:val="center"/>
          </w:tcPr>
          <w:p>
            <w:pPr>
              <w:spacing w:line="360" w:lineRule="auto"/>
              <w:jc w:val="center"/>
              <w:rPr>
                <w:rFonts w:ascii="仿宋" w:hAnsi="仿宋" w:eastAsia="仿宋" w:cs="Times New Roman"/>
              </w:rPr>
            </w:pPr>
          </w:p>
        </w:tc>
        <w:tc>
          <w:tcPr>
            <w:tcW w:w="2287" w:type="dxa"/>
            <w:vAlign w:val="top"/>
          </w:tcPr>
          <w:p>
            <w:pPr>
              <w:spacing w:line="360" w:lineRule="auto"/>
              <w:jc w:val="center"/>
              <w:rPr>
                <w:rFonts w:ascii="仿宋" w:hAnsi="仿宋" w:eastAsia="仿宋" w:cs="Times New Roman"/>
              </w:rPr>
            </w:pPr>
          </w:p>
        </w:tc>
        <w:tc>
          <w:tcPr>
            <w:tcW w:w="2462" w:type="dxa"/>
            <w:vAlign w:val="top"/>
          </w:tcPr>
          <w:p>
            <w:pPr>
              <w:spacing w:line="360" w:lineRule="auto"/>
              <w:jc w:val="cente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31" w:type="dxa"/>
            <w:vAlign w:val="center"/>
          </w:tcPr>
          <w:p>
            <w:pPr>
              <w:spacing w:line="360" w:lineRule="auto"/>
              <w:jc w:val="center"/>
              <w:rPr>
                <w:rFonts w:ascii="仿宋" w:hAnsi="仿宋" w:eastAsia="仿宋" w:cs="Times New Roman"/>
              </w:rPr>
            </w:pPr>
          </w:p>
        </w:tc>
        <w:tc>
          <w:tcPr>
            <w:tcW w:w="831" w:type="dxa"/>
            <w:vAlign w:val="top"/>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1377" w:type="dxa"/>
            <w:vAlign w:val="center"/>
          </w:tcPr>
          <w:p>
            <w:pPr>
              <w:spacing w:line="360" w:lineRule="auto"/>
              <w:jc w:val="center"/>
              <w:rPr>
                <w:rFonts w:ascii="仿宋" w:hAnsi="仿宋" w:eastAsia="仿宋" w:cs="Times New Roman"/>
              </w:rPr>
            </w:pPr>
          </w:p>
        </w:tc>
        <w:tc>
          <w:tcPr>
            <w:tcW w:w="1243" w:type="dxa"/>
            <w:vAlign w:val="center"/>
          </w:tcPr>
          <w:p>
            <w:pPr>
              <w:spacing w:line="360" w:lineRule="auto"/>
              <w:jc w:val="center"/>
              <w:rPr>
                <w:rFonts w:ascii="仿宋" w:hAnsi="仿宋" w:eastAsia="仿宋" w:cs="Times New Roman"/>
              </w:rPr>
            </w:pPr>
          </w:p>
        </w:tc>
        <w:tc>
          <w:tcPr>
            <w:tcW w:w="1042" w:type="dxa"/>
            <w:vAlign w:val="center"/>
          </w:tcPr>
          <w:p>
            <w:pPr>
              <w:spacing w:line="360" w:lineRule="auto"/>
              <w:jc w:val="center"/>
              <w:rPr>
                <w:rFonts w:ascii="仿宋" w:hAnsi="仿宋" w:eastAsia="仿宋" w:cs="Times New Roman"/>
              </w:rPr>
            </w:pPr>
          </w:p>
        </w:tc>
        <w:tc>
          <w:tcPr>
            <w:tcW w:w="1054" w:type="dxa"/>
            <w:vAlign w:val="center"/>
          </w:tcPr>
          <w:p>
            <w:pPr>
              <w:spacing w:line="360" w:lineRule="auto"/>
              <w:jc w:val="center"/>
              <w:rPr>
                <w:rFonts w:ascii="仿宋" w:hAnsi="仿宋" w:eastAsia="仿宋" w:cs="Times New Roman"/>
              </w:rPr>
            </w:pPr>
          </w:p>
        </w:tc>
        <w:tc>
          <w:tcPr>
            <w:tcW w:w="1406" w:type="dxa"/>
            <w:vAlign w:val="center"/>
          </w:tcPr>
          <w:p>
            <w:pPr>
              <w:spacing w:line="360" w:lineRule="auto"/>
              <w:jc w:val="center"/>
              <w:rPr>
                <w:rFonts w:ascii="仿宋" w:hAnsi="仿宋" w:eastAsia="仿宋" w:cs="Times New Roman"/>
              </w:rPr>
            </w:pPr>
          </w:p>
        </w:tc>
        <w:tc>
          <w:tcPr>
            <w:tcW w:w="2287" w:type="dxa"/>
            <w:vAlign w:val="top"/>
          </w:tcPr>
          <w:p>
            <w:pPr>
              <w:spacing w:line="360" w:lineRule="auto"/>
              <w:jc w:val="center"/>
              <w:rPr>
                <w:rFonts w:ascii="仿宋" w:hAnsi="仿宋" w:eastAsia="仿宋" w:cs="Times New Roman"/>
              </w:rPr>
            </w:pPr>
          </w:p>
        </w:tc>
        <w:tc>
          <w:tcPr>
            <w:tcW w:w="2462" w:type="dxa"/>
            <w:vAlign w:val="top"/>
          </w:tcPr>
          <w:p>
            <w:pPr>
              <w:spacing w:line="360" w:lineRule="auto"/>
              <w:jc w:val="cente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831" w:type="dxa"/>
            <w:vAlign w:val="center"/>
          </w:tcPr>
          <w:p>
            <w:pPr>
              <w:spacing w:line="360" w:lineRule="auto"/>
              <w:jc w:val="center"/>
              <w:rPr>
                <w:rFonts w:ascii="仿宋" w:hAnsi="仿宋" w:eastAsia="仿宋" w:cs="Times New Roman"/>
              </w:rPr>
            </w:pPr>
          </w:p>
        </w:tc>
        <w:tc>
          <w:tcPr>
            <w:tcW w:w="831" w:type="dxa"/>
            <w:vAlign w:val="top"/>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1377" w:type="dxa"/>
            <w:vAlign w:val="center"/>
          </w:tcPr>
          <w:p>
            <w:pPr>
              <w:spacing w:line="360" w:lineRule="auto"/>
              <w:jc w:val="center"/>
              <w:rPr>
                <w:rFonts w:ascii="仿宋" w:hAnsi="仿宋" w:eastAsia="仿宋" w:cs="Times New Roman"/>
              </w:rPr>
            </w:pPr>
          </w:p>
        </w:tc>
        <w:tc>
          <w:tcPr>
            <w:tcW w:w="1243" w:type="dxa"/>
            <w:vAlign w:val="center"/>
          </w:tcPr>
          <w:p>
            <w:pPr>
              <w:spacing w:line="360" w:lineRule="auto"/>
              <w:jc w:val="center"/>
              <w:rPr>
                <w:rFonts w:ascii="仿宋" w:hAnsi="仿宋" w:eastAsia="仿宋" w:cs="Times New Roman"/>
              </w:rPr>
            </w:pPr>
          </w:p>
        </w:tc>
        <w:tc>
          <w:tcPr>
            <w:tcW w:w="1042" w:type="dxa"/>
            <w:vAlign w:val="center"/>
          </w:tcPr>
          <w:p>
            <w:pPr>
              <w:spacing w:line="360" w:lineRule="auto"/>
              <w:jc w:val="center"/>
              <w:rPr>
                <w:rFonts w:ascii="仿宋" w:hAnsi="仿宋" w:eastAsia="仿宋" w:cs="Times New Roman"/>
              </w:rPr>
            </w:pPr>
          </w:p>
        </w:tc>
        <w:tc>
          <w:tcPr>
            <w:tcW w:w="1054" w:type="dxa"/>
            <w:vAlign w:val="center"/>
          </w:tcPr>
          <w:p>
            <w:pPr>
              <w:spacing w:line="360" w:lineRule="auto"/>
              <w:jc w:val="center"/>
              <w:rPr>
                <w:rFonts w:ascii="仿宋" w:hAnsi="仿宋" w:eastAsia="仿宋" w:cs="Times New Roman"/>
              </w:rPr>
            </w:pPr>
          </w:p>
        </w:tc>
        <w:tc>
          <w:tcPr>
            <w:tcW w:w="1406" w:type="dxa"/>
            <w:vAlign w:val="center"/>
          </w:tcPr>
          <w:p>
            <w:pPr>
              <w:spacing w:line="360" w:lineRule="auto"/>
              <w:jc w:val="center"/>
              <w:rPr>
                <w:rFonts w:ascii="仿宋" w:hAnsi="仿宋" w:eastAsia="仿宋" w:cs="Times New Roman"/>
              </w:rPr>
            </w:pPr>
          </w:p>
        </w:tc>
        <w:tc>
          <w:tcPr>
            <w:tcW w:w="2287" w:type="dxa"/>
            <w:vAlign w:val="top"/>
          </w:tcPr>
          <w:p>
            <w:pPr>
              <w:spacing w:line="360" w:lineRule="auto"/>
              <w:jc w:val="center"/>
              <w:rPr>
                <w:rFonts w:ascii="仿宋" w:hAnsi="仿宋" w:eastAsia="仿宋" w:cs="Times New Roman"/>
              </w:rPr>
            </w:pPr>
          </w:p>
        </w:tc>
        <w:tc>
          <w:tcPr>
            <w:tcW w:w="2462" w:type="dxa"/>
            <w:vAlign w:val="top"/>
          </w:tcPr>
          <w:p>
            <w:pPr>
              <w:spacing w:line="360" w:lineRule="auto"/>
              <w:jc w:val="center"/>
              <w:rPr>
                <w:rFonts w:ascii="仿宋" w:hAnsi="仿宋" w:eastAsia="仿宋" w:cs="Times New Roman"/>
              </w:rPr>
            </w:pPr>
          </w:p>
        </w:tc>
      </w:tr>
    </w:tbl>
    <w:p>
      <w:pPr>
        <w:ind w:left="899" w:leftChars="428"/>
        <w:rPr>
          <w:rFonts w:ascii="仿宋" w:hAnsi="仿宋" w:eastAsia="仿宋" w:cs="仿宋"/>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表中人员一经确认不得随意修改变换。如需变换，应按照通用条款第</w:t>
      </w:r>
      <w:r>
        <w:rPr>
          <w:rFonts w:ascii="仿宋" w:hAnsi="仿宋" w:eastAsia="仿宋" w:cs="仿宋"/>
          <w:sz w:val="24"/>
          <w:szCs w:val="24"/>
        </w:rPr>
        <w:t xml:space="preserve"> 21 </w:t>
      </w:r>
      <w:r>
        <w:rPr>
          <w:rFonts w:hint="eastAsia" w:ascii="仿宋" w:hAnsi="仿宋" w:eastAsia="仿宋" w:cs="仿宋"/>
          <w:sz w:val="24"/>
          <w:szCs w:val="24"/>
        </w:rPr>
        <w:t>条规定执行。</w:t>
      </w:r>
      <w:r>
        <w:rPr>
          <w:rFonts w:ascii="仿宋" w:hAnsi="仿宋" w:eastAsia="仿宋" w:cs="仿宋"/>
          <w:sz w:val="24"/>
          <w:szCs w:val="24"/>
        </w:rPr>
        <w:t xml:space="preserve"> </w:t>
      </w:r>
    </w:p>
    <w:p>
      <w:pPr>
        <w:ind w:left="1617" w:leftChars="77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表中人员必须提供为其购买的社会养老保险费用凭证。</w:t>
      </w:r>
    </w:p>
    <w:p>
      <w:pPr>
        <w:ind w:left="1617" w:leftChars="770"/>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承包人应提供表中人员的聘用合同、专业技术职称书等复印件。</w:t>
      </w:r>
    </w:p>
    <w:p>
      <w:pPr>
        <w:widowControl/>
        <w:jc w:val="left"/>
        <w:rPr>
          <w:rFonts w:ascii="仿宋" w:hAnsi="仿宋" w:eastAsia="仿宋" w:cs="Times New Roman"/>
          <w:kern w:val="0"/>
          <w:sz w:val="24"/>
          <w:szCs w:val="24"/>
        </w:rPr>
        <w:sectPr>
          <w:endnotePr>
            <w:numFmt w:val="decimal"/>
          </w:endnotePr>
          <w:pgSz w:w="16838" w:h="11906" w:orient="landscape"/>
          <w:pgMar w:top="737" w:right="1418" w:bottom="737" w:left="851" w:header="0" w:footer="0" w:gutter="0"/>
          <w:cols w:space="720" w:num="1"/>
        </w:sectPr>
      </w:pPr>
    </w:p>
    <w:p>
      <w:pPr>
        <w:spacing w:before="240" w:beforeLines="100" w:after="240" w:afterLines="100" w:line="360" w:lineRule="auto"/>
        <w:outlineLvl w:val="1"/>
        <w:rPr>
          <w:rFonts w:ascii="仿宋" w:hAnsi="仿宋" w:eastAsia="仿宋" w:cs="仿宋"/>
          <w:b/>
          <w:bCs/>
          <w:color w:val="000000"/>
          <w:kern w:val="0"/>
          <w:sz w:val="24"/>
          <w:szCs w:val="24"/>
        </w:rPr>
      </w:pPr>
      <w:bookmarkStart w:id="751" w:name="_Toc469384148"/>
      <w:bookmarkStart w:id="752" w:name="_Toc266892932"/>
      <w:bookmarkStart w:id="753" w:name="_Toc10624992"/>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6</w:t>
      </w:r>
      <w:bookmarkEnd w:id="751"/>
      <w:bookmarkEnd w:id="752"/>
      <w:bookmarkEnd w:id="753"/>
    </w:p>
    <w:p>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分包单位资格报审表</w:t>
      </w:r>
    </w:p>
    <w:p>
      <w:pPr>
        <w:spacing w:line="360" w:lineRule="auto"/>
        <w:ind w:firstLine="120" w:firstLineChars="50"/>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0"/>
        <w:tblW w:w="10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5"/>
        <w:gridCol w:w="1532"/>
        <w:gridCol w:w="2506"/>
        <w:gridCol w:w="3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2" w:hRule="atLeast"/>
          <w:jc w:val="center"/>
        </w:trPr>
        <w:tc>
          <w:tcPr>
            <w:tcW w:w="10269" w:type="dxa"/>
            <w:gridSpan w:val="4"/>
            <w:tcBorders>
              <w:top w:val="single" w:color="auto" w:sz="6" w:space="0"/>
              <w:left w:val="single" w:color="auto" w:sz="6" w:space="0"/>
              <w:bottom w:val="single" w:color="auto" w:sz="6" w:space="0"/>
              <w:right w:val="single" w:color="auto" w:sz="6" w:space="0"/>
            </w:tcBorders>
            <w:vAlign w:val="top"/>
          </w:tcPr>
          <w:p>
            <w:pPr>
              <w:spacing w:before="120" w:line="360" w:lineRule="auto"/>
              <w:ind w:left="-28" w:firstLine="181"/>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（监理单位全称）</w:t>
            </w:r>
          </w:p>
          <w:p>
            <w:pPr>
              <w:spacing w:line="360" w:lineRule="auto"/>
              <w:ind w:left="-28" w:firstLine="540"/>
              <w:rPr>
                <w:rFonts w:ascii="仿宋" w:hAnsi="仿宋" w:eastAsia="仿宋" w:cs="Times New Roman"/>
                <w:sz w:val="24"/>
                <w:szCs w:val="24"/>
              </w:rPr>
            </w:pPr>
            <w:r>
              <w:rPr>
                <w:rFonts w:hint="eastAsia" w:ascii="仿宋" w:hAnsi="仿宋" w:eastAsia="仿宋" w:cs="仿宋"/>
                <w:sz w:val="24"/>
                <w:szCs w:val="24"/>
              </w:rPr>
              <w:t>经考察，我方拟选择的</w:t>
            </w:r>
            <w:r>
              <w:rPr>
                <w:rFonts w:ascii="仿宋" w:hAnsi="仿宋" w:eastAsia="仿宋" w:cs="仿宋"/>
                <w:sz w:val="24"/>
                <w:szCs w:val="24"/>
                <w:u w:val="single"/>
              </w:rPr>
              <w:t xml:space="preserve">                                    </w:t>
            </w:r>
            <w:r>
              <w:rPr>
                <w:rFonts w:hint="eastAsia" w:ascii="仿宋" w:hAnsi="仿宋" w:eastAsia="仿宋" w:cs="仿宋"/>
                <w:sz w:val="24"/>
                <w:szCs w:val="24"/>
              </w:rPr>
              <w:t>（分包人）具备承担下列工程施工资质和施工能力，可以保证本工程按合同约定进行施工。我方承诺：分包后，我方承担总包人的全部责任。请予以审批。</w:t>
            </w:r>
          </w:p>
          <w:p>
            <w:pPr>
              <w:spacing w:line="360" w:lineRule="auto"/>
              <w:ind w:left="-28" w:firstLine="540"/>
              <w:rPr>
                <w:rFonts w:ascii="仿宋" w:hAnsi="仿宋" w:eastAsia="仿宋" w:cs="Times New Roman"/>
                <w:sz w:val="24"/>
                <w:szCs w:val="24"/>
              </w:rPr>
            </w:pPr>
            <w:r>
              <w:rPr>
                <w:rFonts w:hint="eastAsia" w:ascii="仿宋" w:hAnsi="仿宋" w:eastAsia="仿宋" w:cs="仿宋"/>
                <w:sz w:val="24"/>
                <w:szCs w:val="24"/>
              </w:rPr>
              <w:t>附</w:t>
            </w:r>
            <w:r>
              <w:rPr>
                <w:rFonts w:ascii="仿宋" w:hAnsi="仿宋" w:eastAsia="仿宋" w:cs="仿宋"/>
                <w:sz w:val="24"/>
                <w:szCs w:val="24"/>
              </w:rPr>
              <w:t>:1</w:t>
            </w:r>
            <w:r>
              <w:rPr>
                <w:rFonts w:hint="eastAsia" w:ascii="仿宋" w:hAnsi="仿宋" w:eastAsia="仿宋" w:cs="仿宋"/>
                <w:sz w:val="24"/>
                <w:szCs w:val="24"/>
              </w:rPr>
              <w:t>．分包人资质材料；</w:t>
            </w:r>
          </w:p>
          <w:p>
            <w:pPr>
              <w:spacing w:line="360" w:lineRule="auto"/>
              <w:ind w:left="-28" w:firstLine="907"/>
              <w:rPr>
                <w:rFonts w:ascii="仿宋" w:hAnsi="仿宋" w:eastAsia="仿宋" w:cs="Times New Roman"/>
                <w:sz w:val="24"/>
                <w:szCs w:val="24"/>
                <w:u w:val="single"/>
              </w:rPr>
            </w:pPr>
            <w:r>
              <w:rPr>
                <w:rFonts w:ascii="仿宋" w:hAnsi="仿宋" w:eastAsia="仿宋" w:cs="仿宋"/>
                <w:sz w:val="24"/>
                <w:szCs w:val="24"/>
              </w:rPr>
              <w:t>2</w:t>
            </w:r>
            <w:r>
              <w:rPr>
                <w:rFonts w:hint="eastAsia" w:ascii="仿宋" w:hAnsi="仿宋" w:eastAsia="仿宋" w:cs="仿宋"/>
                <w:sz w:val="24"/>
                <w:szCs w:val="24"/>
              </w:rPr>
              <w:t>．分包人业绩材料。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vAlign w:val="top"/>
          </w:tcPr>
          <w:p>
            <w:pPr>
              <w:spacing w:line="360" w:lineRule="auto"/>
              <w:jc w:val="center"/>
              <w:rPr>
                <w:rFonts w:ascii="仿宋" w:hAnsi="仿宋" w:eastAsia="仿宋" w:cs="Times New Roman"/>
                <w:position w:val="6"/>
                <w:sz w:val="24"/>
                <w:szCs w:val="24"/>
              </w:rPr>
            </w:pPr>
            <w:r>
              <w:rPr>
                <w:rFonts w:hint="eastAsia" w:ascii="仿宋" w:hAnsi="仿宋" w:eastAsia="仿宋" w:cs="仿宋"/>
                <w:position w:val="6"/>
                <w:sz w:val="24"/>
                <w:szCs w:val="24"/>
              </w:rPr>
              <w:t>分包工程名称（部位）</w:t>
            </w:r>
          </w:p>
        </w:tc>
        <w:tc>
          <w:tcPr>
            <w:tcW w:w="1532" w:type="dxa"/>
            <w:tcBorders>
              <w:top w:val="single" w:color="auto" w:sz="6" w:space="0"/>
              <w:left w:val="single" w:color="auto" w:sz="6" w:space="0"/>
              <w:bottom w:val="single" w:color="auto" w:sz="6" w:space="0"/>
              <w:right w:val="single" w:color="auto" w:sz="6" w:space="0"/>
            </w:tcBorders>
            <w:vAlign w:val="top"/>
          </w:tcPr>
          <w:p>
            <w:pPr>
              <w:spacing w:line="360" w:lineRule="auto"/>
              <w:jc w:val="center"/>
              <w:rPr>
                <w:rFonts w:ascii="仿宋" w:hAnsi="仿宋" w:eastAsia="仿宋" w:cs="Times New Roman"/>
                <w:position w:val="6"/>
                <w:sz w:val="24"/>
                <w:szCs w:val="24"/>
              </w:rPr>
            </w:pPr>
            <w:r>
              <w:rPr>
                <w:rFonts w:hint="eastAsia" w:ascii="仿宋" w:hAnsi="仿宋" w:eastAsia="仿宋" w:cs="仿宋"/>
                <w:position w:val="6"/>
                <w:sz w:val="24"/>
                <w:szCs w:val="24"/>
              </w:rPr>
              <w:t>工程数量</w:t>
            </w:r>
          </w:p>
        </w:tc>
        <w:tc>
          <w:tcPr>
            <w:tcW w:w="2506" w:type="dxa"/>
            <w:tcBorders>
              <w:top w:val="single" w:color="auto" w:sz="6" w:space="0"/>
              <w:left w:val="single" w:color="auto" w:sz="6" w:space="0"/>
              <w:bottom w:val="single" w:color="auto" w:sz="6" w:space="0"/>
              <w:right w:val="single" w:color="auto" w:sz="6" w:space="0"/>
            </w:tcBorders>
            <w:vAlign w:val="top"/>
          </w:tcPr>
          <w:p>
            <w:pPr>
              <w:spacing w:line="360" w:lineRule="auto"/>
              <w:jc w:val="center"/>
              <w:rPr>
                <w:rFonts w:ascii="仿宋" w:hAnsi="仿宋" w:eastAsia="仿宋" w:cs="Times New Roman"/>
                <w:position w:val="6"/>
                <w:sz w:val="24"/>
                <w:szCs w:val="24"/>
              </w:rPr>
            </w:pPr>
            <w:r>
              <w:rPr>
                <w:rFonts w:hint="eastAsia" w:ascii="仿宋" w:hAnsi="仿宋" w:eastAsia="仿宋" w:cs="仿宋"/>
                <w:position w:val="6"/>
                <w:sz w:val="24"/>
                <w:szCs w:val="24"/>
              </w:rPr>
              <w:t>拟分包工程合同额</w:t>
            </w:r>
          </w:p>
        </w:tc>
        <w:tc>
          <w:tcPr>
            <w:tcW w:w="3056" w:type="dxa"/>
            <w:tcBorders>
              <w:top w:val="single" w:color="auto" w:sz="6" w:space="0"/>
              <w:left w:val="single" w:color="auto" w:sz="6" w:space="0"/>
              <w:bottom w:val="single" w:color="auto" w:sz="6" w:space="0"/>
              <w:right w:val="single" w:color="auto" w:sz="6" w:space="0"/>
            </w:tcBorders>
            <w:vAlign w:val="top"/>
          </w:tcPr>
          <w:p>
            <w:pPr>
              <w:spacing w:line="360" w:lineRule="auto"/>
              <w:jc w:val="center"/>
              <w:rPr>
                <w:rFonts w:ascii="仿宋" w:hAnsi="仿宋" w:eastAsia="仿宋" w:cs="Times New Roman"/>
                <w:position w:val="6"/>
                <w:sz w:val="24"/>
                <w:szCs w:val="24"/>
              </w:rPr>
            </w:pPr>
            <w:r>
              <w:rPr>
                <w:rFonts w:hint="eastAsia" w:ascii="仿宋" w:hAnsi="仿宋" w:eastAsia="仿宋" w:cs="仿宋"/>
                <w:position w:val="6"/>
                <w:sz w:val="24"/>
                <w:szCs w:val="24"/>
              </w:rPr>
              <w:t>分包工程占全部工程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vAlign w:val="top"/>
          </w:tcPr>
          <w:p>
            <w:pPr>
              <w:spacing w:line="360" w:lineRule="auto"/>
              <w:ind w:firstLine="6087"/>
              <w:rPr>
                <w:rFonts w:ascii="仿宋" w:hAnsi="仿宋" w:eastAsia="仿宋" w:cs="Times New Roman"/>
                <w:sz w:val="24"/>
                <w:szCs w:val="24"/>
              </w:rPr>
            </w:pPr>
          </w:p>
        </w:tc>
        <w:tc>
          <w:tcPr>
            <w:tcW w:w="1532" w:type="dxa"/>
            <w:tcBorders>
              <w:top w:val="single" w:color="auto" w:sz="6" w:space="0"/>
              <w:left w:val="single" w:color="auto" w:sz="6" w:space="0"/>
              <w:bottom w:val="single" w:color="auto" w:sz="6" w:space="0"/>
              <w:right w:val="single" w:color="auto" w:sz="6" w:space="0"/>
            </w:tcBorders>
            <w:vAlign w:val="top"/>
          </w:tcPr>
          <w:p>
            <w:pPr>
              <w:spacing w:line="360" w:lineRule="auto"/>
              <w:ind w:firstLine="6087"/>
              <w:rPr>
                <w:rFonts w:ascii="仿宋" w:hAnsi="仿宋" w:eastAsia="仿宋" w:cs="Times New Roman"/>
                <w:sz w:val="24"/>
                <w:szCs w:val="24"/>
              </w:rPr>
            </w:pPr>
          </w:p>
        </w:tc>
        <w:tc>
          <w:tcPr>
            <w:tcW w:w="2506" w:type="dxa"/>
            <w:tcBorders>
              <w:top w:val="single" w:color="auto" w:sz="6" w:space="0"/>
              <w:left w:val="single" w:color="auto" w:sz="6" w:space="0"/>
              <w:bottom w:val="single" w:color="auto" w:sz="6" w:space="0"/>
              <w:right w:val="single" w:color="auto" w:sz="6" w:space="0"/>
            </w:tcBorders>
            <w:vAlign w:val="top"/>
          </w:tcPr>
          <w:p>
            <w:pPr>
              <w:spacing w:line="360" w:lineRule="auto"/>
              <w:ind w:firstLine="6087"/>
              <w:rPr>
                <w:rFonts w:ascii="仿宋" w:hAnsi="仿宋" w:eastAsia="仿宋" w:cs="Times New Roman"/>
                <w:sz w:val="24"/>
                <w:szCs w:val="24"/>
              </w:rPr>
            </w:pPr>
          </w:p>
        </w:tc>
        <w:tc>
          <w:tcPr>
            <w:tcW w:w="3056" w:type="dxa"/>
            <w:tcBorders>
              <w:top w:val="single" w:color="auto" w:sz="6" w:space="0"/>
              <w:left w:val="single" w:color="auto" w:sz="6" w:space="0"/>
              <w:bottom w:val="single" w:color="auto" w:sz="6" w:space="0"/>
              <w:right w:val="single" w:color="auto" w:sz="6" w:space="0"/>
            </w:tcBorders>
            <w:vAlign w:val="top"/>
          </w:tcPr>
          <w:p>
            <w:pPr>
              <w:spacing w:line="360" w:lineRule="auto"/>
              <w:ind w:firstLine="6087"/>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vAlign w:val="top"/>
          </w:tcPr>
          <w:p>
            <w:pPr>
              <w:spacing w:line="360" w:lineRule="auto"/>
              <w:ind w:firstLine="6087"/>
              <w:rPr>
                <w:rFonts w:ascii="仿宋" w:hAnsi="仿宋" w:eastAsia="仿宋" w:cs="Times New Roman"/>
                <w:sz w:val="24"/>
                <w:szCs w:val="24"/>
              </w:rPr>
            </w:pPr>
          </w:p>
        </w:tc>
        <w:tc>
          <w:tcPr>
            <w:tcW w:w="1532" w:type="dxa"/>
            <w:tcBorders>
              <w:top w:val="single" w:color="auto" w:sz="6" w:space="0"/>
              <w:left w:val="single" w:color="auto" w:sz="6" w:space="0"/>
              <w:bottom w:val="single" w:color="auto" w:sz="6" w:space="0"/>
              <w:right w:val="single" w:color="auto" w:sz="6" w:space="0"/>
            </w:tcBorders>
            <w:vAlign w:val="top"/>
          </w:tcPr>
          <w:p>
            <w:pPr>
              <w:spacing w:line="360" w:lineRule="auto"/>
              <w:ind w:firstLine="6087"/>
              <w:rPr>
                <w:rFonts w:ascii="仿宋" w:hAnsi="仿宋" w:eastAsia="仿宋" w:cs="Times New Roman"/>
                <w:sz w:val="24"/>
                <w:szCs w:val="24"/>
              </w:rPr>
            </w:pPr>
          </w:p>
        </w:tc>
        <w:tc>
          <w:tcPr>
            <w:tcW w:w="2506" w:type="dxa"/>
            <w:tcBorders>
              <w:top w:val="single" w:color="auto" w:sz="6" w:space="0"/>
              <w:left w:val="single" w:color="auto" w:sz="6" w:space="0"/>
              <w:bottom w:val="single" w:color="auto" w:sz="6" w:space="0"/>
              <w:right w:val="single" w:color="auto" w:sz="6" w:space="0"/>
            </w:tcBorders>
            <w:vAlign w:val="top"/>
          </w:tcPr>
          <w:p>
            <w:pPr>
              <w:spacing w:line="360" w:lineRule="auto"/>
              <w:ind w:firstLine="6087"/>
              <w:rPr>
                <w:rFonts w:ascii="仿宋" w:hAnsi="仿宋" w:eastAsia="仿宋" w:cs="Times New Roman"/>
                <w:sz w:val="24"/>
                <w:szCs w:val="24"/>
              </w:rPr>
            </w:pPr>
          </w:p>
        </w:tc>
        <w:tc>
          <w:tcPr>
            <w:tcW w:w="3056" w:type="dxa"/>
            <w:tcBorders>
              <w:top w:val="single" w:color="auto" w:sz="6" w:space="0"/>
              <w:left w:val="single" w:color="auto" w:sz="6" w:space="0"/>
              <w:bottom w:val="single" w:color="auto" w:sz="6" w:space="0"/>
              <w:right w:val="single" w:color="auto" w:sz="6" w:space="0"/>
            </w:tcBorders>
            <w:vAlign w:val="top"/>
          </w:tcPr>
          <w:p>
            <w:pPr>
              <w:spacing w:line="360" w:lineRule="auto"/>
              <w:ind w:firstLine="6087"/>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vAlign w:val="top"/>
          </w:tcPr>
          <w:p>
            <w:pPr>
              <w:spacing w:line="360" w:lineRule="auto"/>
              <w:ind w:firstLine="6087"/>
              <w:rPr>
                <w:rFonts w:ascii="仿宋" w:hAnsi="仿宋" w:eastAsia="仿宋" w:cs="Times New Roman"/>
                <w:sz w:val="24"/>
                <w:szCs w:val="24"/>
              </w:rPr>
            </w:pPr>
          </w:p>
        </w:tc>
        <w:tc>
          <w:tcPr>
            <w:tcW w:w="1532" w:type="dxa"/>
            <w:tcBorders>
              <w:top w:val="single" w:color="auto" w:sz="6" w:space="0"/>
              <w:left w:val="single" w:color="auto" w:sz="6" w:space="0"/>
              <w:bottom w:val="single" w:color="auto" w:sz="6" w:space="0"/>
              <w:right w:val="single" w:color="auto" w:sz="6" w:space="0"/>
            </w:tcBorders>
            <w:vAlign w:val="top"/>
          </w:tcPr>
          <w:p>
            <w:pPr>
              <w:spacing w:line="360" w:lineRule="auto"/>
              <w:ind w:firstLine="6087"/>
              <w:rPr>
                <w:rFonts w:ascii="仿宋" w:hAnsi="仿宋" w:eastAsia="仿宋" w:cs="Times New Roman"/>
                <w:sz w:val="24"/>
                <w:szCs w:val="24"/>
              </w:rPr>
            </w:pPr>
          </w:p>
        </w:tc>
        <w:tc>
          <w:tcPr>
            <w:tcW w:w="2506" w:type="dxa"/>
            <w:tcBorders>
              <w:top w:val="single" w:color="auto" w:sz="6" w:space="0"/>
              <w:left w:val="single" w:color="auto" w:sz="6" w:space="0"/>
              <w:bottom w:val="single" w:color="auto" w:sz="6" w:space="0"/>
              <w:right w:val="single" w:color="auto" w:sz="6" w:space="0"/>
            </w:tcBorders>
            <w:vAlign w:val="top"/>
          </w:tcPr>
          <w:p>
            <w:pPr>
              <w:spacing w:line="360" w:lineRule="auto"/>
              <w:ind w:firstLine="6087"/>
              <w:rPr>
                <w:rFonts w:ascii="仿宋" w:hAnsi="仿宋" w:eastAsia="仿宋" w:cs="Times New Roman"/>
                <w:sz w:val="24"/>
                <w:szCs w:val="24"/>
              </w:rPr>
            </w:pPr>
          </w:p>
        </w:tc>
        <w:tc>
          <w:tcPr>
            <w:tcW w:w="3056" w:type="dxa"/>
            <w:tcBorders>
              <w:top w:val="single" w:color="auto" w:sz="6" w:space="0"/>
              <w:left w:val="single" w:color="auto" w:sz="6" w:space="0"/>
              <w:bottom w:val="single" w:color="auto" w:sz="6" w:space="0"/>
              <w:right w:val="single" w:color="auto" w:sz="6" w:space="0"/>
            </w:tcBorders>
            <w:vAlign w:val="top"/>
          </w:tcPr>
          <w:p>
            <w:pPr>
              <w:spacing w:line="360" w:lineRule="auto"/>
              <w:ind w:firstLine="6087"/>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707" w:type="dxa"/>
            <w:gridSpan w:val="2"/>
            <w:tcBorders>
              <w:top w:val="single" w:color="auto" w:sz="6" w:space="0"/>
              <w:left w:val="single" w:color="auto" w:sz="6" w:space="0"/>
              <w:bottom w:val="single" w:color="auto" w:sz="6" w:space="0"/>
              <w:right w:val="single" w:color="auto" w:sz="6" w:space="0"/>
            </w:tcBorders>
            <w:vAlign w:val="top"/>
          </w:tcPr>
          <w:p>
            <w:pPr>
              <w:spacing w:line="360" w:lineRule="auto"/>
              <w:jc w:val="center"/>
              <w:rPr>
                <w:rFonts w:ascii="仿宋" w:hAnsi="仿宋" w:eastAsia="仿宋" w:cs="Times New Roman"/>
                <w:position w:val="6"/>
                <w:sz w:val="24"/>
                <w:szCs w:val="24"/>
              </w:rPr>
            </w:pPr>
            <w:r>
              <w:rPr>
                <w:rFonts w:hint="eastAsia" w:ascii="仿宋" w:hAnsi="仿宋" w:eastAsia="仿宋" w:cs="仿宋"/>
                <w:position w:val="6"/>
                <w:sz w:val="24"/>
                <w:szCs w:val="24"/>
              </w:rPr>
              <w:t>合</w:t>
            </w:r>
            <w:r>
              <w:rPr>
                <w:rFonts w:ascii="仿宋" w:hAnsi="仿宋" w:eastAsia="仿宋" w:cs="仿宋"/>
                <w:position w:val="6"/>
                <w:sz w:val="24"/>
                <w:szCs w:val="24"/>
              </w:rPr>
              <w:t xml:space="preserve">       </w:t>
            </w:r>
            <w:r>
              <w:rPr>
                <w:rFonts w:hint="eastAsia" w:ascii="仿宋" w:hAnsi="仿宋" w:eastAsia="仿宋" w:cs="仿宋"/>
                <w:position w:val="6"/>
                <w:sz w:val="24"/>
                <w:szCs w:val="24"/>
              </w:rPr>
              <w:t>计</w:t>
            </w:r>
          </w:p>
        </w:tc>
        <w:tc>
          <w:tcPr>
            <w:tcW w:w="2506" w:type="dxa"/>
            <w:tcBorders>
              <w:top w:val="single" w:color="auto" w:sz="6" w:space="0"/>
              <w:left w:val="single" w:color="auto" w:sz="6" w:space="0"/>
              <w:bottom w:val="single" w:color="auto" w:sz="6" w:space="0"/>
              <w:right w:val="single" w:color="auto" w:sz="6" w:space="0"/>
            </w:tcBorders>
            <w:vAlign w:val="top"/>
          </w:tcPr>
          <w:p>
            <w:pPr>
              <w:spacing w:line="360" w:lineRule="auto"/>
              <w:ind w:firstLine="6087"/>
              <w:rPr>
                <w:rFonts w:ascii="仿宋" w:hAnsi="仿宋" w:eastAsia="仿宋" w:cs="Times New Roman"/>
                <w:sz w:val="24"/>
                <w:szCs w:val="24"/>
              </w:rPr>
            </w:pPr>
          </w:p>
        </w:tc>
        <w:tc>
          <w:tcPr>
            <w:tcW w:w="3056" w:type="dxa"/>
            <w:tcBorders>
              <w:top w:val="single" w:color="auto" w:sz="6" w:space="0"/>
              <w:left w:val="single" w:color="auto" w:sz="6" w:space="0"/>
              <w:bottom w:val="single" w:color="auto" w:sz="6" w:space="0"/>
              <w:right w:val="single" w:color="auto" w:sz="6" w:space="0"/>
            </w:tcBorders>
            <w:vAlign w:val="top"/>
          </w:tcPr>
          <w:p>
            <w:pPr>
              <w:spacing w:line="360" w:lineRule="auto"/>
              <w:ind w:firstLine="6087"/>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0269" w:type="dxa"/>
            <w:gridSpan w:val="4"/>
            <w:tcBorders>
              <w:top w:val="single" w:color="auto" w:sz="6" w:space="0"/>
              <w:left w:val="single" w:color="auto" w:sz="6" w:space="0"/>
              <w:bottom w:val="single" w:color="auto" w:sz="6" w:space="0"/>
              <w:right w:val="single" w:color="auto" w:sz="6" w:space="0"/>
            </w:tcBorders>
            <w:vAlign w:val="top"/>
          </w:tcPr>
          <w:p>
            <w:pPr>
              <w:spacing w:line="360" w:lineRule="auto"/>
              <w:rPr>
                <w:rFonts w:ascii="仿宋" w:hAnsi="仿宋" w:eastAsia="仿宋" w:cs="Times New Roman"/>
                <w:sz w:val="24"/>
                <w:szCs w:val="24"/>
              </w:rPr>
            </w:pPr>
            <w:r>
              <w:rPr>
                <w:rFonts w:ascii="仿宋" w:hAnsi="仿宋" w:eastAsia="仿宋" w:cs="仿宋"/>
                <w:sz w:val="24"/>
                <w:szCs w:val="24"/>
              </w:rPr>
              <w:t xml:space="preserve"> </w:t>
            </w:r>
          </w:p>
          <w:p>
            <w:pPr>
              <w:spacing w:line="360" w:lineRule="auto"/>
              <w:rPr>
                <w:rFonts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承包人（章）</w:t>
            </w:r>
            <w:r>
              <w:rPr>
                <w:rFonts w:ascii="仿宋" w:hAnsi="仿宋" w:eastAsia="仿宋" w:cs="仿宋"/>
                <w:sz w:val="24"/>
                <w:szCs w:val="24"/>
              </w:rPr>
              <w:t xml:space="preserve">                 </w:t>
            </w:r>
          </w:p>
          <w:p>
            <w:pPr>
              <w:tabs>
                <w:tab w:val="left" w:pos="8982"/>
                <w:tab w:val="left" w:pos="9147"/>
              </w:tabs>
              <w:spacing w:line="360" w:lineRule="auto"/>
              <w:ind w:firstLine="6120" w:firstLineChars="2550"/>
              <w:rPr>
                <w:rFonts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pPr>
              <w:spacing w:line="360" w:lineRule="auto"/>
              <w:ind w:firstLine="6120" w:firstLineChars="2550"/>
              <w:rPr>
                <w:rFonts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0269" w:type="dxa"/>
            <w:gridSpan w:val="4"/>
            <w:tcBorders>
              <w:top w:val="single" w:color="auto" w:sz="6" w:space="0"/>
              <w:left w:val="single" w:color="auto" w:sz="6" w:space="0"/>
              <w:right w:val="single" w:color="auto" w:sz="6" w:space="0"/>
            </w:tcBorders>
            <w:vAlign w:val="top"/>
          </w:tcPr>
          <w:p>
            <w:pPr>
              <w:snapToGrid w:val="0"/>
              <w:spacing w:line="360" w:lineRule="auto"/>
              <w:jc w:val="left"/>
              <w:rPr>
                <w:rFonts w:ascii="仿宋" w:hAnsi="仿宋" w:eastAsia="仿宋" w:cs="Times New Roman"/>
                <w:sz w:val="24"/>
                <w:szCs w:val="24"/>
              </w:rPr>
            </w:pPr>
            <w:r>
              <w:rPr>
                <w:rFonts w:hint="eastAsia" w:ascii="仿宋" w:hAnsi="仿宋" w:eastAsia="仿宋" w:cs="仿宋"/>
                <w:sz w:val="24"/>
                <w:szCs w:val="24"/>
              </w:rPr>
              <w:t>审查意见：</w:t>
            </w:r>
          </w:p>
          <w:p>
            <w:pPr>
              <w:tabs>
                <w:tab w:val="left" w:pos="6222"/>
              </w:tabs>
              <w:snapToGrid w:val="0"/>
              <w:spacing w:line="360" w:lineRule="auto"/>
              <w:jc w:val="left"/>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监理人（章）</w:t>
            </w:r>
            <w:r>
              <w:rPr>
                <w:rFonts w:ascii="仿宋" w:hAnsi="仿宋" w:eastAsia="仿宋" w:cs="仿宋"/>
                <w:sz w:val="24"/>
                <w:szCs w:val="24"/>
              </w:rPr>
              <w:t xml:space="preserve">            </w:t>
            </w:r>
          </w:p>
          <w:p>
            <w:pPr>
              <w:tabs>
                <w:tab w:val="left" w:pos="6282"/>
              </w:tabs>
              <w:snapToGrid w:val="0"/>
              <w:spacing w:line="360" w:lineRule="auto"/>
              <w:ind w:firstLine="6120" w:firstLineChars="2550"/>
              <w:rPr>
                <w:rFonts w:ascii="仿宋" w:hAnsi="仿宋" w:eastAsia="仿宋" w:cs="仿宋"/>
                <w:sz w:val="24"/>
                <w:szCs w:val="24"/>
                <w:u w:val="single"/>
              </w:rPr>
            </w:pPr>
            <w:r>
              <w:rPr>
                <w:rFonts w:hint="eastAsia" w:ascii="仿宋" w:hAnsi="仿宋" w:eastAsia="仿宋" w:cs="仿宋"/>
                <w:sz w:val="24"/>
                <w:szCs w:val="24"/>
              </w:rPr>
              <w:t>监理工程师</w:t>
            </w:r>
            <w:r>
              <w:rPr>
                <w:rFonts w:ascii="仿宋" w:hAnsi="仿宋" w:eastAsia="仿宋" w:cs="仿宋"/>
                <w:sz w:val="24"/>
                <w:szCs w:val="24"/>
                <w:u w:val="single"/>
              </w:rPr>
              <w:t xml:space="preserve">               </w:t>
            </w:r>
          </w:p>
          <w:p>
            <w:pPr>
              <w:tabs>
                <w:tab w:val="left" w:pos="9132"/>
              </w:tabs>
              <w:snapToGrid w:val="0"/>
              <w:spacing w:line="360" w:lineRule="auto"/>
              <w:ind w:firstLine="6120" w:firstLineChars="2550"/>
              <w:rPr>
                <w:rFonts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0269" w:type="dxa"/>
            <w:gridSpan w:val="4"/>
            <w:tcBorders>
              <w:left w:val="single" w:color="auto" w:sz="6" w:space="0"/>
              <w:bottom w:val="single" w:color="auto" w:sz="6" w:space="0"/>
              <w:right w:val="single" w:color="auto" w:sz="6" w:space="0"/>
            </w:tcBorders>
            <w:vAlign w:val="top"/>
          </w:tcPr>
          <w:p>
            <w:pPr>
              <w:snapToGrid w:val="0"/>
              <w:spacing w:line="360" w:lineRule="auto"/>
              <w:rPr>
                <w:rFonts w:ascii="仿宋" w:hAnsi="仿宋" w:eastAsia="仿宋" w:cs="Times New Roman"/>
                <w:sz w:val="24"/>
                <w:szCs w:val="24"/>
              </w:rPr>
            </w:pPr>
            <w:r>
              <w:rPr>
                <w:rFonts w:hint="eastAsia" w:ascii="仿宋" w:hAnsi="仿宋" w:eastAsia="仿宋" w:cs="仿宋"/>
                <w:sz w:val="24"/>
                <w:szCs w:val="24"/>
              </w:rPr>
              <w:t>审批意见</w:t>
            </w:r>
            <w:r>
              <w:rPr>
                <w:rFonts w:ascii="仿宋" w:hAnsi="仿宋" w:eastAsia="仿宋" w:cs="仿宋"/>
                <w:sz w:val="24"/>
                <w:szCs w:val="24"/>
              </w:rPr>
              <w:t>:</w:t>
            </w:r>
          </w:p>
          <w:p>
            <w:pPr>
              <w:snapToGrid w:val="0"/>
              <w:spacing w:line="360" w:lineRule="auto"/>
              <w:ind w:firstLine="6120" w:firstLineChars="2550"/>
              <w:rPr>
                <w:rFonts w:ascii="仿宋" w:hAnsi="仿宋" w:eastAsia="仿宋" w:cs="仿宋"/>
                <w:sz w:val="24"/>
                <w:szCs w:val="24"/>
              </w:rPr>
            </w:pPr>
            <w:r>
              <w:rPr>
                <w:rFonts w:hint="eastAsia" w:ascii="仿宋" w:hAnsi="仿宋" w:eastAsia="仿宋" w:cs="仿宋"/>
                <w:sz w:val="24"/>
                <w:szCs w:val="24"/>
              </w:rPr>
              <w:t>发包人（章）</w:t>
            </w:r>
            <w:r>
              <w:rPr>
                <w:rFonts w:ascii="仿宋" w:hAnsi="仿宋" w:eastAsia="仿宋" w:cs="仿宋"/>
                <w:sz w:val="24"/>
                <w:szCs w:val="24"/>
              </w:rPr>
              <w:t xml:space="preserve">           </w:t>
            </w:r>
          </w:p>
          <w:p>
            <w:pPr>
              <w:tabs>
                <w:tab w:val="left" w:pos="2135"/>
                <w:tab w:val="left" w:pos="8862"/>
              </w:tabs>
              <w:snapToGrid w:val="0"/>
              <w:spacing w:line="360" w:lineRule="auto"/>
              <w:ind w:firstLine="6120" w:firstLineChars="2550"/>
              <w:rPr>
                <w:rFonts w:ascii="仿宋" w:hAnsi="仿宋" w:eastAsia="仿宋" w:cs="仿宋"/>
                <w:sz w:val="24"/>
                <w:szCs w:val="24"/>
                <w:u w:val="single"/>
              </w:rPr>
            </w:pPr>
            <w:r>
              <w:rPr>
                <w:rFonts w:hint="eastAsia" w:ascii="仿宋" w:hAnsi="仿宋" w:eastAsia="仿宋" w:cs="仿宋"/>
                <w:sz w:val="24"/>
                <w:szCs w:val="24"/>
              </w:rPr>
              <w:t>发包人代表</w:t>
            </w:r>
            <w:r>
              <w:rPr>
                <w:rFonts w:ascii="仿宋" w:hAnsi="仿宋" w:eastAsia="仿宋" w:cs="仿宋"/>
                <w:sz w:val="24"/>
                <w:szCs w:val="24"/>
                <w:u w:val="single"/>
              </w:rPr>
              <w:t xml:space="preserve">               </w:t>
            </w:r>
          </w:p>
          <w:p>
            <w:pPr>
              <w:tabs>
                <w:tab w:val="left" w:pos="2135"/>
              </w:tabs>
              <w:snapToGrid w:val="0"/>
              <w:spacing w:line="360" w:lineRule="auto"/>
              <w:ind w:firstLine="6120" w:firstLineChars="2550"/>
              <w:rPr>
                <w:rFonts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pPr>
        <w:spacing w:before="120" w:beforeLines="50" w:line="360" w:lineRule="auto"/>
        <w:rPr>
          <w:rFonts w:ascii="仿宋" w:hAnsi="仿宋" w:eastAsia="仿宋" w:cs="Times New Roman"/>
          <w:sz w:val="24"/>
          <w:szCs w:val="24"/>
        </w:rPr>
      </w:pPr>
      <w:r>
        <w:rPr>
          <w:rFonts w:hint="eastAsia" w:ascii="仿宋" w:hAnsi="仿宋" w:eastAsia="仿宋" w:cs="仿宋"/>
          <w:sz w:val="24"/>
          <w:szCs w:val="24"/>
        </w:rPr>
        <w:t>说明：本表一式</w:t>
      </w:r>
      <w:r>
        <w:rPr>
          <w:rFonts w:ascii="仿宋" w:hAnsi="仿宋" w:eastAsia="仿宋" w:cs="仿宋"/>
          <w:sz w:val="24"/>
          <w:szCs w:val="24"/>
          <w:u w:val="single"/>
        </w:rPr>
        <w:t xml:space="preserve">   </w:t>
      </w:r>
      <w:r>
        <w:rPr>
          <w:rFonts w:hint="eastAsia" w:ascii="仿宋" w:hAnsi="仿宋" w:eastAsia="仿宋" w:cs="仿宋"/>
          <w:sz w:val="24"/>
          <w:szCs w:val="24"/>
        </w:rPr>
        <w:t>份，由承包人、监理单位、发包人按合同规定程序填制，并连同分包人各存一份。</w:t>
      </w:r>
    </w:p>
    <w:p>
      <w:pPr>
        <w:spacing w:before="240" w:beforeLines="100" w:after="240" w:afterLines="100" w:line="360" w:lineRule="auto"/>
        <w:outlineLvl w:val="1"/>
        <w:rPr>
          <w:rFonts w:ascii="仿宋" w:hAnsi="仿宋" w:eastAsia="仿宋" w:cs="仿宋"/>
          <w:b/>
          <w:bCs/>
          <w:color w:val="000000"/>
          <w:kern w:val="0"/>
          <w:sz w:val="24"/>
          <w:szCs w:val="24"/>
        </w:rPr>
      </w:pPr>
      <w:r>
        <w:rPr>
          <w:rFonts w:ascii="仿宋" w:hAnsi="仿宋" w:eastAsia="仿宋" w:cs="Times New Roman"/>
          <w:kern w:val="0"/>
          <w:sz w:val="24"/>
          <w:szCs w:val="24"/>
        </w:rPr>
        <w:br w:type="page"/>
      </w:r>
      <w:bookmarkStart w:id="754" w:name="_Toc469384149"/>
      <w:bookmarkStart w:id="755" w:name="_Toc266892933"/>
      <w:bookmarkStart w:id="756" w:name="_Toc10624993"/>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7</w:t>
      </w:r>
      <w:bookmarkEnd w:id="754"/>
      <w:bookmarkEnd w:id="755"/>
      <w:bookmarkEnd w:id="756"/>
    </w:p>
    <w:p>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施工组织设计（方案）报审表</w:t>
      </w:r>
    </w:p>
    <w:p>
      <w:pPr>
        <w:spacing w:line="360" w:lineRule="auto"/>
        <w:ind w:firstLine="120" w:firstLineChars="50"/>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0"/>
        <w:tblW w:w="1015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1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02" w:hRule="atLeast"/>
          <w:jc w:val="center"/>
        </w:trPr>
        <w:tc>
          <w:tcPr>
            <w:tcW w:w="10155" w:type="dxa"/>
            <w:tcBorders>
              <w:bottom w:val="single" w:color="auto" w:sz="4" w:space="0"/>
            </w:tcBorders>
            <w:vAlign w:val="top"/>
          </w:tcPr>
          <w:p>
            <w:pPr>
              <w:spacing w:before="120" w:line="360" w:lineRule="auto"/>
              <w:ind w:left="-28" w:firstLine="181"/>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（监理单位全称）</w:t>
            </w:r>
          </w:p>
          <w:p>
            <w:pPr>
              <w:spacing w:line="360" w:lineRule="auto"/>
              <w:ind w:left="-28" w:firstLine="540"/>
              <w:rPr>
                <w:rFonts w:ascii="仿宋" w:hAnsi="仿宋" w:eastAsia="仿宋" w:cs="Times New Roman"/>
                <w:sz w:val="24"/>
                <w:szCs w:val="24"/>
              </w:rPr>
            </w:pPr>
            <w:r>
              <w:rPr>
                <w:rFonts w:hint="eastAsia" w:ascii="仿宋" w:hAnsi="仿宋" w:eastAsia="仿宋" w:cs="仿宋"/>
                <w:sz w:val="24"/>
                <w:szCs w:val="24"/>
              </w:rPr>
              <w:t>我方已根据施工合同的有关规定完成了</w:t>
            </w:r>
            <w:r>
              <w:rPr>
                <w:rFonts w:ascii="仿宋" w:hAnsi="仿宋" w:eastAsia="仿宋" w:cs="仿宋"/>
                <w:sz w:val="24"/>
                <w:szCs w:val="24"/>
                <w:u w:val="single"/>
              </w:rPr>
              <w:t xml:space="preserve">                          </w:t>
            </w:r>
            <w:r>
              <w:rPr>
                <w:rFonts w:hint="eastAsia" w:ascii="仿宋" w:hAnsi="仿宋" w:eastAsia="仿宋" w:cs="仿宋"/>
                <w:sz w:val="24"/>
                <w:szCs w:val="24"/>
              </w:rPr>
              <w:t>工程施工组织设计（方案）的编制</w:t>
            </w:r>
            <w:r>
              <w:rPr>
                <w:rFonts w:ascii="仿宋" w:hAnsi="仿宋" w:eastAsia="仿宋" w:cs="仿宋"/>
                <w:sz w:val="24"/>
                <w:szCs w:val="24"/>
              </w:rPr>
              <w:t>,</w:t>
            </w:r>
            <w:r>
              <w:rPr>
                <w:rFonts w:hint="eastAsia" w:ascii="仿宋" w:hAnsi="仿宋" w:eastAsia="仿宋" w:cs="仿宋"/>
                <w:sz w:val="24"/>
                <w:szCs w:val="24"/>
              </w:rPr>
              <w:t>请予以审批。</w:t>
            </w:r>
          </w:p>
          <w:p>
            <w:pPr>
              <w:spacing w:line="360" w:lineRule="auto"/>
              <w:ind w:left="-28" w:firstLine="540"/>
              <w:rPr>
                <w:rFonts w:ascii="仿宋" w:hAnsi="仿宋" w:eastAsia="仿宋" w:cs="Times New Roman"/>
                <w:sz w:val="24"/>
                <w:szCs w:val="24"/>
              </w:rPr>
            </w:pPr>
            <w:r>
              <w:rPr>
                <w:rFonts w:hint="eastAsia" w:ascii="仿宋" w:hAnsi="仿宋" w:eastAsia="仿宋" w:cs="仿宋"/>
                <w:sz w:val="24"/>
                <w:szCs w:val="24"/>
              </w:rPr>
              <w:t>附</w:t>
            </w:r>
            <w:r>
              <w:rPr>
                <w:rFonts w:ascii="仿宋" w:hAnsi="仿宋" w:eastAsia="仿宋" w:cs="仿宋"/>
                <w:sz w:val="24"/>
                <w:szCs w:val="24"/>
              </w:rPr>
              <w:t xml:space="preserve">: </w:t>
            </w:r>
            <w:r>
              <w:rPr>
                <w:rFonts w:hint="eastAsia" w:ascii="仿宋" w:hAnsi="仿宋" w:eastAsia="仿宋" w:cs="仿宋"/>
                <w:sz w:val="24"/>
                <w:szCs w:val="24"/>
              </w:rPr>
              <w:t>施工组织设计（方案）</w:t>
            </w:r>
          </w:p>
          <w:p>
            <w:pPr>
              <w:spacing w:line="360" w:lineRule="auto"/>
              <w:ind w:left="-28" w:firstLine="540"/>
              <w:rPr>
                <w:rFonts w:ascii="仿宋" w:hAnsi="仿宋" w:eastAsia="仿宋" w:cs="Times New Roman"/>
                <w:sz w:val="24"/>
                <w:szCs w:val="24"/>
              </w:rPr>
            </w:pPr>
          </w:p>
          <w:p>
            <w:pPr>
              <w:spacing w:line="360" w:lineRule="auto"/>
              <w:ind w:left="-28" w:firstLine="540"/>
              <w:rPr>
                <w:rFonts w:ascii="仿宋" w:hAnsi="仿宋" w:eastAsia="仿宋" w:cs="Times New Roman"/>
                <w:sz w:val="24"/>
                <w:szCs w:val="24"/>
              </w:rPr>
            </w:pPr>
          </w:p>
          <w:p>
            <w:pPr>
              <w:spacing w:line="360" w:lineRule="auto"/>
              <w:ind w:right="120"/>
              <w:jc w:val="center"/>
              <w:rPr>
                <w:rFonts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承包人（章）</w:t>
            </w:r>
          </w:p>
          <w:p>
            <w:pPr>
              <w:spacing w:line="360" w:lineRule="auto"/>
              <w:ind w:firstLine="6087"/>
              <w:rPr>
                <w:rFonts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pPr>
              <w:snapToGrid w:val="0"/>
              <w:spacing w:line="360" w:lineRule="auto"/>
              <w:ind w:firstLine="6087"/>
              <w:rPr>
                <w:rFonts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32" w:hRule="atLeast"/>
          <w:jc w:val="center"/>
        </w:trPr>
        <w:tc>
          <w:tcPr>
            <w:tcW w:w="10155" w:type="dxa"/>
            <w:tcBorders>
              <w:top w:val="single" w:color="auto" w:sz="4" w:space="0"/>
            </w:tcBorders>
            <w:vAlign w:val="top"/>
          </w:tcPr>
          <w:p>
            <w:pPr>
              <w:spacing w:line="360" w:lineRule="auto"/>
              <w:ind w:right="71"/>
              <w:rPr>
                <w:rFonts w:ascii="仿宋" w:hAnsi="仿宋" w:eastAsia="仿宋" w:cs="Times New Roman"/>
                <w:sz w:val="32"/>
                <w:szCs w:val="32"/>
              </w:rPr>
            </w:pPr>
            <w:r>
              <w:rPr>
                <w:rFonts w:hint="eastAsia" w:ascii="仿宋" w:hAnsi="仿宋" w:eastAsia="仿宋" w:cs="仿宋"/>
                <w:sz w:val="24"/>
                <w:szCs w:val="24"/>
              </w:rPr>
              <w:t>确认或修改意见：</w:t>
            </w:r>
          </w:p>
          <w:p>
            <w:pPr>
              <w:spacing w:line="360" w:lineRule="auto"/>
              <w:ind w:left="72" w:right="71" w:firstLine="240"/>
              <w:rPr>
                <w:rFonts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组织机构健全</w:t>
            </w:r>
            <w:r>
              <w:rPr>
                <w:rFonts w:ascii="仿宋" w:hAnsi="仿宋" w:eastAsia="仿宋" w:cs="仿宋"/>
                <w:sz w:val="24"/>
                <w:szCs w:val="24"/>
              </w:rPr>
              <w:t>,</w:t>
            </w:r>
            <w:r>
              <w:rPr>
                <w:rFonts w:hint="eastAsia" w:ascii="仿宋" w:hAnsi="仿宋" w:eastAsia="仿宋" w:cs="仿宋"/>
                <w:sz w:val="24"/>
                <w:szCs w:val="24"/>
              </w:rPr>
              <w:t>人员落实</w:t>
            </w:r>
            <w:r>
              <w:rPr>
                <w:rFonts w:ascii="仿宋" w:hAnsi="仿宋" w:eastAsia="仿宋" w:cs="仿宋"/>
                <w:sz w:val="24"/>
                <w:szCs w:val="24"/>
              </w:rPr>
              <w:t xml:space="preserve">           </w:t>
            </w:r>
            <w:r>
              <w:rPr>
                <w:rFonts w:hint="eastAsia" w:ascii="仿宋" w:hAnsi="仿宋" w:eastAsia="仿宋" w:cs="仿宋"/>
                <w:sz w:val="32"/>
                <w:szCs w:val="32"/>
              </w:rPr>
              <w:t>□</w:t>
            </w:r>
            <w:r>
              <w:rPr>
                <w:rFonts w:hint="eastAsia" w:ascii="仿宋" w:hAnsi="仿宋" w:eastAsia="仿宋" w:cs="仿宋"/>
                <w:sz w:val="24"/>
                <w:szCs w:val="24"/>
              </w:rPr>
              <w:t>施工技术措施可行</w:t>
            </w:r>
          </w:p>
          <w:p>
            <w:pPr>
              <w:spacing w:line="360" w:lineRule="auto"/>
              <w:ind w:left="72" w:right="71" w:firstLine="240"/>
              <w:rPr>
                <w:rFonts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安全责任落实，安全措施可行</w:t>
            </w:r>
            <w:r>
              <w:rPr>
                <w:rFonts w:ascii="仿宋" w:hAnsi="仿宋" w:eastAsia="仿宋" w:cs="仿宋"/>
                <w:sz w:val="24"/>
                <w:szCs w:val="24"/>
              </w:rPr>
              <w:t xml:space="preserve">      </w:t>
            </w:r>
            <w:r>
              <w:rPr>
                <w:rFonts w:hint="eastAsia" w:ascii="仿宋" w:hAnsi="仿宋" w:eastAsia="仿宋" w:cs="仿宋"/>
                <w:sz w:val="32"/>
                <w:szCs w:val="32"/>
              </w:rPr>
              <w:t>□</w:t>
            </w:r>
            <w:r>
              <w:rPr>
                <w:rFonts w:hint="eastAsia" w:ascii="仿宋" w:hAnsi="仿宋" w:eastAsia="仿宋" w:cs="仿宋"/>
                <w:sz w:val="24"/>
                <w:szCs w:val="24"/>
              </w:rPr>
              <w:t>安全工器具满足施工要求</w:t>
            </w:r>
          </w:p>
          <w:p>
            <w:pPr>
              <w:spacing w:line="360" w:lineRule="auto"/>
              <w:ind w:left="72" w:right="71" w:firstLine="240"/>
              <w:rPr>
                <w:rFonts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施工进度计划满足工期要求</w:t>
            </w:r>
            <w:r>
              <w:rPr>
                <w:rFonts w:ascii="仿宋" w:hAnsi="仿宋" w:eastAsia="仿宋" w:cs="仿宋"/>
                <w:sz w:val="24"/>
                <w:szCs w:val="24"/>
              </w:rPr>
              <w:t xml:space="preserve">        </w:t>
            </w:r>
            <w:r>
              <w:rPr>
                <w:rFonts w:hint="eastAsia" w:ascii="仿宋" w:hAnsi="仿宋" w:eastAsia="仿宋" w:cs="仿宋"/>
                <w:sz w:val="32"/>
                <w:szCs w:val="32"/>
              </w:rPr>
              <w:t>□</w:t>
            </w:r>
            <w:r>
              <w:rPr>
                <w:rFonts w:hint="eastAsia" w:ascii="仿宋" w:hAnsi="仿宋" w:eastAsia="仿宋" w:cs="仿宋"/>
                <w:sz w:val="24"/>
                <w:szCs w:val="24"/>
              </w:rPr>
              <w:t>特殊工种人员持证上岗</w:t>
            </w:r>
          </w:p>
          <w:p>
            <w:pPr>
              <w:spacing w:line="360" w:lineRule="auto"/>
              <w:ind w:left="72" w:right="71" w:firstLine="240"/>
              <w:rPr>
                <w:rFonts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施工工器具安全可靠</w:t>
            </w:r>
            <w:r>
              <w:rPr>
                <w:rFonts w:ascii="仿宋" w:hAnsi="仿宋" w:eastAsia="仿宋" w:cs="仿宋"/>
                <w:sz w:val="24"/>
                <w:szCs w:val="24"/>
              </w:rPr>
              <w:t xml:space="preserve">              </w:t>
            </w:r>
            <w:r>
              <w:rPr>
                <w:rFonts w:hint="eastAsia" w:ascii="仿宋" w:hAnsi="仿宋" w:eastAsia="仿宋" w:cs="仿宋"/>
                <w:sz w:val="32"/>
                <w:szCs w:val="32"/>
              </w:rPr>
              <w:t>□</w:t>
            </w:r>
            <w:r>
              <w:rPr>
                <w:rFonts w:hint="eastAsia" w:ascii="仿宋" w:hAnsi="仿宋" w:eastAsia="仿宋" w:cs="仿宋"/>
                <w:sz w:val="24"/>
                <w:szCs w:val="24"/>
              </w:rPr>
              <w:t>施工计量、检测器具有效</w:t>
            </w:r>
          </w:p>
          <w:p>
            <w:pPr>
              <w:spacing w:line="360" w:lineRule="auto"/>
              <w:ind w:left="72" w:right="71" w:firstLine="240"/>
              <w:rPr>
                <w:rFonts w:ascii="仿宋" w:hAnsi="仿宋" w:eastAsia="仿宋" w:cs="Times New Roman"/>
                <w:sz w:val="24"/>
                <w:szCs w:val="24"/>
              </w:rPr>
            </w:pPr>
          </w:p>
          <w:p>
            <w:pPr>
              <w:spacing w:line="360" w:lineRule="auto"/>
              <w:ind w:firstLine="6086" w:firstLineChars="2536"/>
              <w:rPr>
                <w:rFonts w:ascii="仿宋" w:hAnsi="仿宋" w:eastAsia="仿宋" w:cs="仿宋"/>
                <w:sz w:val="24"/>
                <w:szCs w:val="24"/>
              </w:rPr>
            </w:pPr>
            <w:r>
              <w:rPr>
                <w:rFonts w:hint="eastAsia" w:ascii="仿宋" w:hAnsi="仿宋" w:eastAsia="仿宋" w:cs="仿宋"/>
                <w:sz w:val="24"/>
                <w:szCs w:val="24"/>
              </w:rPr>
              <w:t>监理单位</w:t>
            </w:r>
            <w:r>
              <w:rPr>
                <w:rFonts w:ascii="仿宋" w:hAnsi="仿宋" w:eastAsia="仿宋" w:cs="仿宋"/>
                <w:sz w:val="24"/>
                <w:szCs w:val="24"/>
              </w:rPr>
              <w:t>(</w:t>
            </w:r>
            <w:r>
              <w:rPr>
                <w:rFonts w:hint="eastAsia" w:ascii="仿宋" w:hAnsi="仿宋" w:eastAsia="仿宋" w:cs="仿宋"/>
                <w:sz w:val="24"/>
                <w:szCs w:val="24"/>
              </w:rPr>
              <w:t>章</w:t>
            </w:r>
            <w:r>
              <w:rPr>
                <w:rFonts w:ascii="仿宋" w:hAnsi="仿宋" w:eastAsia="仿宋" w:cs="仿宋"/>
                <w:sz w:val="24"/>
                <w:szCs w:val="24"/>
              </w:rPr>
              <w:t>)</w:t>
            </w:r>
          </w:p>
          <w:p>
            <w:pPr>
              <w:snapToGrid w:val="0"/>
              <w:spacing w:line="360" w:lineRule="auto"/>
              <w:ind w:firstLine="6087"/>
              <w:rPr>
                <w:rFonts w:ascii="仿宋" w:hAnsi="仿宋" w:eastAsia="仿宋" w:cs="Times New Roman"/>
                <w:sz w:val="24"/>
                <w:szCs w:val="24"/>
              </w:rPr>
            </w:pPr>
            <w:r>
              <w:rPr>
                <w:rFonts w:hint="eastAsia" w:ascii="仿宋" w:hAnsi="仿宋" w:eastAsia="仿宋" w:cs="仿宋"/>
                <w:sz w:val="24"/>
                <w:szCs w:val="24"/>
              </w:rPr>
              <w:t>监理工程师</w:t>
            </w:r>
            <w:r>
              <w:rPr>
                <w:rFonts w:ascii="仿宋" w:hAnsi="仿宋" w:eastAsia="仿宋" w:cs="仿宋"/>
                <w:sz w:val="24"/>
                <w:szCs w:val="24"/>
                <w:u w:val="single"/>
              </w:rPr>
              <w:t xml:space="preserve">               </w:t>
            </w:r>
          </w:p>
          <w:p>
            <w:pPr>
              <w:snapToGrid w:val="0"/>
              <w:spacing w:line="360" w:lineRule="auto"/>
              <w:ind w:firstLine="6087"/>
              <w:rPr>
                <w:rFonts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296" w:hRule="atLeast"/>
          <w:jc w:val="center"/>
        </w:trPr>
        <w:tc>
          <w:tcPr>
            <w:tcW w:w="10155" w:type="dxa"/>
            <w:vAlign w:val="top"/>
          </w:tcPr>
          <w:p>
            <w:pPr>
              <w:spacing w:line="360" w:lineRule="auto"/>
              <w:ind w:left="-28"/>
              <w:rPr>
                <w:rFonts w:ascii="仿宋" w:hAnsi="仿宋" w:eastAsia="仿宋" w:cs="Times New Roman"/>
                <w:sz w:val="24"/>
                <w:szCs w:val="24"/>
              </w:rPr>
            </w:pPr>
            <w:r>
              <w:rPr>
                <w:rFonts w:hint="eastAsia" w:ascii="仿宋" w:hAnsi="仿宋" w:eastAsia="仿宋" w:cs="仿宋"/>
                <w:sz w:val="24"/>
                <w:szCs w:val="24"/>
              </w:rPr>
              <w:t>审批意见：</w:t>
            </w:r>
          </w:p>
          <w:p>
            <w:pPr>
              <w:snapToGrid w:val="0"/>
              <w:spacing w:line="360" w:lineRule="auto"/>
              <w:ind w:left="-28"/>
              <w:rPr>
                <w:rFonts w:ascii="仿宋" w:hAnsi="仿宋" w:eastAsia="仿宋" w:cs="仿宋"/>
                <w:sz w:val="24"/>
                <w:szCs w:val="24"/>
              </w:rPr>
            </w:pPr>
            <w:r>
              <w:rPr>
                <w:rFonts w:ascii="仿宋" w:hAnsi="仿宋" w:eastAsia="仿宋" w:cs="仿宋"/>
                <w:sz w:val="24"/>
                <w:szCs w:val="24"/>
              </w:rPr>
              <w:t xml:space="preserve"> </w:t>
            </w:r>
          </w:p>
          <w:p>
            <w:pPr>
              <w:spacing w:line="360" w:lineRule="auto"/>
              <w:ind w:firstLine="6086" w:firstLineChars="2536"/>
              <w:rPr>
                <w:rFonts w:ascii="仿宋" w:hAnsi="仿宋" w:eastAsia="仿宋" w:cs="Times New Roman"/>
                <w:sz w:val="24"/>
                <w:szCs w:val="24"/>
              </w:rPr>
            </w:pPr>
            <w:r>
              <w:rPr>
                <w:rFonts w:hint="eastAsia" w:ascii="仿宋" w:hAnsi="仿宋" w:eastAsia="仿宋" w:cs="仿宋"/>
                <w:sz w:val="24"/>
                <w:szCs w:val="24"/>
              </w:rPr>
              <w:t>发包人（章）</w:t>
            </w:r>
          </w:p>
          <w:p>
            <w:pPr>
              <w:snapToGrid w:val="0"/>
              <w:spacing w:line="360" w:lineRule="auto"/>
              <w:ind w:left="-28" w:firstLine="6112" w:firstLineChars="2547"/>
              <w:rPr>
                <w:rFonts w:ascii="仿宋" w:hAnsi="仿宋" w:eastAsia="仿宋" w:cs="仿宋"/>
                <w:sz w:val="24"/>
                <w:szCs w:val="24"/>
                <w:u w:val="single"/>
              </w:rPr>
            </w:pPr>
            <w:r>
              <w:rPr>
                <w:rFonts w:hint="eastAsia" w:ascii="仿宋" w:hAnsi="仿宋" w:eastAsia="仿宋" w:cs="仿宋"/>
                <w:sz w:val="24"/>
                <w:szCs w:val="24"/>
              </w:rPr>
              <w:t>发包人代表</w:t>
            </w:r>
            <w:r>
              <w:rPr>
                <w:rFonts w:ascii="仿宋" w:hAnsi="仿宋" w:eastAsia="仿宋" w:cs="仿宋"/>
                <w:sz w:val="24"/>
                <w:szCs w:val="24"/>
                <w:u w:val="single"/>
              </w:rPr>
              <w:t xml:space="preserve">               </w:t>
            </w:r>
          </w:p>
          <w:p>
            <w:pPr>
              <w:snapToGrid w:val="0"/>
              <w:spacing w:line="360" w:lineRule="auto"/>
              <w:ind w:left="-28" w:firstLine="6112" w:firstLineChars="2547"/>
              <w:rPr>
                <w:rFonts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pPr>
        <w:ind w:firstLine="240" w:firstLineChars="100"/>
        <w:jc w:val="left"/>
        <w:rPr>
          <w:rFonts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．在需要选择的栏中的“</w:t>
      </w:r>
      <w:r>
        <w:rPr>
          <w:rFonts w:hint="eastAsia" w:ascii="仿宋" w:hAnsi="仿宋" w:eastAsia="仿宋" w:cs="仿宋"/>
          <w:sz w:val="32"/>
          <w:szCs w:val="32"/>
        </w:rPr>
        <w:t>□</w:t>
      </w:r>
      <w:r>
        <w:rPr>
          <w:rFonts w:hint="eastAsia" w:ascii="仿宋" w:hAnsi="仿宋" w:eastAsia="仿宋" w:cs="仿宋"/>
          <w:sz w:val="24"/>
          <w:szCs w:val="24"/>
        </w:rPr>
        <w:t>”内作标识“√”。</w:t>
      </w:r>
    </w:p>
    <w:p>
      <w:pPr>
        <w:ind w:firstLine="960" w:firstLineChars="4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．本表一式三份，由承包人、监理单位、发包人按合同规定程序填制，并各存一份。</w:t>
      </w:r>
    </w:p>
    <w:p>
      <w:pPr>
        <w:spacing w:before="240" w:beforeLines="100" w:after="240" w:afterLines="100" w:line="360" w:lineRule="auto"/>
        <w:outlineLvl w:val="1"/>
        <w:rPr>
          <w:rFonts w:ascii="仿宋" w:hAnsi="仿宋" w:eastAsia="仿宋" w:cs="仿宋"/>
          <w:b/>
          <w:bCs/>
          <w:color w:val="000000"/>
          <w:kern w:val="0"/>
          <w:sz w:val="24"/>
          <w:szCs w:val="24"/>
        </w:rPr>
      </w:pPr>
      <w:r>
        <w:rPr>
          <w:rFonts w:ascii="仿宋" w:hAnsi="仿宋" w:eastAsia="仿宋" w:cs="Times New Roman"/>
          <w:kern w:val="0"/>
          <w:sz w:val="24"/>
          <w:szCs w:val="24"/>
        </w:rPr>
        <w:br w:type="page"/>
      </w:r>
      <w:bookmarkStart w:id="757" w:name="_Toc469384150"/>
      <w:bookmarkStart w:id="758" w:name="_Toc10624994"/>
      <w:bookmarkStart w:id="759" w:name="_Toc266892934"/>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8</w:t>
      </w:r>
      <w:bookmarkEnd w:id="757"/>
      <w:bookmarkEnd w:id="758"/>
      <w:bookmarkEnd w:id="759"/>
    </w:p>
    <w:p>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工程开工</w:t>
      </w:r>
      <w:r>
        <w:rPr>
          <w:rFonts w:ascii="仿宋" w:hAnsi="仿宋" w:eastAsia="仿宋" w:cs="仿宋"/>
          <w:b/>
          <w:bCs/>
          <w:spacing w:val="30"/>
          <w:sz w:val="44"/>
          <w:szCs w:val="44"/>
        </w:rPr>
        <w:t>/</w:t>
      </w:r>
      <w:r>
        <w:rPr>
          <w:rFonts w:hint="eastAsia" w:ascii="仿宋" w:hAnsi="仿宋" w:eastAsia="仿宋" w:cs="仿宋"/>
          <w:b/>
          <w:bCs/>
          <w:spacing w:val="30"/>
          <w:sz w:val="44"/>
          <w:szCs w:val="44"/>
        </w:rPr>
        <w:t>复工报审表</w:t>
      </w:r>
    </w:p>
    <w:p>
      <w:pPr>
        <w:spacing w:line="360" w:lineRule="auto"/>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0"/>
        <w:tblW w:w="10373"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777"/>
        <w:gridCol w:w="559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26" w:hRule="atLeast"/>
        </w:trPr>
        <w:tc>
          <w:tcPr>
            <w:tcW w:w="10373" w:type="dxa"/>
            <w:gridSpan w:val="2"/>
            <w:vAlign w:val="top"/>
          </w:tcPr>
          <w:p>
            <w:pPr>
              <w:spacing w:before="120" w:line="360" w:lineRule="auto"/>
              <w:ind w:left="-28" w:firstLine="181"/>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（监理单位全称）</w:t>
            </w:r>
          </w:p>
          <w:p>
            <w:pPr>
              <w:spacing w:line="360" w:lineRule="auto"/>
              <w:ind w:left="-28" w:firstLine="540"/>
              <w:rPr>
                <w:rFonts w:ascii="仿宋" w:hAnsi="仿宋" w:eastAsia="仿宋" w:cs="Times New Roman"/>
                <w:sz w:val="24"/>
                <w:szCs w:val="24"/>
              </w:rPr>
            </w:pPr>
            <w:r>
              <w:rPr>
                <w:rFonts w:hint="eastAsia" w:ascii="仿宋" w:hAnsi="仿宋" w:eastAsia="仿宋" w:cs="仿宋"/>
                <w:sz w:val="24"/>
                <w:szCs w:val="24"/>
              </w:rPr>
              <w:t>我方承担的</w:t>
            </w:r>
            <w:r>
              <w:rPr>
                <w:rFonts w:ascii="仿宋" w:hAnsi="仿宋" w:eastAsia="仿宋" w:cs="仿宋"/>
                <w:sz w:val="24"/>
                <w:szCs w:val="24"/>
                <w:u w:val="single"/>
              </w:rPr>
              <w:t xml:space="preserve">                             </w:t>
            </w:r>
            <w:r>
              <w:rPr>
                <w:rFonts w:hint="eastAsia" w:ascii="仿宋" w:hAnsi="仿宋" w:eastAsia="仿宋" w:cs="仿宋"/>
                <w:sz w:val="24"/>
                <w:szCs w:val="24"/>
              </w:rPr>
              <w:t>工程</w:t>
            </w:r>
            <w:r>
              <w:rPr>
                <w:rFonts w:ascii="仿宋" w:hAnsi="仿宋" w:eastAsia="仿宋" w:cs="仿宋"/>
                <w:sz w:val="24"/>
                <w:szCs w:val="24"/>
              </w:rPr>
              <w:t>,</w:t>
            </w:r>
            <w:r>
              <w:rPr>
                <w:rFonts w:hint="eastAsia" w:ascii="仿宋" w:hAnsi="仿宋" w:eastAsia="仿宋" w:cs="仿宋"/>
                <w:sz w:val="24"/>
                <w:szCs w:val="24"/>
              </w:rPr>
              <w:t>已完成了以下各项工作</w:t>
            </w:r>
            <w:r>
              <w:rPr>
                <w:rFonts w:ascii="仿宋" w:hAnsi="仿宋" w:eastAsia="仿宋" w:cs="仿宋"/>
                <w:sz w:val="24"/>
                <w:szCs w:val="24"/>
              </w:rPr>
              <w:t>,</w:t>
            </w:r>
            <w:r>
              <w:rPr>
                <w:rFonts w:hint="eastAsia" w:ascii="仿宋" w:hAnsi="仿宋" w:eastAsia="仿宋" w:cs="仿宋"/>
                <w:sz w:val="24"/>
                <w:szCs w:val="24"/>
              </w:rPr>
              <w:t>具备了（</w:t>
            </w:r>
            <w:r>
              <w:rPr>
                <w:rFonts w:hint="eastAsia" w:ascii="仿宋" w:hAnsi="仿宋" w:eastAsia="仿宋" w:cs="仿宋"/>
                <w:sz w:val="32"/>
                <w:szCs w:val="32"/>
              </w:rPr>
              <w:t>□</w:t>
            </w:r>
            <w:r>
              <w:rPr>
                <w:rFonts w:hint="eastAsia" w:ascii="仿宋" w:hAnsi="仿宋" w:eastAsia="仿宋" w:cs="仿宋"/>
                <w:sz w:val="24"/>
                <w:szCs w:val="24"/>
              </w:rPr>
              <w:t>开工</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复工）条件</w:t>
            </w:r>
            <w:r>
              <w:rPr>
                <w:rFonts w:ascii="仿宋" w:hAnsi="仿宋" w:eastAsia="仿宋" w:cs="仿宋"/>
                <w:sz w:val="24"/>
                <w:szCs w:val="24"/>
              </w:rPr>
              <w:t>,</w:t>
            </w:r>
            <w:r>
              <w:rPr>
                <w:rFonts w:hint="eastAsia" w:ascii="仿宋" w:hAnsi="仿宋" w:eastAsia="仿宋" w:cs="仿宋"/>
                <w:sz w:val="24"/>
                <w:szCs w:val="24"/>
              </w:rPr>
              <w:t>现申请施工</w:t>
            </w:r>
            <w:r>
              <w:rPr>
                <w:rFonts w:ascii="仿宋" w:hAnsi="仿宋" w:eastAsia="仿宋" w:cs="仿宋"/>
                <w:sz w:val="24"/>
                <w:szCs w:val="24"/>
              </w:rPr>
              <w:t>,</w:t>
            </w:r>
            <w:r>
              <w:rPr>
                <w:rFonts w:hint="eastAsia" w:ascii="仿宋" w:hAnsi="仿宋" w:eastAsia="仿宋" w:cs="仿宋"/>
                <w:sz w:val="24"/>
                <w:szCs w:val="24"/>
              </w:rPr>
              <w:t>请审查并签发（</w:t>
            </w:r>
            <w:r>
              <w:rPr>
                <w:rFonts w:hint="eastAsia" w:ascii="仿宋" w:hAnsi="仿宋" w:eastAsia="仿宋" w:cs="仿宋"/>
                <w:sz w:val="32"/>
                <w:szCs w:val="32"/>
              </w:rPr>
              <w:t>□</w:t>
            </w:r>
            <w:r>
              <w:rPr>
                <w:rFonts w:hint="eastAsia" w:ascii="仿宋" w:hAnsi="仿宋" w:eastAsia="仿宋" w:cs="仿宋"/>
                <w:sz w:val="24"/>
                <w:szCs w:val="24"/>
              </w:rPr>
              <w:t>开工</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复工）指令。</w:t>
            </w:r>
          </w:p>
          <w:p>
            <w:pPr>
              <w:spacing w:line="360" w:lineRule="auto"/>
              <w:ind w:left="-28" w:firstLine="540"/>
              <w:rPr>
                <w:rFonts w:ascii="仿宋" w:hAnsi="仿宋" w:eastAsia="仿宋" w:cs="Times New Roman"/>
                <w:sz w:val="24"/>
                <w:szCs w:val="24"/>
              </w:rPr>
            </w:pPr>
          </w:p>
          <w:p>
            <w:pPr>
              <w:spacing w:line="360" w:lineRule="auto"/>
              <w:ind w:left="-28"/>
              <w:rPr>
                <w:rFonts w:ascii="仿宋" w:hAnsi="仿宋" w:eastAsia="仿宋" w:cs="Times New Roman"/>
                <w:sz w:val="24"/>
                <w:szCs w:val="24"/>
              </w:rPr>
            </w:pPr>
            <w:r>
              <w:rPr>
                <w:rFonts w:hint="eastAsia" w:ascii="仿宋" w:hAnsi="仿宋" w:eastAsia="仿宋" w:cs="仿宋"/>
                <w:sz w:val="24"/>
                <w:szCs w:val="24"/>
              </w:rPr>
              <w:t>附：开工报告</w:t>
            </w:r>
          </w:p>
          <w:p>
            <w:pPr>
              <w:spacing w:line="360" w:lineRule="auto"/>
              <w:ind w:left="-28"/>
              <w:rPr>
                <w:rFonts w:ascii="仿宋" w:hAnsi="仿宋" w:eastAsia="仿宋" w:cs="Times New Roman"/>
                <w:sz w:val="24"/>
                <w:szCs w:val="24"/>
              </w:rPr>
            </w:pPr>
          </w:p>
          <w:p>
            <w:pPr>
              <w:spacing w:line="360" w:lineRule="auto"/>
              <w:ind w:left="-28"/>
              <w:rPr>
                <w:rFonts w:ascii="仿宋" w:hAnsi="仿宋" w:eastAsia="仿宋" w:cs="仿宋"/>
                <w:sz w:val="24"/>
                <w:szCs w:val="24"/>
              </w:rPr>
            </w:pPr>
            <w:r>
              <w:rPr>
                <w:rFonts w:hint="eastAsia" w:ascii="仿宋" w:hAnsi="仿宋" w:eastAsia="仿宋" w:cs="仿宋"/>
                <w:sz w:val="24"/>
                <w:szCs w:val="24"/>
              </w:rPr>
              <w:t>承包方式：</w:t>
            </w:r>
            <w:r>
              <w:rPr>
                <w:rFonts w:ascii="仿宋" w:hAnsi="仿宋" w:eastAsia="仿宋" w:cs="仿宋"/>
                <w:sz w:val="24"/>
                <w:szCs w:val="24"/>
              </w:rPr>
              <w:t xml:space="preserve"> </w:t>
            </w:r>
          </w:p>
          <w:p>
            <w:pPr>
              <w:spacing w:line="360" w:lineRule="auto"/>
              <w:ind w:left="-27" w:firstLine="320"/>
              <w:rPr>
                <w:rFonts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无分包；</w:t>
            </w:r>
            <w:r>
              <w:rPr>
                <w:rFonts w:hint="eastAsia" w:ascii="仿宋" w:hAnsi="仿宋" w:eastAsia="仿宋" w:cs="仿宋"/>
                <w:sz w:val="32"/>
                <w:szCs w:val="32"/>
              </w:rPr>
              <w:t>□</w:t>
            </w:r>
            <w:r>
              <w:rPr>
                <w:rFonts w:hint="eastAsia" w:ascii="仿宋" w:hAnsi="仿宋" w:eastAsia="仿宋" w:cs="仿宋"/>
                <w:sz w:val="24"/>
                <w:szCs w:val="24"/>
              </w:rPr>
              <w:t>有分包，并已审核。</w:t>
            </w:r>
          </w:p>
          <w:p>
            <w:pPr>
              <w:spacing w:line="360" w:lineRule="auto"/>
              <w:rPr>
                <w:rFonts w:ascii="仿宋" w:hAnsi="仿宋" w:eastAsia="仿宋" w:cs="Times New Roman"/>
                <w:sz w:val="24"/>
                <w:szCs w:val="24"/>
              </w:rPr>
            </w:pPr>
            <w:r>
              <w:rPr>
                <w:rFonts w:hint="eastAsia" w:ascii="仿宋" w:hAnsi="仿宋" w:eastAsia="仿宋" w:cs="仿宋"/>
                <w:sz w:val="24"/>
                <w:szCs w:val="24"/>
              </w:rPr>
              <w:t>开工准备情况：</w:t>
            </w:r>
          </w:p>
          <w:p>
            <w:pPr>
              <w:spacing w:line="360" w:lineRule="auto"/>
              <w:ind w:firstLine="320"/>
              <w:rPr>
                <w:rFonts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施工组织设计（方案）已审批</w:t>
            </w:r>
            <w:r>
              <w:rPr>
                <w:rFonts w:ascii="仿宋" w:hAnsi="仿宋" w:eastAsia="仿宋" w:cs="仿宋"/>
                <w:sz w:val="24"/>
                <w:szCs w:val="24"/>
              </w:rPr>
              <w:t xml:space="preserve">          </w:t>
            </w:r>
            <w:r>
              <w:rPr>
                <w:rFonts w:hint="eastAsia" w:ascii="仿宋" w:hAnsi="仿宋" w:eastAsia="仿宋" w:cs="仿宋"/>
                <w:sz w:val="32"/>
                <w:szCs w:val="32"/>
              </w:rPr>
              <w:t>□</w:t>
            </w:r>
            <w:r>
              <w:rPr>
                <w:rFonts w:hint="eastAsia" w:ascii="仿宋" w:hAnsi="仿宋" w:eastAsia="仿宋" w:cs="仿宋"/>
                <w:sz w:val="24"/>
                <w:szCs w:val="24"/>
              </w:rPr>
              <w:t>资金已落实</w:t>
            </w:r>
          </w:p>
          <w:p>
            <w:pPr>
              <w:tabs>
                <w:tab w:val="left" w:pos="4212"/>
              </w:tabs>
              <w:spacing w:line="360" w:lineRule="auto"/>
              <w:ind w:firstLine="320"/>
              <w:rPr>
                <w:rFonts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施工图纸已会审并交底</w:t>
            </w:r>
            <w:r>
              <w:rPr>
                <w:rFonts w:ascii="仿宋" w:hAnsi="仿宋" w:eastAsia="仿宋" w:cs="仿宋"/>
                <w:sz w:val="24"/>
                <w:szCs w:val="24"/>
              </w:rPr>
              <w:t xml:space="preserve">                </w:t>
            </w:r>
            <w:r>
              <w:rPr>
                <w:rFonts w:hint="eastAsia" w:ascii="仿宋" w:hAnsi="仿宋" w:eastAsia="仿宋" w:cs="仿宋"/>
                <w:sz w:val="32"/>
                <w:szCs w:val="32"/>
              </w:rPr>
              <w:t>□</w:t>
            </w:r>
            <w:r>
              <w:rPr>
                <w:rFonts w:hint="eastAsia" w:ascii="仿宋" w:hAnsi="仿宋" w:eastAsia="仿宋" w:cs="仿宋"/>
                <w:sz w:val="24"/>
                <w:szCs w:val="24"/>
              </w:rPr>
              <w:t>劳动力安排就绪并已进场</w:t>
            </w:r>
          </w:p>
          <w:p>
            <w:pPr>
              <w:spacing w:line="360" w:lineRule="auto"/>
              <w:ind w:firstLine="320"/>
              <w:rPr>
                <w:rFonts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开工所需的材料、机具已进场</w:t>
            </w:r>
            <w:r>
              <w:rPr>
                <w:rFonts w:ascii="仿宋" w:hAnsi="仿宋" w:eastAsia="仿宋" w:cs="仿宋"/>
                <w:sz w:val="24"/>
                <w:szCs w:val="24"/>
              </w:rPr>
              <w:t xml:space="preserve">          </w:t>
            </w:r>
            <w:r>
              <w:rPr>
                <w:rFonts w:hint="eastAsia" w:ascii="仿宋" w:hAnsi="仿宋" w:eastAsia="仿宋" w:cs="仿宋"/>
                <w:sz w:val="32"/>
                <w:szCs w:val="32"/>
              </w:rPr>
              <w:t>□</w:t>
            </w:r>
            <w:r>
              <w:rPr>
                <w:rFonts w:hint="eastAsia" w:ascii="仿宋" w:hAnsi="仿宋" w:eastAsia="仿宋" w:cs="仿宋"/>
                <w:sz w:val="24"/>
                <w:szCs w:val="24"/>
              </w:rPr>
              <w:t>其他开工条件已具备</w:t>
            </w:r>
          </w:p>
          <w:p>
            <w:pPr>
              <w:spacing w:line="360" w:lineRule="auto"/>
              <w:rPr>
                <w:rFonts w:ascii="仿宋" w:hAnsi="仿宋" w:eastAsia="仿宋" w:cs="Times New Roman"/>
                <w:sz w:val="24"/>
                <w:szCs w:val="24"/>
              </w:rPr>
            </w:pPr>
          </w:p>
          <w:p>
            <w:pPr>
              <w:spacing w:line="360" w:lineRule="auto"/>
              <w:rPr>
                <w:rFonts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承包人（章）</w:t>
            </w:r>
            <w:r>
              <w:rPr>
                <w:rFonts w:ascii="仿宋" w:hAnsi="仿宋" w:eastAsia="仿宋" w:cs="仿宋"/>
                <w:sz w:val="24"/>
                <w:szCs w:val="24"/>
              </w:rPr>
              <w:t xml:space="preserve">                 </w:t>
            </w:r>
          </w:p>
          <w:p>
            <w:pPr>
              <w:spacing w:line="360" w:lineRule="auto"/>
              <w:ind w:firstLine="6000" w:firstLineChars="2500"/>
              <w:rPr>
                <w:rFonts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pPr>
              <w:snapToGrid w:val="0"/>
              <w:spacing w:line="360" w:lineRule="auto"/>
              <w:ind w:firstLine="6000" w:firstLineChars="2500"/>
              <w:rPr>
                <w:rFonts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47" w:hRule="atLeast"/>
        </w:trPr>
        <w:tc>
          <w:tcPr>
            <w:tcW w:w="4777" w:type="dxa"/>
            <w:vAlign w:val="top"/>
          </w:tcPr>
          <w:p>
            <w:pPr>
              <w:snapToGrid w:val="0"/>
              <w:spacing w:line="360" w:lineRule="auto"/>
              <w:jc w:val="left"/>
              <w:rPr>
                <w:rFonts w:ascii="仿宋" w:hAnsi="仿宋" w:eastAsia="仿宋" w:cs="Times New Roman"/>
                <w:sz w:val="24"/>
                <w:szCs w:val="24"/>
              </w:rPr>
            </w:pPr>
            <w:r>
              <w:rPr>
                <w:rFonts w:hint="eastAsia" w:ascii="仿宋" w:hAnsi="仿宋" w:eastAsia="仿宋" w:cs="仿宋"/>
                <w:sz w:val="24"/>
                <w:szCs w:val="24"/>
              </w:rPr>
              <w:t>复核意见：</w:t>
            </w:r>
            <w:r>
              <w:rPr>
                <w:rFonts w:ascii="仿宋" w:hAnsi="仿宋" w:eastAsia="仿宋" w:cs="仿宋"/>
                <w:sz w:val="24"/>
                <w:szCs w:val="24"/>
              </w:rPr>
              <w:t xml:space="preserve"> </w:t>
            </w:r>
          </w:p>
          <w:p>
            <w:pPr>
              <w:snapToGrid w:val="0"/>
              <w:spacing w:line="360" w:lineRule="auto"/>
              <w:jc w:val="left"/>
              <w:rPr>
                <w:rFonts w:ascii="仿宋" w:hAnsi="仿宋" w:eastAsia="仿宋" w:cs="Times New Roman"/>
                <w:sz w:val="24"/>
                <w:szCs w:val="24"/>
              </w:rPr>
            </w:pPr>
          </w:p>
          <w:p>
            <w:pPr>
              <w:snapToGrid w:val="0"/>
              <w:spacing w:line="360" w:lineRule="auto"/>
              <w:jc w:val="left"/>
              <w:rPr>
                <w:rFonts w:ascii="仿宋" w:hAnsi="仿宋" w:eastAsia="仿宋" w:cs="Times New Roman"/>
                <w:sz w:val="24"/>
                <w:szCs w:val="24"/>
              </w:rPr>
            </w:pPr>
          </w:p>
          <w:p>
            <w:pPr>
              <w:snapToGrid w:val="0"/>
              <w:spacing w:line="360" w:lineRule="auto"/>
              <w:jc w:val="left"/>
              <w:rPr>
                <w:rFonts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监理单位（章）</w:t>
            </w:r>
            <w:r>
              <w:rPr>
                <w:rFonts w:ascii="仿宋" w:hAnsi="仿宋" w:eastAsia="仿宋" w:cs="仿宋"/>
                <w:sz w:val="24"/>
                <w:szCs w:val="24"/>
              </w:rPr>
              <w:t xml:space="preserve">              </w:t>
            </w:r>
          </w:p>
          <w:p>
            <w:pPr>
              <w:snapToGrid w:val="0"/>
              <w:spacing w:line="360" w:lineRule="auto"/>
              <w:jc w:val="left"/>
              <w:rPr>
                <w:rFonts w:ascii="仿宋" w:hAnsi="仿宋" w:eastAsia="仿宋" w:cs="仿宋"/>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监理工程师</w:t>
            </w:r>
            <w:r>
              <w:rPr>
                <w:rFonts w:ascii="仿宋" w:hAnsi="仿宋" w:eastAsia="仿宋" w:cs="仿宋"/>
                <w:sz w:val="24"/>
                <w:szCs w:val="24"/>
              </w:rPr>
              <w:t xml:space="preserve"> </w:t>
            </w:r>
            <w:r>
              <w:rPr>
                <w:rFonts w:ascii="仿宋" w:hAnsi="仿宋" w:eastAsia="仿宋" w:cs="仿宋"/>
                <w:sz w:val="24"/>
                <w:szCs w:val="24"/>
                <w:u w:val="single"/>
              </w:rPr>
              <w:t xml:space="preserve">           </w:t>
            </w:r>
          </w:p>
          <w:p>
            <w:pPr>
              <w:snapToGrid w:val="0"/>
              <w:spacing w:line="360" w:lineRule="auto"/>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rPr>
              <w:t xml:space="preserve"> </w:t>
            </w:r>
            <w:r>
              <w:rPr>
                <w:rFonts w:ascii="仿宋" w:hAnsi="仿宋" w:eastAsia="仿宋" w:cs="仿宋"/>
                <w:sz w:val="24"/>
                <w:szCs w:val="24"/>
                <w:u w:val="single"/>
              </w:rPr>
              <w:t xml:space="preserve">           </w:t>
            </w:r>
          </w:p>
        </w:tc>
        <w:tc>
          <w:tcPr>
            <w:tcW w:w="5596" w:type="dxa"/>
            <w:vAlign w:val="top"/>
          </w:tcPr>
          <w:p>
            <w:pPr>
              <w:snapToGrid w:val="0"/>
              <w:spacing w:line="360" w:lineRule="auto"/>
              <w:jc w:val="left"/>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审批意见：</w:t>
            </w:r>
            <w:r>
              <w:rPr>
                <w:rFonts w:ascii="仿宋" w:hAnsi="仿宋" w:eastAsia="仿宋" w:cs="仿宋"/>
                <w:sz w:val="24"/>
                <w:szCs w:val="24"/>
              </w:rPr>
              <w:t xml:space="preserve">   </w:t>
            </w:r>
          </w:p>
          <w:p>
            <w:pPr>
              <w:snapToGrid w:val="0"/>
              <w:spacing w:line="360" w:lineRule="auto"/>
              <w:jc w:val="left"/>
              <w:rPr>
                <w:rFonts w:ascii="仿宋" w:hAnsi="仿宋" w:eastAsia="仿宋" w:cs="Times New Roman"/>
                <w:sz w:val="24"/>
                <w:szCs w:val="24"/>
              </w:rPr>
            </w:pPr>
          </w:p>
          <w:p>
            <w:pPr>
              <w:snapToGrid w:val="0"/>
              <w:spacing w:line="360" w:lineRule="auto"/>
              <w:jc w:val="left"/>
              <w:rPr>
                <w:rFonts w:ascii="仿宋" w:hAnsi="仿宋" w:eastAsia="仿宋" w:cs="Times New Roman"/>
                <w:sz w:val="24"/>
                <w:szCs w:val="24"/>
              </w:rPr>
            </w:pPr>
          </w:p>
          <w:p>
            <w:pPr>
              <w:snapToGrid w:val="0"/>
              <w:spacing w:line="360" w:lineRule="auto"/>
              <w:jc w:val="left"/>
              <w:rPr>
                <w:rFonts w:ascii="仿宋" w:hAnsi="仿宋" w:eastAsia="仿宋" w:cs="Times New Roman"/>
                <w:sz w:val="24"/>
                <w:szCs w:val="24"/>
                <w:u w:val="single"/>
              </w:rPr>
            </w:pPr>
            <w:r>
              <w:rPr>
                <w:rFonts w:ascii="仿宋" w:hAnsi="仿宋" w:eastAsia="仿宋" w:cs="仿宋"/>
                <w:sz w:val="24"/>
                <w:szCs w:val="24"/>
              </w:rPr>
              <w:t xml:space="preserve">           </w:t>
            </w:r>
            <w:r>
              <w:rPr>
                <w:rFonts w:ascii="仿宋" w:hAnsi="仿宋" w:eastAsia="仿宋" w:cs="仿宋"/>
                <w:sz w:val="18"/>
                <w:szCs w:val="18"/>
              </w:rPr>
              <w:t xml:space="preserve">  </w:t>
            </w:r>
            <w:r>
              <w:rPr>
                <w:rFonts w:ascii="仿宋" w:hAnsi="仿宋" w:eastAsia="仿宋" w:cs="仿宋"/>
                <w:sz w:val="24"/>
                <w:szCs w:val="24"/>
              </w:rPr>
              <w:t xml:space="preserve">          </w:t>
            </w:r>
            <w:r>
              <w:rPr>
                <w:rFonts w:hint="eastAsia" w:ascii="仿宋" w:hAnsi="仿宋" w:eastAsia="仿宋" w:cs="仿宋"/>
                <w:sz w:val="24"/>
                <w:szCs w:val="24"/>
              </w:rPr>
              <w:t>发包人（章）</w:t>
            </w:r>
            <w:r>
              <w:rPr>
                <w:rFonts w:ascii="仿宋" w:hAnsi="仿宋" w:eastAsia="仿宋" w:cs="仿宋"/>
                <w:sz w:val="24"/>
                <w:szCs w:val="24"/>
              </w:rPr>
              <w:t xml:space="preserve">      </w:t>
            </w:r>
          </w:p>
          <w:p>
            <w:pPr>
              <w:snapToGrid w:val="0"/>
              <w:spacing w:line="360" w:lineRule="auto"/>
              <w:jc w:val="left"/>
              <w:rPr>
                <w:rFonts w:ascii="仿宋" w:hAnsi="仿宋" w:eastAsia="仿宋" w:cs="Times New Roman"/>
                <w:sz w:val="24"/>
                <w:szCs w:val="24"/>
              </w:rPr>
            </w:pPr>
            <w:r>
              <w:rPr>
                <w:rFonts w:ascii="仿宋" w:hAnsi="仿宋" w:eastAsia="仿宋" w:cs="仿宋"/>
                <w:sz w:val="24"/>
                <w:szCs w:val="24"/>
              </w:rPr>
              <w:t xml:space="preserve">           </w:t>
            </w:r>
            <w:r>
              <w:rPr>
                <w:rFonts w:ascii="仿宋" w:hAnsi="仿宋" w:eastAsia="仿宋" w:cs="仿宋"/>
                <w:sz w:val="18"/>
                <w:szCs w:val="18"/>
              </w:rPr>
              <w:t xml:space="preserve">  </w:t>
            </w:r>
            <w:r>
              <w:rPr>
                <w:rFonts w:ascii="仿宋" w:hAnsi="仿宋" w:eastAsia="仿宋" w:cs="仿宋"/>
                <w:sz w:val="24"/>
                <w:szCs w:val="24"/>
              </w:rPr>
              <w:t xml:space="preserve">          </w:t>
            </w:r>
            <w:r>
              <w:rPr>
                <w:rFonts w:hint="eastAsia" w:ascii="仿宋" w:hAnsi="仿宋" w:eastAsia="仿宋" w:cs="仿宋"/>
                <w:sz w:val="24"/>
                <w:szCs w:val="24"/>
              </w:rPr>
              <w:t>发包人代表</w:t>
            </w:r>
            <w:r>
              <w:rPr>
                <w:rFonts w:ascii="仿宋" w:hAnsi="仿宋" w:eastAsia="仿宋" w:cs="仿宋"/>
                <w:sz w:val="24"/>
                <w:szCs w:val="24"/>
              </w:rPr>
              <w:t xml:space="preserve"> </w:t>
            </w:r>
            <w:r>
              <w:rPr>
                <w:rFonts w:ascii="仿宋" w:hAnsi="仿宋" w:eastAsia="仿宋" w:cs="仿宋"/>
                <w:sz w:val="24"/>
                <w:szCs w:val="24"/>
                <w:u w:val="single"/>
              </w:rPr>
              <w:t xml:space="preserve">         </w:t>
            </w:r>
          </w:p>
          <w:p>
            <w:pPr>
              <w:snapToGrid w:val="0"/>
              <w:spacing w:line="360" w:lineRule="auto"/>
              <w:jc w:val="left"/>
              <w:rPr>
                <w:rFonts w:ascii="仿宋" w:hAnsi="仿宋" w:eastAsia="仿宋" w:cs="Times New Roman"/>
                <w:sz w:val="24"/>
                <w:szCs w:val="24"/>
              </w:rPr>
            </w:pPr>
            <w:r>
              <w:rPr>
                <w:rFonts w:ascii="仿宋" w:hAnsi="仿宋" w:eastAsia="仿宋" w:cs="仿宋"/>
                <w:sz w:val="24"/>
                <w:szCs w:val="24"/>
              </w:rPr>
              <w:t xml:space="preserve">               </w:t>
            </w:r>
            <w:r>
              <w:rPr>
                <w:rFonts w:ascii="仿宋" w:hAnsi="仿宋" w:eastAsia="仿宋" w:cs="仿宋"/>
                <w:sz w:val="30"/>
                <w:szCs w:val="30"/>
              </w:rPr>
              <w:t xml:space="preserve">      </w:t>
            </w: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rPr>
              <w:t xml:space="preserve"> </w:t>
            </w:r>
            <w:r>
              <w:rPr>
                <w:rFonts w:ascii="仿宋" w:hAnsi="仿宋" w:eastAsia="仿宋" w:cs="仿宋"/>
                <w:sz w:val="24"/>
                <w:szCs w:val="24"/>
                <w:u w:val="single"/>
              </w:rPr>
              <w:t xml:space="preserve">         </w:t>
            </w:r>
          </w:p>
        </w:tc>
      </w:tr>
    </w:tbl>
    <w:p>
      <w:pPr>
        <w:spacing w:before="120"/>
        <w:rPr>
          <w:rFonts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．在需要选择的栏中的“</w:t>
      </w:r>
      <w:r>
        <w:rPr>
          <w:rFonts w:hint="eastAsia" w:ascii="仿宋" w:hAnsi="仿宋" w:eastAsia="仿宋" w:cs="仿宋"/>
          <w:sz w:val="32"/>
          <w:szCs w:val="32"/>
        </w:rPr>
        <w:t>□</w:t>
      </w:r>
      <w:r>
        <w:rPr>
          <w:rFonts w:hint="eastAsia" w:ascii="仿宋" w:hAnsi="仿宋" w:eastAsia="仿宋" w:cs="仿宋"/>
          <w:sz w:val="24"/>
          <w:szCs w:val="24"/>
        </w:rPr>
        <w:t>”内作标识“√”。</w:t>
      </w:r>
    </w:p>
    <w:p>
      <w:pPr>
        <w:ind w:left="718" w:leftChars="342"/>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．本表一式三份，由承包人、监理人、发包人按合同规定程序填制，并各存一份。</w:t>
      </w:r>
    </w:p>
    <w:p>
      <w:pPr>
        <w:spacing w:before="240" w:beforeLines="100" w:after="240" w:afterLines="100" w:line="360" w:lineRule="auto"/>
        <w:outlineLvl w:val="1"/>
        <w:rPr>
          <w:rFonts w:ascii="仿宋" w:hAnsi="仿宋" w:eastAsia="仿宋" w:cs="仿宋"/>
          <w:b/>
          <w:bCs/>
          <w:color w:val="000000"/>
          <w:kern w:val="0"/>
          <w:sz w:val="24"/>
          <w:szCs w:val="24"/>
        </w:rPr>
      </w:pPr>
      <w:r>
        <w:rPr>
          <w:rFonts w:ascii="仿宋" w:hAnsi="仿宋" w:eastAsia="仿宋" w:cs="Times New Roman"/>
          <w:kern w:val="0"/>
          <w:sz w:val="24"/>
          <w:szCs w:val="24"/>
        </w:rPr>
        <w:br w:type="page"/>
      </w:r>
      <w:bookmarkStart w:id="760" w:name="_Toc469384151"/>
      <w:bookmarkStart w:id="761" w:name="_Toc266892935"/>
      <w:bookmarkStart w:id="762" w:name="_Toc10624995"/>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9</w:t>
      </w:r>
      <w:bookmarkEnd w:id="760"/>
      <w:bookmarkEnd w:id="761"/>
      <w:bookmarkEnd w:id="762"/>
    </w:p>
    <w:p>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暂停施工令</w:t>
      </w:r>
    </w:p>
    <w:p>
      <w:pPr>
        <w:spacing w:line="360" w:lineRule="auto"/>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0"/>
        <w:tblW w:w="10458"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5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298" w:hRule="atLeast"/>
        </w:trPr>
        <w:tc>
          <w:tcPr>
            <w:tcW w:w="10458" w:type="dxa"/>
            <w:vAlign w:val="top"/>
          </w:tcPr>
          <w:p>
            <w:pPr>
              <w:spacing w:before="120" w:line="360" w:lineRule="auto"/>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（承包人全称）</w:t>
            </w:r>
          </w:p>
          <w:p>
            <w:pPr>
              <w:spacing w:line="360" w:lineRule="auto"/>
              <w:ind w:firstLine="480" w:firstLineChars="200"/>
              <w:rPr>
                <w:rFonts w:ascii="仿宋" w:hAnsi="仿宋" w:eastAsia="仿宋" w:cs="仿宋"/>
                <w:sz w:val="24"/>
                <w:szCs w:val="24"/>
                <w:u w:val="single"/>
              </w:rPr>
            </w:pPr>
            <w:r>
              <w:rPr>
                <w:rFonts w:hint="eastAsia" w:ascii="仿宋" w:hAnsi="仿宋" w:eastAsia="仿宋" w:cs="仿宋"/>
                <w:sz w:val="24"/>
                <w:szCs w:val="24"/>
              </w:rPr>
              <w:t>由于</w:t>
            </w:r>
            <w:r>
              <w:rPr>
                <w:rFonts w:ascii="仿宋" w:hAnsi="仿宋" w:eastAsia="仿宋" w:cs="仿宋"/>
                <w:sz w:val="24"/>
                <w:szCs w:val="24"/>
                <w:u w:val="single"/>
              </w:rPr>
              <w:t xml:space="preserve">                                                                    </w:t>
            </w:r>
          </w:p>
          <w:p>
            <w:pPr>
              <w:spacing w:line="360" w:lineRule="auto"/>
              <w:ind w:left="-28"/>
              <w:rPr>
                <w:rFonts w:ascii="仿宋" w:hAnsi="仿宋" w:eastAsia="仿宋" w:cs="仿宋"/>
                <w:sz w:val="24"/>
                <w:szCs w:val="24"/>
                <w:u w:val="single"/>
              </w:rPr>
            </w:pPr>
            <w:r>
              <w:rPr>
                <w:rFonts w:ascii="仿宋" w:hAnsi="仿宋" w:eastAsia="仿宋" w:cs="仿宋"/>
                <w:sz w:val="24"/>
                <w:szCs w:val="24"/>
                <w:u w:val="single"/>
              </w:rPr>
              <w:t xml:space="preserve">                                                                            </w:t>
            </w:r>
          </w:p>
          <w:p>
            <w:pPr>
              <w:spacing w:line="360" w:lineRule="auto"/>
              <w:ind w:left="-27" w:leftChars="-13"/>
              <w:rPr>
                <w:rFonts w:ascii="仿宋" w:hAnsi="仿宋" w:eastAsia="仿宋" w:cs="仿宋"/>
                <w:sz w:val="24"/>
                <w:szCs w:val="24"/>
                <w:u w:val="single"/>
              </w:rPr>
            </w:pPr>
            <w:r>
              <w:rPr>
                <w:rFonts w:ascii="仿宋" w:hAnsi="仿宋" w:eastAsia="仿宋" w:cs="仿宋"/>
                <w:sz w:val="24"/>
                <w:szCs w:val="24"/>
                <w:u w:val="single"/>
              </w:rPr>
              <w:t xml:space="preserve">                                                                            </w:t>
            </w:r>
          </w:p>
          <w:p>
            <w:pPr>
              <w:spacing w:line="360" w:lineRule="auto"/>
              <w:ind w:left="-27" w:leftChars="-13"/>
              <w:rPr>
                <w:rFonts w:ascii="仿宋" w:hAnsi="仿宋" w:eastAsia="仿宋" w:cs="仿宋"/>
                <w:sz w:val="24"/>
                <w:szCs w:val="24"/>
                <w:u w:val="single"/>
              </w:rPr>
            </w:pPr>
            <w:r>
              <w:rPr>
                <w:rFonts w:ascii="仿宋" w:hAnsi="仿宋" w:eastAsia="仿宋" w:cs="仿宋"/>
                <w:sz w:val="24"/>
                <w:szCs w:val="24"/>
                <w:u w:val="single"/>
              </w:rPr>
              <w:t xml:space="preserve">                                                                            </w:t>
            </w:r>
          </w:p>
          <w:p>
            <w:pPr>
              <w:spacing w:line="360" w:lineRule="auto"/>
              <w:ind w:left="480" w:hanging="480" w:hangingChars="200"/>
              <w:rPr>
                <w:rFonts w:ascii="仿宋" w:hAnsi="仿宋" w:eastAsia="仿宋" w:cs="Times New Roman"/>
                <w:sz w:val="24"/>
                <w:szCs w:val="24"/>
              </w:rPr>
            </w:pPr>
            <w:r>
              <w:rPr>
                <w:rFonts w:ascii="仿宋" w:hAnsi="仿宋" w:eastAsia="仿宋" w:cs="仿宋"/>
                <w:sz w:val="24"/>
                <w:szCs w:val="24"/>
                <w:u w:val="single"/>
              </w:rPr>
              <w:t xml:space="preserve">                                </w:t>
            </w:r>
            <w:r>
              <w:rPr>
                <w:rFonts w:hint="eastAsia" w:ascii="仿宋" w:hAnsi="仿宋" w:eastAsia="仿宋" w:cs="仿宋"/>
                <w:sz w:val="24"/>
                <w:szCs w:val="24"/>
              </w:rPr>
              <w:t>的原因，现通知你方必须于</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p>
          <w:p>
            <w:pPr>
              <w:spacing w:line="360" w:lineRule="auto"/>
              <w:ind w:left="480" w:hanging="480" w:hangingChars="200"/>
              <w:rPr>
                <w:rFonts w:ascii="仿宋" w:hAnsi="仿宋" w:eastAsia="仿宋" w:cs="Times New Roman"/>
                <w:sz w:val="24"/>
                <w:szCs w:val="24"/>
              </w:rPr>
            </w:pPr>
            <w:r>
              <w:rPr>
                <w:rFonts w:ascii="仿宋" w:hAnsi="仿宋" w:eastAsia="仿宋" w:cs="仿宋"/>
                <w:sz w:val="24"/>
                <w:szCs w:val="24"/>
                <w:u w:val="single"/>
              </w:rPr>
              <w:t xml:space="preserve">      </w:t>
            </w:r>
            <w:r>
              <w:rPr>
                <w:rFonts w:hint="eastAsia" w:ascii="仿宋" w:hAnsi="仿宋" w:eastAsia="仿宋" w:cs="仿宋"/>
                <w:sz w:val="24"/>
                <w:szCs w:val="24"/>
              </w:rPr>
              <w:t>时起，对本工程的</w:t>
            </w:r>
            <w:r>
              <w:rPr>
                <w:rFonts w:ascii="仿宋" w:hAnsi="仿宋" w:eastAsia="仿宋" w:cs="仿宋"/>
                <w:sz w:val="24"/>
                <w:szCs w:val="24"/>
                <w:u w:val="single"/>
              </w:rPr>
              <w:t xml:space="preserve">                                       </w:t>
            </w:r>
            <w:r>
              <w:rPr>
                <w:rFonts w:hint="eastAsia" w:ascii="仿宋" w:hAnsi="仿宋" w:eastAsia="仿宋" w:cs="仿宋"/>
                <w:sz w:val="24"/>
                <w:szCs w:val="24"/>
              </w:rPr>
              <w:t>部位（工序）实施</w:t>
            </w:r>
          </w:p>
          <w:p>
            <w:pPr>
              <w:spacing w:line="360" w:lineRule="auto"/>
              <w:ind w:left="480" w:hanging="480" w:hangingChars="200"/>
              <w:rPr>
                <w:rFonts w:ascii="仿宋" w:hAnsi="仿宋" w:eastAsia="仿宋" w:cs="Times New Roman"/>
                <w:sz w:val="24"/>
                <w:szCs w:val="24"/>
              </w:rPr>
            </w:pPr>
            <w:r>
              <w:rPr>
                <w:rFonts w:hint="eastAsia" w:ascii="仿宋" w:hAnsi="仿宋" w:eastAsia="仿宋" w:cs="仿宋"/>
                <w:sz w:val="24"/>
                <w:szCs w:val="24"/>
              </w:rPr>
              <w:t>暂停施工，并按下述要求做好各项工作：</w:t>
            </w:r>
          </w:p>
          <w:p>
            <w:pPr>
              <w:spacing w:line="360" w:lineRule="auto"/>
              <w:ind w:left="-28"/>
              <w:rPr>
                <w:rFonts w:ascii="仿宋" w:hAnsi="仿宋" w:eastAsia="仿宋" w:cs="Times New Roman"/>
                <w:sz w:val="24"/>
                <w:szCs w:val="24"/>
              </w:rPr>
            </w:pPr>
          </w:p>
          <w:p>
            <w:pPr>
              <w:spacing w:line="360" w:lineRule="auto"/>
              <w:ind w:left="-28"/>
              <w:rPr>
                <w:rFonts w:ascii="仿宋" w:hAnsi="仿宋" w:eastAsia="仿宋" w:cs="Times New Roman"/>
                <w:sz w:val="24"/>
                <w:szCs w:val="24"/>
              </w:rPr>
            </w:pPr>
          </w:p>
          <w:p>
            <w:pPr>
              <w:spacing w:line="360" w:lineRule="auto"/>
              <w:ind w:firstLine="6012"/>
              <w:rPr>
                <w:rFonts w:ascii="仿宋" w:hAnsi="仿宋" w:eastAsia="仿宋" w:cs="Times New Roman"/>
                <w:sz w:val="24"/>
                <w:szCs w:val="24"/>
                <w:u w:val="single"/>
              </w:rPr>
            </w:pPr>
            <w:r>
              <w:rPr>
                <w:rFonts w:ascii="仿宋" w:hAnsi="仿宋" w:eastAsia="仿宋" w:cs="仿宋"/>
                <w:sz w:val="24"/>
                <w:szCs w:val="24"/>
              </w:rPr>
              <w:t xml:space="preserve">                                                </w:t>
            </w:r>
          </w:p>
          <w:p>
            <w:pPr>
              <w:spacing w:line="360" w:lineRule="auto"/>
              <w:rPr>
                <w:rFonts w:ascii="仿宋" w:hAnsi="仿宋" w:eastAsia="仿宋" w:cs="Times New Roman"/>
                <w:sz w:val="24"/>
                <w:szCs w:val="24"/>
              </w:rPr>
            </w:pPr>
          </w:p>
          <w:p>
            <w:pPr>
              <w:spacing w:line="360" w:lineRule="auto"/>
              <w:rPr>
                <w:rFonts w:ascii="仿宋" w:hAnsi="仿宋" w:eastAsia="仿宋" w:cs="Times New Roman"/>
                <w:sz w:val="24"/>
                <w:szCs w:val="24"/>
              </w:rPr>
            </w:pPr>
          </w:p>
          <w:p>
            <w:pPr>
              <w:spacing w:line="360" w:lineRule="auto"/>
              <w:ind w:firstLine="6732" w:firstLineChars="2805"/>
              <w:rPr>
                <w:rFonts w:ascii="仿宋" w:hAnsi="仿宋" w:eastAsia="仿宋" w:cs="Times New Roman"/>
                <w:sz w:val="24"/>
                <w:szCs w:val="24"/>
              </w:rPr>
            </w:pPr>
          </w:p>
          <w:p>
            <w:pPr>
              <w:spacing w:line="360" w:lineRule="auto"/>
              <w:ind w:firstLine="6732" w:firstLineChars="2805"/>
              <w:rPr>
                <w:rFonts w:ascii="仿宋" w:hAnsi="仿宋" w:eastAsia="仿宋" w:cs="Times New Roman"/>
                <w:sz w:val="24"/>
                <w:szCs w:val="24"/>
              </w:rPr>
            </w:pPr>
          </w:p>
          <w:p>
            <w:pPr>
              <w:spacing w:line="360" w:lineRule="auto"/>
              <w:ind w:firstLine="6732" w:firstLineChars="2805"/>
              <w:rPr>
                <w:rFonts w:ascii="仿宋" w:hAnsi="仿宋" w:eastAsia="仿宋" w:cs="Times New Roman"/>
                <w:sz w:val="24"/>
                <w:szCs w:val="24"/>
              </w:rPr>
            </w:pPr>
          </w:p>
          <w:p>
            <w:pPr>
              <w:spacing w:line="360" w:lineRule="auto"/>
              <w:ind w:firstLine="6732" w:firstLineChars="2805"/>
              <w:rPr>
                <w:rFonts w:ascii="仿宋" w:hAnsi="仿宋" w:eastAsia="仿宋" w:cs="Times New Roman"/>
                <w:sz w:val="24"/>
                <w:szCs w:val="24"/>
              </w:rPr>
            </w:pPr>
          </w:p>
          <w:p>
            <w:pPr>
              <w:spacing w:line="360" w:lineRule="auto"/>
              <w:ind w:firstLine="6732" w:firstLineChars="2805"/>
              <w:rPr>
                <w:rFonts w:ascii="仿宋" w:hAnsi="仿宋" w:eastAsia="仿宋" w:cs="Times New Roman"/>
                <w:sz w:val="24"/>
                <w:szCs w:val="24"/>
              </w:rPr>
            </w:pPr>
          </w:p>
          <w:p>
            <w:pPr>
              <w:spacing w:line="360" w:lineRule="auto"/>
              <w:ind w:firstLine="6732" w:firstLineChars="2805"/>
              <w:rPr>
                <w:rFonts w:ascii="仿宋" w:hAnsi="仿宋" w:eastAsia="仿宋" w:cs="Times New Roman"/>
                <w:sz w:val="24"/>
                <w:szCs w:val="24"/>
              </w:rPr>
            </w:pPr>
          </w:p>
          <w:p>
            <w:pPr>
              <w:spacing w:line="360" w:lineRule="auto"/>
              <w:ind w:firstLine="6732" w:firstLineChars="2805"/>
              <w:rPr>
                <w:rFonts w:ascii="仿宋" w:hAnsi="仿宋" w:eastAsia="仿宋" w:cs="Times New Roman"/>
                <w:sz w:val="24"/>
                <w:szCs w:val="24"/>
              </w:rPr>
            </w:pPr>
          </w:p>
          <w:p>
            <w:pPr>
              <w:spacing w:line="360" w:lineRule="auto"/>
              <w:ind w:firstLine="6732" w:firstLineChars="2805"/>
              <w:rPr>
                <w:rFonts w:ascii="仿宋" w:hAnsi="仿宋" w:eastAsia="仿宋" w:cs="Times New Roman"/>
                <w:sz w:val="24"/>
                <w:szCs w:val="24"/>
              </w:rPr>
            </w:pPr>
          </w:p>
          <w:p>
            <w:pPr>
              <w:spacing w:line="360" w:lineRule="auto"/>
              <w:ind w:firstLine="6732" w:firstLineChars="2805"/>
              <w:rPr>
                <w:rFonts w:ascii="仿宋" w:hAnsi="仿宋" w:eastAsia="仿宋" w:cs="Times New Roman"/>
                <w:sz w:val="24"/>
                <w:szCs w:val="24"/>
              </w:rPr>
            </w:pPr>
          </w:p>
          <w:p>
            <w:pPr>
              <w:spacing w:line="360" w:lineRule="auto"/>
              <w:ind w:firstLine="6732" w:firstLineChars="2805"/>
              <w:rPr>
                <w:rFonts w:ascii="仿宋" w:hAnsi="仿宋" w:eastAsia="仿宋" w:cs="Times New Roman"/>
                <w:sz w:val="24"/>
                <w:szCs w:val="24"/>
                <w:u w:val="single"/>
              </w:rPr>
            </w:pPr>
            <w:r>
              <w:rPr>
                <w:rFonts w:hint="eastAsia" w:ascii="仿宋" w:hAnsi="仿宋" w:eastAsia="仿宋" w:cs="仿宋"/>
                <w:sz w:val="24"/>
                <w:szCs w:val="24"/>
              </w:rPr>
              <w:t>监理单位（章）</w:t>
            </w:r>
            <w:r>
              <w:rPr>
                <w:rFonts w:ascii="仿宋" w:hAnsi="仿宋" w:eastAsia="仿宋" w:cs="仿宋"/>
                <w:sz w:val="24"/>
                <w:szCs w:val="24"/>
              </w:rPr>
              <w:t xml:space="preserve">           </w:t>
            </w:r>
          </w:p>
          <w:p>
            <w:pPr>
              <w:spacing w:line="360" w:lineRule="auto"/>
              <w:ind w:firstLine="6732" w:firstLineChars="2805"/>
              <w:rPr>
                <w:rFonts w:ascii="仿宋" w:hAnsi="仿宋" w:eastAsia="仿宋" w:cs="仿宋"/>
                <w:sz w:val="24"/>
                <w:szCs w:val="24"/>
                <w:u w:val="single"/>
              </w:rPr>
            </w:pPr>
            <w:r>
              <w:rPr>
                <w:rFonts w:hint="eastAsia" w:ascii="仿宋" w:hAnsi="仿宋" w:eastAsia="仿宋" w:cs="仿宋"/>
                <w:sz w:val="24"/>
                <w:szCs w:val="24"/>
              </w:rPr>
              <w:t>监理工程师</w:t>
            </w:r>
            <w:r>
              <w:rPr>
                <w:rFonts w:ascii="仿宋" w:hAnsi="仿宋" w:eastAsia="仿宋" w:cs="仿宋"/>
                <w:sz w:val="24"/>
                <w:szCs w:val="24"/>
                <w:u w:val="single"/>
              </w:rPr>
              <w:t xml:space="preserve">               </w:t>
            </w:r>
          </w:p>
          <w:p>
            <w:pPr>
              <w:spacing w:line="360" w:lineRule="auto"/>
              <w:ind w:firstLine="6732" w:firstLineChars="2805"/>
              <w:rPr>
                <w:rFonts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pPr>
        <w:spacing w:line="360" w:lineRule="auto"/>
        <w:rPr>
          <w:rFonts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 xml:space="preserve"> </w:t>
      </w:r>
      <w:r>
        <w:rPr>
          <w:rFonts w:hint="eastAsia" w:ascii="仿宋" w:hAnsi="仿宋" w:eastAsia="仿宋" w:cs="仿宋"/>
          <w:sz w:val="24"/>
          <w:szCs w:val="24"/>
        </w:rPr>
        <w:t>本表一式三份，由监理工程师填制，并连同发包人、承包人各存一份。</w:t>
      </w:r>
    </w:p>
    <w:p>
      <w:pPr>
        <w:spacing w:before="240" w:beforeLines="100" w:after="240" w:afterLines="100" w:line="360" w:lineRule="auto"/>
        <w:outlineLvl w:val="1"/>
        <w:rPr>
          <w:rFonts w:ascii="仿宋" w:hAnsi="仿宋" w:eastAsia="仿宋" w:cs="仿宋"/>
          <w:b/>
          <w:bCs/>
          <w:color w:val="000000"/>
          <w:kern w:val="0"/>
          <w:sz w:val="24"/>
          <w:szCs w:val="24"/>
        </w:rPr>
      </w:pPr>
      <w:r>
        <w:rPr>
          <w:rFonts w:ascii="仿宋" w:hAnsi="仿宋" w:eastAsia="仿宋" w:cs="Times New Roman"/>
          <w:kern w:val="0"/>
          <w:sz w:val="24"/>
          <w:szCs w:val="24"/>
        </w:rPr>
        <w:br w:type="page"/>
      </w:r>
      <w:bookmarkStart w:id="763" w:name="_Toc469384152"/>
      <w:bookmarkStart w:id="764" w:name="_Toc10624996"/>
      <w:bookmarkStart w:id="765" w:name="_Toc266892936"/>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10</w:t>
      </w:r>
      <w:bookmarkEnd w:id="763"/>
      <w:bookmarkEnd w:id="764"/>
      <w:bookmarkEnd w:id="765"/>
    </w:p>
    <w:p>
      <w:pPr>
        <w:spacing w:before="50" w:after="50"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工期索赔申请表</w:t>
      </w:r>
    </w:p>
    <w:p>
      <w:pPr>
        <w:spacing w:line="360" w:lineRule="auto"/>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0"/>
        <w:tblW w:w="10373"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3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38" w:hRule="atLeast"/>
        </w:trPr>
        <w:tc>
          <w:tcPr>
            <w:tcW w:w="10373" w:type="dxa"/>
            <w:tcBorders>
              <w:bottom w:val="single" w:color="auto" w:sz="4" w:space="0"/>
            </w:tcBorders>
            <w:vAlign w:val="top"/>
          </w:tcPr>
          <w:p>
            <w:pPr>
              <w:spacing w:before="120" w:line="360" w:lineRule="auto"/>
              <w:ind w:left="-28" w:firstLine="181"/>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（监理人全称）</w:t>
            </w:r>
            <w:r>
              <w:rPr>
                <w:rFonts w:ascii="仿宋" w:hAnsi="仿宋" w:eastAsia="仿宋" w:cs="仿宋"/>
                <w:sz w:val="24"/>
                <w:szCs w:val="24"/>
              </w:rPr>
              <w:t xml:space="preserve"> </w:t>
            </w:r>
          </w:p>
          <w:p>
            <w:pPr>
              <w:spacing w:line="360" w:lineRule="auto"/>
              <w:ind w:left="-28" w:firstLine="482"/>
              <w:rPr>
                <w:rFonts w:ascii="仿宋" w:hAnsi="仿宋" w:eastAsia="仿宋" w:cs="Times New Roman"/>
                <w:sz w:val="24"/>
                <w:szCs w:val="24"/>
              </w:rPr>
            </w:pPr>
            <w:r>
              <w:rPr>
                <w:rFonts w:hint="eastAsia" w:ascii="仿宋" w:hAnsi="仿宋" w:eastAsia="仿宋" w:cs="仿宋"/>
                <w:sz w:val="24"/>
                <w:szCs w:val="24"/>
              </w:rPr>
              <w:t>根据施工合同第</w:t>
            </w:r>
            <w:r>
              <w:rPr>
                <w:rFonts w:ascii="仿宋" w:hAnsi="仿宋" w:eastAsia="仿宋" w:cs="仿宋"/>
                <w:sz w:val="24"/>
                <w:szCs w:val="24"/>
                <w:u w:val="single"/>
              </w:rPr>
              <w:t xml:space="preserve">              </w:t>
            </w:r>
            <w:r>
              <w:rPr>
                <w:rFonts w:hint="eastAsia" w:ascii="仿宋" w:hAnsi="仿宋" w:eastAsia="仿宋" w:cs="仿宋"/>
                <w:sz w:val="24"/>
                <w:szCs w:val="24"/>
              </w:rPr>
              <w:t>条规定，由于</w:t>
            </w:r>
            <w:r>
              <w:rPr>
                <w:rFonts w:ascii="仿宋" w:hAnsi="仿宋" w:eastAsia="仿宋" w:cs="仿宋"/>
                <w:sz w:val="24"/>
                <w:szCs w:val="24"/>
                <w:u w:val="single"/>
              </w:rPr>
              <w:t xml:space="preserve">                           </w:t>
            </w:r>
            <w:r>
              <w:rPr>
                <w:rFonts w:hint="eastAsia" w:ascii="仿宋" w:hAnsi="仿宋" w:eastAsia="仿宋" w:cs="仿宋"/>
                <w:sz w:val="24"/>
                <w:szCs w:val="24"/>
              </w:rPr>
              <w:t>原因</w:t>
            </w:r>
            <w:r>
              <w:rPr>
                <w:rFonts w:ascii="仿宋" w:hAnsi="仿宋" w:eastAsia="仿宋" w:cs="仿宋"/>
                <w:sz w:val="24"/>
                <w:szCs w:val="24"/>
              </w:rPr>
              <w:t>,</w:t>
            </w:r>
            <w:r>
              <w:rPr>
                <w:rFonts w:hint="eastAsia" w:ascii="仿宋" w:hAnsi="仿宋" w:eastAsia="仿宋" w:cs="仿宋"/>
                <w:sz w:val="24"/>
                <w:szCs w:val="24"/>
              </w:rPr>
              <w:t>我方要求索赔并顺延工期</w:t>
            </w:r>
            <w:r>
              <w:rPr>
                <w:rFonts w:ascii="仿宋" w:hAnsi="仿宋" w:eastAsia="仿宋" w:cs="仿宋"/>
                <w:sz w:val="24"/>
                <w:szCs w:val="24"/>
                <w:u w:val="single"/>
              </w:rPr>
              <w:t xml:space="preserve">      </w:t>
            </w:r>
            <w:r>
              <w:rPr>
                <w:rFonts w:hint="eastAsia" w:ascii="仿宋" w:hAnsi="仿宋" w:eastAsia="仿宋" w:cs="仿宋"/>
                <w:sz w:val="24"/>
                <w:szCs w:val="24"/>
              </w:rPr>
              <w:t>日历天，请予以批准。</w:t>
            </w:r>
          </w:p>
          <w:p>
            <w:pPr>
              <w:spacing w:line="360" w:lineRule="auto"/>
              <w:ind w:left="480"/>
              <w:rPr>
                <w:rFonts w:ascii="仿宋" w:hAnsi="仿宋" w:eastAsia="仿宋" w:cs="Times New Roman"/>
                <w:sz w:val="24"/>
                <w:szCs w:val="24"/>
              </w:rPr>
            </w:pPr>
            <w:r>
              <w:rPr>
                <w:rFonts w:hint="eastAsia" w:ascii="仿宋" w:hAnsi="仿宋" w:eastAsia="仿宋" w:cs="仿宋"/>
                <w:sz w:val="24"/>
                <w:szCs w:val="24"/>
              </w:rPr>
              <w:t>１．工期索赔的依据：</w:t>
            </w:r>
          </w:p>
          <w:p>
            <w:pPr>
              <w:spacing w:line="360" w:lineRule="auto"/>
              <w:rPr>
                <w:rFonts w:ascii="仿宋" w:hAnsi="仿宋" w:eastAsia="仿宋" w:cs="Times New Roman"/>
                <w:sz w:val="24"/>
                <w:szCs w:val="24"/>
              </w:rPr>
            </w:pPr>
          </w:p>
          <w:p>
            <w:pPr>
              <w:spacing w:line="360" w:lineRule="auto"/>
              <w:rPr>
                <w:rFonts w:ascii="仿宋" w:hAnsi="仿宋" w:eastAsia="仿宋" w:cs="Times New Roman"/>
                <w:sz w:val="24"/>
                <w:szCs w:val="24"/>
              </w:rPr>
            </w:pPr>
          </w:p>
          <w:p>
            <w:pPr>
              <w:spacing w:line="360" w:lineRule="auto"/>
              <w:rPr>
                <w:rFonts w:ascii="仿宋" w:hAnsi="仿宋" w:eastAsia="仿宋" w:cs="Times New Roman"/>
                <w:sz w:val="24"/>
                <w:szCs w:val="24"/>
              </w:rPr>
            </w:pPr>
          </w:p>
          <w:p>
            <w:pPr>
              <w:spacing w:line="360" w:lineRule="auto"/>
              <w:rPr>
                <w:rFonts w:ascii="仿宋" w:hAnsi="仿宋" w:eastAsia="仿宋" w:cs="Times New Roman"/>
                <w:sz w:val="24"/>
                <w:szCs w:val="24"/>
              </w:rPr>
            </w:pPr>
          </w:p>
          <w:p>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．索赔工期的计算：</w:t>
            </w:r>
          </w:p>
          <w:p>
            <w:pPr>
              <w:spacing w:line="360" w:lineRule="auto"/>
              <w:ind w:left="-28" w:firstLine="458"/>
              <w:rPr>
                <w:rFonts w:ascii="仿宋" w:hAnsi="仿宋" w:eastAsia="仿宋" w:cs="Times New Roman"/>
                <w:sz w:val="24"/>
                <w:szCs w:val="24"/>
              </w:rPr>
            </w:pPr>
          </w:p>
          <w:p>
            <w:pPr>
              <w:spacing w:line="360" w:lineRule="auto"/>
              <w:ind w:left="-28" w:firstLine="458"/>
              <w:rPr>
                <w:rFonts w:ascii="仿宋" w:hAnsi="仿宋" w:eastAsia="仿宋" w:cs="Times New Roman"/>
                <w:sz w:val="24"/>
                <w:szCs w:val="24"/>
              </w:rPr>
            </w:pPr>
          </w:p>
          <w:p>
            <w:pPr>
              <w:spacing w:line="360" w:lineRule="auto"/>
              <w:ind w:left="-28" w:firstLine="458"/>
              <w:rPr>
                <w:rFonts w:ascii="仿宋" w:hAnsi="仿宋" w:eastAsia="仿宋" w:cs="Times New Roman"/>
                <w:sz w:val="24"/>
                <w:szCs w:val="24"/>
              </w:rPr>
            </w:pPr>
          </w:p>
          <w:p>
            <w:pPr>
              <w:spacing w:line="360" w:lineRule="auto"/>
              <w:ind w:left="-28" w:firstLine="458"/>
              <w:rPr>
                <w:rFonts w:ascii="仿宋" w:hAnsi="仿宋" w:eastAsia="仿宋" w:cs="Times New Roman"/>
                <w:sz w:val="24"/>
                <w:szCs w:val="24"/>
              </w:rPr>
            </w:pPr>
          </w:p>
          <w:p>
            <w:pPr>
              <w:spacing w:line="360" w:lineRule="auto"/>
              <w:ind w:left="-28" w:firstLine="458"/>
              <w:rPr>
                <w:rFonts w:ascii="仿宋" w:hAnsi="仿宋" w:eastAsia="仿宋" w:cs="Times New Roman"/>
                <w:sz w:val="24"/>
                <w:szCs w:val="24"/>
              </w:rPr>
            </w:pPr>
          </w:p>
          <w:p>
            <w:pPr>
              <w:spacing w:line="360" w:lineRule="auto"/>
              <w:ind w:left="-28" w:firstLine="458"/>
              <w:rPr>
                <w:rFonts w:ascii="仿宋" w:hAnsi="仿宋" w:eastAsia="仿宋" w:cs="Times New Roman"/>
                <w:sz w:val="24"/>
                <w:szCs w:val="24"/>
              </w:rPr>
            </w:pPr>
          </w:p>
          <w:p>
            <w:pPr>
              <w:spacing w:line="360" w:lineRule="auto"/>
              <w:ind w:left="-28" w:firstLine="458"/>
              <w:rPr>
                <w:rFonts w:ascii="仿宋" w:hAnsi="仿宋" w:eastAsia="仿宋" w:cs="Times New Roman"/>
                <w:sz w:val="24"/>
                <w:szCs w:val="24"/>
              </w:rPr>
            </w:pPr>
            <w:r>
              <w:rPr>
                <w:rFonts w:hint="eastAsia" w:ascii="仿宋" w:hAnsi="仿宋" w:eastAsia="仿宋" w:cs="仿宋"/>
                <w:sz w:val="24"/>
                <w:szCs w:val="24"/>
              </w:rPr>
              <w:t>本次要求延长工期</w:t>
            </w:r>
            <w:r>
              <w:rPr>
                <w:rFonts w:ascii="仿宋" w:hAnsi="仿宋" w:eastAsia="仿宋" w:cs="仿宋"/>
                <w:sz w:val="24"/>
                <w:szCs w:val="24"/>
                <w:u w:val="single"/>
              </w:rPr>
              <w:t xml:space="preserve">        </w:t>
            </w:r>
            <w:r>
              <w:rPr>
                <w:rFonts w:hint="eastAsia" w:ascii="仿宋" w:hAnsi="仿宋" w:eastAsia="仿宋" w:cs="仿宋"/>
                <w:sz w:val="24"/>
                <w:szCs w:val="24"/>
              </w:rPr>
              <w:t>日历天；最终延长总工期</w:t>
            </w:r>
            <w:r>
              <w:rPr>
                <w:rFonts w:ascii="仿宋" w:hAnsi="仿宋" w:eastAsia="仿宋" w:cs="仿宋"/>
                <w:sz w:val="24"/>
                <w:szCs w:val="24"/>
                <w:u w:val="single"/>
              </w:rPr>
              <w:t xml:space="preserve">        </w:t>
            </w:r>
            <w:r>
              <w:rPr>
                <w:rFonts w:hint="eastAsia" w:ascii="仿宋" w:hAnsi="仿宋" w:eastAsia="仿宋" w:cs="仿宋"/>
                <w:sz w:val="24"/>
                <w:szCs w:val="24"/>
              </w:rPr>
              <w:t>日历天。</w:t>
            </w:r>
          </w:p>
          <w:p>
            <w:pPr>
              <w:spacing w:line="360" w:lineRule="auto"/>
              <w:ind w:left="-28" w:firstLine="458"/>
              <w:rPr>
                <w:rFonts w:ascii="仿宋" w:hAnsi="仿宋" w:eastAsia="仿宋" w:cs="Times New Roman"/>
                <w:sz w:val="24"/>
                <w:szCs w:val="24"/>
              </w:rPr>
            </w:pPr>
            <w:r>
              <w:rPr>
                <w:rFonts w:hint="eastAsia" w:ascii="仿宋" w:hAnsi="仿宋" w:eastAsia="仿宋" w:cs="仿宋"/>
                <w:sz w:val="24"/>
                <w:szCs w:val="24"/>
              </w:rPr>
              <w:t>合同竣工日期从原来</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日延迟到</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p>
          <w:p>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．证明材料：</w:t>
            </w:r>
          </w:p>
          <w:p>
            <w:pPr>
              <w:tabs>
                <w:tab w:val="left" w:pos="6912"/>
              </w:tabs>
              <w:spacing w:line="360" w:lineRule="auto"/>
              <w:ind w:firstLine="6000" w:firstLineChars="2500"/>
              <w:rPr>
                <w:rFonts w:ascii="仿宋" w:hAnsi="仿宋" w:eastAsia="仿宋" w:cs="Times New Roman"/>
                <w:sz w:val="24"/>
                <w:szCs w:val="24"/>
              </w:rPr>
            </w:pPr>
          </w:p>
          <w:p>
            <w:pPr>
              <w:tabs>
                <w:tab w:val="left" w:pos="6912"/>
              </w:tabs>
              <w:spacing w:line="360" w:lineRule="auto"/>
              <w:ind w:firstLine="6000" w:firstLineChars="2500"/>
              <w:rPr>
                <w:rFonts w:ascii="仿宋" w:hAnsi="仿宋" w:eastAsia="仿宋" w:cs="Times New Roman"/>
                <w:sz w:val="24"/>
                <w:szCs w:val="24"/>
              </w:rPr>
            </w:pPr>
          </w:p>
          <w:p>
            <w:pPr>
              <w:tabs>
                <w:tab w:val="left" w:pos="6912"/>
              </w:tabs>
              <w:spacing w:line="360" w:lineRule="auto"/>
              <w:ind w:firstLine="6000" w:firstLineChars="2500"/>
              <w:rPr>
                <w:rFonts w:ascii="仿宋" w:hAnsi="仿宋" w:eastAsia="仿宋" w:cs="Times New Roman"/>
                <w:sz w:val="24"/>
                <w:szCs w:val="24"/>
              </w:rPr>
            </w:pPr>
          </w:p>
          <w:p>
            <w:pPr>
              <w:tabs>
                <w:tab w:val="left" w:pos="6912"/>
              </w:tabs>
              <w:spacing w:line="360" w:lineRule="auto"/>
              <w:ind w:firstLine="6000" w:firstLineChars="2500"/>
              <w:rPr>
                <w:rFonts w:ascii="仿宋" w:hAnsi="仿宋" w:eastAsia="仿宋" w:cs="Times New Roman"/>
                <w:sz w:val="24"/>
                <w:szCs w:val="24"/>
              </w:rPr>
            </w:pPr>
          </w:p>
          <w:p>
            <w:pPr>
              <w:tabs>
                <w:tab w:val="left" w:pos="6912"/>
              </w:tabs>
              <w:spacing w:line="360" w:lineRule="auto"/>
              <w:ind w:firstLine="6372" w:firstLineChars="2655"/>
              <w:rPr>
                <w:rFonts w:ascii="仿宋" w:hAnsi="仿宋" w:eastAsia="仿宋" w:cs="Times New Roman"/>
                <w:sz w:val="24"/>
                <w:szCs w:val="24"/>
                <w:u w:val="single"/>
              </w:rPr>
            </w:pPr>
            <w:r>
              <w:rPr>
                <w:rFonts w:hint="eastAsia" w:ascii="仿宋" w:hAnsi="仿宋" w:eastAsia="仿宋" w:cs="仿宋"/>
                <w:sz w:val="24"/>
                <w:szCs w:val="24"/>
              </w:rPr>
              <w:t>承包人（章）</w:t>
            </w:r>
            <w:r>
              <w:rPr>
                <w:rFonts w:ascii="仿宋" w:hAnsi="仿宋" w:eastAsia="仿宋" w:cs="仿宋"/>
                <w:sz w:val="24"/>
                <w:szCs w:val="24"/>
              </w:rPr>
              <w:t xml:space="preserve">                </w:t>
            </w:r>
          </w:p>
          <w:p>
            <w:pPr>
              <w:spacing w:line="360" w:lineRule="auto"/>
              <w:ind w:firstLine="6372" w:firstLineChars="2655"/>
              <w:rPr>
                <w:rFonts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pPr>
              <w:tabs>
                <w:tab w:val="left" w:pos="7272"/>
              </w:tabs>
              <w:spacing w:line="360" w:lineRule="auto"/>
              <w:ind w:firstLine="6372" w:firstLineChars="2655"/>
              <w:rPr>
                <w:rFonts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pPr>
        <w:spacing w:line="360" w:lineRule="auto"/>
        <w:rPr>
          <w:rFonts w:ascii="仿宋" w:hAnsi="仿宋" w:eastAsia="仿宋" w:cs="Times New Roman"/>
          <w:sz w:val="24"/>
          <w:szCs w:val="24"/>
        </w:rPr>
      </w:pPr>
      <w:r>
        <w:rPr>
          <w:rFonts w:hint="eastAsia" w:ascii="仿宋" w:hAnsi="仿宋" w:eastAsia="仿宋" w:cs="仿宋"/>
          <w:sz w:val="24"/>
          <w:szCs w:val="24"/>
        </w:rPr>
        <w:t>说明：本表一式三份，由承包人填报</w:t>
      </w:r>
      <w:r>
        <w:rPr>
          <w:rFonts w:ascii="仿宋" w:hAnsi="仿宋" w:eastAsia="仿宋" w:cs="仿宋"/>
          <w:sz w:val="24"/>
          <w:szCs w:val="24"/>
        </w:rPr>
        <w:t>,</w:t>
      </w:r>
      <w:r>
        <w:rPr>
          <w:rFonts w:hint="eastAsia" w:ascii="仿宋" w:hAnsi="仿宋" w:eastAsia="仿宋" w:cs="仿宋"/>
          <w:sz w:val="24"/>
          <w:szCs w:val="24"/>
        </w:rPr>
        <w:t>发包人、监理人、承包人各存一份。</w:t>
      </w:r>
    </w:p>
    <w:p>
      <w:pPr>
        <w:spacing w:before="240" w:beforeLines="100" w:after="240" w:afterLines="100" w:line="360" w:lineRule="auto"/>
        <w:outlineLvl w:val="1"/>
        <w:rPr>
          <w:rFonts w:ascii="仿宋" w:hAnsi="仿宋" w:eastAsia="仿宋" w:cs="Times New Roman"/>
          <w:sz w:val="24"/>
          <w:szCs w:val="24"/>
        </w:rPr>
      </w:pPr>
      <w:r>
        <w:rPr>
          <w:rFonts w:ascii="仿宋" w:hAnsi="仿宋" w:eastAsia="仿宋" w:cs="Times New Roman"/>
          <w:kern w:val="0"/>
          <w:sz w:val="24"/>
          <w:szCs w:val="24"/>
        </w:rPr>
        <w:br w:type="page"/>
      </w:r>
      <w:bookmarkStart w:id="766" w:name="_Toc469384153"/>
      <w:bookmarkStart w:id="767" w:name="_Toc266892937"/>
      <w:bookmarkStart w:id="768" w:name="_Toc10624997"/>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11</w:t>
      </w:r>
      <w:bookmarkEnd w:id="766"/>
      <w:bookmarkEnd w:id="767"/>
      <w:bookmarkEnd w:id="768"/>
    </w:p>
    <w:p>
      <w:pPr>
        <w:spacing w:before="50" w:after="50" w:line="360" w:lineRule="auto"/>
        <w:jc w:val="center"/>
        <w:rPr>
          <w:rFonts w:ascii="仿宋" w:hAnsi="仿宋" w:eastAsia="仿宋" w:cs="Times New Roman"/>
          <w:b/>
          <w:bCs/>
        </w:rPr>
      </w:pPr>
      <w:r>
        <w:rPr>
          <w:rFonts w:hint="eastAsia" w:ascii="仿宋" w:hAnsi="仿宋" w:eastAsia="仿宋" w:cs="仿宋"/>
          <w:b/>
          <w:bCs/>
          <w:spacing w:val="30"/>
          <w:sz w:val="44"/>
          <w:szCs w:val="44"/>
        </w:rPr>
        <w:t>工期索赔审批表</w:t>
      </w:r>
    </w:p>
    <w:p>
      <w:pPr>
        <w:spacing w:line="360" w:lineRule="auto"/>
        <w:rPr>
          <w:rFonts w:ascii="仿宋" w:hAnsi="仿宋" w:eastAsia="仿宋" w:cs="仿宋"/>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0"/>
        <w:tblW w:w="10455"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280" w:hRule="atLeast"/>
        </w:trPr>
        <w:tc>
          <w:tcPr>
            <w:tcW w:w="10455" w:type="dxa"/>
            <w:tcBorders>
              <w:bottom w:val="single" w:color="auto" w:sz="4" w:space="0"/>
            </w:tcBorders>
            <w:vAlign w:val="top"/>
          </w:tcPr>
          <w:p>
            <w:pPr>
              <w:spacing w:before="120" w:line="360" w:lineRule="auto"/>
              <w:ind w:left="-28" w:firstLine="181"/>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（承包人全称）</w:t>
            </w:r>
            <w:r>
              <w:rPr>
                <w:rFonts w:ascii="仿宋" w:hAnsi="仿宋" w:eastAsia="仿宋" w:cs="仿宋"/>
                <w:sz w:val="24"/>
                <w:szCs w:val="24"/>
              </w:rPr>
              <w:t xml:space="preserve"> </w:t>
            </w:r>
          </w:p>
          <w:p>
            <w:pPr>
              <w:spacing w:line="360" w:lineRule="auto"/>
              <w:ind w:left="-28" w:firstLine="482"/>
              <w:jc w:val="left"/>
              <w:rPr>
                <w:rFonts w:ascii="仿宋" w:hAnsi="仿宋" w:eastAsia="仿宋" w:cs="Times New Roman"/>
                <w:sz w:val="24"/>
                <w:szCs w:val="24"/>
              </w:rPr>
            </w:pPr>
            <w:r>
              <w:rPr>
                <w:rFonts w:hint="eastAsia" w:ascii="仿宋" w:hAnsi="仿宋" w:eastAsia="仿宋" w:cs="仿宋"/>
                <w:sz w:val="24"/>
                <w:szCs w:val="24"/>
              </w:rPr>
              <w:t>根据施工合同条款第</w:t>
            </w:r>
            <w:r>
              <w:rPr>
                <w:rFonts w:ascii="仿宋" w:hAnsi="仿宋" w:eastAsia="仿宋" w:cs="仿宋"/>
                <w:sz w:val="24"/>
                <w:szCs w:val="24"/>
                <w:u w:val="single"/>
              </w:rPr>
              <w:t xml:space="preserve">               </w:t>
            </w:r>
            <w:r>
              <w:rPr>
                <w:rFonts w:hint="eastAsia" w:ascii="仿宋" w:hAnsi="仿宋" w:eastAsia="仿宋" w:cs="仿宋"/>
                <w:sz w:val="24"/>
                <w:szCs w:val="24"/>
              </w:rPr>
              <w:t>的规定，你方提出的工期索赔申请第</w:t>
            </w:r>
            <w:r>
              <w:rPr>
                <w:rFonts w:ascii="仿宋" w:hAnsi="仿宋" w:eastAsia="仿宋" w:cs="仿宋"/>
                <w:sz w:val="24"/>
                <w:szCs w:val="24"/>
                <w:u w:val="single"/>
              </w:rPr>
              <w:t xml:space="preserve">    </w:t>
            </w:r>
            <w:r>
              <w:rPr>
                <w:rFonts w:hint="eastAsia" w:ascii="仿宋" w:hAnsi="仿宋" w:eastAsia="仿宋" w:cs="仿宋"/>
                <w:sz w:val="24"/>
                <w:szCs w:val="24"/>
              </w:rPr>
              <w:t>号</w:t>
            </w:r>
            <w:r>
              <w:rPr>
                <w:rFonts w:ascii="仿宋" w:hAnsi="仿宋" w:eastAsia="仿宋" w:cs="仿宋"/>
                <w:sz w:val="24"/>
                <w:szCs w:val="24"/>
              </w:rPr>
              <w:t>,</w:t>
            </w:r>
            <w:r>
              <w:rPr>
                <w:rFonts w:hint="eastAsia" w:ascii="仿宋" w:hAnsi="仿宋" w:eastAsia="仿宋" w:cs="仿宋"/>
                <w:sz w:val="24"/>
                <w:szCs w:val="24"/>
              </w:rPr>
              <w:t>索赔工期</w:t>
            </w:r>
            <w:r>
              <w:rPr>
                <w:rFonts w:ascii="仿宋" w:hAnsi="仿宋" w:eastAsia="仿宋" w:cs="仿宋"/>
                <w:sz w:val="24"/>
                <w:szCs w:val="24"/>
                <w:u w:val="single"/>
              </w:rPr>
              <w:t xml:space="preserve">      </w:t>
            </w:r>
            <w:r>
              <w:rPr>
                <w:rFonts w:hint="eastAsia" w:ascii="仿宋" w:hAnsi="仿宋" w:eastAsia="仿宋" w:cs="仿宋"/>
                <w:sz w:val="24"/>
                <w:szCs w:val="24"/>
              </w:rPr>
              <w:t>日历天，经我方审核：</w:t>
            </w:r>
          </w:p>
          <w:p>
            <w:pPr>
              <w:spacing w:line="360" w:lineRule="auto"/>
              <w:ind w:left="-28" w:firstLine="550"/>
              <w:rPr>
                <w:rFonts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不同意此项索赔，按约定竣工日期组织施工。</w:t>
            </w:r>
          </w:p>
          <w:p>
            <w:pPr>
              <w:spacing w:line="360" w:lineRule="auto"/>
              <w:ind w:left="-28" w:firstLine="550"/>
              <w:rPr>
                <w:rFonts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同意此项索赔，工期延长</w:t>
            </w:r>
            <w:r>
              <w:rPr>
                <w:rFonts w:ascii="仿宋" w:hAnsi="仿宋" w:eastAsia="仿宋" w:cs="仿宋"/>
                <w:sz w:val="24"/>
                <w:szCs w:val="24"/>
                <w:u w:val="single"/>
              </w:rPr>
              <w:t xml:space="preserve">     </w:t>
            </w:r>
            <w:r>
              <w:rPr>
                <w:rFonts w:hint="eastAsia" w:ascii="仿宋" w:hAnsi="仿宋" w:eastAsia="仿宋" w:cs="仿宋"/>
                <w:sz w:val="24"/>
                <w:szCs w:val="24"/>
              </w:rPr>
              <w:t>日历天，合同竣工日期从原来的</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日延迟到</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p>
          <w:p>
            <w:pPr>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说明理由：</w:t>
            </w:r>
          </w:p>
          <w:p>
            <w:pPr>
              <w:spacing w:line="360" w:lineRule="auto"/>
              <w:ind w:firstLine="480" w:firstLineChars="200"/>
              <w:rPr>
                <w:rFonts w:ascii="仿宋" w:hAnsi="仿宋" w:eastAsia="仿宋" w:cs="Times New Roman"/>
                <w:sz w:val="24"/>
                <w:szCs w:val="24"/>
              </w:rPr>
            </w:pPr>
          </w:p>
          <w:p>
            <w:pPr>
              <w:spacing w:line="360" w:lineRule="auto"/>
              <w:ind w:firstLine="480" w:firstLineChars="200"/>
              <w:rPr>
                <w:rFonts w:ascii="仿宋" w:hAnsi="仿宋" w:eastAsia="仿宋" w:cs="Times New Roman"/>
                <w:sz w:val="24"/>
                <w:szCs w:val="24"/>
              </w:rPr>
            </w:pPr>
          </w:p>
          <w:p>
            <w:pPr>
              <w:spacing w:line="360" w:lineRule="auto"/>
              <w:ind w:firstLine="480" w:firstLineChars="200"/>
              <w:rPr>
                <w:rFonts w:ascii="仿宋" w:hAnsi="仿宋" w:eastAsia="仿宋" w:cs="Times New Roman"/>
                <w:sz w:val="24"/>
                <w:szCs w:val="24"/>
              </w:rPr>
            </w:pPr>
          </w:p>
          <w:p>
            <w:pPr>
              <w:spacing w:line="360" w:lineRule="auto"/>
              <w:ind w:firstLine="480" w:firstLineChars="200"/>
              <w:rPr>
                <w:rFonts w:ascii="仿宋" w:hAnsi="仿宋" w:eastAsia="仿宋" w:cs="Times New Roman"/>
                <w:sz w:val="24"/>
                <w:szCs w:val="24"/>
              </w:rPr>
            </w:pPr>
          </w:p>
          <w:p>
            <w:pPr>
              <w:spacing w:line="360" w:lineRule="auto"/>
              <w:ind w:firstLine="480" w:firstLineChars="200"/>
              <w:rPr>
                <w:rFonts w:ascii="仿宋" w:hAnsi="仿宋" w:eastAsia="仿宋" w:cs="Times New Roman"/>
                <w:sz w:val="24"/>
                <w:szCs w:val="24"/>
              </w:rPr>
            </w:pPr>
          </w:p>
          <w:p>
            <w:pPr>
              <w:spacing w:line="360" w:lineRule="auto"/>
              <w:ind w:left="-108" w:firstLine="590"/>
              <w:rPr>
                <w:rFonts w:ascii="仿宋" w:hAnsi="仿宋" w:eastAsia="仿宋" w:cs="Times New Roman"/>
                <w:sz w:val="24"/>
                <w:szCs w:val="24"/>
              </w:rPr>
            </w:pPr>
          </w:p>
          <w:p>
            <w:pPr>
              <w:spacing w:line="360" w:lineRule="auto"/>
              <w:ind w:left="-108" w:firstLine="590"/>
              <w:rPr>
                <w:rFonts w:ascii="仿宋" w:hAnsi="仿宋" w:eastAsia="仿宋" w:cs="Times New Roman"/>
                <w:sz w:val="24"/>
                <w:szCs w:val="24"/>
              </w:rPr>
            </w:pPr>
          </w:p>
          <w:p>
            <w:pPr>
              <w:spacing w:line="360" w:lineRule="auto"/>
              <w:ind w:left="-108" w:firstLine="590"/>
              <w:rPr>
                <w:rFonts w:ascii="仿宋" w:hAnsi="仿宋" w:eastAsia="仿宋" w:cs="Times New Roman"/>
                <w:sz w:val="24"/>
                <w:szCs w:val="24"/>
              </w:rPr>
            </w:pPr>
          </w:p>
          <w:p>
            <w:pPr>
              <w:spacing w:line="360" w:lineRule="auto"/>
              <w:ind w:left="-108" w:firstLine="590"/>
              <w:rPr>
                <w:rFonts w:ascii="仿宋" w:hAnsi="仿宋" w:eastAsia="仿宋" w:cs="Times New Roman"/>
                <w:sz w:val="24"/>
                <w:szCs w:val="24"/>
              </w:rPr>
            </w:pPr>
          </w:p>
          <w:p>
            <w:pPr>
              <w:spacing w:line="360" w:lineRule="auto"/>
              <w:ind w:left="-108" w:firstLine="590"/>
              <w:rPr>
                <w:rFonts w:ascii="仿宋" w:hAnsi="仿宋" w:eastAsia="仿宋" w:cs="Times New Roman"/>
                <w:sz w:val="24"/>
                <w:szCs w:val="24"/>
              </w:rPr>
            </w:pPr>
          </w:p>
          <w:p>
            <w:pPr>
              <w:spacing w:line="360" w:lineRule="auto"/>
              <w:rPr>
                <w:rFonts w:hint="eastAsia" w:ascii="仿宋" w:hAnsi="仿宋" w:eastAsia="仿宋" w:cs="Times New Roman"/>
                <w:sz w:val="24"/>
                <w:szCs w:val="24"/>
              </w:rPr>
            </w:pPr>
          </w:p>
          <w:p>
            <w:pPr>
              <w:spacing w:line="360" w:lineRule="auto"/>
              <w:rPr>
                <w:rFonts w:ascii="仿宋" w:hAnsi="仿宋" w:eastAsia="仿宋" w:cs="Times New Roman"/>
                <w:sz w:val="24"/>
                <w:szCs w:val="24"/>
              </w:rPr>
            </w:pPr>
          </w:p>
          <w:p>
            <w:pPr>
              <w:tabs>
                <w:tab w:val="left" w:pos="6912"/>
              </w:tabs>
              <w:spacing w:line="360" w:lineRule="auto"/>
              <w:ind w:firstLine="6000" w:firstLineChars="2500"/>
              <w:rPr>
                <w:rFonts w:ascii="仿宋" w:hAnsi="仿宋" w:eastAsia="仿宋" w:cs="Times New Roman"/>
                <w:sz w:val="24"/>
                <w:szCs w:val="24"/>
                <w:u w:val="single"/>
              </w:rPr>
            </w:pPr>
            <w:r>
              <w:rPr>
                <w:rFonts w:hint="eastAsia" w:ascii="仿宋" w:hAnsi="仿宋" w:eastAsia="仿宋" w:cs="仿宋"/>
                <w:sz w:val="24"/>
                <w:szCs w:val="24"/>
              </w:rPr>
              <w:t>监理人（章）</w:t>
            </w:r>
            <w:r>
              <w:rPr>
                <w:rFonts w:ascii="仿宋" w:hAnsi="仿宋" w:eastAsia="仿宋" w:cs="仿宋"/>
                <w:sz w:val="24"/>
                <w:szCs w:val="24"/>
              </w:rPr>
              <w:t xml:space="preserve">                </w:t>
            </w:r>
          </w:p>
          <w:p>
            <w:pPr>
              <w:spacing w:line="360" w:lineRule="auto"/>
              <w:ind w:firstLine="6000"/>
              <w:rPr>
                <w:rFonts w:ascii="仿宋" w:hAnsi="仿宋" w:eastAsia="仿宋" w:cs="仿宋"/>
                <w:sz w:val="24"/>
                <w:szCs w:val="24"/>
                <w:u w:val="single"/>
              </w:rPr>
            </w:pPr>
            <w:r>
              <w:rPr>
                <w:rFonts w:hint="eastAsia" w:ascii="仿宋" w:hAnsi="仿宋" w:eastAsia="仿宋" w:cs="仿宋"/>
                <w:sz w:val="24"/>
                <w:szCs w:val="24"/>
              </w:rPr>
              <w:t>造价工程师</w:t>
            </w:r>
            <w:r>
              <w:rPr>
                <w:rFonts w:ascii="仿宋" w:hAnsi="仿宋" w:eastAsia="仿宋" w:cs="仿宋"/>
                <w:sz w:val="24"/>
                <w:szCs w:val="24"/>
                <w:u w:val="single"/>
              </w:rPr>
              <w:t xml:space="preserve">                </w:t>
            </w:r>
          </w:p>
          <w:p>
            <w:pPr>
              <w:tabs>
                <w:tab w:val="left" w:pos="7272"/>
              </w:tabs>
              <w:spacing w:line="360" w:lineRule="auto"/>
              <w:ind w:firstLine="6000"/>
              <w:rPr>
                <w:rFonts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pPr>
        <w:rPr>
          <w:rFonts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．在需要选择的栏中的“□”内作标识“√”。</w:t>
      </w:r>
    </w:p>
    <w:p>
      <w:pPr>
        <w:spacing w:before="120" w:beforeLines="50" w:after="120" w:afterLines="50"/>
        <w:ind w:firstLine="720" w:firstLineChars="300"/>
        <w:rPr>
          <w:rFonts w:ascii="仿宋" w:hAnsi="仿宋" w:eastAsia="仿宋" w:cs="仿宋"/>
          <w:b/>
          <w:bCs/>
          <w:color w:val="000000"/>
          <w:kern w:val="0"/>
          <w:sz w:val="24"/>
          <w:szCs w:val="24"/>
        </w:rPr>
      </w:pPr>
      <w:r>
        <w:rPr>
          <w:rFonts w:ascii="仿宋" w:hAnsi="仿宋" w:eastAsia="仿宋" w:cs="仿宋"/>
          <w:sz w:val="24"/>
          <w:szCs w:val="24"/>
        </w:rPr>
        <w:t>2</w:t>
      </w:r>
      <w:r>
        <w:rPr>
          <w:rFonts w:hint="eastAsia" w:ascii="仿宋" w:hAnsi="仿宋" w:eastAsia="仿宋" w:cs="仿宋"/>
          <w:sz w:val="24"/>
          <w:szCs w:val="24"/>
        </w:rPr>
        <w:t>．本表一式三份，由简历工程师填制</w:t>
      </w:r>
      <w:r>
        <w:rPr>
          <w:rFonts w:ascii="仿宋" w:hAnsi="仿宋" w:eastAsia="仿宋" w:cs="仿宋"/>
          <w:sz w:val="24"/>
          <w:szCs w:val="24"/>
        </w:rPr>
        <w:t>,</w:t>
      </w:r>
      <w:r>
        <w:rPr>
          <w:rFonts w:hint="eastAsia" w:ascii="仿宋" w:hAnsi="仿宋" w:eastAsia="仿宋" w:cs="仿宋"/>
          <w:sz w:val="24"/>
          <w:szCs w:val="24"/>
        </w:rPr>
        <w:t>发包人、监理人、承包人各存一份。</w:t>
      </w:r>
      <w:r>
        <w:rPr>
          <w:rFonts w:ascii="仿宋" w:hAnsi="仿宋" w:eastAsia="仿宋" w:cs="Times New Roman"/>
          <w:sz w:val="24"/>
          <w:szCs w:val="24"/>
        </w:rPr>
        <w:br w:type="page"/>
      </w:r>
      <w:bookmarkStart w:id="769" w:name="_Toc266892938"/>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12</w:t>
      </w:r>
      <w:bookmarkEnd w:id="769"/>
    </w:p>
    <w:p>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工程材料</w:t>
      </w:r>
      <w:r>
        <w:rPr>
          <w:rFonts w:ascii="仿宋" w:hAnsi="仿宋" w:eastAsia="仿宋" w:cs="仿宋"/>
          <w:b/>
          <w:bCs/>
          <w:spacing w:val="30"/>
          <w:sz w:val="44"/>
          <w:szCs w:val="44"/>
        </w:rPr>
        <w:t>/</w:t>
      </w:r>
      <w:r>
        <w:rPr>
          <w:rFonts w:hint="eastAsia" w:ascii="仿宋" w:hAnsi="仿宋" w:eastAsia="仿宋" w:cs="仿宋"/>
          <w:b/>
          <w:bCs/>
          <w:spacing w:val="30"/>
          <w:sz w:val="44"/>
          <w:szCs w:val="44"/>
        </w:rPr>
        <w:t>设备报审表</w:t>
      </w:r>
    </w:p>
    <w:p>
      <w:pPr>
        <w:spacing w:line="360" w:lineRule="auto"/>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0"/>
        <w:tblW w:w="10401"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17" w:hRule="atLeast"/>
        </w:trPr>
        <w:tc>
          <w:tcPr>
            <w:tcW w:w="10401" w:type="dxa"/>
            <w:vAlign w:val="top"/>
          </w:tcPr>
          <w:p>
            <w:pPr>
              <w:spacing w:before="120" w:line="360" w:lineRule="auto"/>
              <w:ind w:left="-28" w:firstLine="181"/>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（监理人全称）</w:t>
            </w:r>
          </w:p>
          <w:p>
            <w:pPr>
              <w:spacing w:line="360" w:lineRule="auto"/>
              <w:ind w:left="-28" w:firstLine="482"/>
              <w:rPr>
                <w:rFonts w:ascii="仿宋" w:hAnsi="仿宋" w:eastAsia="仿宋" w:cs="Times New Roman"/>
                <w:sz w:val="24"/>
                <w:szCs w:val="24"/>
              </w:rPr>
            </w:pPr>
            <w:r>
              <w:rPr>
                <w:rFonts w:hint="eastAsia" w:ascii="仿宋" w:hAnsi="仿宋" w:eastAsia="仿宋" w:cs="仿宋"/>
                <w:sz w:val="24"/>
                <w:szCs w:val="24"/>
              </w:rPr>
              <w:t>我方于</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日进场的工程</w:t>
            </w:r>
            <w:r>
              <w:rPr>
                <w:rFonts w:hint="eastAsia" w:ascii="仿宋" w:hAnsi="仿宋" w:eastAsia="仿宋" w:cs="仿宋"/>
                <w:sz w:val="32"/>
                <w:szCs w:val="32"/>
              </w:rPr>
              <w:t>□</w:t>
            </w:r>
            <w:r>
              <w:rPr>
                <w:rFonts w:hint="eastAsia" w:ascii="仿宋" w:hAnsi="仿宋" w:eastAsia="仿宋" w:cs="仿宋"/>
                <w:sz w:val="24"/>
                <w:szCs w:val="24"/>
              </w:rPr>
              <w:t>材料</w:t>
            </w:r>
            <w:r>
              <w:rPr>
                <w:rFonts w:hint="eastAsia" w:ascii="仿宋" w:hAnsi="仿宋" w:eastAsia="仿宋" w:cs="仿宋"/>
                <w:sz w:val="32"/>
                <w:szCs w:val="32"/>
              </w:rPr>
              <w:t>□</w:t>
            </w:r>
            <w:r>
              <w:rPr>
                <w:rFonts w:hint="eastAsia" w:ascii="仿宋" w:hAnsi="仿宋" w:eastAsia="仿宋" w:cs="仿宋"/>
                <w:sz w:val="24"/>
                <w:szCs w:val="24"/>
              </w:rPr>
              <w:t>构配件</w:t>
            </w:r>
            <w:r>
              <w:rPr>
                <w:rFonts w:hint="eastAsia" w:ascii="仿宋" w:hAnsi="仿宋" w:eastAsia="仿宋" w:cs="仿宋"/>
                <w:sz w:val="32"/>
                <w:szCs w:val="32"/>
              </w:rPr>
              <w:t>□</w:t>
            </w:r>
            <w:r>
              <w:rPr>
                <w:rFonts w:hint="eastAsia" w:ascii="仿宋" w:hAnsi="仿宋" w:eastAsia="仿宋" w:cs="仿宋"/>
                <w:sz w:val="24"/>
                <w:szCs w:val="24"/>
              </w:rPr>
              <w:t>设备数量如下（见附件）。现提供质量证明文件及自检结果，拟用于下述部位：</w:t>
            </w:r>
          </w:p>
          <w:p>
            <w:pPr>
              <w:spacing w:line="360" w:lineRule="auto"/>
              <w:ind w:left="-28" w:firstLine="482"/>
              <w:rPr>
                <w:rFonts w:ascii="仿宋" w:hAnsi="仿宋" w:eastAsia="仿宋" w:cs="仿宋"/>
                <w:sz w:val="24"/>
                <w:szCs w:val="24"/>
                <w:u w:val="single"/>
              </w:rPr>
            </w:pPr>
            <w:r>
              <w:rPr>
                <w:rFonts w:ascii="仿宋" w:hAnsi="仿宋" w:eastAsia="仿宋" w:cs="仿宋"/>
                <w:sz w:val="24"/>
                <w:szCs w:val="24"/>
                <w:u w:val="single"/>
              </w:rPr>
              <w:t xml:space="preserve">                                                                        </w:t>
            </w:r>
          </w:p>
          <w:p>
            <w:pPr>
              <w:spacing w:line="360" w:lineRule="auto"/>
              <w:ind w:left="-28" w:firstLine="482"/>
              <w:rPr>
                <w:rFonts w:ascii="仿宋" w:hAnsi="仿宋" w:eastAsia="仿宋" w:cs="Times New Roman"/>
                <w:sz w:val="24"/>
                <w:szCs w:val="24"/>
              </w:rPr>
            </w:pPr>
            <w:r>
              <w:rPr>
                <w:rFonts w:ascii="仿宋" w:hAnsi="仿宋" w:eastAsia="仿宋" w:cs="仿宋"/>
                <w:sz w:val="24"/>
                <w:szCs w:val="24"/>
                <w:u w:val="single"/>
              </w:rPr>
              <w:t xml:space="preserve">                                                                        </w:t>
            </w:r>
            <w:r>
              <w:rPr>
                <w:rFonts w:hint="eastAsia" w:ascii="仿宋" w:hAnsi="仿宋" w:eastAsia="仿宋" w:cs="仿宋"/>
                <w:sz w:val="24"/>
                <w:szCs w:val="24"/>
              </w:rPr>
              <w:t>，</w:t>
            </w:r>
          </w:p>
          <w:p>
            <w:pPr>
              <w:spacing w:line="360" w:lineRule="auto"/>
              <w:rPr>
                <w:rFonts w:ascii="仿宋" w:hAnsi="仿宋" w:eastAsia="仿宋" w:cs="Times New Roman"/>
                <w:sz w:val="24"/>
                <w:szCs w:val="24"/>
              </w:rPr>
            </w:pPr>
            <w:r>
              <w:rPr>
                <w:rFonts w:hint="eastAsia" w:ascii="仿宋" w:hAnsi="仿宋" w:eastAsia="仿宋" w:cs="仿宋"/>
                <w:sz w:val="24"/>
                <w:szCs w:val="24"/>
              </w:rPr>
              <w:t>请予以检验和批准。</w:t>
            </w:r>
          </w:p>
          <w:p>
            <w:pPr>
              <w:spacing w:line="360" w:lineRule="auto"/>
              <w:ind w:left="-108" w:firstLine="510"/>
              <w:rPr>
                <w:rFonts w:ascii="仿宋" w:hAnsi="仿宋" w:eastAsia="仿宋" w:cs="Times New Roman"/>
                <w:sz w:val="24"/>
                <w:szCs w:val="24"/>
              </w:rPr>
            </w:pPr>
            <w:r>
              <w:rPr>
                <w:rFonts w:hint="eastAsia" w:ascii="仿宋" w:hAnsi="仿宋" w:eastAsia="仿宋" w:cs="仿宋"/>
                <w:sz w:val="24"/>
                <w:szCs w:val="24"/>
              </w:rPr>
              <w:t>附件</w:t>
            </w:r>
            <w:r>
              <w:rPr>
                <w:rFonts w:ascii="仿宋" w:hAnsi="仿宋" w:eastAsia="仿宋" w:cs="仿宋"/>
                <w:sz w:val="24"/>
                <w:szCs w:val="24"/>
              </w:rPr>
              <w:t>:1</w:t>
            </w:r>
            <w:r>
              <w:rPr>
                <w:rFonts w:hint="eastAsia" w:ascii="仿宋" w:hAnsi="仿宋" w:eastAsia="仿宋" w:cs="仿宋"/>
                <w:sz w:val="24"/>
                <w:szCs w:val="24"/>
              </w:rPr>
              <w:t>．数量清单</w:t>
            </w:r>
          </w:p>
          <w:p>
            <w:pPr>
              <w:spacing w:line="360" w:lineRule="auto"/>
              <w:ind w:left="-108" w:firstLine="1077"/>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．质量证明文件</w:t>
            </w:r>
          </w:p>
          <w:p>
            <w:pPr>
              <w:spacing w:line="360" w:lineRule="auto"/>
              <w:ind w:left="-108" w:firstLine="1077"/>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．自检结果</w:t>
            </w:r>
          </w:p>
          <w:p>
            <w:pPr>
              <w:spacing w:line="360" w:lineRule="auto"/>
              <w:ind w:left="-28"/>
              <w:rPr>
                <w:rFonts w:ascii="仿宋" w:hAnsi="仿宋" w:eastAsia="仿宋" w:cs="Times New Roman"/>
                <w:sz w:val="24"/>
                <w:szCs w:val="24"/>
              </w:rPr>
            </w:pPr>
          </w:p>
          <w:p>
            <w:pPr>
              <w:spacing w:line="360" w:lineRule="auto"/>
              <w:ind w:left="-28"/>
              <w:rPr>
                <w:rFonts w:ascii="仿宋" w:hAnsi="仿宋" w:eastAsia="仿宋" w:cs="Times New Roman"/>
                <w:sz w:val="24"/>
                <w:szCs w:val="24"/>
              </w:rPr>
            </w:pPr>
          </w:p>
          <w:p>
            <w:pPr>
              <w:spacing w:line="360" w:lineRule="auto"/>
              <w:ind w:left="-28"/>
              <w:rPr>
                <w:rFonts w:ascii="仿宋" w:hAnsi="仿宋" w:eastAsia="仿宋" w:cs="Times New Roman"/>
                <w:sz w:val="24"/>
                <w:szCs w:val="24"/>
              </w:rPr>
            </w:pPr>
          </w:p>
          <w:p>
            <w:pPr>
              <w:spacing w:line="360" w:lineRule="auto"/>
              <w:rPr>
                <w:rFonts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承包人（章）</w:t>
            </w:r>
            <w:r>
              <w:rPr>
                <w:rFonts w:ascii="仿宋" w:hAnsi="仿宋" w:eastAsia="仿宋" w:cs="仿宋"/>
                <w:sz w:val="24"/>
                <w:szCs w:val="24"/>
              </w:rPr>
              <w:t xml:space="preserve">                 </w:t>
            </w:r>
          </w:p>
          <w:p>
            <w:pPr>
              <w:spacing w:line="360" w:lineRule="auto"/>
              <w:ind w:firstLine="6000" w:firstLineChars="2500"/>
              <w:rPr>
                <w:rFonts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pPr>
              <w:spacing w:line="360" w:lineRule="auto"/>
              <w:ind w:firstLine="6012"/>
              <w:rPr>
                <w:rFonts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70" w:hRule="atLeast"/>
        </w:trPr>
        <w:tc>
          <w:tcPr>
            <w:tcW w:w="10401" w:type="dxa"/>
            <w:tcBorders>
              <w:bottom w:val="single" w:color="auto" w:sz="4" w:space="0"/>
            </w:tcBorders>
            <w:vAlign w:val="top"/>
          </w:tcPr>
          <w:p>
            <w:pPr>
              <w:spacing w:line="360" w:lineRule="auto"/>
              <w:rPr>
                <w:rFonts w:ascii="仿宋" w:hAnsi="仿宋" w:eastAsia="仿宋" w:cs="Times New Roman"/>
                <w:sz w:val="24"/>
                <w:szCs w:val="24"/>
              </w:rPr>
            </w:pPr>
            <w:r>
              <w:rPr>
                <w:rFonts w:hint="eastAsia" w:ascii="仿宋" w:hAnsi="仿宋" w:eastAsia="仿宋" w:cs="仿宋"/>
                <w:sz w:val="24"/>
                <w:szCs w:val="24"/>
              </w:rPr>
              <w:t>审查意见：</w:t>
            </w:r>
          </w:p>
          <w:p>
            <w:pPr>
              <w:spacing w:line="360" w:lineRule="auto"/>
              <w:ind w:left="-28" w:firstLine="454"/>
              <w:rPr>
                <w:rFonts w:ascii="仿宋" w:hAnsi="仿宋" w:eastAsia="仿宋" w:cs="Times New Roman"/>
                <w:sz w:val="24"/>
                <w:szCs w:val="24"/>
              </w:rPr>
            </w:pPr>
            <w:r>
              <w:rPr>
                <w:rFonts w:hint="eastAsia" w:ascii="仿宋" w:hAnsi="仿宋" w:eastAsia="仿宋" w:cs="仿宋"/>
                <w:sz w:val="24"/>
                <w:szCs w:val="24"/>
              </w:rPr>
              <w:t>经检查上述工程</w:t>
            </w:r>
            <w:r>
              <w:rPr>
                <w:rFonts w:hint="eastAsia" w:ascii="仿宋" w:hAnsi="仿宋" w:eastAsia="仿宋" w:cs="仿宋"/>
                <w:sz w:val="32"/>
                <w:szCs w:val="32"/>
              </w:rPr>
              <w:t>□</w:t>
            </w:r>
            <w:r>
              <w:rPr>
                <w:rFonts w:hint="eastAsia" w:ascii="仿宋" w:hAnsi="仿宋" w:eastAsia="仿宋" w:cs="仿宋"/>
                <w:sz w:val="24"/>
                <w:szCs w:val="24"/>
              </w:rPr>
              <w:t>材料</w:t>
            </w:r>
            <w:r>
              <w:rPr>
                <w:rFonts w:hint="eastAsia" w:ascii="仿宋" w:hAnsi="仿宋" w:eastAsia="仿宋" w:cs="仿宋"/>
                <w:sz w:val="32"/>
                <w:szCs w:val="32"/>
              </w:rPr>
              <w:t>□</w:t>
            </w:r>
            <w:r>
              <w:rPr>
                <w:rFonts w:hint="eastAsia" w:ascii="仿宋" w:hAnsi="仿宋" w:eastAsia="仿宋" w:cs="仿宋"/>
                <w:sz w:val="24"/>
                <w:szCs w:val="24"/>
              </w:rPr>
              <w:t>构配件</w:t>
            </w:r>
            <w:r>
              <w:rPr>
                <w:rFonts w:hint="eastAsia" w:ascii="仿宋" w:hAnsi="仿宋" w:eastAsia="仿宋" w:cs="仿宋"/>
                <w:sz w:val="32"/>
                <w:szCs w:val="32"/>
              </w:rPr>
              <w:t>□工程</w:t>
            </w:r>
            <w:r>
              <w:rPr>
                <w:rFonts w:hint="eastAsia" w:ascii="仿宋" w:hAnsi="仿宋" w:eastAsia="仿宋" w:cs="仿宋"/>
                <w:sz w:val="24"/>
                <w:szCs w:val="24"/>
              </w:rPr>
              <w:t>设备，（</w:t>
            </w:r>
            <w:r>
              <w:rPr>
                <w:rFonts w:hint="eastAsia" w:ascii="仿宋" w:hAnsi="仿宋" w:eastAsia="仿宋" w:cs="仿宋"/>
                <w:sz w:val="32"/>
                <w:szCs w:val="32"/>
              </w:rPr>
              <w:t>□</w:t>
            </w:r>
            <w:r>
              <w:rPr>
                <w:rFonts w:hint="eastAsia" w:ascii="仿宋" w:hAnsi="仿宋" w:eastAsia="仿宋" w:cs="仿宋"/>
                <w:sz w:val="24"/>
                <w:szCs w:val="24"/>
              </w:rPr>
              <w:t>符合</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不符合）标准与规范、设计要求，（</w:t>
            </w:r>
            <w:r>
              <w:rPr>
                <w:rFonts w:hint="eastAsia" w:ascii="仿宋" w:hAnsi="仿宋" w:eastAsia="仿宋" w:cs="仿宋"/>
                <w:sz w:val="32"/>
                <w:szCs w:val="32"/>
              </w:rPr>
              <w:t>□</w:t>
            </w:r>
            <w:r>
              <w:rPr>
                <w:rFonts w:hint="eastAsia" w:ascii="仿宋" w:hAnsi="仿宋" w:eastAsia="仿宋" w:cs="仿宋"/>
                <w:sz w:val="24"/>
                <w:szCs w:val="24"/>
              </w:rPr>
              <w:t>准许</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不准许）进场，（</w:t>
            </w:r>
            <w:r>
              <w:rPr>
                <w:rFonts w:hint="eastAsia" w:ascii="仿宋" w:hAnsi="仿宋" w:eastAsia="仿宋" w:cs="仿宋"/>
                <w:sz w:val="32"/>
                <w:szCs w:val="32"/>
              </w:rPr>
              <w:t>□</w:t>
            </w:r>
            <w:r>
              <w:rPr>
                <w:rFonts w:hint="eastAsia" w:ascii="仿宋" w:hAnsi="仿宋" w:eastAsia="仿宋" w:cs="仿宋"/>
                <w:sz w:val="24"/>
                <w:szCs w:val="24"/>
              </w:rPr>
              <w:t>同意</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不同意）使用于拟定部位。</w:t>
            </w:r>
          </w:p>
          <w:p>
            <w:pPr>
              <w:spacing w:line="360" w:lineRule="auto"/>
              <w:ind w:firstLine="6000" w:firstLineChars="2500"/>
              <w:rPr>
                <w:rFonts w:ascii="仿宋" w:hAnsi="仿宋" w:eastAsia="仿宋" w:cs="Times New Roman"/>
                <w:sz w:val="24"/>
                <w:szCs w:val="24"/>
              </w:rPr>
            </w:pPr>
          </w:p>
          <w:p>
            <w:pPr>
              <w:spacing w:line="360" w:lineRule="auto"/>
              <w:ind w:firstLine="6000" w:firstLineChars="2500"/>
              <w:rPr>
                <w:rFonts w:ascii="仿宋" w:hAnsi="仿宋" w:eastAsia="仿宋" w:cs="Times New Roman"/>
                <w:sz w:val="24"/>
                <w:szCs w:val="24"/>
              </w:rPr>
            </w:pPr>
          </w:p>
          <w:p>
            <w:pPr>
              <w:spacing w:line="360" w:lineRule="auto"/>
              <w:ind w:firstLine="6000" w:firstLineChars="2500"/>
              <w:rPr>
                <w:rFonts w:ascii="仿宋" w:hAnsi="仿宋" w:eastAsia="仿宋" w:cs="Times New Roman"/>
                <w:sz w:val="24"/>
                <w:szCs w:val="24"/>
                <w:u w:val="single"/>
              </w:rPr>
            </w:pPr>
            <w:r>
              <w:rPr>
                <w:rFonts w:hint="eastAsia" w:ascii="仿宋" w:hAnsi="仿宋" w:eastAsia="仿宋" w:cs="仿宋"/>
                <w:sz w:val="24"/>
                <w:szCs w:val="24"/>
              </w:rPr>
              <w:t>监理人（章）</w:t>
            </w:r>
            <w:r>
              <w:rPr>
                <w:rFonts w:ascii="仿宋" w:hAnsi="仿宋" w:eastAsia="仿宋" w:cs="仿宋"/>
                <w:sz w:val="24"/>
                <w:szCs w:val="24"/>
              </w:rPr>
              <w:t xml:space="preserve">                 </w:t>
            </w:r>
          </w:p>
          <w:p>
            <w:pPr>
              <w:spacing w:line="360" w:lineRule="auto"/>
              <w:ind w:firstLine="6000" w:firstLineChars="2500"/>
              <w:rPr>
                <w:rFonts w:ascii="仿宋" w:hAnsi="仿宋" w:eastAsia="仿宋" w:cs="仿宋"/>
                <w:sz w:val="24"/>
                <w:szCs w:val="24"/>
                <w:u w:val="single"/>
              </w:rPr>
            </w:pPr>
            <w:r>
              <w:rPr>
                <w:rFonts w:hint="eastAsia" w:ascii="仿宋" w:hAnsi="仿宋" w:eastAsia="仿宋" w:cs="仿宋"/>
                <w:sz w:val="24"/>
                <w:szCs w:val="24"/>
              </w:rPr>
              <w:t>监理工程师</w:t>
            </w:r>
            <w:r>
              <w:rPr>
                <w:rFonts w:ascii="仿宋" w:hAnsi="仿宋" w:eastAsia="仿宋" w:cs="仿宋"/>
                <w:sz w:val="24"/>
                <w:szCs w:val="24"/>
                <w:u w:val="single"/>
              </w:rPr>
              <w:t xml:space="preserve">                 </w:t>
            </w:r>
          </w:p>
          <w:p>
            <w:pPr>
              <w:spacing w:line="360" w:lineRule="auto"/>
              <w:ind w:firstLine="6000" w:firstLineChars="2500"/>
              <w:rPr>
                <w:rFonts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r>
              <w:rPr>
                <w:rFonts w:ascii="仿宋" w:hAnsi="仿宋" w:eastAsia="仿宋" w:cs="仿宋"/>
                <w:sz w:val="24"/>
                <w:szCs w:val="24"/>
              </w:rPr>
              <w:t xml:space="preserve"> </w:t>
            </w:r>
          </w:p>
        </w:tc>
      </w:tr>
    </w:tbl>
    <w:p>
      <w:pPr>
        <w:rPr>
          <w:rFonts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．在需要选择的栏中的“</w:t>
      </w:r>
      <w:r>
        <w:rPr>
          <w:rFonts w:hint="eastAsia" w:ascii="仿宋" w:hAnsi="仿宋" w:eastAsia="仿宋" w:cs="仿宋"/>
          <w:sz w:val="32"/>
          <w:szCs w:val="32"/>
        </w:rPr>
        <w:t>□</w:t>
      </w:r>
      <w:r>
        <w:rPr>
          <w:rFonts w:hint="eastAsia" w:ascii="仿宋" w:hAnsi="仿宋" w:eastAsia="仿宋" w:cs="仿宋"/>
          <w:sz w:val="24"/>
          <w:szCs w:val="24"/>
        </w:rPr>
        <w:t>”内作标识“√”。</w:t>
      </w:r>
    </w:p>
    <w:p>
      <w:pPr>
        <w:ind w:left="72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本表一式三份，由承包人、监理人按合同规定程序填制，并连同发包人各存一份。</w:t>
      </w:r>
    </w:p>
    <w:p>
      <w:pPr>
        <w:spacing w:before="120" w:beforeLines="50" w:after="120" w:afterLines="50" w:line="360" w:lineRule="auto"/>
        <w:outlineLvl w:val="1"/>
        <w:rPr>
          <w:rFonts w:ascii="仿宋" w:hAnsi="仿宋" w:eastAsia="仿宋" w:cs="仿宋"/>
          <w:b/>
          <w:bCs/>
          <w:color w:val="000000"/>
          <w:kern w:val="0"/>
          <w:sz w:val="24"/>
          <w:szCs w:val="24"/>
        </w:rPr>
      </w:pPr>
      <w:r>
        <w:rPr>
          <w:rFonts w:ascii="仿宋" w:hAnsi="仿宋" w:eastAsia="仿宋" w:cs="Times New Roman"/>
          <w:kern w:val="0"/>
          <w:sz w:val="24"/>
          <w:szCs w:val="24"/>
        </w:rPr>
        <w:br w:type="page"/>
      </w:r>
      <w:bookmarkStart w:id="770" w:name="_Toc266892939"/>
      <w:bookmarkStart w:id="771" w:name="_Toc10624998"/>
      <w:bookmarkStart w:id="772" w:name="_Toc469384154"/>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13</w:t>
      </w:r>
      <w:bookmarkEnd w:id="770"/>
      <w:bookmarkEnd w:id="771"/>
      <w:bookmarkEnd w:id="772"/>
    </w:p>
    <w:p>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隐蔽工程</w:t>
      </w:r>
      <w:r>
        <w:rPr>
          <w:rFonts w:ascii="仿宋" w:hAnsi="仿宋" w:eastAsia="仿宋" w:cs="仿宋"/>
          <w:b/>
          <w:bCs/>
          <w:spacing w:val="30"/>
          <w:sz w:val="44"/>
          <w:szCs w:val="44"/>
        </w:rPr>
        <w:t>/</w:t>
      </w:r>
      <w:r>
        <w:rPr>
          <w:rFonts w:hint="eastAsia" w:ascii="仿宋" w:hAnsi="仿宋" w:eastAsia="仿宋" w:cs="仿宋"/>
          <w:b/>
          <w:bCs/>
          <w:spacing w:val="30"/>
          <w:sz w:val="44"/>
          <w:szCs w:val="44"/>
        </w:rPr>
        <w:t>中间验收报告</w:t>
      </w:r>
    </w:p>
    <w:p>
      <w:pPr>
        <w:spacing w:line="360" w:lineRule="auto"/>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0"/>
        <w:tblW w:w="10445"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4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95" w:hRule="atLeast"/>
        </w:trPr>
        <w:tc>
          <w:tcPr>
            <w:tcW w:w="10445" w:type="dxa"/>
            <w:vAlign w:val="top"/>
          </w:tcPr>
          <w:p>
            <w:pPr>
              <w:spacing w:before="120" w:line="360" w:lineRule="auto"/>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（监理人全称）</w:t>
            </w:r>
          </w:p>
          <w:p>
            <w:pPr>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我方已完成了</w:t>
            </w:r>
            <w:r>
              <w:rPr>
                <w:rFonts w:ascii="仿宋" w:hAnsi="仿宋" w:eastAsia="仿宋" w:cs="仿宋"/>
                <w:sz w:val="24"/>
                <w:szCs w:val="24"/>
                <w:u w:val="single"/>
              </w:rPr>
              <w:t xml:space="preserve">                                     </w:t>
            </w:r>
            <w:r>
              <w:rPr>
                <w:rFonts w:hint="eastAsia" w:ascii="仿宋" w:hAnsi="仿宋" w:eastAsia="仿宋" w:cs="仿宋"/>
                <w:sz w:val="24"/>
                <w:szCs w:val="24"/>
              </w:rPr>
              <w:t>工作</w:t>
            </w:r>
            <w:r>
              <w:rPr>
                <w:rFonts w:ascii="仿宋" w:hAnsi="仿宋" w:eastAsia="仿宋" w:cs="仿宋"/>
                <w:sz w:val="24"/>
                <w:szCs w:val="24"/>
              </w:rPr>
              <w:t>,</w:t>
            </w:r>
            <w:r>
              <w:rPr>
                <w:rFonts w:hint="eastAsia" w:ascii="仿宋" w:hAnsi="仿宋" w:eastAsia="仿宋" w:cs="仿宋"/>
                <w:sz w:val="24"/>
                <w:szCs w:val="24"/>
              </w:rPr>
              <w:t>经自检合格，现提出</w:t>
            </w:r>
          </w:p>
          <w:p>
            <w:pPr>
              <w:spacing w:line="360" w:lineRule="auto"/>
              <w:jc w:val="left"/>
              <w:rPr>
                <w:rFonts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隐蔽工程</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中间验收（内容见附件）申请，请予审验收。</w:t>
            </w:r>
          </w:p>
          <w:p>
            <w:pPr>
              <w:spacing w:line="360" w:lineRule="auto"/>
              <w:ind w:firstLine="417"/>
              <w:rPr>
                <w:rFonts w:ascii="仿宋" w:hAnsi="仿宋" w:eastAsia="仿宋" w:cs="仿宋"/>
                <w:sz w:val="24"/>
                <w:szCs w:val="24"/>
              </w:rPr>
            </w:pPr>
            <w:r>
              <w:rPr>
                <w:rFonts w:hint="eastAsia" w:ascii="仿宋" w:hAnsi="仿宋" w:eastAsia="仿宋" w:cs="仿宋"/>
                <w:sz w:val="24"/>
                <w:szCs w:val="24"/>
              </w:rPr>
              <w:t>附件</w:t>
            </w:r>
            <w:r>
              <w:rPr>
                <w:rFonts w:ascii="仿宋" w:hAnsi="仿宋" w:eastAsia="仿宋" w:cs="仿宋"/>
                <w:sz w:val="24"/>
                <w:szCs w:val="24"/>
              </w:rPr>
              <w:t>:</w:t>
            </w:r>
          </w:p>
          <w:p>
            <w:pPr>
              <w:spacing w:line="360" w:lineRule="auto"/>
              <w:rPr>
                <w:rFonts w:ascii="仿宋" w:hAnsi="仿宋" w:eastAsia="仿宋" w:cs="Times New Roman"/>
                <w:sz w:val="24"/>
                <w:szCs w:val="24"/>
              </w:rPr>
            </w:pPr>
          </w:p>
          <w:p>
            <w:pPr>
              <w:spacing w:line="360" w:lineRule="auto"/>
              <w:rPr>
                <w:rFonts w:ascii="仿宋" w:hAnsi="仿宋" w:eastAsia="仿宋" w:cs="Times New Roman"/>
                <w:sz w:val="24"/>
                <w:szCs w:val="24"/>
              </w:rPr>
            </w:pPr>
          </w:p>
          <w:p>
            <w:pPr>
              <w:spacing w:line="360" w:lineRule="auto"/>
              <w:rPr>
                <w:rFonts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承包人（章）</w:t>
            </w:r>
            <w:r>
              <w:rPr>
                <w:rFonts w:ascii="仿宋" w:hAnsi="仿宋" w:eastAsia="仿宋" w:cs="仿宋"/>
                <w:sz w:val="24"/>
                <w:szCs w:val="24"/>
              </w:rPr>
              <w:t xml:space="preserve">                 </w:t>
            </w:r>
          </w:p>
          <w:p>
            <w:pPr>
              <w:spacing w:line="360" w:lineRule="auto"/>
              <w:ind w:firstLine="6240" w:firstLineChars="2600"/>
              <w:rPr>
                <w:rFonts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pPr>
              <w:spacing w:line="360" w:lineRule="auto"/>
              <w:ind w:firstLine="6240" w:firstLineChars="2600"/>
              <w:rPr>
                <w:rFonts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44" w:hRule="atLeast"/>
        </w:trPr>
        <w:tc>
          <w:tcPr>
            <w:tcW w:w="10445" w:type="dxa"/>
            <w:vAlign w:val="top"/>
          </w:tcPr>
          <w:p>
            <w:pPr>
              <w:spacing w:before="120" w:line="360" w:lineRule="auto"/>
              <w:rPr>
                <w:rFonts w:ascii="仿宋" w:hAnsi="仿宋" w:eastAsia="仿宋" w:cs="Times New Roman"/>
                <w:sz w:val="24"/>
                <w:szCs w:val="24"/>
              </w:rPr>
            </w:pPr>
            <w:r>
              <w:rPr>
                <w:rFonts w:hint="eastAsia" w:ascii="仿宋" w:hAnsi="仿宋" w:eastAsia="仿宋" w:cs="仿宋"/>
                <w:sz w:val="24"/>
                <w:szCs w:val="24"/>
              </w:rPr>
              <w:t>复核意见：</w:t>
            </w:r>
          </w:p>
          <w:p>
            <w:pPr>
              <w:spacing w:before="120" w:line="360" w:lineRule="auto"/>
              <w:rPr>
                <w:rFonts w:ascii="仿宋" w:hAnsi="仿宋" w:eastAsia="仿宋" w:cs="Times New Roman"/>
                <w:sz w:val="24"/>
                <w:szCs w:val="24"/>
              </w:rPr>
            </w:pPr>
          </w:p>
          <w:p>
            <w:pPr>
              <w:spacing w:before="120" w:line="360" w:lineRule="auto"/>
              <w:rPr>
                <w:rFonts w:ascii="仿宋" w:hAnsi="仿宋" w:eastAsia="仿宋" w:cs="Times New Roman"/>
                <w:sz w:val="24"/>
                <w:szCs w:val="24"/>
              </w:rPr>
            </w:pPr>
          </w:p>
          <w:p>
            <w:pPr>
              <w:spacing w:line="360" w:lineRule="auto"/>
              <w:ind w:firstLine="6240" w:firstLineChars="2600"/>
              <w:rPr>
                <w:rFonts w:ascii="仿宋" w:hAnsi="仿宋" w:eastAsia="仿宋" w:cs="Times New Roman"/>
                <w:sz w:val="24"/>
                <w:szCs w:val="24"/>
                <w:u w:val="single"/>
              </w:rPr>
            </w:pPr>
            <w:r>
              <w:rPr>
                <w:rFonts w:hint="eastAsia" w:ascii="仿宋" w:hAnsi="仿宋" w:eastAsia="仿宋" w:cs="仿宋"/>
                <w:sz w:val="24"/>
                <w:szCs w:val="24"/>
              </w:rPr>
              <w:t>设计人（章）</w:t>
            </w:r>
            <w:r>
              <w:rPr>
                <w:rFonts w:ascii="仿宋" w:hAnsi="仿宋" w:eastAsia="仿宋" w:cs="仿宋"/>
                <w:sz w:val="24"/>
                <w:szCs w:val="24"/>
              </w:rPr>
              <w:t xml:space="preserve"> </w:t>
            </w:r>
          </w:p>
          <w:p>
            <w:pPr>
              <w:spacing w:line="360" w:lineRule="auto"/>
              <w:ind w:firstLine="6240" w:firstLineChars="2600"/>
              <w:rPr>
                <w:rFonts w:ascii="仿宋" w:hAnsi="仿宋" w:eastAsia="仿宋" w:cs="仿宋"/>
                <w:sz w:val="24"/>
                <w:szCs w:val="24"/>
                <w:u w:val="single"/>
              </w:rPr>
            </w:pPr>
            <w:r>
              <w:rPr>
                <w:rFonts w:hint="eastAsia" w:ascii="仿宋" w:hAnsi="仿宋" w:eastAsia="仿宋" w:cs="仿宋"/>
                <w:sz w:val="24"/>
                <w:szCs w:val="24"/>
              </w:rPr>
              <w:t>建筑师</w:t>
            </w:r>
            <w:r>
              <w:rPr>
                <w:rFonts w:ascii="仿宋" w:hAnsi="仿宋" w:eastAsia="仿宋" w:cs="仿宋"/>
                <w:sz w:val="24"/>
                <w:szCs w:val="24"/>
              </w:rPr>
              <w:t>/</w:t>
            </w:r>
            <w:r>
              <w:rPr>
                <w:rFonts w:hint="eastAsia" w:ascii="仿宋" w:hAnsi="仿宋" w:eastAsia="仿宋" w:cs="仿宋"/>
                <w:sz w:val="24"/>
                <w:szCs w:val="24"/>
              </w:rPr>
              <w:t>结构师</w:t>
            </w:r>
            <w:r>
              <w:rPr>
                <w:rFonts w:ascii="仿宋" w:hAnsi="仿宋" w:eastAsia="仿宋" w:cs="仿宋"/>
                <w:sz w:val="24"/>
                <w:szCs w:val="24"/>
                <w:u w:val="single"/>
              </w:rPr>
              <w:t xml:space="preserve">           </w:t>
            </w:r>
          </w:p>
          <w:p>
            <w:pPr>
              <w:spacing w:line="360" w:lineRule="auto"/>
              <w:ind w:firstLine="6240" w:firstLineChars="2600"/>
              <w:rPr>
                <w:rFonts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289" w:hRule="atLeast"/>
        </w:trPr>
        <w:tc>
          <w:tcPr>
            <w:tcW w:w="10445" w:type="dxa"/>
            <w:tcBorders>
              <w:top w:val="single" w:color="auto" w:sz="4" w:space="0"/>
            </w:tcBorders>
            <w:vAlign w:val="top"/>
          </w:tcPr>
          <w:p>
            <w:pPr>
              <w:widowControl/>
              <w:spacing w:line="360" w:lineRule="auto"/>
              <w:jc w:val="left"/>
              <w:rPr>
                <w:rFonts w:ascii="仿宋" w:hAnsi="仿宋" w:eastAsia="仿宋" w:cs="Times New Roman"/>
                <w:sz w:val="24"/>
                <w:szCs w:val="24"/>
              </w:rPr>
            </w:pPr>
            <w:r>
              <w:rPr>
                <w:rFonts w:hint="eastAsia" w:ascii="仿宋" w:hAnsi="仿宋" w:eastAsia="仿宋" w:cs="仿宋"/>
                <w:sz w:val="24"/>
                <w:szCs w:val="24"/>
              </w:rPr>
              <w:t>审查意见：</w:t>
            </w:r>
          </w:p>
          <w:p>
            <w:pPr>
              <w:spacing w:line="360" w:lineRule="auto"/>
              <w:ind w:firstLine="720" w:firstLineChars="300"/>
              <w:jc w:val="left"/>
              <w:rPr>
                <w:rFonts w:ascii="仿宋" w:hAnsi="仿宋" w:eastAsia="仿宋" w:cs="Times New Roman"/>
                <w:sz w:val="24"/>
                <w:szCs w:val="24"/>
              </w:rPr>
            </w:pPr>
            <w:r>
              <w:rPr>
                <w:rFonts w:hint="eastAsia" w:ascii="仿宋" w:hAnsi="仿宋" w:eastAsia="仿宋" w:cs="仿宋"/>
                <w:sz w:val="24"/>
                <w:szCs w:val="24"/>
              </w:rPr>
              <w:t>经验收，上述工程（□符合</w:t>
            </w:r>
            <w:r>
              <w:rPr>
                <w:rFonts w:ascii="仿宋" w:hAnsi="仿宋" w:eastAsia="仿宋" w:cs="仿宋"/>
                <w:sz w:val="24"/>
                <w:szCs w:val="24"/>
              </w:rPr>
              <w:t>/</w:t>
            </w:r>
            <w:r>
              <w:rPr>
                <w:rFonts w:hint="eastAsia" w:ascii="仿宋" w:hAnsi="仿宋" w:eastAsia="仿宋" w:cs="仿宋"/>
                <w:sz w:val="24"/>
                <w:szCs w:val="24"/>
              </w:rPr>
              <w:t>□不符合）标准与规范、设计要求，验收（□合格</w:t>
            </w:r>
            <w:r>
              <w:rPr>
                <w:rFonts w:ascii="仿宋" w:hAnsi="仿宋" w:eastAsia="仿宋" w:cs="仿宋"/>
                <w:sz w:val="24"/>
                <w:szCs w:val="24"/>
              </w:rPr>
              <w:t>/</w:t>
            </w:r>
            <w:r>
              <w:rPr>
                <w:rFonts w:hint="eastAsia" w:ascii="仿宋" w:hAnsi="仿宋" w:eastAsia="仿宋" w:cs="仿宋"/>
                <w:sz w:val="24"/>
                <w:szCs w:val="24"/>
              </w:rPr>
              <w:t>□不合格）（□可以</w:t>
            </w:r>
            <w:r>
              <w:rPr>
                <w:rFonts w:ascii="仿宋" w:hAnsi="仿宋" w:eastAsia="仿宋" w:cs="仿宋"/>
                <w:sz w:val="24"/>
                <w:szCs w:val="24"/>
              </w:rPr>
              <w:t>/</w:t>
            </w:r>
            <w:r>
              <w:rPr>
                <w:rFonts w:hint="eastAsia" w:ascii="仿宋" w:hAnsi="仿宋" w:eastAsia="仿宋" w:cs="仿宋"/>
                <w:sz w:val="24"/>
                <w:szCs w:val="24"/>
              </w:rPr>
              <w:t>□不可以）隐蔽或继续施工。</w:t>
            </w:r>
          </w:p>
          <w:p>
            <w:pPr>
              <w:spacing w:line="360" w:lineRule="auto"/>
              <w:jc w:val="left"/>
              <w:rPr>
                <w:rFonts w:ascii="仿宋" w:hAnsi="仿宋" w:eastAsia="仿宋" w:cs="Times New Roman"/>
                <w:sz w:val="24"/>
                <w:szCs w:val="24"/>
              </w:rPr>
            </w:pPr>
          </w:p>
          <w:p>
            <w:pPr>
              <w:spacing w:line="360" w:lineRule="auto"/>
              <w:jc w:val="left"/>
              <w:rPr>
                <w:rFonts w:ascii="仿宋" w:hAnsi="仿宋" w:eastAsia="仿宋" w:cs="Times New Roman"/>
                <w:sz w:val="24"/>
                <w:szCs w:val="24"/>
              </w:rPr>
            </w:pPr>
          </w:p>
          <w:p>
            <w:pPr>
              <w:spacing w:line="360" w:lineRule="auto"/>
              <w:ind w:firstLine="6240" w:firstLineChars="2600"/>
              <w:jc w:val="left"/>
              <w:rPr>
                <w:rFonts w:ascii="仿宋" w:hAnsi="仿宋" w:eastAsia="仿宋" w:cs="Times New Roman"/>
                <w:sz w:val="24"/>
                <w:szCs w:val="24"/>
              </w:rPr>
            </w:pPr>
            <w:r>
              <w:rPr>
                <w:rFonts w:hint="eastAsia" w:ascii="仿宋" w:hAnsi="仿宋" w:eastAsia="仿宋" w:cs="仿宋"/>
                <w:sz w:val="24"/>
                <w:szCs w:val="24"/>
              </w:rPr>
              <w:t>监理人（章）</w:t>
            </w:r>
          </w:p>
          <w:p>
            <w:pPr>
              <w:spacing w:line="360" w:lineRule="auto"/>
              <w:ind w:firstLine="6295" w:firstLineChars="2623"/>
              <w:rPr>
                <w:rFonts w:ascii="仿宋" w:hAnsi="仿宋" w:eastAsia="仿宋" w:cs="仿宋"/>
                <w:sz w:val="24"/>
                <w:szCs w:val="24"/>
                <w:u w:val="single"/>
              </w:rPr>
            </w:pPr>
            <w:r>
              <w:rPr>
                <w:rFonts w:hint="eastAsia" w:ascii="仿宋" w:hAnsi="仿宋" w:eastAsia="仿宋" w:cs="仿宋"/>
                <w:sz w:val="24"/>
                <w:szCs w:val="24"/>
              </w:rPr>
              <w:t>监理工程师</w:t>
            </w:r>
            <w:r>
              <w:rPr>
                <w:rFonts w:ascii="仿宋" w:hAnsi="仿宋" w:eastAsia="仿宋" w:cs="仿宋"/>
                <w:sz w:val="24"/>
                <w:szCs w:val="24"/>
                <w:u w:val="single"/>
              </w:rPr>
              <w:t xml:space="preserve">            </w:t>
            </w:r>
          </w:p>
          <w:p>
            <w:pPr>
              <w:tabs>
                <w:tab w:val="left" w:pos="6297"/>
              </w:tabs>
              <w:spacing w:line="360" w:lineRule="auto"/>
              <w:ind w:firstLine="6295" w:firstLineChars="2623"/>
              <w:rPr>
                <w:rFonts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r>
              <w:rPr>
                <w:rFonts w:ascii="仿宋" w:hAnsi="仿宋" w:eastAsia="仿宋" w:cs="仿宋"/>
                <w:sz w:val="24"/>
                <w:szCs w:val="24"/>
              </w:rPr>
              <w:t xml:space="preserve">                                                                                </w:t>
            </w:r>
          </w:p>
        </w:tc>
      </w:tr>
    </w:tbl>
    <w:p>
      <w:pPr>
        <w:rPr>
          <w:rFonts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．在需要选择的栏中的“</w:t>
      </w:r>
      <w:r>
        <w:rPr>
          <w:rFonts w:hint="eastAsia" w:ascii="仿宋" w:hAnsi="仿宋" w:eastAsia="仿宋" w:cs="仿宋"/>
          <w:sz w:val="32"/>
          <w:szCs w:val="32"/>
        </w:rPr>
        <w:t>□</w:t>
      </w:r>
      <w:r>
        <w:rPr>
          <w:rFonts w:hint="eastAsia" w:ascii="仿宋" w:hAnsi="仿宋" w:eastAsia="仿宋" w:cs="仿宋"/>
          <w:sz w:val="24"/>
          <w:szCs w:val="24"/>
        </w:rPr>
        <w:t>”内作标识“√”。</w:t>
      </w:r>
    </w:p>
    <w:p>
      <w:pPr>
        <w:ind w:firstLine="720" w:firstLineChars="3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．本表用于包括隐蔽工程、分部分项工程、单位工程等的质量验收。</w:t>
      </w:r>
    </w:p>
    <w:p>
      <w:pPr>
        <w:ind w:left="1198" w:leftChars="342" w:hanging="480" w:hangingChars="200"/>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．本表一式四份，由承包人、设计人、监理人按合同规定程序填制，并连同发包人各存一份。</w:t>
      </w:r>
    </w:p>
    <w:p>
      <w:pPr>
        <w:ind w:left="1"/>
        <w:outlineLvl w:val="1"/>
        <w:rPr>
          <w:rFonts w:ascii="仿宋" w:hAnsi="仿宋" w:eastAsia="仿宋" w:cs="仿宋"/>
          <w:b/>
          <w:bCs/>
          <w:color w:val="000000"/>
          <w:kern w:val="0"/>
          <w:sz w:val="24"/>
          <w:szCs w:val="24"/>
        </w:rPr>
      </w:pPr>
      <w:r>
        <w:rPr>
          <w:rFonts w:ascii="仿宋" w:hAnsi="仿宋" w:eastAsia="仿宋" w:cs="Times New Roman"/>
          <w:kern w:val="0"/>
          <w:sz w:val="24"/>
          <w:szCs w:val="24"/>
        </w:rPr>
        <w:br w:type="page"/>
      </w:r>
      <w:bookmarkStart w:id="773" w:name="_Toc469384155"/>
      <w:bookmarkStart w:id="774" w:name="_Toc266892940"/>
      <w:bookmarkStart w:id="775" w:name="_Toc10624999"/>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14</w:t>
      </w:r>
      <w:bookmarkEnd w:id="773"/>
      <w:bookmarkEnd w:id="774"/>
      <w:bookmarkEnd w:id="775"/>
    </w:p>
    <w:p>
      <w:pPr>
        <w:spacing w:before="50" w:after="50"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工程变更报审表</w:t>
      </w:r>
    </w:p>
    <w:p>
      <w:pPr>
        <w:spacing w:line="360" w:lineRule="auto"/>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 xml:space="preserve">: </w:t>
      </w:r>
    </w:p>
    <w:tbl>
      <w:tblPr>
        <w:tblStyle w:val="40"/>
        <w:tblW w:w="10455"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265"/>
        <w:gridCol w:w="3447"/>
        <w:gridCol w:w="37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7" w:hRule="atLeast"/>
        </w:trPr>
        <w:tc>
          <w:tcPr>
            <w:tcW w:w="10455" w:type="dxa"/>
            <w:gridSpan w:val="3"/>
            <w:tcBorders>
              <w:bottom w:val="single" w:color="000000" w:sz="6" w:space="0"/>
            </w:tcBorders>
            <w:vAlign w:val="top"/>
          </w:tcPr>
          <w:p>
            <w:pPr>
              <w:spacing w:before="120" w:line="360" w:lineRule="auto"/>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（监理人全称）</w:t>
            </w:r>
          </w:p>
          <w:p>
            <w:pPr>
              <w:tabs>
                <w:tab w:val="left" w:pos="6192"/>
              </w:tabs>
              <w:spacing w:line="360" w:lineRule="auto"/>
              <w:ind w:firstLine="480" w:firstLineChars="200"/>
              <w:rPr>
                <w:rFonts w:ascii="仿宋" w:hAnsi="仿宋" w:eastAsia="仿宋" w:cs="Times New Roman"/>
                <w:sz w:val="24"/>
                <w:szCs w:val="24"/>
                <w:u w:val="single"/>
              </w:rPr>
            </w:pPr>
            <w:r>
              <w:rPr>
                <w:rFonts w:hint="eastAsia" w:ascii="仿宋" w:hAnsi="仿宋" w:eastAsia="仿宋" w:cs="仿宋"/>
                <w:sz w:val="24"/>
                <w:szCs w:val="24"/>
              </w:rPr>
              <w:t>由于</w:t>
            </w:r>
            <w:r>
              <w:rPr>
                <w:rFonts w:ascii="仿宋" w:hAnsi="仿宋" w:eastAsia="仿宋" w:cs="仿宋"/>
                <w:sz w:val="24"/>
                <w:szCs w:val="24"/>
                <w:u w:val="single"/>
              </w:rPr>
              <w:t xml:space="preserve">                                                        </w:t>
            </w:r>
            <w:r>
              <w:rPr>
                <w:rFonts w:hint="eastAsia" w:ascii="仿宋" w:hAnsi="仿宋" w:eastAsia="仿宋" w:cs="仿宋"/>
                <w:sz w:val="24"/>
                <w:szCs w:val="24"/>
              </w:rPr>
              <w:t>原因，现提出</w:t>
            </w:r>
          </w:p>
          <w:p>
            <w:pPr>
              <w:tabs>
                <w:tab w:val="left" w:pos="6192"/>
              </w:tabs>
              <w:spacing w:line="360" w:lineRule="auto"/>
              <w:rPr>
                <w:rFonts w:ascii="仿宋" w:hAnsi="仿宋" w:eastAsia="仿宋" w:cs="仿宋"/>
                <w:sz w:val="24"/>
                <w:szCs w:val="24"/>
                <w:u w:val="single"/>
              </w:rPr>
            </w:pPr>
            <w:r>
              <w:rPr>
                <w:rFonts w:ascii="仿宋" w:hAnsi="仿宋" w:eastAsia="仿宋" w:cs="仿宋"/>
                <w:sz w:val="24"/>
                <w:szCs w:val="24"/>
                <w:u w:val="single"/>
              </w:rPr>
              <w:t xml:space="preserve">                                                                             </w:t>
            </w:r>
          </w:p>
          <w:p>
            <w:pPr>
              <w:tabs>
                <w:tab w:val="left" w:pos="6192"/>
              </w:tabs>
              <w:spacing w:line="360" w:lineRule="auto"/>
              <w:rPr>
                <w:rFonts w:ascii="仿宋" w:hAnsi="仿宋" w:eastAsia="仿宋" w:cs="Times New Roman"/>
                <w:sz w:val="24"/>
                <w:szCs w:val="24"/>
                <w:u w:val="single"/>
              </w:rPr>
            </w:pPr>
            <w:r>
              <w:rPr>
                <w:rFonts w:ascii="仿宋" w:hAnsi="仿宋" w:eastAsia="仿宋" w:cs="仿宋"/>
                <w:sz w:val="24"/>
                <w:szCs w:val="24"/>
                <w:u w:val="single"/>
              </w:rPr>
              <w:t xml:space="preserve">            </w:t>
            </w:r>
            <w:r>
              <w:rPr>
                <w:rFonts w:hint="eastAsia" w:ascii="仿宋" w:hAnsi="仿宋" w:eastAsia="仿宋" w:cs="仿宋"/>
                <w:sz w:val="24"/>
                <w:szCs w:val="24"/>
              </w:rPr>
              <w:t>工程变更（内容见附件），请予以审批。</w:t>
            </w:r>
          </w:p>
          <w:p>
            <w:pPr>
              <w:spacing w:line="360" w:lineRule="auto"/>
              <w:rPr>
                <w:rFonts w:ascii="仿宋" w:hAnsi="仿宋" w:eastAsia="仿宋" w:cs="Times New Roman"/>
                <w:sz w:val="24"/>
                <w:szCs w:val="24"/>
              </w:rPr>
            </w:pPr>
            <w:r>
              <w:rPr>
                <w:rFonts w:hint="eastAsia" w:ascii="仿宋" w:hAnsi="仿宋" w:eastAsia="仿宋" w:cs="仿宋"/>
                <w:sz w:val="24"/>
                <w:szCs w:val="24"/>
              </w:rPr>
              <w:t>附件：</w:t>
            </w:r>
            <w:r>
              <w:rPr>
                <w:rFonts w:ascii="仿宋" w:hAnsi="仿宋" w:eastAsia="仿宋" w:cs="仿宋"/>
                <w:sz w:val="24"/>
                <w:szCs w:val="24"/>
              </w:rPr>
              <w:t>1</w:t>
            </w:r>
            <w:r>
              <w:rPr>
                <w:rFonts w:hint="eastAsia" w:ascii="仿宋" w:hAnsi="仿宋" w:eastAsia="仿宋" w:cs="仿宋"/>
                <w:sz w:val="24"/>
                <w:szCs w:val="24"/>
              </w:rPr>
              <w:t>．提出变更原因（必要时附图）；</w:t>
            </w:r>
          </w:p>
          <w:p>
            <w:pPr>
              <w:spacing w:line="360" w:lineRule="auto"/>
              <w:ind w:firstLine="720" w:firstLineChars="3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．工程量增减计算书；</w:t>
            </w:r>
          </w:p>
          <w:p>
            <w:pPr>
              <w:spacing w:line="360" w:lineRule="auto"/>
              <w:ind w:firstLine="720" w:firstLineChars="300"/>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．工程变更价款报价单。</w:t>
            </w:r>
          </w:p>
          <w:p>
            <w:pPr>
              <w:spacing w:line="360" w:lineRule="auto"/>
              <w:rPr>
                <w:rFonts w:ascii="仿宋" w:hAnsi="仿宋" w:eastAsia="仿宋" w:cs="Times New Roman"/>
                <w:sz w:val="24"/>
                <w:szCs w:val="24"/>
              </w:rPr>
            </w:pPr>
          </w:p>
          <w:p>
            <w:pPr>
              <w:spacing w:line="360" w:lineRule="auto"/>
              <w:rPr>
                <w:rFonts w:ascii="仿宋" w:hAnsi="仿宋" w:eastAsia="仿宋" w:cs="仿宋"/>
                <w:sz w:val="24"/>
                <w:szCs w:val="24"/>
              </w:rPr>
            </w:pPr>
            <w:r>
              <w:rPr>
                <w:rFonts w:ascii="仿宋" w:hAnsi="仿宋" w:eastAsia="仿宋" w:cs="仿宋"/>
                <w:sz w:val="24"/>
                <w:szCs w:val="24"/>
              </w:rPr>
              <w:t xml:space="preserve">                                              </w:t>
            </w:r>
          </w:p>
          <w:p>
            <w:pPr>
              <w:spacing w:line="360" w:lineRule="auto"/>
              <w:ind w:firstLine="5760" w:firstLineChars="2400"/>
              <w:rPr>
                <w:rFonts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承包人（章）</w:t>
            </w:r>
            <w:r>
              <w:rPr>
                <w:rFonts w:ascii="仿宋" w:hAnsi="仿宋" w:eastAsia="仿宋" w:cs="仿宋"/>
                <w:sz w:val="24"/>
                <w:szCs w:val="24"/>
              </w:rPr>
              <w:t xml:space="preserve">                 </w:t>
            </w:r>
          </w:p>
          <w:p>
            <w:pPr>
              <w:spacing w:line="360" w:lineRule="auto"/>
              <w:ind w:firstLine="5982"/>
              <w:rPr>
                <w:rFonts w:ascii="仿宋" w:hAnsi="仿宋" w:eastAsia="仿宋" w:cs="仿宋"/>
                <w:sz w:val="24"/>
                <w:szCs w:val="24"/>
                <w:u w:val="single"/>
              </w:rPr>
            </w:pPr>
            <w:r>
              <w:rPr>
                <w:rFonts w:hint="eastAsia" w:ascii="仿宋" w:hAnsi="仿宋" w:eastAsia="仿宋" w:cs="仿宋"/>
                <w:spacing w:val="28"/>
                <w:sz w:val="24"/>
                <w:szCs w:val="24"/>
              </w:rPr>
              <w:t>承包人代表</w:t>
            </w:r>
            <w:r>
              <w:rPr>
                <w:rFonts w:ascii="仿宋" w:hAnsi="仿宋" w:eastAsia="仿宋" w:cs="仿宋"/>
                <w:sz w:val="24"/>
                <w:szCs w:val="24"/>
                <w:u w:val="single"/>
              </w:rPr>
              <w:t xml:space="preserve">              </w:t>
            </w:r>
          </w:p>
          <w:p>
            <w:pPr>
              <w:spacing w:line="360" w:lineRule="auto"/>
              <w:ind w:firstLine="5982"/>
              <w:rPr>
                <w:rFonts w:ascii="仿宋" w:hAnsi="仿宋" w:eastAsia="仿宋" w:cs="Times New Roman"/>
                <w:spacing w:val="20"/>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rPr>
              <w:t xml:space="preserve"> </w:t>
            </w:r>
            <w:r>
              <w:rPr>
                <w:rFonts w:ascii="仿宋" w:hAnsi="仿宋" w:eastAsia="仿宋" w:cs="仿宋"/>
                <w:sz w:val="24"/>
                <w:szCs w:val="24"/>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08" w:hRule="atLeast"/>
        </w:trPr>
        <w:tc>
          <w:tcPr>
            <w:tcW w:w="3265" w:type="dxa"/>
            <w:tcBorders>
              <w:top w:val="single" w:color="000000" w:sz="6" w:space="0"/>
              <w:bottom w:val="single" w:color="auto" w:sz="4" w:space="0"/>
              <w:right w:val="single" w:color="auto" w:sz="4" w:space="0"/>
            </w:tcBorders>
            <w:vAlign w:val="top"/>
          </w:tcPr>
          <w:p>
            <w:pPr>
              <w:snapToGrid w:val="0"/>
              <w:spacing w:line="360" w:lineRule="auto"/>
              <w:ind w:hanging="6"/>
              <w:rPr>
                <w:rFonts w:ascii="仿宋" w:hAnsi="仿宋" w:eastAsia="仿宋" w:cs="Times New Roman"/>
                <w:sz w:val="24"/>
                <w:szCs w:val="24"/>
              </w:rPr>
            </w:pPr>
            <w:r>
              <w:rPr>
                <w:rFonts w:hint="eastAsia" w:ascii="仿宋" w:hAnsi="仿宋" w:eastAsia="仿宋" w:cs="仿宋"/>
                <w:sz w:val="24"/>
                <w:szCs w:val="24"/>
              </w:rPr>
              <w:t>复核意见：</w:t>
            </w:r>
          </w:p>
          <w:p>
            <w:pPr>
              <w:snapToGrid w:val="0"/>
              <w:spacing w:line="360" w:lineRule="auto"/>
              <w:ind w:hanging="6"/>
              <w:rPr>
                <w:rFonts w:ascii="仿宋" w:hAnsi="仿宋" w:eastAsia="仿宋" w:cs="Times New Roman"/>
                <w:sz w:val="24"/>
                <w:szCs w:val="24"/>
              </w:rPr>
            </w:pPr>
          </w:p>
          <w:p>
            <w:pPr>
              <w:snapToGrid w:val="0"/>
              <w:spacing w:line="360" w:lineRule="auto"/>
              <w:ind w:hanging="6"/>
              <w:rPr>
                <w:rFonts w:ascii="仿宋" w:hAnsi="仿宋" w:eastAsia="仿宋" w:cs="Times New Roman"/>
                <w:sz w:val="24"/>
                <w:szCs w:val="24"/>
              </w:rPr>
            </w:pPr>
          </w:p>
          <w:p>
            <w:pPr>
              <w:snapToGrid w:val="0"/>
              <w:spacing w:line="360" w:lineRule="auto"/>
              <w:ind w:hanging="6"/>
              <w:rPr>
                <w:rFonts w:ascii="仿宋" w:hAnsi="仿宋" w:eastAsia="仿宋" w:cs="Times New Roman"/>
                <w:sz w:val="24"/>
                <w:szCs w:val="24"/>
              </w:rPr>
            </w:pPr>
          </w:p>
          <w:p>
            <w:pPr>
              <w:snapToGrid w:val="0"/>
              <w:spacing w:line="360" w:lineRule="auto"/>
              <w:ind w:hanging="6"/>
              <w:rPr>
                <w:rFonts w:ascii="仿宋" w:hAnsi="仿宋" w:eastAsia="仿宋" w:cs="Times New Roman"/>
                <w:sz w:val="24"/>
                <w:szCs w:val="24"/>
              </w:rPr>
            </w:pPr>
            <w:r>
              <w:rPr>
                <w:rFonts w:hint="eastAsia" w:ascii="仿宋" w:hAnsi="仿宋" w:eastAsia="仿宋" w:cs="仿宋"/>
                <w:sz w:val="24"/>
                <w:szCs w:val="24"/>
              </w:rPr>
              <w:t>设计人（章）</w:t>
            </w:r>
          </w:p>
          <w:p>
            <w:pPr>
              <w:snapToGrid w:val="0"/>
              <w:spacing w:line="360" w:lineRule="auto"/>
              <w:ind w:hanging="6"/>
              <w:rPr>
                <w:rFonts w:ascii="仿宋" w:hAnsi="仿宋" w:eastAsia="仿宋" w:cs="Times New Roman"/>
                <w:sz w:val="24"/>
                <w:szCs w:val="24"/>
              </w:rPr>
            </w:pPr>
            <w:r>
              <w:rPr>
                <w:rFonts w:hint="eastAsia" w:ascii="仿宋" w:hAnsi="仿宋" w:eastAsia="仿宋" w:cs="仿宋"/>
                <w:sz w:val="24"/>
                <w:szCs w:val="24"/>
              </w:rPr>
              <w:t>建筑师</w:t>
            </w:r>
            <w:r>
              <w:rPr>
                <w:rFonts w:ascii="仿宋" w:hAnsi="仿宋" w:eastAsia="仿宋" w:cs="仿宋"/>
                <w:sz w:val="24"/>
                <w:szCs w:val="24"/>
              </w:rPr>
              <w:t>/</w:t>
            </w:r>
            <w:r>
              <w:rPr>
                <w:rFonts w:hint="eastAsia" w:ascii="仿宋" w:hAnsi="仿宋" w:eastAsia="仿宋" w:cs="仿宋"/>
                <w:sz w:val="24"/>
                <w:szCs w:val="24"/>
              </w:rPr>
              <w:t>结构师</w:t>
            </w:r>
            <w:r>
              <w:rPr>
                <w:rFonts w:ascii="仿宋" w:hAnsi="仿宋" w:eastAsia="仿宋" w:cs="仿宋"/>
                <w:sz w:val="24"/>
                <w:szCs w:val="24"/>
                <w:u w:val="single"/>
              </w:rPr>
              <w:t xml:space="preserve">         </w:t>
            </w:r>
          </w:p>
          <w:p>
            <w:pPr>
              <w:snapToGrid w:val="0"/>
              <w:spacing w:line="360" w:lineRule="auto"/>
              <w:rPr>
                <w:rFonts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c>
          <w:tcPr>
            <w:tcW w:w="3447" w:type="dxa"/>
            <w:tcBorders>
              <w:top w:val="single" w:color="000000" w:sz="6" w:space="0"/>
              <w:left w:val="single" w:color="auto" w:sz="4" w:space="0"/>
              <w:bottom w:val="single" w:color="auto" w:sz="4" w:space="0"/>
              <w:right w:val="single" w:color="auto" w:sz="4" w:space="0"/>
            </w:tcBorders>
            <w:vAlign w:val="top"/>
          </w:tcPr>
          <w:p>
            <w:pPr>
              <w:widowControl/>
              <w:spacing w:line="360" w:lineRule="auto"/>
              <w:jc w:val="left"/>
              <w:rPr>
                <w:rFonts w:ascii="仿宋" w:hAnsi="仿宋" w:eastAsia="仿宋" w:cs="Times New Roman"/>
                <w:sz w:val="24"/>
                <w:szCs w:val="24"/>
              </w:rPr>
            </w:pPr>
            <w:r>
              <w:rPr>
                <w:rFonts w:hint="eastAsia" w:ascii="仿宋" w:hAnsi="仿宋" w:eastAsia="仿宋" w:cs="仿宋"/>
                <w:sz w:val="24"/>
                <w:szCs w:val="24"/>
              </w:rPr>
              <w:t>复核意见：</w:t>
            </w:r>
          </w:p>
          <w:p>
            <w:pPr>
              <w:widowControl/>
              <w:spacing w:line="360" w:lineRule="auto"/>
              <w:jc w:val="left"/>
              <w:rPr>
                <w:rFonts w:ascii="仿宋" w:hAnsi="仿宋" w:eastAsia="仿宋" w:cs="Times New Roman"/>
                <w:sz w:val="24"/>
                <w:szCs w:val="24"/>
              </w:rPr>
            </w:pPr>
          </w:p>
          <w:p>
            <w:pPr>
              <w:widowControl/>
              <w:spacing w:line="360" w:lineRule="auto"/>
              <w:jc w:val="left"/>
              <w:rPr>
                <w:rFonts w:ascii="仿宋" w:hAnsi="仿宋" w:eastAsia="仿宋" w:cs="Times New Roman"/>
                <w:sz w:val="24"/>
                <w:szCs w:val="24"/>
              </w:rPr>
            </w:pPr>
          </w:p>
          <w:p>
            <w:pPr>
              <w:snapToGrid w:val="0"/>
              <w:spacing w:line="360" w:lineRule="auto"/>
              <w:rPr>
                <w:rFonts w:ascii="仿宋" w:hAnsi="仿宋" w:eastAsia="仿宋" w:cs="Times New Roman"/>
                <w:sz w:val="24"/>
                <w:szCs w:val="24"/>
              </w:rPr>
            </w:pPr>
          </w:p>
          <w:p>
            <w:pPr>
              <w:snapToGrid w:val="0"/>
              <w:spacing w:line="360" w:lineRule="auto"/>
              <w:rPr>
                <w:rFonts w:ascii="仿宋" w:hAnsi="仿宋" w:eastAsia="仿宋" w:cs="Times New Roman"/>
                <w:sz w:val="24"/>
                <w:szCs w:val="24"/>
              </w:rPr>
            </w:pPr>
            <w:r>
              <w:rPr>
                <w:rFonts w:hint="eastAsia" w:ascii="仿宋" w:hAnsi="仿宋" w:eastAsia="仿宋" w:cs="仿宋"/>
                <w:sz w:val="24"/>
                <w:szCs w:val="24"/>
              </w:rPr>
              <w:t>监理人（章）</w:t>
            </w:r>
          </w:p>
          <w:p>
            <w:pPr>
              <w:snapToGrid w:val="0"/>
              <w:spacing w:line="360" w:lineRule="auto"/>
              <w:rPr>
                <w:rFonts w:ascii="仿宋" w:hAnsi="仿宋" w:eastAsia="仿宋" w:cs="Times New Roman"/>
                <w:sz w:val="24"/>
                <w:szCs w:val="24"/>
              </w:rPr>
            </w:pPr>
            <w:r>
              <w:rPr>
                <w:rFonts w:hint="eastAsia" w:ascii="仿宋" w:hAnsi="仿宋" w:eastAsia="仿宋" w:cs="仿宋"/>
                <w:sz w:val="24"/>
                <w:szCs w:val="24"/>
              </w:rPr>
              <w:t>监理工程师</w:t>
            </w:r>
            <w:r>
              <w:rPr>
                <w:rFonts w:ascii="仿宋" w:hAnsi="仿宋" w:eastAsia="仿宋" w:cs="仿宋"/>
                <w:sz w:val="24"/>
                <w:szCs w:val="24"/>
                <w:u w:val="single"/>
              </w:rPr>
              <w:t xml:space="preserve">         </w:t>
            </w:r>
          </w:p>
          <w:p>
            <w:pPr>
              <w:snapToGrid w:val="0"/>
              <w:spacing w:line="360" w:lineRule="auto"/>
              <w:rPr>
                <w:rFonts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c>
          <w:tcPr>
            <w:tcW w:w="3743" w:type="dxa"/>
            <w:tcBorders>
              <w:top w:val="single" w:color="000000" w:sz="6" w:space="0"/>
              <w:left w:val="single" w:color="auto" w:sz="4" w:space="0"/>
              <w:bottom w:val="single" w:color="auto" w:sz="4" w:space="0"/>
            </w:tcBorders>
            <w:vAlign w:val="top"/>
          </w:tcPr>
          <w:p>
            <w:pPr>
              <w:widowControl/>
              <w:spacing w:line="360" w:lineRule="auto"/>
              <w:jc w:val="left"/>
              <w:rPr>
                <w:rFonts w:ascii="仿宋" w:hAnsi="仿宋" w:eastAsia="仿宋" w:cs="Times New Roman"/>
                <w:sz w:val="24"/>
                <w:szCs w:val="24"/>
              </w:rPr>
            </w:pPr>
            <w:r>
              <w:rPr>
                <w:rFonts w:hint="eastAsia" w:ascii="仿宋" w:hAnsi="仿宋" w:eastAsia="仿宋" w:cs="仿宋"/>
                <w:sz w:val="24"/>
                <w:szCs w:val="24"/>
              </w:rPr>
              <w:t>复核意见：</w:t>
            </w:r>
          </w:p>
          <w:p>
            <w:pPr>
              <w:widowControl/>
              <w:spacing w:line="360" w:lineRule="auto"/>
              <w:jc w:val="left"/>
              <w:rPr>
                <w:rFonts w:ascii="仿宋" w:hAnsi="仿宋" w:eastAsia="仿宋" w:cs="Times New Roman"/>
                <w:sz w:val="24"/>
                <w:szCs w:val="24"/>
              </w:rPr>
            </w:pPr>
          </w:p>
          <w:p>
            <w:pPr>
              <w:widowControl/>
              <w:spacing w:line="360" w:lineRule="auto"/>
              <w:jc w:val="left"/>
              <w:rPr>
                <w:rFonts w:ascii="仿宋" w:hAnsi="仿宋" w:eastAsia="仿宋" w:cs="Times New Roman"/>
                <w:sz w:val="24"/>
                <w:szCs w:val="24"/>
              </w:rPr>
            </w:pPr>
          </w:p>
          <w:p>
            <w:pPr>
              <w:snapToGrid w:val="0"/>
              <w:spacing w:line="360" w:lineRule="auto"/>
              <w:rPr>
                <w:rFonts w:ascii="仿宋" w:hAnsi="仿宋" w:eastAsia="仿宋" w:cs="Times New Roman"/>
                <w:sz w:val="24"/>
                <w:szCs w:val="24"/>
              </w:rPr>
            </w:pPr>
          </w:p>
          <w:p>
            <w:pPr>
              <w:snapToGrid w:val="0"/>
              <w:spacing w:line="360" w:lineRule="auto"/>
              <w:rPr>
                <w:rFonts w:ascii="仿宋" w:hAnsi="仿宋" w:eastAsia="仿宋" w:cs="Times New Roman"/>
                <w:sz w:val="24"/>
                <w:szCs w:val="24"/>
              </w:rPr>
            </w:pPr>
            <w:r>
              <w:rPr>
                <w:rFonts w:hint="eastAsia" w:ascii="仿宋" w:hAnsi="仿宋" w:eastAsia="仿宋" w:cs="仿宋"/>
                <w:sz w:val="24"/>
                <w:szCs w:val="24"/>
              </w:rPr>
              <w:t>造价咨询人（章）</w:t>
            </w:r>
          </w:p>
          <w:p>
            <w:pPr>
              <w:snapToGrid w:val="0"/>
              <w:spacing w:line="360" w:lineRule="auto"/>
              <w:rPr>
                <w:rFonts w:ascii="仿宋" w:hAnsi="仿宋" w:eastAsia="仿宋" w:cs="Times New Roman"/>
                <w:sz w:val="24"/>
                <w:szCs w:val="24"/>
              </w:rPr>
            </w:pPr>
            <w:r>
              <w:rPr>
                <w:rFonts w:hint="eastAsia" w:ascii="仿宋" w:hAnsi="仿宋" w:eastAsia="仿宋" w:cs="仿宋"/>
                <w:sz w:val="24"/>
                <w:szCs w:val="24"/>
              </w:rPr>
              <w:t>造价工程师</w:t>
            </w:r>
            <w:r>
              <w:rPr>
                <w:rFonts w:ascii="仿宋" w:hAnsi="仿宋" w:eastAsia="仿宋" w:cs="仿宋"/>
                <w:sz w:val="24"/>
                <w:szCs w:val="24"/>
                <w:u w:val="single"/>
              </w:rPr>
              <w:t xml:space="preserve">            </w:t>
            </w:r>
          </w:p>
          <w:p>
            <w:pPr>
              <w:snapToGrid w:val="0"/>
              <w:spacing w:line="360" w:lineRule="auto"/>
              <w:rPr>
                <w:rFonts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33" w:hRule="atLeast"/>
        </w:trPr>
        <w:tc>
          <w:tcPr>
            <w:tcW w:w="10455" w:type="dxa"/>
            <w:gridSpan w:val="3"/>
            <w:tcBorders>
              <w:top w:val="single" w:color="auto" w:sz="4" w:space="0"/>
              <w:bottom w:val="single" w:color="000000" w:sz="6" w:space="0"/>
            </w:tcBorders>
            <w:vAlign w:val="top"/>
          </w:tcPr>
          <w:p>
            <w:pPr>
              <w:snapToGrid w:val="0"/>
              <w:spacing w:line="360" w:lineRule="auto"/>
              <w:rPr>
                <w:rFonts w:ascii="仿宋" w:hAnsi="仿宋" w:eastAsia="仿宋" w:cs="Times New Roman"/>
                <w:sz w:val="24"/>
                <w:szCs w:val="24"/>
              </w:rPr>
            </w:pPr>
            <w:r>
              <w:rPr>
                <w:rFonts w:hint="eastAsia" w:ascii="仿宋" w:hAnsi="仿宋" w:eastAsia="仿宋" w:cs="仿宋"/>
                <w:sz w:val="24"/>
                <w:szCs w:val="24"/>
              </w:rPr>
              <w:t>审批意见：</w:t>
            </w:r>
          </w:p>
          <w:p>
            <w:pPr>
              <w:snapToGrid w:val="0"/>
              <w:spacing w:line="360" w:lineRule="auto"/>
              <w:ind w:hanging="6"/>
              <w:rPr>
                <w:rFonts w:ascii="仿宋" w:hAnsi="仿宋" w:eastAsia="仿宋" w:cs="Times New Roman"/>
                <w:sz w:val="24"/>
                <w:szCs w:val="24"/>
              </w:rPr>
            </w:pPr>
          </w:p>
          <w:p>
            <w:pPr>
              <w:snapToGrid w:val="0"/>
              <w:spacing w:line="360" w:lineRule="auto"/>
              <w:ind w:hanging="6"/>
              <w:jc w:val="center"/>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发包人（章）</w:t>
            </w:r>
          </w:p>
          <w:p>
            <w:pPr>
              <w:snapToGrid w:val="0"/>
              <w:spacing w:line="360" w:lineRule="auto"/>
              <w:ind w:hanging="6"/>
              <w:jc w:val="center"/>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发包人代表</w:t>
            </w:r>
            <w:r>
              <w:rPr>
                <w:rFonts w:ascii="仿宋" w:hAnsi="仿宋" w:eastAsia="仿宋" w:cs="仿宋"/>
                <w:b/>
                <w:bCs/>
                <w:sz w:val="24"/>
                <w:szCs w:val="24"/>
                <w:u w:val="single"/>
              </w:rPr>
              <w:t xml:space="preserve">           </w:t>
            </w:r>
          </w:p>
          <w:p>
            <w:pPr>
              <w:snapToGrid w:val="0"/>
              <w:spacing w:line="360" w:lineRule="auto"/>
              <w:ind w:hanging="6"/>
              <w:rPr>
                <w:rFonts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pPr>
        <w:spacing w:line="360" w:lineRule="auto"/>
        <w:ind w:left="720" w:hanging="720" w:hangingChars="300"/>
        <w:rPr>
          <w:rFonts w:ascii="仿宋" w:hAnsi="仿宋" w:eastAsia="仿宋" w:cs="Times New Roman"/>
          <w:sz w:val="24"/>
          <w:szCs w:val="24"/>
        </w:rPr>
      </w:pPr>
      <w:r>
        <w:rPr>
          <w:rFonts w:hint="eastAsia" w:ascii="仿宋" w:hAnsi="仿宋" w:eastAsia="仿宋" w:cs="仿宋"/>
          <w:sz w:val="24"/>
          <w:szCs w:val="24"/>
        </w:rPr>
        <w:t>说明：本表一式五份，由承包人、设计人、监理人、工程造价咨询人（如有）、发包人按合同规定程序填制，并各存一份。</w:t>
      </w:r>
    </w:p>
    <w:p>
      <w:pPr>
        <w:spacing w:line="360" w:lineRule="auto"/>
        <w:ind w:left="720" w:hanging="720" w:hangingChars="300"/>
        <w:outlineLvl w:val="1"/>
        <w:rPr>
          <w:rFonts w:ascii="仿宋" w:hAnsi="仿宋" w:eastAsia="仿宋" w:cs="仿宋"/>
          <w:b/>
          <w:bCs/>
          <w:color w:val="000000"/>
          <w:kern w:val="0"/>
          <w:sz w:val="24"/>
          <w:szCs w:val="24"/>
        </w:rPr>
      </w:pPr>
      <w:r>
        <w:rPr>
          <w:rFonts w:ascii="仿宋" w:hAnsi="仿宋" w:eastAsia="仿宋" w:cs="Times New Roman"/>
          <w:kern w:val="0"/>
          <w:sz w:val="24"/>
          <w:szCs w:val="24"/>
        </w:rPr>
        <w:br w:type="page"/>
      </w:r>
      <w:bookmarkStart w:id="776" w:name="_Toc469384156"/>
      <w:bookmarkStart w:id="777" w:name="_Toc10625000"/>
      <w:bookmarkStart w:id="778" w:name="_Toc266892941"/>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15</w:t>
      </w:r>
      <w:bookmarkEnd w:id="776"/>
      <w:bookmarkEnd w:id="777"/>
      <w:bookmarkEnd w:id="778"/>
    </w:p>
    <w:p>
      <w:pPr>
        <w:spacing w:before="50" w:after="50"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工程变更令</w:t>
      </w:r>
    </w:p>
    <w:p>
      <w:pPr>
        <w:spacing w:line="360" w:lineRule="auto"/>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 xml:space="preserve">: </w:t>
      </w:r>
    </w:p>
    <w:tbl>
      <w:tblPr>
        <w:tblStyle w:val="40"/>
        <w:tblW w:w="10273"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2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62" w:hRule="atLeast"/>
        </w:trPr>
        <w:tc>
          <w:tcPr>
            <w:tcW w:w="10273" w:type="dxa"/>
            <w:tcBorders>
              <w:bottom w:val="single" w:color="000000" w:sz="6" w:space="0"/>
            </w:tcBorders>
            <w:vAlign w:val="top"/>
          </w:tcPr>
          <w:p>
            <w:pPr>
              <w:spacing w:before="120" w:line="360" w:lineRule="auto"/>
              <w:ind w:left="-28" w:firstLine="181"/>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（承包人全称）</w:t>
            </w:r>
            <w:r>
              <w:rPr>
                <w:rFonts w:ascii="仿宋" w:hAnsi="仿宋" w:eastAsia="仿宋" w:cs="仿宋"/>
                <w:sz w:val="24"/>
                <w:szCs w:val="24"/>
              </w:rPr>
              <w:t xml:space="preserve">   </w:t>
            </w:r>
          </w:p>
          <w:p>
            <w:pPr>
              <w:tabs>
                <w:tab w:val="left" w:pos="6192"/>
              </w:tabs>
              <w:spacing w:line="360" w:lineRule="auto"/>
              <w:ind w:left="-28" w:firstLine="550"/>
              <w:rPr>
                <w:rFonts w:ascii="仿宋" w:hAnsi="仿宋" w:eastAsia="仿宋" w:cs="Times New Roman"/>
                <w:sz w:val="24"/>
                <w:szCs w:val="24"/>
              </w:rPr>
            </w:pPr>
            <w:r>
              <w:rPr>
                <w:rFonts w:hint="eastAsia" w:ascii="仿宋" w:hAnsi="仿宋" w:eastAsia="仿宋" w:cs="仿宋"/>
                <w:sz w:val="24"/>
                <w:szCs w:val="24"/>
              </w:rPr>
              <w:t>由于</w:t>
            </w:r>
            <w:r>
              <w:rPr>
                <w:rFonts w:ascii="仿宋" w:hAnsi="仿宋" w:eastAsia="仿宋" w:cs="仿宋"/>
                <w:sz w:val="24"/>
                <w:szCs w:val="24"/>
                <w:u w:val="single"/>
              </w:rPr>
              <w:t xml:space="preserve">                                                        </w:t>
            </w:r>
            <w:r>
              <w:rPr>
                <w:rFonts w:hint="eastAsia" w:ascii="仿宋" w:hAnsi="仿宋" w:eastAsia="仿宋" w:cs="仿宋"/>
                <w:sz w:val="24"/>
                <w:szCs w:val="24"/>
              </w:rPr>
              <w:t>原因，现发出</w:t>
            </w:r>
            <w:r>
              <w:rPr>
                <w:rFonts w:ascii="仿宋" w:hAnsi="仿宋" w:eastAsia="仿宋" w:cs="仿宋"/>
                <w:sz w:val="24"/>
                <w:szCs w:val="24"/>
                <w:u w:val="single"/>
              </w:rPr>
              <w:t xml:space="preserve">                                                                   </w:t>
            </w:r>
            <w:r>
              <w:rPr>
                <w:rFonts w:hint="eastAsia" w:ascii="仿宋" w:hAnsi="仿宋" w:eastAsia="仿宋" w:cs="仿宋"/>
                <w:sz w:val="24"/>
                <w:szCs w:val="24"/>
              </w:rPr>
              <w:t>工程变更令（内容见附件），请按照本变更令和合同约定组织施工；若合同与本变更令不一致的，以本变更令为准。如有疑问，请及时与监理工程师联系。</w:t>
            </w:r>
          </w:p>
          <w:p>
            <w:pPr>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变更内容见附件：</w:t>
            </w:r>
          </w:p>
          <w:p>
            <w:pPr>
              <w:spacing w:line="360" w:lineRule="auto"/>
              <w:ind w:left="-28"/>
              <w:rPr>
                <w:rFonts w:ascii="仿宋" w:hAnsi="仿宋" w:eastAsia="仿宋" w:cs="Times New Roman"/>
                <w:sz w:val="24"/>
                <w:szCs w:val="24"/>
              </w:rPr>
            </w:pPr>
          </w:p>
          <w:p>
            <w:pPr>
              <w:spacing w:line="360" w:lineRule="auto"/>
              <w:rPr>
                <w:rFonts w:ascii="仿宋" w:hAnsi="仿宋" w:eastAsia="仿宋" w:cs="Times New Roman"/>
                <w:sz w:val="24"/>
                <w:szCs w:val="24"/>
              </w:rPr>
            </w:pPr>
          </w:p>
          <w:p>
            <w:pPr>
              <w:spacing w:line="360" w:lineRule="auto"/>
              <w:ind w:left="-28"/>
              <w:rPr>
                <w:rFonts w:ascii="仿宋" w:hAnsi="仿宋" w:eastAsia="仿宋" w:cs="Times New Roman"/>
                <w:sz w:val="24"/>
                <w:szCs w:val="24"/>
              </w:rPr>
            </w:pPr>
          </w:p>
          <w:p>
            <w:pPr>
              <w:spacing w:line="360" w:lineRule="auto"/>
              <w:ind w:left="-28"/>
              <w:rPr>
                <w:rFonts w:ascii="仿宋" w:hAnsi="仿宋" w:eastAsia="仿宋" w:cs="Times New Roman"/>
                <w:sz w:val="24"/>
                <w:szCs w:val="24"/>
              </w:rPr>
            </w:pPr>
          </w:p>
          <w:p>
            <w:pPr>
              <w:spacing w:line="360" w:lineRule="auto"/>
              <w:ind w:left="-28"/>
              <w:rPr>
                <w:rFonts w:ascii="仿宋" w:hAnsi="仿宋" w:eastAsia="仿宋" w:cs="Times New Roman"/>
                <w:sz w:val="24"/>
                <w:szCs w:val="24"/>
              </w:rPr>
            </w:pPr>
          </w:p>
          <w:p>
            <w:pPr>
              <w:spacing w:line="360" w:lineRule="auto"/>
              <w:ind w:left="-28"/>
              <w:rPr>
                <w:rFonts w:ascii="仿宋" w:hAnsi="仿宋" w:eastAsia="仿宋" w:cs="Times New Roman"/>
                <w:sz w:val="24"/>
                <w:szCs w:val="24"/>
              </w:rPr>
            </w:pPr>
          </w:p>
          <w:p>
            <w:pPr>
              <w:spacing w:line="360" w:lineRule="auto"/>
              <w:ind w:left="-28"/>
              <w:rPr>
                <w:rFonts w:ascii="仿宋" w:hAnsi="仿宋" w:eastAsia="仿宋" w:cs="Times New Roman"/>
                <w:sz w:val="24"/>
                <w:szCs w:val="24"/>
              </w:rPr>
            </w:pPr>
          </w:p>
          <w:p>
            <w:pPr>
              <w:spacing w:line="360" w:lineRule="auto"/>
              <w:ind w:left="-28"/>
              <w:rPr>
                <w:rFonts w:ascii="仿宋" w:hAnsi="仿宋" w:eastAsia="仿宋" w:cs="Times New Roman"/>
                <w:sz w:val="24"/>
                <w:szCs w:val="24"/>
              </w:rPr>
            </w:pPr>
          </w:p>
          <w:p>
            <w:pPr>
              <w:spacing w:line="360" w:lineRule="auto"/>
              <w:ind w:firstLine="5880" w:firstLineChars="2450"/>
              <w:rPr>
                <w:rFonts w:ascii="仿宋" w:hAnsi="仿宋" w:eastAsia="仿宋" w:cs="Times New Roman"/>
                <w:sz w:val="24"/>
                <w:szCs w:val="24"/>
                <w:u w:val="single"/>
              </w:rPr>
            </w:pPr>
            <w:r>
              <w:rPr>
                <w:rFonts w:hint="eastAsia" w:ascii="仿宋" w:hAnsi="仿宋" w:eastAsia="仿宋" w:cs="仿宋"/>
                <w:sz w:val="24"/>
                <w:szCs w:val="24"/>
              </w:rPr>
              <w:t>监理人（章）</w:t>
            </w:r>
          </w:p>
          <w:p>
            <w:pPr>
              <w:spacing w:line="360" w:lineRule="auto"/>
              <w:ind w:firstLine="5920" w:firstLineChars="2000"/>
              <w:rPr>
                <w:rFonts w:ascii="仿宋" w:hAnsi="仿宋" w:eastAsia="仿宋" w:cs="仿宋"/>
                <w:sz w:val="24"/>
                <w:szCs w:val="24"/>
                <w:u w:val="single"/>
              </w:rPr>
            </w:pPr>
            <w:r>
              <w:rPr>
                <w:rFonts w:hint="eastAsia" w:ascii="仿宋" w:hAnsi="仿宋" w:eastAsia="仿宋" w:cs="仿宋"/>
                <w:spacing w:val="28"/>
                <w:sz w:val="24"/>
                <w:szCs w:val="24"/>
              </w:rPr>
              <w:t>监理工程师</w:t>
            </w:r>
            <w:r>
              <w:rPr>
                <w:rFonts w:ascii="仿宋" w:hAnsi="仿宋" w:eastAsia="仿宋" w:cs="仿宋"/>
                <w:sz w:val="24"/>
                <w:szCs w:val="24"/>
                <w:u w:val="single"/>
              </w:rPr>
              <w:t xml:space="preserve">             </w:t>
            </w:r>
          </w:p>
          <w:p>
            <w:pPr>
              <w:spacing w:line="360" w:lineRule="auto"/>
              <w:ind w:firstLine="5880" w:firstLineChars="2450"/>
              <w:rPr>
                <w:rFonts w:ascii="仿宋" w:hAnsi="仿宋" w:eastAsia="仿宋" w:cs="Times New Roman"/>
                <w:spacing w:val="20"/>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rPr>
              <w:t xml:space="preserve"> </w:t>
            </w:r>
            <w:r>
              <w:rPr>
                <w:rFonts w:ascii="仿宋" w:hAnsi="仿宋" w:eastAsia="仿宋" w:cs="仿宋"/>
                <w:sz w:val="24"/>
                <w:szCs w:val="24"/>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39" w:hRule="atLeast"/>
        </w:trPr>
        <w:tc>
          <w:tcPr>
            <w:tcW w:w="10273" w:type="dxa"/>
            <w:tcBorders>
              <w:top w:val="single" w:color="auto" w:sz="4" w:space="0"/>
              <w:bottom w:val="single" w:color="000000" w:sz="6" w:space="0"/>
            </w:tcBorders>
            <w:vAlign w:val="top"/>
          </w:tcPr>
          <w:p>
            <w:pPr>
              <w:snapToGrid w:val="0"/>
              <w:spacing w:line="360" w:lineRule="auto"/>
              <w:ind w:hanging="6"/>
              <w:rPr>
                <w:rFonts w:ascii="仿宋" w:hAnsi="仿宋" w:eastAsia="仿宋" w:cs="Times New Roman"/>
                <w:sz w:val="24"/>
                <w:szCs w:val="24"/>
              </w:rPr>
            </w:pPr>
            <w:r>
              <w:rPr>
                <w:rFonts w:hint="eastAsia" w:ascii="仿宋" w:hAnsi="仿宋" w:eastAsia="仿宋" w:cs="仿宋"/>
                <w:sz w:val="24"/>
                <w:szCs w:val="24"/>
              </w:rPr>
              <w:t>审批意见：</w:t>
            </w:r>
          </w:p>
          <w:p>
            <w:pPr>
              <w:snapToGrid w:val="0"/>
              <w:spacing w:line="360" w:lineRule="auto"/>
              <w:ind w:hanging="6"/>
              <w:rPr>
                <w:rFonts w:ascii="仿宋" w:hAnsi="仿宋" w:eastAsia="仿宋" w:cs="Times New Roman"/>
                <w:sz w:val="24"/>
                <w:szCs w:val="24"/>
              </w:rPr>
            </w:pPr>
          </w:p>
          <w:p>
            <w:pPr>
              <w:snapToGrid w:val="0"/>
              <w:spacing w:line="360" w:lineRule="auto"/>
              <w:rPr>
                <w:rFonts w:ascii="仿宋" w:hAnsi="仿宋" w:eastAsia="仿宋" w:cs="Times New Roman"/>
                <w:sz w:val="24"/>
                <w:szCs w:val="24"/>
              </w:rPr>
            </w:pPr>
          </w:p>
          <w:p>
            <w:pPr>
              <w:snapToGrid w:val="0"/>
              <w:spacing w:line="360" w:lineRule="auto"/>
              <w:rPr>
                <w:rFonts w:ascii="仿宋" w:hAnsi="仿宋" w:eastAsia="仿宋" w:cs="Times New Roman"/>
                <w:sz w:val="24"/>
                <w:szCs w:val="24"/>
              </w:rPr>
            </w:pPr>
          </w:p>
          <w:p>
            <w:pPr>
              <w:snapToGrid w:val="0"/>
              <w:spacing w:line="360" w:lineRule="auto"/>
              <w:ind w:hanging="6"/>
              <w:jc w:val="center"/>
              <w:rPr>
                <w:rFonts w:ascii="仿宋" w:hAnsi="仿宋" w:eastAsia="仿宋" w:cs="仿宋"/>
                <w:sz w:val="24"/>
                <w:szCs w:val="24"/>
              </w:rPr>
            </w:pPr>
            <w:r>
              <w:rPr>
                <w:rFonts w:ascii="仿宋" w:hAnsi="仿宋" w:eastAsia="仿宋" w:cs="仿宋"/>
                <w:sz w:val="24"/>
                <w:szCs w:val="24"/>
              </w:rPr>
              <w:t xml:space="preserve">                               </w:t>
            </w:r>
          </w:p>
          <w:p>
            <w:pPr>
              <w:snapToGrid w:val="0"/>
              <w:spacing w:line="360" w:lineRule="auto"/>
              <w:ind w:hanging="6"/>
              <w:jc w:val="center"/>
              <w:rPr>
                <w:rFonts w:ascii="仿宋" w:hAnsi="仿宋" w:eastAsia="仿宋" w:cs="Times New Roman"/>
                <w:sz w:val="24"/>
                <w:szCs w:val="24"/>
              </w:rPr>
            </w:pPr>
            <w:r>
              <w:rPr>
                <w:rFonts w:hint="eastAsia" w:ascii="仿宋" w:hAnsi="仿宋" w:eastAsia="仿宋" w:cs="仿宋"/>
                <w:sz w:val="24"/>
                <w:szCs w:val="24"/>
              </w:rPr>
              <w:t>　　　　　　　　　　　　发包人（章）</w:t>
            </w:r>
          </w:p>
          <w:p>
            <w:pPr>
              <w:snapToGrid w:val="0"/>
              <w:spacing w:line="360" w:lineRule="auto"/>
              <w:ind w:hanging="6"/>
              <w:jc w:val="center"/>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发包人代表</w:t>
            </w:r>
            <w:r>
              <w:rPr>
                <w:rFonts w:ascii="仿宋" w:hAnsi="仿宋" w:eastAsia="仿宋" w:cs="仿宋"/>
                <w:b/>
                <w:bCs/>
                <w:sz w:val="24"/>
                <w:szCs w:val="24"/>
                <w:u w:val="single"/>
              </w:rPr>
              <w:t xml:space="preserve">             </w:t>
            </w:r>
          </w:p>
          <w:p>
            <w:pPr>
              <w:snapToGrid w:val="0"/>
              <w:spacing w:line="360" w:lineRule="auto"/>
              <w:ind w:hanging="6"/>
              <w:jc w:val="left"/>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pPr>
        <w:ind w:left="1" w:firstLine="360" w:firstLineChars="150"/>
        <w:rPr>
          <w:rFonts w:ascii="仿宋" w:hAnsi="仿宋" w:eastAsia="仿宋" w:cs="Times New Roman"/>
          <w:sz w:val="24"/>
          <w:szCs w:val="24"/>
        </w:rPr>
      </w:pPr>
      <w:r>
        <w:rPr>
          <w:rFonts w:hint="eastAsia" w:ascii="仿宋" w:hAnsi="仿宋" w:eastAsia="仿宋" w:cs="仿宋"/>
          <w:sz w:val="24"/>
          <w:szCs w:val="24"/>
        </w:rPr>
        <w:t>说明：本表一式四份，由监理人、发包人按合同规定程序填制，并连同工程造价咨询人（如有）、承包人各存一份。</w:t>
      </w:r>
    </w:p>
    <w:p>
      <w:pPr>
        <w:spacing w:line="360" w:lineRule="auto"/>
        <w:ind w:left="720" w:hanging="720" w:hangingChars="300"/>
        <w:outlineLvl w:val="1"/>
        <w:rPr>
          <w:rFonts w:ascii="仿宋" w:hAnsi="仿宋" w:eastAsia="仿宋" w:cs="仿宋"/>
          <w:b/>
          <w:bCs/>
          <w:color w:val="000000"/>
          <w:kern w:val="0"/>
          <w:sz w:val="24"/>
          <w:szCs w:val="24"/>
        </w:rPr>
      </w:pPr>
      <w:r>
        <w:rPr>
          <w:rFonts w:ascii="仿宋" w:hAnsi="仿宋" w:eastAsia="仿宋" w:cs="Times New Roman"/>
          <w:kern w:val="0"/>
          <w:sz w:val="24"/>
          <w:szCs w:val="24"/>
        </w:rPr>
        <w:br w:type="page"/>
      </w:r>
      <w:bookmarkStart w:id="779" w:name="_Toc469384157"/>
      <w:bookmarkStart w:id="780" w:name="_Toc10625001"/>
      <w:bookmarkStart w:id="781" w:name="_Toc266892942"/>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16</w:t>
      </w:r>
      <w:bookmarkEnd w:id="779"/>
      <w:bookmarkEnd w:id="780"/>
      <w:bookmarkEnd w:id="781"/>
    </w:p>
    <w:p>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工程竣工验收申请报告</w:t>
      </w:r>
    </w:p>
    <w:p>
      <w:pPr>
        <w:spacing w:line="360" w:lineRule="auto"/>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0"/>
        <w:tblW w:w="10443"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06" w:hRule="atLeast"/>
        </w:trPr>
        <w:tc>
          <w:tcPr>
            <w:tcW w:w="10443" w:type="dxa"/>
            <w:vAlign w:val="top"/>
          </w:tcPr>
          <w:p>
            <w:pPr>
              <w:spacing w:before="120" w:line="360" w:lineRule="auto"/>
              <w:ind w:left="-28" w:firstLine="181"/>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（发包人全称）</w:t>
            </w:r>
          </w:p>
          <w:p>
            <w:pPr>
              <w:spacing w:line="360" w:lineRule="auto"/>
              <w:ind w:left="-3" w:firstLine="510"/>
              <w:rPr>
                <w:rFonts w:ascii="仿宋" w:hAnsi="仿宋" w:eastAsia="仿宋" w:cs="Times New Roman"/>
                <w:sz w:val="24"/>
                <w:szCs w:val="24"/>
              </w:rPr>
            </w:pPr>
            <w:r>
              <w:rPr>
                <w:rFonts w:hint="eastAsia" w:ascii="仿宋" w:hAnsi="仿宋" w:eastAsia="仿宋" w:cs="仿宋"/>
                <w:sz w:val="24"/>
                <w:szCs w:val="24"/>
              </w:rPr>
              <w:t>我方已按合同要求完成了</w:t>
            </w:r>
            <w:r>
              <w:rPr>
                <w:rFonts w:ascii="仿宋" w:hAnsi="仿宋" w:eastAsia="仿宋" w:cs="仿宋"/>
                <w:sz w:val="24"/>
                <w:szCs w:val="24"/>
                <w:u w:val="single"/>
              </w:rPr>
              <w:t xml:space="preserve">                                     </w:t>
            </w:r>
            <w:r>
              <w:rPr>
                <w:rFonts w:hint="eastAsia" w:ascii="仿宋" w:hAnsi="仿宋" w:eastAsia="仿宋" w:cs="仿宋"/>
                <w:sz w:val="24"/>
                <w:szCs w:val="24"/>
              </w:rPr>
              <w:t>工程</w:t>
            </w:r>
            <w:r>
              <w:rPr>
                <w:rFonts w:ascii="仿宋" w:hAnsi="仿宋" w:eastAsia="仿宋" w:cs="仿宋"/>
                <w:sz w:val="24"/>
                <w:szCs w:val="24"/>
              </w:rPr>
              <w:t>,</w:t>
            </w:r>
            <w:r>
              <w:rPr>
                <w:rFonts w:hint="eastAsia" w:ascii="仿宋" w:hAnsi="仿宋" w:eastAsia="仿宋" w:cs="仿宋"/>
                <w:sz w:val="24"/>
                <w:szCs w:val="24"/>
              </w:rPr>
              <w:t>经自检合格，现提出工程竣工验收（内容详见附件），请予以验收。</w:t>
            </w:r>
          </w:p>
          <w:p>
            <w:pPr>
              <w:spacing w:line="360" w:lineRule="auto"/>
              <w:ind w:left="-3" w:firstLine="510"/>
              <w:rPr>
                <w:rFonts w:ascii="仿宋" w:hAnsi="仿宋" w:eastAsia="仿宋" w:cs="Times New Roman"/>
                <w:sz w:val="24"/>
                <w:szCs w:val="24"/>
              </w:rPr>
            </w:pPr>
            <w:r>
              <w:rPr>
                <w:rFonts w:hint="eastAsia" w:ascii="仿宋" w:hAnsi="仿宋" w:eastAsia="仿宋" w:cs="仿宋"/>
                <w:sz w:val="24"/>
                <w:szCs w:val="24"/>
              </w:rPr>
              <w:t>你方应该清楚，工程具备验收条件的，应按照合同约定期限完成竣工验收，否则将承担相应责任。</w:t>
            </w:r>
          </w:p>
          <w:p>
            <w:pPr>
              <w:spacing w:line="360" w:lineRule="auto"/>
              <w:ind w:left="-108" w:firstLine="510"/>
              <w:rPr>
                <w:rFonts w:ascii="仿宋" w:hAnsi="仿宋" w:eastAsia="仿宋" w:cs="仿宋"/>
                <w:sz w:val="24"/>
                <w:szCs w:val="24"/>
              </w:rPr>
            </w:pPr>
            <w:r>
              <w:rPr>
                <w:rFonts w:hint="eastAsia" w:ascii="仿宋" w:hAnsi="仿宋" w:eastAsia="仿宋" w:cs="仿宋"/>
                <w:sz w:val="24"/>
                <w:szCs w:val="24"/>
              </w:rPr>
              <w:t>附件</w:t>
            </w:r>
            <w:r>
              <w:rPr>
                <w:rFonts w:ascii="仿宋" w:hAnsi="仿宋" w:eastAsia="仿宋" w:cs="仿宋"/>
                <w:sz w:val="24"/>
                <w:szCs w:val="24"/>
              </w:rPr>
              <w:t xml:space="preserve">: </w:t>
            </w:r>
          </w:p>
          <w:p>
            <w:pPr>
              <w:spacing w:line="360" w:lineRule="auto"/>
              <w:rPr>
                <w:rFonts w:ascii="仿宋" w:hAnsi="仿宋" w:eastAsia="仿宋" w:cs="Times New Roman"/>
                <w:sz w:val="24"/>
                <w:szCs w:val="24"/>
              </w:rPr>
            </w:pPr>
          </w:p>
          <w:p>
            <w:pPr>
              <w:spacing w:line="360" w:lineRule="auto"/>
              <w:ind w:firstLine="6288" w:firstLineChars="2620"/>
              <w:rPr>
                <w:rFonts w:ascii="仿宋" w:hAnsi="仿宋" w:eastAsia="仿宋" w:cs="Times New Roman"/>
                <w:sz w:val="24"/>
                <w:szCs w:val="24"/>
                <w:u w:val="single"/>
              </w:rPr>
            </w:pPr>
            <w:r>
              <w:rPr>
                <w:rFonts w:hint="eastAsia" w:ascii="仿宋" w:hAnsi="仿宋" w:eastAsia="仿宋" w:cs="仿宋"/>
                <w:sz w:val="24"/>
                <w:szCs w:val="24"/>
              </w:rPr>
              <w:t>承包人（章）</w:t>
            </w:r>
            <w:r>
              <w:rPr>
                <w:rFonts w:ascii="仿宋" w:hAnsi="仿宋" w:eastAsia="仿宋" w:cs="仿宋"/>
                <w:sz w:val="24"/>
                <w:szCs w:val="24"/>
              </w:rPr>
              <w:t xml:space="preserve">               </w:t>
            </w:r>
          </w:p>
          <w:p>
            <w:pPr>
              <w:tabs>
                <w:tab w:val="left" w:pos="7092"/>
              </w:tabs>
              <w:spacing w:line="360" w:lineRule="auto"/>
              <w:ind w:firstLine="6300"/>
              <w:rPr>
                <w:rFonts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pPr>
              <w:spacing w:line="360" w:lineRule="auto"/>
              <w:ind w:firstLine="6300"/>
              <w:rPr>
                <w:rFonts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16" w:hRule="atLeast"/>
        </w:trPr>
        <w:tc>
          <w:tcPr>
            <w:tcW w:w="10443" w:type="dxa"/>
            <w:tcBorders>
              <w:bottom w:val="nil"/>
            </w:tcBorders>
            <w:vAlign w:val="top"/>
          </w:tcPr>
          <w:p>
            <w:pPr>
              <w:spacing w:line="360" w:lineRule="auto"/>
              <w:rPr>
                <w:rFonts w:ascii="仿宋" w:hAnsi="仿宋" w:eastAsia="仿宋" w:cs="Times New Roman"/>
                <w:sz w:val="24"/>
                <w:szCs w:val="24"/>
              </w:rPr>
            </w:pPr>
            <w:r>
              <w:rPr>
                <w:rFonts w:hint="eastAsia" w:ascii="仿宋" w:hAnsi="仿宋" w:eastAsia="仿宋" w:cs="仿宋"/>
                <w:sz w:val="24"/>
                <w:szCs w:val="24"/>
              </w:rPr>
              <w:t>审查意见：</w:t>
            </w:r>
          </w:p>
          <w:p>
            <w:pPr>
              <w:spacing w:line="360" w:lineRule="auto"/>
              <w:ind w:left="-28" w:firstLine="510"/>
              <w:rPr>
                <w:rFonts w:ascii="仿宋" w:hAnsi="仿宋" w:eastAsia="仿宋" w:cs="Times New Roman"/>
                <w:sz w:val="24"/>
                <w:szCs w:val="24"/>
              </w:rPr>
            </w:pPr>
            <w:r>
              <w:rPr>
                <w:rFonts w:hint="eastAsia" w:ascii="仿宋" w:hAnsi="仿宋" w:eastAsia="仿宋" w:cs="仿宋"/>
                <w:sz w:val="24"/>
                <w:szCs w:val="24"/>
              </w:rPr>
              <w:t>经初步验收，该工程</w:t>
            </w:r>
          </w:p>
          <w:p>
            <w:pPr>
              <w:spacing w:line="360" w:lineRule="auto"/>
              <w:ind w:firstLine="522"/>
              <w:rPr>
                <w:rFonts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符合</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不符合）施工设计图纸要求；</w:t>
            </w:r>
          </w:p>
          <w:p>
            <w:pPr>
              <w:spacing w:line="360" w:lineRule="auto"/>
              <w:ind w:firstLine="522"/>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符合</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不符合）施工合同要求；</w:t>
            </w:r>
          </w:p>
          <w:p>
            <w:pPr>
              <w:spacing w:line="360" w:lineRule="auto"/>
              <w:ind w:left="-28" w:firstLine="550"/>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符合</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不符合）竣工资料要求；</w:t>
            </w:r>
          </w:p>
          <w:p>
            <w:pPr>
              <w:spacing w:line="360" w:lineRule="auto"/>
              <w:ind w:left="-28" w:firstLine="550"/>
              <w:rPr>
                <w:rFonts w:ascii="仿宋" w:hAnsi="仿宋" w:eastAsia="仿宋" w:cs="Times New Roman"/>
                <w:sz w:val="24"/>
                <w:szCs w:val="24"/>
              </w:rPr>
            </w:pPr>
            <w:r>
              <w:rPr>
                <w:rFonts w:ascii="仿宋" w:hAnsi="仿宋" w:eastAsia="仿宋" w:cs="仿宋"/>
                <w:sz w:val="24"/>
                <w:szCs w:val="24"/>
              </w:rPr>
              <w:t>4.</w:t>
            </w:r>
            <w:r>
              <w:rPr>
                <w:rFonts w:hint="eastAsia"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符合</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不符合）缺陷责任期返工工作清单和计划；</w:t>
            </w:r>
          </w:p>
          <w:p>
            <w:pPr>
              <w:spacing w:line="360" w:lineRule="auto"/>
              <w:ind w:left="-28" w:firstLine="550"/>
              <w:rPr>
                <w:rFonts w:ascii="仿宋" w:hAnsi="仿宋" w:eastAsia="仿宋" w:cs="Times New Roman"/>
                <w:sz w:val="24"/>
                <w:szCs w:val="24"/>
              </w:rPr>
            </w:pPr>
            <w:r>
              <w:rPr>
                <w:rFonts w:ascii="仿宋" w:hAnsi="仿宋" w:eastAsia="仿宋" w:cs="仿宋"/>
                <w:sz w:val="24"/>
                <w:szCs w:val="24"/>
              </w:rPr>
              <w:t>5.</w:t>
            </w:r>
            <w:r>
              <w:rPr>
                <w:rFonts w:hint="eastAsia"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符合</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不符合）竣工验收资料清单。</w:t>
            </w:r>
          </w:p>
          <w:p>
            <w:pPr>
              <w:spacing w:line="360" w:lineRule="auto"/>
              <w:ind w:right="-56" w:hanging="3"/>
              <w:rPr>
                <w:rFonts w:ascii="仿宋" w:hAnsi="仿宋" w:eastAsia="仿宋" w:cs="Times New Roman"/>
                <w:sz w:val="24"/>
                <w:szCs w:val="24"/>
              </w:rPr>
            </w:pPr>
            <w:r>
              <w:rPr>
                <w:rFonts w:hint="eastAsia" w:ascii="仿宋" w:hAnsi="仿宋" w:eastAsia="仿宋" w:cs="仿宋"/>
                <w:sz w:val="24"/>
                <w:szCs w:val="24"/>
              </w:rPr>
              <w:t>综上所述，该工程初步验收</w:t>
            </w:r>
            <w:r>
              <w:rPr>
                <w:rFonts w:ascii="仿宋" w:hAnsi="仿宋" w:eastAsia="仿宋" w:cs="仿宋"/>
                <w:sz w:val="24"/>
                <w:szCs w:val="24"/>
              </w:rPr>
              <w:t xml:space="preserve"> </w:t>
            </w:r>
            <w:r>
              <w:rPr>
                <w:rFonts w:hint="eastAsia"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合格</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不合格），（</w:t>
            </w:r>
            <w:r>
              <w:rPr>
                <w:rFonts w:hint="eastAsia" w:ascii="仿宋" w:hAnsi="仿宋" w:eastAsia="仿宋" w:cs="仿宋"/>
                <w:sz w:val="32"/>
                <w:szCs w:val="32"/>
              </w:rPr>
              <w:t>□</w:t>
            </w:r>
            <w:r>
              <w:rPr>
                <w:rFonts w:hint="eastAsia" w:ascii="仿宋" w:hAnsi="仿宋" w:eastAsia="仿宋" w:cs="仿宋"/>
                <w:sz w:val="24"/>
                <w:szCs w:val="24"/>
              </w:rPr>
              <w:t>可以</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不可以）组织正式验收。</w:t>
            </w:r>
          </w:p>
          <w:p>
            <w:pPr>
              <w:spacing w:line="360" w:lineRule="auto"/>
              <w:ind w:right="-56"/>
              <w:rPr>
                <w:rFonts w:ascii="仿宋" w:hAnsi="仿宋" w:eastAsia="仿宋" w:cs="Times New Roman"/>
                <w:sz w:val="24"/>
                <w:szCs w:val="24"/>
              </w:rPr>
            </w:pPr>
          </w:p>
          <w:p>
            <w:pPr>
              <w:spacing w:line="360" w:lineRule="auto"/>
              <w:ind w:right="-56"/>
              <w:rPr>
                <w:rFonts w:ascii="仿宋" w:hAnsi="仿宋" w:eastAsia="仿宋"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434" w:hRule="atLeast"/>
        </w:trPr>
        <w:tc>
          <w:tcPr>
            <w:tcW w:w="10443" w:type="dxa"/>
            <w:tcBorders>
              <w:top w:val="nil"/>
            </w:tcBorders>
            <w:vAlign w:val="top"/>
          </w:tcPr>
          <w:p>
            <w:pPr>
              <w:spacing w:line="360" w:lineRule="auto"/>
              <w:ind w:right="-56" w:firstLine="6295" w:firstLineChars="2623"/>
              <w:rPr>
                <w:rFonts w:ascii="仿宋" w:hAnsi="仿宋" w:eastAsia="仿宋" w:cs="Times New Roman"/>
                <w:sz w:val="24"/>
                <w:szCs w:val="24"/>
              </w:rPr>
            </w:pPr>
            <w:r>
              <w:rPr>
                <w:rFonts w:hint="eastAsia" w:ascii="仿宋" w:hAnsi="仿宋" w:eastAsia="仿宋" w:cs="仿宋"/>
                <w:sz w:val="24"/>
                <w:szCs w:val="24"/>
              </w:rPr>
              <w:t>监理人（章）</w:t>
            </w:r>
            <w:r>
              <w:rPr>
                <w:rFonts w:ascii="仿宋" w:hAnsi="仿宋" w:eastAsia="仿宋" w:cs="仿宋"/>
                <w:sz w:val="24"/>
                <w:szCs w:val="24"/>
              </w:rPr>
              <w:t xml:space="preserve">       </w:t>
            </w:r>
          </w:p>
          <w:p>
            <w:pPr>
              <w:spacing w:line="360" w:lineRule="auto"/>
              <w:ind w:right="-56" w:firstLine="6295" w:firstLineChars="2623"/>
              <w:rPr>
                <w:rFonts w:ascii="仿宋" w:hAnsi="仿宋" w:eastAsia="仿宋" w:cs="仿宋"/>
                <w:sz w:val="24"/>
                <w:szCs w:val="24"/>
              </w:rPr>
            </w:pPr>
            <w:r>
              <w:rPr>
                <w:rFonts w:hint="eastAsia" w:ascii="仿宋" w:hAnsi="仿宋" w:eastAsia="仿宋" w:cs="仿宋"/>
                <w:sz w:val="24"/>
                <w:szCs w:val="24"/>
              </w:rPr>
              <w:t>监理工程师</w:t>
            </w:r>
            <w:r>
              <w:rPr>
                <w:rFonts w:ascii="仿宋" w:hAnsi="仿宋" w:eastAsia="仿宋" w:cs="仿宋"/>
                <w:sz w:val="24"/>
                <w:szCs w:val="24"/>
                <w:u w:val="single"/>
              </w:rPr>
              <w:t xml:space="preserve">            </w:t>
            </w:r>
            <w:r>
              <w:rPr>
                <w:rFonts w:ascii="仿宋" w:hAnsi="仿宋" w:eastAsia="仿宋" w:cs="仿宋"/>
                <w:sz w:val="24"/>
                <w:szCs w:val="24"/>
              </w:rPr>
              <w:t xml:space="preserve"> </w:t>
            </w:r>
          </w:p>
          <w:p>
            <w:pPr>
              <w:spacing w:line="360" w:lineRule="auto"/>
              <w:ind w:firstLine="6295" w:firstLineChars="2623"/>
              <w:rPr>
                <w:rFonts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pPr>
        <w:rPr>
          <w:rFonts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．在需要选择的栏中的“</w:t>
      </w:r>
      <w:r>
        <w:rPr>
          <w:rFonts w:hint="eastAsia" w:ascii="仿宋" w:hAnsi="仿宋" w:eastAsia="仿宋" w:cs="仿宋"/>
          <w:sz w:val="32"/>
          <w:szCs w:val="32"/>
        </w:rPr>
        <w:t>□</w:t>
      </w:r>
      <w:r>
        <w:rPr>
          <w:rFonts w:hint="eastAsia" w:ascii="仿宋" w:hAnsi="仿宋" w:eastAsia="仿宋" w:cs="仿宋"/>
          <w:sz w:val="24"/>
          <w:szCs w:val="24"/>
        </w:rPr>
        <w:t>”内作标识“√”。</w:t>
      </w:r>
    </w:p>
    <w:p>
      <w:pPr>
        <w:ind w:left="1078" w:leftChars="342" w:hanging="360" w:hangingChars="15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．本表一式三份，由承包人、监理工程师按合同规定程序填制，并连同发包人各存一份。</w:t>
      </w:r>
    </w:p>
    <w:p>
      <w:pPr>
        <w:spacing w:line="360" w:lineRule="auto"/>
        <w:ind w:left="720" w:hanging="720" w:hangingChars="300"/>
        <w:outlineLvl w:val="1"/>
        <w:rPr>
          <w:rFonts w:ascii="仿宋" w:hAnsi="仿宋" w:eastAsia="仿宋" w:cs="仿宋"/>
          <w:b/>
          <w:bCs/>
          <w:color w:val="000000"/>
          <w:kern w:val="0"/>
          <w:sz w:val="24"/>
          <w:szCs w:val="24"/>
        </w:rPr>
      </w:pPr>
      <w:r>
        <w:rPr>
          <w:rFonts w:ascii="仿宋" w:hAnsi="仿宋" w:eastAsia="仿宋" w:cs="Times New Roman"/>
          <w:kern w:val="0"/>
          <w:sz w:val="24"/>
          <w:szCs w:val="24"/>
        </w:rPr>
        <w:br w:type="page"/>
      </w:r>
      <w:bookmarkStart w:id="782" w:name="_Toc10625002"/>
      <w:bookmarkStart w:id="783" w:name="_Toc469384158"/>
      <w:bookmarkStart w:id="784" w:name="_Toc266892943"/>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17</w:t>
      </w:r>
      <w:bookmarkEnd w:id="782"/>
      <w:bookmarkEnd w:id="783"/>
      <w:bookmarkEnd w:id="784"/>
    </w:p>
    <w:p>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工程竣工验收记录</w:t>
      </w:r>
    </w:p>
    <w:p>
      <w:pPr>
        <w:spacing w:line="360" w:lineRule="auto"/>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0"/>
        <w:tblW w:w="10359"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3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02" w:hRule="atLeast"/>
        </w:trPr>
        <w:tc>
          <w:tcPr>
            <w:tcW w:w="10359" w:type="dxa"/>
            <w:tcBorders>
              <w:bottom w:val="single" w:color="auto" w:sz="4" w:space="0"/>
            </w:tcBorders>
            <w:vAlign w:val="top"/>
          </w:tcPr>
          <w:p>
            <w:pPr>
              <w:spacing w:before="120" w:line="360" w:lineRule="auto"/>
              <w:ind w:left="-27" w:leftChars="-13" w:firstLine="540" w:firstLineChars="225"/>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（发包人全称）</w:t>
            </w:r>
          </w:p>
          <w:p>
            <w:pPr>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我方按合同要求参加了</w:t>
            </w:r>
            <w:r>
              <w:rPr>
                <w:rFonts w:ascii="仿宋" w:hAnsi="仿宋" w:eastAsia="仿宋" w:cs="仿宋"/>
                <w:sz w:val="24"/>
                <w:szCs w:val="24"/>
                <w:u w:val="single"/>
              </w:rPr>
              <w:t xml:space="preserve">                                     </w:t>
            </w:r>
            <w:r>
              <w:rPr>
                <w:rFonts w:hint="eastAsia" w:ascii="仿宋" w:hAnsi="仿宋" w:eastAsia="仿宋" w:cs="仿宋"/>
                <w:sz w:val="24"/>
                <w:szCs w:val="24"/>
              </w:rPr>
              <w:t>工程竣工验收</w:t>
            </w:r>
            <w:r>
              <w:rPr>
                <w:rFonts w:ascii="仿宋" w:hAnsi="仿宋" w:eastAsia="仿宋" w:cs="仿宋"/>
                <w:sz w:val="24"/>
                <w:szCs w:val="24"/>
              </w:rPr>
              <w:t>,</w:t>
            </w:r>
            <w:r>
              <w:rPr>
                <w:rFonts w:hint="eastAsia" w:ascii="仿宋" w:hAnsi="仿宋" w:eastAsia="仿宋" w:cs="仿宋"/>
                <w:sz w:val="24"/>
                <w:szCs w:val="24"/>
              </w:rPr>
              <w:t>经参加验收各方共同验收，记录如下：</w:t>
            </w:r>
          </w:p>
          <w:tbl>
            <w:tblPr>
              <w:tblStyle w:val="4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2520"/>
              <w:gridCol w:w="6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序号</w:t>
                  </w:r>
                </w:p>
              </w:tc>
              <w:tc>
                <w:tcPr>
                  <w:tcW w:w="2520"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项</w:t>
                  </w:r>
                  <w:r>
                    <w:rPr>
                      <w:rFonts w:ascii="仿宋" w:hAnsi="仿宋" w:eastAsia="仿宋" w:cs="仿宋"/>
                      <w:sz w:val="24"/>
                      <w:szCs w:val="24"/>
                    </w:rPr>
                    <w:t xml:space="preserve">  </w:t>
                  </w:r>
                  <w:r>
                    <w:rPr>
                      <w:rFonts w:hint="eastAsia" w:ascii="仿宋" w:hAnsi="仿宋" w:eastAsia="仿宋" w:cs="仿宋"/>
                      <w:sz w:val="24"/>
                      <w:szCs w:val="24"/>
                    </w:rPr>
                    <w:t>目</w:t>
                  </w:r>
                </w:p>
              </w:tc>
              <w:tc>
                <w:tcPr>
                  <w:tcW w:w="6641"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验</w:t>
                  </w:r>
                  <w:r>
                    <w:rPr>
                      <w:rFonts w:ascii="仿宋" w:hAnsi="仿宋" w:eastAsia="仿宋" w:cs="仿宋"/>
                      <w:sz w:val="24"/>
                      <w:szCs w:val="24"/>
                    </w:rPr>
                    <w:t xml:space="preserve"> </w:t>
                  </w:r>
                  <w:r>
                    <w:rPr>
                      <w:rFonts w:hint="eastAsia" w:ascii="仿宋" w:hAnsi="仿宋" w:eastAsia="仿宋" w:cs="仿宋"/>
                      <w:sz w:val="24"/>
                      <w:szCs w:val="24"/>
                    </w:rPr>
                    <w:t>收</w:t>
                  </w:r>
                  <w:r>
                    <w:rPr>
                      <w:rFonts w:ascii="仿宋" w:hAnsi="仿宋" w:eastAsia="仿宋" w:cs="仿宋"/>
                      <w:sz w:val="24"/>
                      <w:szCs w:val="24"/>
                    </w:rPr>
                    <w:t xml:space="preserve"> </w:t>
                  </w:r>
                  <w:r>
                    <w:rPr>
                      <w:rFonts w:hint="eastAsia" w:ascii="仿宋" w:hAnsi="仿宋" w:eastAsia="仿宋" w:cs="仿宋"/>
                      <w:sz w:val="24"/>
                      <w:szCs w:val="24"/>
                    </w:rPr>
                    <w:t>记</w:t>
                  </w:r>
                  <w:r>
                    <w:rPr>
                      <w:rFonts w:ascii="仿宋" w:hAnsi="仿宋" w:eastAsia="仿宋" w:cs="仿宋"/>
                      <w:sz w:val="24"/>
                      <w:szCs w:val="24"/>
                    </w:rPr>
                    <w:t xml:space="preserve"> </w:t>
                  </w:r>
                  <w:r>
                    <w:rPr>
                      <w:rFonts w:hint="eastAsia" w:ascii="仿宋" w:hAnsi="仿宋" w:eastAsia="仿宋" w:cs="仿宋"/>
                      <w:sz w:val="24"/>
                      <w:szCs w:val="24"/>
                    </w:rPr>
                    <w:t>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cs="Times New Roman"/>
                      <w:sz w:val="24"/>
                      <w:szCs w:val="24"/>
                    </w:rPr>
                  </w:pPr>
                  <w:r>
                    <w:rPr>
                      <w:rFonts w:ascii="仿宋" w:hAnsi="仿宋" w:eastAsia="仿宋" w:cs="仿宋"/>
                      <w:sz w:val="24"/>
                      <w:szCs w:val="24"/>
                    </w:rPr>
                    <w:t>1</w:t>
                  </w:r>
                </w:p>
              </w:tc>
              <w:tc>
                <w:tcPr>
                  <w:tcW w:w="252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cs="Times New Roman"/>
                      <w:sz w:val="24"/>
                      <w:szCs w:val="24"/>
                    </w:rPr>
                  </w:pPr>
                  <w:r>
                    <w:rPr>
                      <w:rFonts w:hint="eastAsia" w:ascii="仿宋" w:hAnsi="仿宋" w:eastAsia="仿宋" w:cs="仿宋"/>
                      <w:sz w:val="24"/>
                      <w:szCs w:val="24"/>
                    </w:rPr>
                    <w:t>分部分项</w:t>
                  </w:r>
                </w:p>
              </w:tc>
              <w:tc>
                <w:tcPr>
                  <w:tcW w:w="664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cs="Times New Roman"/>
                      <w:sz w:val="24"/>
                      <w:szCs w:val="24"/>
                    </w:rPr>
                  </w:pPr>
                  <w:r>
                    <w:rPr>
                      <w:rFonts w:hint="eastAsia" w:ascii="仿宋" w:hAnsi="仿宋" w:eastAsia="仿宋" w:cs="仿宋"/>
                      <w:sz w:val="24"/>
                      <w:szCs w:val="24"/>
                    </w:rPr>
                    <w:t>共</w:t>
                  </w:r>
                  <w:r>
                    <w:rPr>
                      <w:rFonts w:ascii="仿宋" w:hAnsi="仿宋" w:eastAsia="仿宋" w:cs="仿宋"/>
                      <w:sz w:val="24"/>
                      <w:szCs w:val="24"/>
                    </w:rPr>
                    <w:t xml:space="preserve">    </w:t>
                  </w:r>
                  <w:r>
                    <w:rPr>
                      <w:rFonts w:hint="eastAsia" w:ascii="仿宋" w:hAnsi="仿宋" w:eastAsia="仿宋" w:cs="仿宋"/>
                      <w:sz w:val="24"/>
                      <w:szCs w:val="24"/>
                    </w:rPr>
                    <w:t>分部，经查</w:t>
                  </w:r>
                  <w:r>
                    <w:rPr>
                      <w:rFonts w:ascii="仿宋" w:hAnsi="仿宋" w:eastAsia="仿宋" w:cs="仿宋"/>
                      <w:sz w:val="24"/>
                      <w:szCs w:val="24"/>
                    </w:rPr>
                    <w:t xml:space="preserve">  </w:t>
                  </w:r>
                  <w:r>
                    <w:rPr>
                      <w:rFonts w:hint="eastAsia" w:ascii="仿宋" w:hAnsi="仿宋" w:eastAsia="仿宋" w:cs="仿宋"/>
                      <w:sz w:val="24"/>
                      <w:szCs w:val="24"/>
                    </w:rPr>
                    <w:t>分部，符合标准与规范、设计要求</w:t>
                  </w:r>
                  <w:r>
                    <w:rPr>
                      <w:rFonts w:ascii="仿宋" w:hAnsi="仿宋" w:eastAsia="仿宋" w:cs="仿宋"/>
                      <w:sz w:val="24"/>
                      <w:szCs w:val="24"/>
                    </w:rPr>
                    <w:t xml:space="preserve">  </w:t>
                  </w:r>
                  <w:r>
                    <w:rPr>
                      <w:rFonts w:hint="eastAsia" w:ascii="仿宋" w:hAnsi="仿宋" w:eastAsia="仿宋" w:cs="仿宋"/>
                      <w:sz w:val="24"/>
                      <w:szCs w:val="24"/>
                    </w:rPr>
                    <w:t>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cs="Times New Roman"/>
                      <w:sz w:val="24"/>
                      <w:szCs w:val="24"/>
                    </w:rPr>
                  </w:pPr>
                  <w:r>
                    <w:rPr>
                      <w:rFonts w:ascii="仿宋" w:hAnsi="仿宋" w:eastAsia="仿宋" w:cs="仿宋"/>
                      <w:sz w:val="24"/>
                      <w:szCs w:val="24"/>
                    </w:rPr>
                    <w:t>2</w:t>
                  </w:r>
                </w:p>
              </w:tc>
              <w:tc>
                <w:tcPr>
                  <w:tcW w:w="252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cs="Times New Roman"/>
                      <w:sz w:val="24"/>
                      <w:szCs w:val="24"/>
                    </w:rPr>
                  </w:pPr>
                  <w:r>
                    <w:rPr>
                      <w:rFonts w:hint="eastAsia" w:ascii="仿宋" w:hAnsi="仿宋" w:eastAsia="仿宋" w:cs="仿宋"/>
                      <w:sz w:val="24"/>
                      <w:szCs w:val="24"/>
                    </w:rPr>
                    <w:t>质量控制资料核查</w:t>
                  </w:r>
                </w:p>
              </w:tc>
              <w:tc>
                <w:tcPr>
                  <w:tcW w:w="664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cs="Times New Roman"/>
                      <w:sz w:val="24"/>
                      <w:szCs w:val="24"/>
                    </w:rPr>
                  </w:pPr>
                  <w:r>
                    <w:rPr>
                      <w:rFonts w:hint="eastAsia" w:ascii="仿宋" w:hAnsi="仿宋" w:eastAsia="仿宋" w:cs="仿宋"/>
                      <w:sz w:val="24"/>
                      <w:szCs w:val="24"/>
                    </w:rPr>
                    <w:t>共</w:t>
                  </w:r>
                  <w:r>
                    <w:rPr>
                      <w:rFonts w:ascii="仿宋" w:hAnsi="仿宋" w:eastAsia="仿宋" w:cs="仿宋"/>
                      <w:sz w:val="24"/>
                      <w:szCs w:val="24"/>
                    </w:rPr>
                    <w:t xml:space="preserve">   </w:t>
                  </w:r>
                  <w:r>
                    <w:rPr>
                      <w:rFonts w:hint="eastAsia" w:ascii="仿宋" w:hAnsi="仿宋" w:eastAsia="仿宋" w:cs="仿宋"/>
                      <w:sz w:val="24"/>
                      <w:szCs w:val="24"/>
                    </w:rPr>
                    <w:t>项，经核查符合要求</w:t>
                  </w:r>
                  <w:r>
                    <w:rPr>
                      <w:rFonts w:ascii="仿宋" w:hAnsi="仿宋" w:eastAsia="仿宋" w:cs="仿宋"/>
                      <w:sz w:val="24"/>
                      <w:szCs w:val="24"/>
                    </w:rPr>
                    <w:t xml:space="preserve">  </w:t>
                  </w:r>
                  <w:r>
                    <w:rPr>
                      <w:rFonts w:hint="eastAsia" w:ascii="仿宋" w:hAnsi="仿宋" w:eastAsia="仿宋" w:cs="仿宋"/>
                      <w:sz w:val="24"/>
                      <w:szCs w:val="24"/>
                    </w:rPr>
                    <w:t>项，其中符合标准与规范要求</w:t>
                  </w:r>
                  <w:r>
                    <w:rPr>
                      <w:rFonts w:ascii="仿宋" w:hAnsi="仿宋" w:eastAsia="仿宋" w:cs="仿宋"/>
                      <w:sz w:val="24"/>
                      <w:szCs w:val="24"/>
                    </w:rPr>
                    <w:t xml:space="preserve">  </w:t>
                  </w:r>
                  <w:r>
                    <w:rPr>
                      <w:rFonts w:hint="eastAsia" w:ascii="仿宋" w:hAnsi="仿宋" w:eastAsia="仿宋" w:cs="仿宋"/>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cs="Times New Roman"/>
                      <w:sz w:val="24"/>
                      <w:szCs w:val="24"/>
                    </w:rPr>
                  </w:pPr>
                  <w:r>
                    <w:rPr>
                      <w:rFonts w:ascii="仿宋" w:hAnsi="仿宋" w:eastAsia="仿宋" w:cs="仿宋"/>
                      <w:sz w:val="24"/>
                      <w:szCs w:val="24"/>
                    </w:rPr>
                    <w:t>3</w:t>
                  </w:r>
                </w:p>
              </w:tc>
              <w:tc>
                <w:tcPr>
                  <w:tcW w:w="252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cs="Times New Roman"/>
                      <w:sz w:val="24"/>
                      <w:szCs w:val="24"/>
                    </w:rPr>
                  </w:pPr>
                  <w:r>
                    <w:rPr>
                      <w:rFonts w:hint="eastAsia" w:ascii="仿宋" w:hAnsi="仿宋" w:eastAsia="仿宋" w:cs="仿宋"/>
                      <w:sz w:val="24"/>
                      <w:szCs w:val="24"/>
                    </w:rPr>
                    <w:t>安全和主要使用功能核查及抽查结果</w:t>
                  </w:r>
                </w:p>
              </w:tc>
              <w:tc>
                <w:tcPr>
                  <w:tcW w:w="664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cs="Times New Roman"/>
                      <w:sz w:val="24"/>
                      <w:szCs w:val="24"/>
                    </w:rPr>
                  </w:pPr>
                  <w:r>
                    <w:rPr>
                      <w:rFonts w:hint="eastAsia" w:ascii="仿宋" w:hAnsi="仿宋" w:eastAsia="仿宋" w:cs="仿宋"/>
                      <w:sz w:val="24"/>
                      <w:szCs w:val="24"/>
                    </w:rPr>
                    <w:t>共核查</w:t>
                  </w:r>
                  <w:r>
                    <w:rPr>
                      <w:rFonts w:ascii="仿宋" w:hAnsi="仿宋" w:eastAsia="仿宋" w:cs="仿宋"/>
                      <w:sz w:val="24"/>
                      <w:szCs w:val="24"/>
                    </w:rPr>
                    <w:t xml:space="preserve">    </w:t>
                  </w:r>
                  <w:r>
                    <w:rPr>
                      <w:rFonts w:hint="eastAsia" w:ascii="仿宋" w:hAnsi="仿宋" w:eastAsia="仿宋" w:cs="仿宋"/>
                      <w:sz w:val="24"/>
                      <w:szCs w:val="24"/>
                    </w:rPr>
                    <w:t>项，符合要求</w:t>
                  </w:r>
                  <w:r>
                    <w:rPr>
                      <w:rFonts w:ascii="仿宋" w:hAnsi="仿宋" w:eastAsia="仿宋" w:cs="仿宋"/>
                      <w:sz w:val="24"/>
                      <w:szCs w:val="24"/>
                    </w:rPr>
                    <w:t xml:space="preserve">  </w:t>
                  </w:r>
                  <w:r>
                    <w:rPr>
                      <w:rFonts w:hint="eastAsia" w:ascii="仿宋" w:hAnsi="仿宋" w:eastAsia="仿宋" w:cs="仿宋"/>
                      <w:sz w:val="24"/>
                      <w:szCs w:val="24"/>
                    </w:rPr>
                    <w:t>项；共抽查</w:t>
                  </w:r>
                  <w:r>
                    <w:rPr>
                      <w:rFonts w:ascii="仿宋" w:hAnsi="仿宋" w:eastAsia="仿宋" w:cs="仿宋"/>
                      <w:sz w:val="24"/>
                      <w:szCs w:val="24"/>
                    </w:rPr>
                    <w:t xml:space="preserve">  </w:t>
                  </w:r>
                  <w:r>
                    <w:rPr>
                      <w:rFonts w:hint="eastAsia" w:ascii="仿宋" w:hAnsi="仿宋" w:eastAsia="仿宋" w:cs="仿宋"/>
                      <w:sz w:val="24"/>
                      <w:szCs w:val="24"/>
                    </w:rPr>
                    <w:t>项，符合要求</w:t>
                  </w:r>
                  <w:r>
                    <w:rPr>
                      <w:rFonts w:ascii="仿宋" w:hAnsi="仿宋" w:eastAsia="仿宋" w:cs="仿宋"/>
                      <w:sz w:val="24"/>
                      <w:szCs w:val="24"/>
                    </w:rPr>
                    <w:t xml:space="preserve">  </w:t>
                  </w:r>
                  <w:r>
                    <w:rPr>
                      <w:rFonts w:hint="eastAsia" w:ascii="仿宋" w:hAnsi="仿宋" w:eastAsia="仿宋" w:cs="仿宋"/>
                      <w:sz w:val="24"/>
                      <w:szCs w:val="24"/>
                    </w:rPr>
                    <w:t>项；经返工处理符合要求</w:t>
                  </w:r>
                  <w:r>
                    <w:rPr>
                      <w:rFonts w:ascii="仿宋" w:hAnsi="仿宋" w:eastAsia="仿宋" w:cs="仿宋"/>
                      <w:sz w:val="24"/>
                      <w:szCs w:val="24"/>
                    </w:rPr>
                    <w:t xml:space="preserve">  </w:t>
                  </w:r>
                  <w:r>
                    <w:rPr>
                      <w:rFonts w:hint="eastAsia" w:ascii="仿宋" w:hAnsi="仿宋" w:eastAsia="仿宋" w:cs="仿宋"/>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cs="Times New Roman"/>
                      <w:sz w:val="24"/>
                      <w:szCs w:val="24"/>
                    </w:rPr>
                  </w:pPr>
                  <w:r>
                    <w:rPr>
                      <w:rFonts w:ascii="仿宋" w:hAnsi="仿宋" w:eastAsia="仿宋" w:cs="仿宋"/>
                      <w:sz w:val="24"/>
                      <w:szCs w:val="24"/>
                    </w:rPr>
                    <w:t>4</w:t>
                  </w:r>
                </w:p>
              </w:tc>
              <w:tc>
                <w:tcPr>
                  <w:tcW w:w="252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cs="Times New Roman"/>
                      <w:sz w:val="24"/>
                      <w:szCs w:val="24"/>
                    </w:rPr>
                  </w:pPr>
                  <w:r>
                    <w:rPr>
                      <w:rFonts w:hint="eastAsia" w:ascii="仿宋" w:hAnsi="仿宋" w:eastAsia="仿宋" w:cs="仿宋"/>
                      <w:sz w:val="24"/>
                      <w:szCs w:val="24"/>
                    </w:rPr>
                    <w:t>观感质量验收</w:t>
                  </w:r>
                </w:p>
              </w:tc>
              <w:tc>
                <w:tcPr>
                  <w:tcW w:w="664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cs="Times New Roman"/>
                      <w:sz w:val="24"/>
                      <w:szCs w:val="24"/>
                    </w:rPr>
                  </w:pPr>
                  <w:r>
                    <w:rPr>
                      <w:rFonts w:hint="eastAsia" w:ascii="仿宋" w:hAnsi="仿宋" w:eastAsia="仿宋" w:cs="仿宋"/>
                      <w:sz w:val="24"/>
                      <w:szCs w:val="24"/>
                    </w:rPr>
                    <w:t>共抽查</w:t>
                  </w:r>
                  <w:r>
                    <w:rPr>
                      <w:rFonts w:ascii="仿宋" w:hAnsi="仿宋" w:eastAsia="仿宋" w:cs="仿宋"/>
                      <w:sz w:val="24"/>
                      <w:szCs w:val="24"/>
                    </w:rPr>
                    <w:t xml:space="preserve">    </w:t>
                  </w:r>
                  <w:r>
                    <w:rPr>
                      <w:rFonts w:hint="eastAsia" w:ascii="仿宋" w:hAnsi="仿宋" w:eastAsia="仿宋" w:cs="仿宋"/>
                      <w:sz w:val="24"/>
                      <w:szCs w:val="24"/>
                    </w:rPr>
                    <w:t>项，符合要求</w:t>
                  </w:r>
                  <w:r>
                    <w:rPr>
                      <w:rFonts w:ascii="仿宋" w:hAnsi="仿宋" w:eastAsia="仿宋" w:cs="仿宋"/>
                      <w:sz w:val="24"/>
                      <w:szCs w:val="24"/>
                    </w:rPr>
                    <w:t xml:space="preserve">  </w:t>
                  </w:r>
                  <w:r>
                    <w:rPr>
                      <w:rFonts w:hint="eastAsia" w:ascii="仿宋" w:hAnsi="仿宋" w:eastAsia="仿宋" w:cs="仿宋"/>
                      <w:sz w:val="24"/>
                      <w:szCs w:val="24"/>
                    </w:rPr>
                    <w:t>项，不符合要求</w:t>
                  </w:r>
                  <w:r>
                    <w:rPr>
                      <w:rFonts w:ascii="仿宋" w:hAnsi="仿宋" w:eastAsia="仿宋" w:cs="仿宋"/>
                      <w:sz w:val="24"/>
                      <w:szCs w:val="24"/>
                    </w:rPr>
                    <w:t xml:space="preserve">  </w:t>
                  </w:r>
                  <w:r>
                    <w:rPr>
                      <w:rFonts w:hint="eastAsia" w:ascii="仿宋" w:hAnsi="仿宋" w:eastAsia="仿宋" w:cs="仿宋"/>
                      <w:sz w:val="24"/>
                      <w:szCs w:val="24"/>
                    </w:rPr>
                    <w:t>项</w:t>
                  </w:r>
                </w:p>
              </w:tc>
            </w:tr>
          </w:tbl>
          <w:p>
            <w:pPr>
              <w:spacing w:line="360" w:lineRule="auto"/>
              <w:ind w:firstLine="6240" w:firstLineChars="2600"/>
              <w:rPr>
                <w:rFonts w:ascii="仿宋" w:hAnsi="仿宋" w:eastAsia="仿宋" w:cs="Times New Roman"/>
                <w:sz w:val="24"/>
                <w:szCs w:val="24"/>
              </w:rPr>
            </w:pPr>
          </w:p>
          <w:p>
            <w:pPr>
              <w:spacing w:line="360" w:lineRule="auto"/>
              <w:ind w:firstLine="6552" w:firstLineChars="2730"/>
              <w:rPr>
                <w:rFonts w:ascii="仿宋" w:hAnsi="仿宋" w:eastAsia="仿宋" w:cs="Times New Roman"/>
                <w:sz w:val="24"/>
                <w:szCs w:val="24"/>
                <w:u w:val="single"/>
              </w:rPr>
            </w:pPr>
            <w:r>
              <w:rPr>
                <w:rFonts w:hint="eastAsia" w:ascii="仿宋" w:hAnsi="仿宋" w:eastAsia="仿宋" w:cs="仿宋"/>
                <w:sz w:val="24"/>
                <w:szCs w:val="24"/>
              </w:rPr>
              <w:t>发包人（章）</w:t>
            </w:r>
            <w:r>
              <w:rPr>
                <w:rFonts w:ascii="仿宋" w:hAnsi="仿宋" w:eastAsia="仿宋" w:cs="仿宋"/>
                <w:sz w:val="24"/>
                <w:szCs w:val="24"/>
              </w:rPr>
              <w:t xml:space="preserve">               </w:t>
            </w:r>
          </w:p>
          <w:p>
            <w:pPr>
              <w:tabs>
                <w:tab w:val="left" w:pos="7092"/>
              </w:tabs>
              <w:spacing w:line="360" w:lineRule="auto"/>
              <w:ind w:firstLine="6552" w:firstLineChars="2730"/>
              <w:rPr>
                <w:rFonts w:ascii="仿宋" w:hAnsi="仿宋" w:eastAsia="仿宋" w:cs="仿宋"/>
                <w:sz w:val="24"/>
                <w:szCs w:val="24"/>
                <w:u w:val="single"/>
              </w:rPr>
            </w:pPr>
            <w:r>
              <w:rPr>
                <w:rFonts w:hint="eastAsia" w:ascii="仿宋" w:hAnsi="仿宋" w:eastAsia="仿宋" w:cs="仿宋"/>
                <w:sz w:val="24"/>
                <w:szCs w:val="24"/>
              </w:rPr>
              <w:t>发包人代表</w:t>
            </w:r>
            <w:r>
              <w:rPr>
                <w:rFonts w:ascii="仿宋" w:hAnsi="仿宋" w:eastAsia="仿宋" w:cs="仿宋"/>
                <w:sz w:val="24"/>
                <w:szCs w:val="24"/>
                <w:u w:val="single"/>
              </w:rPr>
              <w:t xml:space="preserve">           </w:t>
            </w:r>
          </w:p>
          <w:p>
            <w:pPr>
              <w:spacing w:line="360" w:lineRule="auto"/>
              <w:ind w:firstLine="6552" w:firstLineChars="2730"/>
              <w:rPr>
                <w:rFonts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44" w:hRule="atLeast"/>
        </w:trPr>
        <w:tc>
          <w:tcPr>
            <w:tcW w:w="10359" w:type="dxa"/>
            <w:tcBorders>
              <w:top w:val="single" w:color="auto" w:sz="4" w:space="0"/>
            </w:tcBorders>
            <w:vAlign w:val="top"/>
          </w:tcPr>
          <w:p>
            <w:pPr>
              <w:spacing w:line="360" w:lineRule="auto"/>
              <w:rPr>
                <w:rFonts w:ascii="仿宋" w:hAnsi="仿宋" w:eastAsia="仿宋" w:cs="Times New Roman"/>
                <w:sz w:val="24"/>
                <w:szCs w:val="24"/>
              </w:rPr>
            </w:pPr>
            <w:r>
              <w:rPr>
                <w:rFonts w:hint="eastAsia" w:ascii="仿宋" w:hAnsi="仿宋" w:eastAsia="仿宋" w:cs="仿宋"/>
                <w:sz w:val="24"/>
                <w:szCs w:val="24"/>
              </w:rPr>
              <w:t>验收结论：</w:t>
            </w:r>
          </w:p>
          <w:p>
            <w:pPr>
              <w:spacing w:line="360" w:lineRule="auto"/>
              <w:rPr>
                <w:rFonts w:ascii="仿宋" w:hAnsi="仿宋" w:eastAsia="仿宋" w:cs="Times New Roman"/>
                <w:sz w:val="24"/>
                <w:szCs w:val="24"/>
              </w:rPr>
            </w:pPr>
          </w:p>
          <w:p>
            <w:pPr>
              <w:spacing w:line="360" w:lineRule="auto"/>
              <w:rPr>
                <w:rFonts w:ascii="仿宋" w:hAnsi="仿宋" w:eastAsia="仿宋" w:cs="Times New Roman"/>
                <w:sz w:val="24"/>
                <w:szCs w:val="24"/>
              </w:rPr>
            </w:pPr>
            <w:r>
              <w:rPr>
                <w:rFonts w:hint="eastAsia" w:ascii="仿宋" w:hAnsi="仿宋" w:eastAsia="仿宋" w:cs="仿宋"/>
                <w:sz w:val="24"/>
                <w:szCs w:val="24"/>
              </w:rPr>
              <w:t>设计人（章）</w:t>
            </w:r>
            <w:r>
              <w:rPr>
                <w:rFonts w:ascii="仿宋" w:hAnsi="仿宋" w:eastAsia="仿宋" w:cs="仿宋"/>
                <w:sz w:val="24"/>
                <w:szCs w:val="24"/>
              </w:rPr>
              <w:t xml:space="preserve">               </w:t>
            </w:r>
            <w:r>
              <w:rPr>
                <w:rFonts w:hint="eastAsia" w:ascii="仿宋" w:hAnsi="仿宋" w:eastAsia="仿宋" w:cs="仿宋"/>
                <w:sz w:val="24"/>
                <w:szCs w:val="24"/>
              </w:rPr>
              <w:t>监理人（章）</w:t>
            </w:r>
            <w:r>
              <w:rPr>
                <w:rFonts w:ascii="仿宋" w:hAnsi="仿宋" w:eastAsia="仿宋" w:cs="仿宋"/>
                <w:sz w:val="24"/>
                <w:szCs w:val="24"/>
              </w:rPr>
              <w:t xml:space="preserve">              </w:t>
            </w:r>
            <w:r>
              <w:rPr>
                <w:rFonts w:hint="eastAsia" w:ascii="仿宋" w:hAnsi="仿宋" w:eastAsia="仿宋" w:cs="仿宋"/>
                <w:sz w:val="24"/>
                <w:szCs w:val="24"/>
              </w:rPr>
              <w:t>造价咨询人（如有）（章）</w:t>
            </w:r>
          </w:p>
          <w:p>
            <w:pPr>
              <w:spacing w:line="360" w:lineRule="auto"/>
              <w:rPr>
                <w:rFonts w:ascii="仿宋" w:hAnsi="仿宋" w:eastAsia="仿宋" w:cs="Times New Roman"/>
                <w:sz w:val="24"/>
                <w:szCs w:val="24"/>
              </w:rPr>
            </w:pPr>
            <w:r>
              <w:rPr>
                <w:rFonts w:hint="eastAsia" w:ascii="仿宋" w:hAnsi="仿宋" w:eastAsia="仿宋" w:cs="仿宋"/>
                <w:sz w:val="24"/>
                <w:szCs w:val="24"/>
              </w:rPr>
              <w:t>建筑师</w:t>
            </w:r>
            <w:r>
              <w:rPr>
                <w:rFonts w:ascii="仿宋" w:hAnsi="仿宋" w:eastAsia="仿宋" w:cs="仿宋"/>
                <w:sz w:val="24"/>
                <w:szCs w:val="24"/>
              </w:rPr>
              <w:t>/</w:t>
            </w:r>
            <w:r>
              <w:rPr>
                <w:rFonts w:hint="eastAsia" w:ascii="仿宋" w:hAnsi="仿宋" w:eastAsia="仿宋" w:cs="仿宋"/>
                <w:sz w:val="24"/>
                <w:szCs w:val="24"/>
              </w:rPr>
              <w:t>结构师</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监理工程师</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造价工程师</w:t>
            </w:r>
            <w:r>
              <w:rPr>
                <w:rFonts w:ascii="仿宋" w:hAnsi="仿宋" w:eastAsia="仿宋" w:cs="仿宋"/>
                <w:sz w:val="24"/>
                <w:szCs w:val="24"/>
                <w:u w:val="single"/>
              </w:rPr>
              <w:t xml:space="preserve">          </w:t>
            </w:r>
          </w:p>
          <w:p>
            <w:pPr>
              <w:spacing w:line="360" w:lineRule="auto"/>
              <w:rPr>
                <w:rFonts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84" w:hRule="atLeast"/>
        </w:trPr>
        <w:tc>
          <w:tcPr>
            <w:tcW w:w="10359" w:type="dxa"/>
            <w:tcBorders>
              <w:top w:val="nil"/>
            </w:tcBorders>
            <w:vAlign w:val="top"/>
          </w:tcPr>
          <w:p>
            <w:pPr>
              <w:spacing w:line="360" w:lineRule="auto"/>
              <w:rPr>
                <w:rFonts w:ascii="仿宋" w:hAnsi="仿宋" w:eastAsia="仿宋" w:cs="Times New Roman"/>
                <w:sz w:val="24"/>
                <w:szCs w:val="24"/>
              </w:rPr>
            </w:pPr>
            <w:r>
              <w:rPr>
                <w:rFonts w:hint="eastAsia" w:ascii="仿宋" w:hAnsi="仿宋" w:eastAsia="仿宋" w:cs="仿宋"/>
                <w:sz w:val="24"/>
                <w:szCs w:val="24"/>
              </w:rPr>
              <w:t>综合验收结论：</w:t>
            </w:r>
          </w:p>
          <w:p>
            <w:pPr>
              <w:spacing w:line="360" w:lineRule="auto"/>
              <w:ind w:firstLine="6240" w:firstLineChars="2600"/>
              <w:rPr>
                <w:rFonts w:ascii="仿宋" w:hAnsi="仿宋" w:eastAsia="仿宋" w:cs="Times New Roman"/>
                <w:sz w:val="24"/>
                <w:szCs w:val="24"/>
              </w:rPr>
            </w:pPr>
          </w:p>
          <w:p>
            <w:pPr>
              <w:spacing w:line="360" w:lineRule="auto"/>
              <w:ind w:firstLine="6240" w:firstLineChars="2600"/>
              <w:rPr>
                <w:rFonts w:ascii="仿宋" w:hAnsi="仿宋" w:eastAsia="仿宋" w:cs="Times New Roman"/>
                <w:sz w:val="24"/>
                <w:szCs w:val="24"/>
                <w:u w:val="single"/>
              </w:rPr>
            </w:pPr>
            <w:r>
              <w:rPr>
                <w:rFonts w:hint="eastAsia" w:ascii="仿宋" w:hAnsi="仿宋" w:eastAsia="仿宋" w:cs="仿宋"/>
                <w:sz w:val="24"/>
                <w:szCs w:val="24"/>
              </w:rPr>
              <w:t>发包人（章）</w:t>
            </w:r>
            <w:r>
              <w:rPr>
                <w:rFonts w:ascii="仿宋" w:hAnsi="仿宋" w:eastAsia="仿宋" w:cs="仿宋"/>
                <w:sz w:val="24"/>
                <w:szCs w:val="24"/>
              </w:rPr>
              <w:t xml:space="preserve">               </w:t>
            </w:r>
          </w:p>
          <w:p>
            <w:pPr>
              <w:tabs>
                <w:tab w:val="left" w:pos="7092"/>
              </w:tabs>
              <w:spacing w:line="360" w:lineRule="auto"/>
              <w:ind w:firstLine="6240" w:firstLineChars="2600"/>
              <w:rPr>
                <w:rFonts w:ascii="仿宋" w:hAnsi="仿宋" w:eastAsia="仿宋" w:cs="仿宋"/>
                <w:sz w:val="24"/>
                <w:szCs w:val="24"/>
                <w:u w:val="single"/>
              </w:rPr>
            </w:pPr>
            <w:r>
              <w:rPr>
                <w:rFonts w:hint="eastAsia" w:ascii="仿宋" w:hAnsi="仿宋" w:eastAsia="仿宋" w:cs="仿宋"/>
                <w:sz w:val="24"/>
                <w:szCs w:val="24"/>
              </w:rPr>
              <w:t>发包人代表</w:t>
            </w:r>
            <w:r>
              <w:rPr>
                <w:rFonts w:ascii="仿宋" w:hAnsi="仿宋" w:eastAsia="仿宋" w:cs="仿宋"/>
                <w:sz w:val="24"/>
                <w:szCs w:val="24"/>
                <w:u w:val="single"/>
              </w:rPr>
              <w:t xml:space="preserve">           </w:t>
            </w:r>
          </w:p>
          <w:p>
            <w:pPr>
              <w:spacing w:line="360" w:lineRule="auto"/>
              <w:ind w:firstLine="6240" w:firstLineChars="2600"/>
              <w:rPr>
                <w:rFonts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pPr>
        <w:ind w:left="1081" w:leftChars="172" w:hanging="720" w:hangingChars="300"/>
        <w:rPr>
          <w:rFonts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．表中验收记录由承包人填写，验收结论由监理人（发包人）填写。综合验收结论由参加验收各方共同商定，发包人填写，应对工程质量是否符合标准与规范、设计要求及总体质量作出评价。</w:t>
      </w:r>
    </w:p>
    <w:p>
      <w:pPr>
        <w:ind w:left="480" w:firstLine="600" w:firstLineChars="25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本表一式五份，由发包人、设计人、监理人、工程造价咨询人（如有）按和承包人各存一份。</w:t>
      </w:r>
    </w:p>
    <w:p>
      <w:pPr>
        <w:spacing w:before="120" w:beforeLines="50" w:after="120" w:afterLines="50" w:line="360" w:lineRule="auto"/>
        <w:outlineLvl w:val="1"/>
        <w:rPr>
          <w:rFonts w:ascii="仿宋" w:hAnsi="仿宋" w:eastAsia="仿宋" w:cs="仿宋"/>
          <w:b/>
          <w:bCs/>
          <w:color w:val="000000"/>
          <w:kern w:val="0"/>
          <w:sz w:val="24"/>
          <w:szCs w:val="24"/>
        </w:rPr>
      </w:pPr>
      <w:r>
        <w:rPr>
          <w:rFonts w:ascii="仿宋" w:hAnsi="仿宋" w:eastAsia="仿宋" w:cs="Times New Roman"/>
          <w:kern w:val="0"/>
          <w:sz w:val="24"/>
          <w:szCs w:val="24"/>
        </w:rPr>
        <w:br w:type="page"/>
      </w:r>
      <w:bookmarkStart w:id="785" w:name="_Toc10625003"/>
      <w:bookmarkStart w:id="786" w:name="_Toc266892944"/>
      <w:bookmarkStart w:id="787" w:name="_Toc469384159"/>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18</w:t>
      </w:r>
      <w:bookmarkEnd w:id="785"/>
      <w:bookmarkEnd w:id="786"/>
      <w:bookmarkEnd w:id="787"/>
    </w:p>
    <w:p>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工程接收证书</w:t>
      </w:r>
    </w:p>
    <w:p>
      <w:pPr>
        <w:spacing w:line="360" w:lineRule="auto"/>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0"/>
        <w:tblW w:w="10441"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4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87" w:hRule="atLeast"/>
        </w:trPr>
        <w:tc>
          <w:tcPr>
            <w:tcW w:w="10441" w:type="dxa"/>
            <w:vAlign w:val="top"/>
          </w:tcPr>
          <w:p>
            <w:pPr>
              <w:spacing w:before="120" w:line="360" w:lineRule="auto"/>
              <w:ind w:left="-28" w:firstLine="181"/>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（监理人全称）</w:t>
            </w:r>
          </w:p>
          <w:p>
            <w:pPr>
              <w:spacing w:line="360" w:lineRule="auto"/>
              <w:ind w:left="-28" w:firstLine="482"/>
              <w:rPr>
                <w:rFonts w:ascii="仿宋" w:hAnsi="仿宋" w:eastAsia="仿宋" w:cs="Times New Roman"/>
                <w:sz w:val="24"/>
                <w:szCs w:val="24"/>
              </w:rPr>
            </w:pPr>
            <w:r>
              <w:rPr>
                <w:rFonts w:hint="eastAsia" w:ascii="仿宋" w:hAnsi="仿宋" w:eastAsia="仿宋" w:cs="仿宋"/>
                <w:sz w:val="24"/>
                <w:szCs w:val="24"/>
              </w:rPr>
              <w:t>你方按照合同要求于</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日提出鞠躬验收，净我方组织你方、设计人、监理人、工程造价咨询人（如有）共同验收，该工程验收合格，现予颁发工程接收证书，</w:t>
            </w:r>
          </w:p>
          <w:p>
            <w:pPr>
              <w:spacing w:line="360" w:lineRule="auto"/>
              <w:ind w:left="-28" w:firstLine="482"/>
              <w:rPr>
                <w:rFonts w:ascii="仿宋" w:hAnsi="仿宋" w:eastAsia="仿宋" w:cs="Times New Roman"/>
                <w:sz w:val="24"/>
                <w:szCs w:val="24"/>
              </w:rPr>
            </w:pPr>
            <w:r>
              <w:rPr>
                <w:rFonts w:hint="eastAsia" w:ascii="仿宋" w:hAnsi="仿宋" w:eastAsia="仿宋" w:cs="仿宋"/>
                <w:sz w:val="24"/>
                <w:szCs w:val="24"/>
              </w:rPr>
              <w:t>按照合同约定，该工程实际竣工日期是</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p>
          <w:p>
            <w:pPr>
              <w:spacing w:line="360" w:lineRule="auto"/>
              <w:ind w:left="-28" w:firstLine="482"/>
              <w:rPr>
                <w:rFonts w:ascii="仿宋" w:hAnsi="仿宋" w:eastAsia="仿宋" w:cs="Times New Roman"/>
                <w:sz w:val="24"/>
                <w:szCs w:val="24"/>
              </w:rPr>
            </w:pPr>
          </w:p>
          <w:p>
            <w:pPr>
              <w:spacing w:line="360" w:lineRule="auto"/>
              <w:ind w:left="-28" w:firstLine="482"/>
              <w:rPr>
                <w:rFonts w:ascii="仿宋" w:hAnsi="仿宋" w:eastAsia="仿宋" w:cs="Times New Roman"/>
                <w:sz w:val="24"/>
                <w:szCs w:val="24"/>
              </w:rPr>
            </w:pPr>
            <w:r>
              <w:rPr>
                <w:rFonts w:hint="eastAsia" w:ascii="仿宋" w:hAnsi="仿宋" w:eastAsia="仿宋" w:cs="仿宋"/>
                <w:sz w:val="24"/>
                <w:szCs w:val="24"/>
              </w:rPr>
              <w:t>我方颁发工程接收</w:t>
            </w:r>
            <w:r>
              <w:rPr>
                <w:rFonts w:ascii="仿宋" w:hAnsi="仿宋" w:eastAsia="仿宋" w:cs="仿宋"/>
                <w:sz w:val="24"/>
                <w:szCs w:val="24"/>
              </w:rPr>
              <w:t xml:space="preserve"> </w:t>
            </w:r>
            <w:r>
              <w:rPr>
                <w:rFonts w:hint="eastAsia" w:ascii="仿宋" w:hAnsi="仿宋" w:eastAsia="仿宋" w:cs="仿宋"/>
                <w:sz w:val="24"/>
                <w:szCs w:val="24"/>
              </w:rPr>
              <w:t>证书，则标明自颁发之日起，由我方负责照管工程，但并不代表你方已完成施工合同赋予的一切义务和责任，你方仍应承担工程的质量缺陷和质量保修责任。</w:t>
            </w:r>
          </w:p>
          <w:p>
            <w:pPr>
              <w:spacing w:line="360" w:lineRule="auto"/>
              <w:ind w:left="-28"/>
              <w:rPr>
                <w:rFonts w:ascii="仿宋" w:hAnsi="仿宋" w:eastAsia="仿宋" w:cs="Times New Roman"/>
                <w:sz w:val="24"/>
                <w:szCs w:val="24"/>
              </w:rPr>
            </w:pPr>
          </w:p>
          <w:p>
            <w:pPr>
              <w:spacing w:line="360" w:lineRule="auto"/>
              <w:ind w:left="-28"/>
              <w:rPr>
                <w:rFonts w:ascii="仿宋" w:hAnsi="仿宋" w:eastAsia="仿宋" w:cs="Times New Roman"/>
                <w:sz w:val="24"/>
                <w:szCs w:val="24"/>
              </w:rPr>
            </w:pPr>
          </w:p>
          <w:p>
            <w:pPr>
              <w:spacing w:line="360" w:lineRule="auto"/>
              <w:ind w:left="-28"/>
              <w:rPr>
                <w:rFonts w:ascii="仿宋" w:hAnsi="仿宋" w:eastAsia="仿宋" w:cs="Times New Roman"/>
                <w:sz w:val="24"/>
                <w:szCs w:val="24"/>
              </w:rPr>
            </w:pPr>
          </w:p>
          <w:p>
            <w:pPr>
              <w:spacing w:line="360" w:lineRule="auto"/>
              <w:ind w:left="-28"/>
              <w:rPr>
                <w:rFonts w:ascii="仿宋" w:hAnsi="仿宋" w:eastAsia="仿宋" w:cs="Times New Roman"/>
                <w:sz w:val="24"/>
                <w:szCs w:val="24"/>
              </w:rPr>
            </w:pPr>
          </w:p>
          <w:p>
            <w:pPr>
              <w:spacing w:line="360" w:lineRule="auto"/>
              <w:ind w:left="-28"/>
              <w:rPr>
                <w:rFonts w:ascii="仿宋" w:hAnsi="仿宋" w:eastAsia="仿宋" w:cs="Times New Roman"/>
                <w:sz w:val="24"/>
                <w:szCs w:val="24"/>
              </w:rPr>
            </w:pPr>
          </w:p>
          <w:p>
            <w:pPr>
              <w:spacing w:line="360" w:lineRule="auto"/>
              <w:ind w:left="-28"/>
              <w:rPr>
                <w:rFonts w:ascii="仿宋" w:hAnsi="仿宋" w:eastAsia="仿宋" w:cs="Times New Roman"/>
                <w:sz w:val="24"/>
                <w:szCs w:val="24"/>
              </w:rPr>
            </w:pPr>
          </w:p>
          <w:p>
            <w:pPr>
              <w:spacing w:line="360" w:lineRule="auto"/>
              <w:ind w:left="-28"/>
              <w:rPr>
                <w:rFonts w:ascii="仿宋" w:hAnsi="仿宋" w:eastAsia="仿宋" w:cs="Times New Roman"/>
                <w:sz w:val="24"/>
                <w:szCs w:val="24"/>
              </w:rPr>
            </w:pPr>
          </w:p>
          <w:p>
            <w:pPr>
              <w:spacing w:line="360" w:lineRule="auto"/>
              <w:ind w:left="-28"/>
              <w:rPr>
                <w:rFonts w:ascii="仿宋" w:hAnsi="仿宋" w:eastAsia="仿宋" w:cs="Times New Roman"/>
                <w:sz w:val="24"/>
                <w:szCs w:val="24"/>
              </w:rPr>
            </w:pPr>
          </w:p>
          <w:p>
            <w:pPr>
              <w:spacing w:line="360" w:lineRule="auto"/>
              <w:ind w:left="-28"/>
              <w:rPr>
                <w:rFonts w:ascii="仿宋" w:hAnsi="仿宋" w:eastAsia="仿宋" w:cs="Times New Roman"/>
                <w:sz w:val="24"/>
                <w:szCs w:val="24"/>
              </w:rPr>
            </w:pPr>
          </w:p>
          <w:p>
            <w:pPr>
              <w:spacing w:line="360" w:lineRule="auto"/>
              <w:ind w:left="-28"/>
              <w:rPr>
                <w:rFonts w:ascii="仿宋" w:hAnsi="仿宋" w:eastAsia="仿宋" w:cs="Times New Roman"/>
                <w:sz w:val="24"/>
                <w:szCs w:val="24"/>
              </w:rPr>
            </w:pPr>
          </w:p>
          <w:p>
            <w:pPr>
              <w:spacing w:line="360" w:lineRule="auto"/>
              <w:ind w:left="-28"/>
              <w:rPr>
                <w:rFonts w:ascii="仿宋" w:hAnsi="仿宋" w:eastAsia="仿宋" w:cs="Times New Roman"/>
                <w:sz w:val="24"/>
                <w:szCs w:val="24"/>
              </w:rPr>
            </w:pPr>
          </w:p>
          <w:p>
            <w:pPr>
              <w:spacing w:line="360" w:lineRule="auto"/>
              <w:ind w:left="-28"/>
              <w:rPr>
                <w:rFonts w:ascii="仿宋" w:hAnsi="仿宋" w:eastAsia="仿宋" w:cs="Times New Roman"/>
                <w:sz w:val="24"/>
                <w:szCs w:val="24"/>
              </w:rPr>
            </w:pPr>
          </w:p>
          <w:p>
            <w:pPr>
              <w:spacing w:line="360" w:lineRule="auto"/>
              <w:ind w:left="-28"/>
              <w:rPr>
                <w:rFonts w:ascii="仿宋" w:hAnsi="仿宋" w:eastAsia="仿宋" w:cs="Times New Roman"/>
                <w:sz w:val="24"/>
                <w:szCs w:val="24"/>
              </w:rPr>
            </w:pPr>
          </w:p>
          <w:p>
            <w:pPr>
              <w:spacing w:line="360" w:lineRule="auto"/>
              <w:ind w:left="-28"/>
              <w:rPr>
                <w:rFonts w:ascii="仿宋" w:hAnsi="仿宋" w:eastAsia="仿宋" w:cs="Times New Roman"/>
                <w:sz w:val="24"/>
                <w:szCs w:val="24"/>
              </w:rPr>
            </w:pPr>
          </w:p>
          <w:p>
            <w:pPr>
              <w:spacing w:line="360" w:lineRule="auto"/>
              <w:ind w:left="-28"/>
              <w:rPr>
                <w:rFonts w:ascii="仿宋" w:hAnsi="仿宋" w:eastAsia="仿宋" w:cs="Times New Roman"/>
                <w:sz w:val="24"/>
                <w:szCs w:val="24"/>
              </w:rPr>
            </w:pPr>
          </w:p>
          <w:p>
            <w:pPr>
              <w:spacing w:line="360" w:lineRule="auto"/>
              <w:rPr>
                <w:rFonts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发</w:t>
            </w:r>
            <w:r>
              <w:rPr>
                <w:rFonts w:ascii="仿宋" w:hAnsi="仿宋" w:eastAsia="仿宋" w:cs="仿宋"/>
                <w:sz w:val="24"/>
                <w:szCs w:val="24"/>
              </w:rPr>
              <w:t xml:space="preserve"> </w:t>
            </w:r>
            <w:r>
              <w:rPr>
                <w:rFonts w:hint="eastAsia" w:ascii="仿宋" w:hAnsi="仿宋" w:eastAsia="仿宋" w:cs="仿宋"/>
                <w:sz w:val="24"/>
                <w:szCs w:val="24"/>
              </w:rPr>
              <w:t>包</w:t>
            </w:r>
            <w:r>
              <w:rPr>
                <w:rFonts w:ascii="仿宋" w:hAnsi="仿宋" w:eastAsia="仿宋" w:cs="仿宋"/>
                <w:sz w:val="24"/>
                <w:szCs w:val="24"/>
              </w:rPr>
              <w:t xml:space="preserve"> </w:t>
            </w:r>
            <w:r>
              <w:rPr>
                <w:rFonts w:hint="eastAsia" w:ascii="仿宋" w:hAnsi="仿宋" w:eastAsia="仿宋" w:cs="仿宋"/>
                <w:sz w:val="24"/>
                <w:szCs w:val="24"/>
              </w:rPr>
              <w:t>人（章）</w:t>
            </w:r>
            <w:r>
              <w:rPr>
                <w:rFonts w:ascii="仿宋" w:hAnsi="仿宋" w:eastAsia="仿宋" w:cs="仿宋"/>
                <w:sz w:val="24"/>
                <w:szCs w:val="24"/>
              </w:rPr>
              <w:t xml:space="preserve">                 </w:t>
            </w:r>
          </w:p>
          <w:p>
            <w:pPr>
              <w:spacing w:line="360" w:lineRule="auto"/>
              <w:ind w:firstLine="6000" w:firstLineChars="2500"/>
              <w:rPr>
                <w:rFonts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pPr>
              <w:spacing w:line="360" w:lineRule="auto"/>
              <w:ind w:firstLine="6012"/>
              <w:rPr>
                <w:rFonts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月</w:t>
            </w:r>
            <w:r>
              <w:rPr>
                <w:rFonts w:ascii="仿宋" w:hAnsi="仿宋" w:eastAsia="仿宋" w:cs="仿宋"/>
                <w:sz w:val="24"/>
                <w:szCs w:val="24"/>
              </w:rPr>
              <w:t xml:space="preserve">    </w:t>
            </w:r>
            <w:r>
              <w:rPr>
                <w:rFonts w:hint="eastAsia" w:ascii="仿宋" w:hAnsi="仿宋" w:eastAsia="仿宋" w:cs="仿宋"/>
                <w:sz w:val="24"/>
                <w:szCs w:val="24"/>
              </w:rPr>
              <w:t>日</w:t>
            </w:r>
          </w:p>
        </w:tc>
      </w:tr>
    </w:tbl>
    <w:p>
      <w:pPr>
        <w:spacing w:line="360" w:lineRule="auto"/>
        <w:rPr>
          <w:rFonts w:ascii="仿宋" w:hAnsi="仿宋" w:eastAsia="仿宋" w:cs="Times New Roman"/>
          <w:sz w:val="24"/>
          <w:szCs w:val="24"/>
        </w:rPr>
      </w:pPr>
      <w:r>
        <w:rPr>
          <w:rFonts w:hint="eastAsia" w:ascii="仿宋" w:hAnsi="仿宋" w:eastAsia="仿宋" w:cs="仿宋"/>
          <w:sz w:val="24"/>
          <w:szCs w:val="24"/>
        </w:rPr>
        <w:t>说明：本表由发包人填制，承包人、发包人各存一份。</w:t>
      </w:r>
    </w:p>
    <w:p>
      <w:pPr>
        <w:spacing w:line="360" w:lineRule="auto"/>
        <w:outlineLvl w:val="1"/>
        <w:rPr>
          <w:rFonts w:ascii="仿宋" w:hAnsi="仿宋" w:eastAsia="仿宋" w:cs="仿宋"/>
          <w:b/>
          <w:bCs/>
          <w:color w:val="000000"/>
          <w:kern w:val="0"/>
          <w:sz w:val="24"/>
          <w:szCs w:val="24"/>
        </w:rPr>
      </w:pPr>
      <w:r>
        <w:rPr>
          <w:rFonts w:ascii="仿宋" w:hAnsi="仿宋" w:eastAsia="仿宋" w:cs="Times New Roman"/>
          <w:kern w:val="0"/>
          <w:sz w:val="24"/>
          <w:szCs w:val="24"/>
        </w:rPr>
        <w:br w:type="page"/>
      </w:r>
      <w:bookmarkStart w:id="788" w:name="_Toc469384160"/>
      <w:bookmarkStart w:id="789" w:name="_Toc266892945"/>
      <w:bookmarkStart w:id="790" w:name="_Toc10625004"/>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19</w:t>
      </w:r>
      <w:bookmarkEnd w:id="788"/>
      <w:bookmarkEnd w:id="789"/>
      <w:bookmarkEnd w:id="790"/>
    </w:p>
    <w:p>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暂列金额确认表</w:t>
      </w:r>
    </w:p>
    <w:p>
      <w:pPr>
        <w:spacing w:line="360" w:lineRule="auto"/>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0"/>
        <w:tblW w:w="105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3246"/>
        <w:gridCol w:w="1443"/>
        <w:gridCol w:w="1441"/>
        <w:gridCol w:w="1441"/>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序号</w:t>
            </w:r>
          </w:p>
        </w:tc>
        <w:tc>
          <w:tcPr>
            <w:tcW w:w="3246"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项目名称</w:t>
            </w:r>
          </w:p>
        </w:tc>
        <w:tc>
          <w:tcPr>
            <w:tcW w:w="1443"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计量</w:t>
            </w:r>
          </w:p>
          <w:p>
            <w:pPr>
              <w:spacing w:line="360" w:lineRule="auto"/>
              <w:jc w:val="center"/>
              <w:rPr>
                <w:rFonts w:ascii="仿宋" w:hAnsi="仿宋" w:eastAsia="仿宋" w:cs="Times New Roman"/>
                <w:sz w:val="24"/>
                <w:szCs w:val="24"/>
              </w:rPr>
            </w:pPr>
            <w:r>
              <w:rPr>
                <w:rFonts w:hint="eastAsia" w:ascii="仿宋" w:hAnsi="仿宋" w:eastAsia="仿宋" w:cs="仿宋"/>
                <w:sz w:val="24"/>
                <w:szCs w:val="24"/>
              </w:rPr>
              <w:t>单位</w:t>
            </w:r>
          </w:p>
        </w:tc>
        <w:tc>
          <w:tcPr>
            <w:tcW w:w="1441"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暂列金额</w:t>
            </w:r>
          </w:p>
          <w:p>
            <w:pPr>
              <w:spacing w:line="360" w:lineRule="auto"/>
              <w:jc w:val="center"/>
              <w:rPr>
                <w:rFonts w:ascii="仿宋" w:hAnsi="仿宋" w:eastAsia="仿宋" w:cs="Times New Roman"/>
                <w:sz w:val="24"/>
                <w:szCs w:val="24"/>
              </w:rPr>
            </w:pPr>
            <w:r>
              <w:rPr>
                <w:rFonts w:hint="eastAsia" w:ascii="仿宋" w:hAnsi="仿宋" w:eastAsia="仿宋" w:cs="仿宋"/>
                <w:sz w:val="24"/>
                <w:szCs w:val="24"/>
              </w:rPr>
              <w:t>（元）</w:t>
            </w:r>
          </w:p>
        </w:tc>
        <w:tc>
          <w:tcPr>
            <w:tcW w:w="1441"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实际金额</w:t>
            </w:r>
          </w:p>
          <w:p>
            <w:pPr>
              <w:spacing w:line="360" w:lineRule="auto"/>
              <w:jc w:val="center"/>
              <w:rPr>
                <w:rFonts w:ascii="仿宋" w:hAnsi="仿宋" w:eastAsia="仿宋" w:cs="Times New Roman"/>
                <w:sz w:val="24"/>
                <w:szCs w:val="24"/>
              </w:rPr>
            </w:pPr>
            <w:r>
              <w:rPr>
                <w:rFonts w:hint="eastAsia" w:ascii="仿宋" w:hAnsi="仿宋" w:eastAsia="仿宋" w:cs="仿宋"/>
                <w:sz w:val="24"/>
                <w:szCs w:val="24"/>
              </w:rPr>
              <w:t>（元）</w:t>
            </w:r>
          </w:p>
        </w:tc>
        <w:tc>
          <w:tcPr>
            <w:tcW w:w="1984"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vAlign w:val="center"/>
          </w:tcPr>
          <w:p>
            <w:pPr>
              <w:spacing w:line="360" w:lineRule="auto"/>
              <w:jc w:val="center"/>
              <w:rPr>
                <w:rFonts w:ascii="仿宋" w:hAnsi="仿宋" w:eastAsia="仿宋" w:cs="Times New Roman"/>
                <w:sz w:val="24"/>
                <w:szCs w:val="24"/>
              </w:rPr>
            </w:pPr>
            <w:r>
              <w:rPr>
                <w:rFonts w:ascii="仿宋" w:hAnsi="仿宋" w:eastAsia="仿宋" w:cs="仿宋"/>
                <w:sz w:val="24"/>
                <w:szCs w:val="24"/>
              </w:rPr>
              <w:t>1</w:t>
            </w:r>
          </w:p>
        </w:tc>
        <w:tc>
          <w:tcPr>
            <w:tcW w:w="3246" w:type="dxa"/>
            <w:vAlign w:val="center"/>
          </w:tcPr>
          <w:p>
            <w:pPr>
              <w:spacing w:line="360" w:lineRule="auto"/>
              <w:jc w:val="center"/>
              <w:rPr>
                <w:rFonts w:ascii="仿宋" w:hAnsi="仿宋" w:eastAsia="仿宋" w:cs="Times New Roman"/>
                <w:sz w:val="24"/>
                <w:szCs w:val="24"/>
              </w:rPr>
            </w:pPr>
          </w:p>
        </w:tc>
        <w:tc>
          <w:tcPr>
            <w:tcW w:w="1443" w:type="dxa"/>
            <w:vAlign w:val="center"/>
          </w:tcPr>
          <w:p>
            <w:pPr>
              <w:spacing w:line="360" w:lineRule="auto"/>
              <w:jc w:val="center"/>
              <w:rPr>
                <w:rFonts w:ascii="仿宋" w:hAnsi="仿宋" w:eastAsia="仿宋" w:cs="Times New Roman"/>
                <w:sz w:val="24"/>
                <w:szCs w:val="24"/>
              </w:rPr>
            </w:pPr>
          </w:p>
        </w:tc>
        <w:tc>
          <w:tcPr>
            <w:tcW w:w="1441" w:type="dxa"/>
            <w:vAlign w:val="center"/>
          </w:tcPr>
          <w:p>
            <w:pPr>
              <w:spacing w:line="360" w:lineRule="auto"/>
              <w:jc w:val="center"/>
              <w:rPr>
                <w:rFonts w:ascii="仿宋" w:hAnsi="仿宋" w:eastAsia="仿宋" w:cs="Times New Roman"/>
                <w:sz w:val="24"/>
                <w:szCs w:val="24"/>
              </w:rPr>
            </w:pPr>
          </w:p>
        </w:tc>
        <w:tc>
          <w:tcPr>
            <w:tcW w:w="1441" w:type="dxa"/>
            <w:vAlign w:val="center"/>
          </w:tcPr>
          <w:p>
            <w:pPr>
              <w:spacing w:line="360" w:lineRule="auto"/>
              <w:jc w:val="center"/>
              <w:rPr>
                <w:rFonts w:ascii="仿宋" w:hAnsi="仿宋" w:eastAsia="仿宋" w:cs="Times New Roman"/>
                <w:sz w:val="24"/>
                <w:szCs w:val="24"/>
              </w:rPr>
            </w:pPr>
          </w:p>
        </w:tc>
        <w:tc>
          <w:tcPr>
            <w:tcW w:w="1984"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vAlign w:val="center"/>
          </w:tcPr>
          <w:p>
            <w:pPr>
              <w:spacing w:line="360" w:lineRule="auto"/>
              <w:jc w:val="center"/>
              <w:rPr>
                <w:rFonts w:ascii="仿宋" w:hAnsi="仿宋" w:eastAsia="仿宋" w:cs="Times New Roman"/>
                <w:sz w:val="24"/>
                <w:szCs w:val="24"/>
              </w:rPr>
            </w:pPr>
            <w:r>
              <w:rPr>
                <w:rFonts w:ascii="仿宋" w:hAnsi="仿宋" w:eastAsia="仿宋" w:cs="仿宋"/>
                <w:sz w:val="24"/>
                <w:szCs w:val="24"/>
              </w:rPr>
              <w:t>2</w:t>
            </w:r>
          </w:p>
        </w:tc>
        <w:tc>
          <w:tcPr>
            <w:tcW w:w="3246" w:type="dxa"/>
            <w:vAlign w:val="center"/>
          </w:tcPr>
          <w:p>
            <w:pPr>
              <w:spacing w:line="360" w:lineRule="auto"/>
              <w:jc w:val="center"/>
              <w:rPr>
                <w:rFonts w:ascii="仿宋" w:hAnsi="仿宋" w:eastAsia="仿宋" w:cs="Times New Roman"/>
                <w:sz w:val="24"/>
                <w:szCs w:val="24"/>
              </w:rPr>
            </w:pPr>
          </w:p>
        </w:tc>
        <w:tc>
          <w:tcPr>
            <w:tcW w:w="1443" w:type="dxa"/>
            <w:vAlign w:val="center"/>
          </w:tcPr>
          <w:p>
            <w:pPr>
              <w:spacing w:line="360" w:lineRule="auto"/>
              <w:jc w:val="center"/>
              <w:rPr>
                <w:rFonts w:ascii="仿宋" w:hAnsi="仿宋" w:eastAsia="仿宋" w:cs="Times New Roman"/>
                <w:sz w:val="24"/>
                <w:szCs w:val="24"/>
              </w:rPr>
            </w:pPr>
          </w:p>
        </w:tc>
        <w:tc>
          <w:tcPr>
            <w:tcW w:w="1441" w:type="dxa"/>
            <w:vAlign w:val="center"/>
          </w:tcPr>
          <w:p>
            <w:pPr>
              <w:spacing w:line="360" w:lineRule="auto"/>
              <w:jc w:val="center"/>
              <w:rPr>
                <w:rFonts w:ascii="仿宋" w:hAnsi="仿宋" w:eastAsia="仿宋" w:cs="Times New Roman"/>
                <w:sz w:val="24"/>
                <w:szCs w:val="24"/>
              </w:rPr>
            </w:pPr>
          </w:p>
        </w:tc>
        <w:tc>
          <w:tcPr>
            <w:tcW w:w="1441" w:type="dxa"/>
            <w:vAlign w:val="center"/>
          </w:tcPr>
          <w:p>
            <w:pPr>
              <w:spacing w:line="360" w:lineRule="auto"/>
              <w:jc w:val="center"/>
              <w:rPr>
                <w:rFonts w:ascii="仿宋" w:hAnsi="仿宋" w:eastAsia="仿宋" w:cs="Times New Roman"/>
                <w:sz w:val="24"/>
                <w:szCs w:val="24"/>
              </w:rPr>
            </w:pPr>
          </w:p>
        </w:tc>
        <w:tc>
          <w:tcPr>
            <w:tcW w:w="1984"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vAlign w:val="center"/>
          </w:tcPr>
          <w:p>
            <w:pPr>
              <w:spacing w:line="360" w:lineRule="auto"/>
              <w:jc w:val="center"/>
              <w:rPr>
                <w:rFonts w:ascii="仿宋" w:hAnsi="仿宋" w:eastAsia="仿宋" w:cs="Times New Roman"/>
                <w:sz w:val="24"/>
                <w:szCs w:val="24"/>
              </w:rPr>
            </w:pPr>
            <w:r>
              <w:rPr>
                <w:rFonts w:ascii="仿宋" w:hAnsi="仿宋" w:eastAsia="仿宋" w:cs="仿宋"/>
                <w:sz w:val="24"/>
                <w:szCs w:val="24"/>
              </w:rPr>
              <w:t>3</w:t>
            </w:r>
          </w:p>
        </w:tc>
        <w:tc>
          <w:tcPr>
            <w:tcW w:w="3246" w:type="dxa"/>
            <w:vAlign w:val="center"/>
          </w:tcPr>
          <w:p>
            <w:pPr>
              <w:spacing w:line="360" w:lineRule="auto"/>
              <w:jc w:val="center"/>
              <w:rPr>
                <w:rFonts w:ascii="仿宋" w:hAnsi="仿宋" w:eastAsia="仿宋" w:cs="Times New Roman"/>
                <w:sz w:val="24"/>
                <w:szCs w:val="24"/>
              </w:rPr>
            </w:pPr>
          </w:p>
        </w:tc>
        <w:tc>
          <w:tcPr>
            <w:tcW w:w="1443" w:type="dxa"/>
            <w:vAlign w:val="center"/>
          </w:tcPr>
          <w:p>
            <w:pPr>
              <w:spacing w:line="360" w:lineRule="auto"/>
              <w:jc w:val="center"/>
              <w:rPr>
                <w:rFonts w:ascii="仿宋" w:hAnsi="仿宋" w:eastAsia="仿宋" w:cs="Times New Roman"/>
                <w:sz w:val="24"/>
                <w:szCs w:val="24"/>
              </w:rPr>
            </w:pPr>
          </w:p>
        </w:tc>
        <w:tc>
          <w:tcPr>
            <w:tcW w:w="1441" w:type="dxa"/>
            <w:vAlign w:val="center"/>
          </w:tcPr>
          <w:p>
            <w:pPr>
              <w:spacing w:line="360" w:lineRule="auto"/>
              <w:jc w:val="center"/>
              <w:rPr>
                <w:rFonts w:ascii="仿宋" w:hAnsi="仿宋" w:eastAsia="仿宋" w:cs="Times New Roman"/>
                <w:sz w:val="24"/>
                <w:szCs w:val="24"/>
              </w:rPr>
            </w:pPr>
          </w:p>
        </w:tc>
        <w:tc>
          <w:tcPr>
            <w:tcW w:w="1441" w:type="dxa"/>
            <w:vAlign w:val="center"/>
          </w:tcPr>
          <w:p>
            <w:pPr>
              <w:spacing w:line="360" w:lineRule="auto"/>
              <w:jc w:val="center"/>
              <w:rPr>
                <w:rFonts w:ascii="仿宋" w:hAnsi="仿宋" w:eastAsia="仿宋" w:cs="Times New Roman"/>
                <w:sz w:val="24"/>
                <w:szCs w:val="24"/>
              </w:rPr>
            </w:pPr>
          </w:p>
        </w:tc>
        <w:tc>
          <w:tcPr>
            <w:tcW w:w="1984"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vAlign w:val="center"/>
          </w:tcPr>
          <w:p>
            <w:pPr>
              <w:spacing w:line="360" w:lineRule="auto"/>
              <w:jc w:val="center"/>
              <w:rPr>
                <w:rFonts w:ascii="仿宋" w:hAnsi="仿宋" w:eastAsia="仿宋" w:cs="Times New Roman"/>
                <w:sz w:val="24"/>
                <w:szCs w:val="24"/>
              </w:rPr>
            </w:pPr>
            <w:r>
              <w:rPr>
                <w:rFonts w:ascii="仿宋" w:hAnsi="仿宋" w:eastAsia="仿宋" w:cs="仿宋"/>
                <w:sz w:val="24"/>
                <w:szCs w:val="24"/>
              </w:rPr>
              <w:t>4</w:t>
            </w:r>
          </w:p>
        </w:tc>
        <w:tc>
          <w:tcPr>
            <w:tcW w:w="3246" w:type="dxa"/>
            <w:vAlign w:val="center"/>
          </w:tcPr>
          <w:p>
            <w:pPr>
              <w:spacing w:line="360" w:lineRule="auto"/>
              <w:jc w:val="center"/>
              <w:rPr>
                <w:rFonts w:ascii="仿宋" w:hAnsi="仿宋" w:eastAsia="仿宋" w:cs="Times New Roman"/>
                <w:sz w:val="24"/>
                <w:szCs w:val="24"/>
              </w:rPr>
            </w:pPr>
          </w:p>
        </w:tc>
        <w:tc>
          <w:tcPr>
            <w:tcW w:w="1443" w:type="dxa"/>
            <w:vAlign w:val="center"/>
          </w:tcPr>
          <w:p>
            <w:pPr>
              <w:spacing w:line="360" w:lineRule="auto"/>
              <w:jc w:val="center"/>
              <w:rPr>
                <w:rFonts w:ascii="仿宋" w:hAnsi="仿宋" w:eastAsia="仿宋" w:cs="Times New Roman"/>
                <w:sz w:val="24"/>
                <w:szCs w:val="24"/>
              </w:rPr>
            </w:pPr>
          </w:p>
        </w:tc>
        <w:tc>
          <w:tcPr>
            <w:tcW w:w="1441" w:type="dxa"/>
            <w:vAlign w:val="center"/>
          </w:tcPr>
          <w:p>
            <w:pPr>
              <w:spacing w:line="360" w:lineRule="auto"/>
              <w:jc w:val="center"/>
              <w:rPr>
                <w:rFonts w:ascii="仿宋" w:hAnsi="仿宋" w:eastAsia="仿宋" w:cs="Times New Roman"/>
                <w:sz w:val="24"/>
                <w:szCs w:val="24"/>
              </w:rPr>
            </w:pPr>
          </w:p>
        </w:tc>
        <w:tc>
          <w:tcPr>
            <w:tcW w:w="1441" w:type="dxa"/>
            <w:vAlign w:val="center"/>
          </w:tcPr>
          <w:p>
            <w:pPr>
              <w:spacing w:line="360" w:lineRule="auto"/>
              <w:jc w:val="center"/>
              <w:rPr>
                <w:rFonts w:ascii="仿宋" w:hAnsi="仿宋" w:eastAsia="仿宋" w:cs="Times New Roman"/>
                <w:sz w:val="24"/>
                <w:szCs w:val="24"/>
              </w:rPr>
            </w:pPr>
          </w:p>
        </w:tc>
        <w:tc>
          <w:tcPr>
            <w:tcW w:w="1984"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1010" w:type="dxa"/>
            <w:vAlign w:val="center"/>
          </w:tcPr>
          <w:p>
            <w:pPr>
              <w:spacing w:line="360" w:lineRule="auto"/>
              <w:jc w:val="center"/>
              <w:rPr>
                <w:rFonts w:ascii="仿宋" w:hAnsi="仿宋" w:eastAsia="仿宋" w:cs="Times New Roman"/>
                <w:sz w:val="24"/>
                <w:szCs w:val="24"/>
              </w:rPr>
            </w:pPr>
            <w:r>
              <w:rPr>
                <w:rFonts w:ascii="仿宋" w:hAnsi="仿宋" w:eastAsia="仿宋" w:cs="仿宋"/>
                <w:sz w:val="24"/>
                <w:szCs w:val="24"/>
              </w:rPr>
              <w:t>5</w:t>
            </w:r>
          </w:p>
        </w:tc>
        <w:tc>
          <w:tcPr>
            <w:tcW w:w="3246" w:type="dxa"/>
            <w:vAlign w:val="center"/>
          </w:tcPr>
          <w:p>
            <w:pPr>
              <w:spacing w:line="360" w:lineRule="auto"/>
              <w:jc w:val="center"/>
              <w:rPr>
                <w:rFonts w:ascii="仿宋" w:hAnsi="仿宋" w:eastAsia="仿宋" w:cs="Times New Roman"/>
                <w:sz w:val="24"/>
                <w:szCs w:val="24"/>
              </w:rPr>
            </w:pPr>
          </w:p>
        </w:tc>
        <w:tc>
          <w:tcPr>
            <w:tcW w:w="1443" w:type="dxa"/>
            <w:vAlign w:val="center"/>
          </w:tcPr>
          <w:p>
            <w:pPr>
              <w:spacing w:line="360" w:lineRule="auto"/>
              <w:jc w:val="center"/>
              <w:rPr>
                <w:rFonts w:ascii="仿宋" w:hAnsi="仿宋" w:eastAsia="仿宋" w:cs="Times New Roman"/>
                <w:sz w:val="24"/>
                <w:szCs w:val="24"/>
              </w:rPr>
            </w:pPr>
          </w:p>
        </w:tc>
        <w:tc>
          <w:tcPr>
            <w:tcW w:w="1441" w:type="dxa"/>
            <w:vAlign w:val="center"/>
          </w:tcPr>
          <w:p>
            <w:pPr>
              <w:spacing w:line="360" w:lineRule="auto"/>
              <w:jc w:val="center"/>
              <w:rPr>
                <w:rFonts w:ascii="仿宋" w:hAnsi="仿宋" w:eastAsia="仿宋" w:cs="Times New Roman"/>
                <w:sz w:val="24"/>
                <w:szCs w:val="24"/>
              </w:rPr>
            </w:pPr>
          </w:p>
        </w:tc>
        <w:tc>
          <w:tcPr>
            <w:tcW w:w="1441" w:type="dxa"/>
            <w:vAlign w:val="center"/>
          </w:tcPr>
          <w:p>
            <w:pPr>
              <w:spacing w:line="360" w:lineRule="auto"/>
              <w:jc w:val="center"/>
              <w:rPr>
                <w:rFonts w:ascii="仿宋" w:hAnsi="仿宋" w:eastAsia="仿宋" w:cs="Times New Roman"/>
                <w:sz w:val="24"/>
                <w:szCs w:val="24"/>
              </w:rPr>
            </w:pPr>
          </w:p>
        </w:tc>
        <w:tc>
          <w:tcPr>
            <w:tcW w:w="1984"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vAlign w:val="center"/>
          </w:tcPr>
          <w:p>
            <w:pPr>
              <w:spacing w:line="360" w:lineRule="auto"/>
              <w:jc w:val="center"/>
              <w:rPr>
                <w:rFonts w:ascii="仿宋" w:hAnsi="仿宋" w:eastAsia="仿宋" w:cs="Times New Roman"/>
                <w:sz w:val="24"/>
                <w:szCs w:val="24"/>
              </w:rPr>
            </w:pPr>
            <w:r>
              <w:rPr>
                <w:rFonts w:ascii="仿宋" w:hAnsi="仿宋" w:eastAsia="仿宋" w:cs="仿宋"/>
                <w:sz w:val="24"/>
                <w:szCs w:val="24"/>
              </w:rPr>
              <w:t>6</w:t>
            </w:r>
          </w:p>
        </w:tc>
        <w:tc>
          <w:tcPr>
            <w:tcW w:w="3246" w:type="dxa"/>
            <w:vAlign w:val="center"/>
          </w:tcPr>
          <w:p>
            <w:pPr>
              <w:spacing w:line="360" w:lineRule="auto"/>
              <w:jc w:val="center"/>
              <w:rPr>
                <w:rFonts w:ascii="仿宋" w:hAnsi="仿宋" w:eastAsia="仿宋" w:cs="Times New Roman"/>
                <w:sz w:val="24"/>
                <w:szCs w:val="24"/>
              </w:rPr>
            </w:pPr>
          </w:p>
        </w:tc>
        <w:tc>
          <w:tcPr>
            <w:tcW w:w="1443" w:type="dxa"/>
            <w:vAlign w:val="center"/>
          </w:tcPr>
          <w:p>
            <w:pPr>
              <w:spacing w:line="360" w:lineRule="auto"/>
              <w:jc w:val="center"/>
              <w:rPr>
                <w:rFonts w:ascii="仿宋" w:hAnsi="仿宋" w:eastAsia="仿宋" w:cs="Times New Roman"/>
                <w:sz w:val="24"/>
                <w:szCs w:val="24"/>
              </w:rPr>
            </w:pPr>
          </w:p>
        </w:tc>
        <w:tc>
          <w:tcPr>
            <w:tcW w:w="1441" w:type="dxa"/>
            <w:vAlign w:val="center"/>
          </w:tcPr>
          <w:p>
            <w:pPr>
              <w:spacing w:line="360" w:lineRule="auto"/>
              <w:jc w:val="center"/>
              <w:rPr>
                <w:rFonts w:ascii="仿宋" w:hAnsi="仿宋" w:eastAsia="仿宋" w:cs="Times New Roman"/>
                <w:sz w:val="24"/>
                <w:szCs w:val="24"/>
              </w:rPr>
            </w:pPr>
          </w:p>
        </w:tc>
        <w:tc>
          <w:tcPr>
            <w:tcW w:w="1441" w:type="dxa"/>
            <w:vAlign w:val="center"/>
          </w:tcPr>
          <w:p>
            <w:pPr>
              <w:spacing w:line="360" w:lineRule="auto"/>
              <w:jc w:val="center"/>
              <w:rPr>
                <w:rFonts w:ascii="仿宋" w:hAnsi="仿宋" w:eastAsia="仿宋" w:cs="Times New Roman"/>
                <w:sz w:val="24"/>
                <w:szCs w:val="24"/>
              </w:rPr>
            </w:pPr>
          </w:p>
        </w:tc>
        <w:tc>
          <w:tcPr>
            <w:tcW w:w="1984"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vAlign w:val="center"/>
          </w:tcPr>
          <w:p>
            <w:pPr>
              <w:spacing w:line="360" w:lineRule="auto"/>
              <w:jc w:val="center"/>
              <w:rPr>
                <w:rFonts w:ascii="仿宋" w:hAnsi="仿宋" w:eastAsia="仿宋" w:cs="Times New Roman"/>
                <w:sz w:val="24"/>
                <w:szCs w:val="24"/>
              </w:rPr>
            </w:pPr>
            <w:r>
              <w:rPr>
                <w:rFonts w:ascii="仿宋" w:hAnsi="仿宋" w:eastAsia="仿宋" w:cs="仿宋"/>
                <w:sz w:val="24"/>
                <w:szCs w:val="24"/>
              </w:rPr>
              <w:t>7</w:t>
            </w:r>
          </w:p>
        </w:tc>
        <w:tc>
          <w:tcPr>
            <w:tcW w:w="3246" w:type="dxa"/>
            <w:vAlign w:val="center"/>
          </w:tcPr>
          <w:p>
            <w:pPr>
              <w:spacing w:line="360" w:lineRule="auto"/>
              <w:jc w:val="center"/>
              <w:rPr>
                <w:rFonts w:ascii="仿宋" w:hAnsi="仿宋" w:eastAsia="仿宋" w:cs="Times New Roman"/>
                <w:sz w:val="24"/>
                <w:szCs w:val="24"/>
              </w:rPr>
            </w:pPr>
          </w:p>
        </w:tc>
        <w:tc>
          <w:tcPr>
            <w:tcW w:w="1443" w:type="dxa"/>
            <w:vAlign w:val="center"/>
          </w:tcPr>
          <w:p>
            <w:pPr>
              <w:spacing w:line="360" w:lineRule="auto"/>
              <w:jc w:val="center"/>
              <w:rPr>
                <w:rFonts w:ascii="仿宋" w:hAnsi="仿宋" w:eastAsia="仿宋" w:cs="Times New Roman"/>
                <w:sz w:val="24"/>
                <w:szCs w:val="24"/>
              </w:rPr>
            </w:pPr>
          </w:p>
        </w:tc>
        <w:tc>
          <w:tcPr>
            <w:tcW w:w="1441" w:type="dxa"/>
            <w:vAlign w:val="center"/>
          </w:tcPr>
          <w:p>
            <w:pPr>
              <w:spacing w:line="360" w:lineRule="auto"/>
              <w:jc w:val="center"/>
              <w:rPr>
                <w:rFonts w:ascii="仿宋" w:hAnsi="仿宋" w:eastAsia="仿宋" w:cs="Times New Roman"/>
                <w:sz w:val="24"/>
                <w:szCs w:val="24"/>
              </w:rPr>
            </w:pPr>
          </w:p>
        </w:tc>
        <w:tc>
          <w:tcPr>
            <w:tcW w:w="1441" w:type="dxa"/>
            <w:vAlign w:val="center"/>
          </w:tcPr>
          <w:p>
            <w:pPr>
              <w:spacing w:line="360" w:lineRule="auto"/>
              <w:jc w:val="center"/>
              <w:rPr>
                <w:rFonts w:ascii="仿宋" w:hAnsi="仿宋" w:eastAsia="仿宋" w:cs="Times New Roman"/>
                <w:sz w:val="24"/>
                <w:szCs w:val="24"/>
              </w:rPr>
            </w:pPr>
          </w:p>
        </w:tc>
        <w:tc>
          <w:tcPr>
            <w:tcW w:w="1984"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vAlign w:val="center"/>
          </w:tcPr>
          <w:p>
            <w:pPr>
              <w:spacing w:line="360" w:lineRule="auto"/>
              <w:jc w:val="center"/>
              <w:rPr>
                <w:rFonts w:ascii="仿宋" w:hAnsi="仿宋" w:eastAsia="仿宋" w:cs="Times New Roman"/>
                <w:sz w:val="24"/>
                <w:szCs w:val="24"/>
              </w:rPr>
            </w:pPr>
            <w:r>
              <w:rPr>
                <w:rFonts w:ascii="仿宋" w:hAnsi="仿宋" w:eastAsia="仿宋" w:cs="仿宋"/>
                <w:sz w:val="24"/>
                <w:szCs w:val="24"/>
              </w:rPr>
              <w:t>8</w:t>
            </w:r>
          </w:p>
        </w:tc>
        <w:tc>
          <w:tcPr>
            <w:tcW w:w="3246" w:type="dxa"/>
            <w:vAlign w:val="center"/>
          </w:tcPr>
          <w:p>
            <w:pPr>
              <w:spacing w:line="360" w:lineRule="auto"/>
              <w:jc w:val="center"/>
              <w:rPr>
                <w:rFonts w:ascii="仿宋" w:hAnsi="仿宋" w:eastAsia="仿宋" w:cs="Times New Roman"/>
                <w:sz w:val="24"/>
                <w:szCs w:val="24"/>
              </w:rPr>
            </w:pPr>
          </w:p>
        </w:tc>
        <w:tc>
          <w:tcPr>
            <w:tcW w:w="1443" w:type="dxa"/>
            <w:vAlign w:val="center"/>
          </w:tcPr>
          <w:p>
            <w:pPr>
              <w:spacing w:line="360" w:lineRule="auto"/>
              <w:jc w:val="center"/>
              <w:rPr>
                <w:rFonts w:ascii="仿宋" w:hAnsi="仿宋" w:eastAsia="仿宋" w:cs="Times New Roman"/>
                <w:sz w:val="24"/>
                <w:szCs w:val="24"/>
              </w:rPr>
            </w:pPr>
          </w:p>
        </w:tc>
        <w:tc>
          <w:tcPr>
            <w:tcW w:w="1441" w:type="dxa"/>
            <w:vAlign w:val="center"/>
          </w:tcPr>
          <w:p>
            <w:pPr>
              <w:spacing w:line="360" w:lineRule="auto"/>
              <w:jc w:val="center"/>
              <w:rPr>
                <w:rFonts w:ascii="仿宋" w:hAnsi="仿宋" w:eastAsia="仿宋" w:cs="Times New Roman"/>
                <w:sz w:val="24"/>
                <w:szCs w:val="24"/>
              </w:rPr>
            </w:pPr>
          </w:p>
        </w:tc>
        <w:tc>
          <w:tcPr>
            <w:tcW w:w="1441" w:type="dxa"/>
            <w:vAlign w:val="center"/>
          </w:tcPr>
          <w:p>
            <w:pPr>
              <w:spacing w:line="360" w:lineRule="auto"/>
              <w:jc w:val="center"/>
              <w:rPr>
                <w:rFonts w:ascii="仿宋" w:hAnsi="仿宋" w:eastAsia="仿宋" w:cs="Times New Roman"/>
                <w:sz w:val="24"/>
                <w:szCs w:val="24"/>
              </w:rPr>
            </w:pPr>
          </w:p>
        </w:tc>
        <w:tc>
          <w:tcPr>
            <w:tcW w:w="1984"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vAlign w:val="center"/>
          </w:tcPr>
          <w:p>
            <w:pPr>
              <w:spacing w:line="360" w:lineRule="auto"/>
              <w:jc w:val="center"/>
              <w:rPr>
                <w:rFonts w:ascii="仿宋" w:hAnsi="仿宋" w:eastAsia="仿宋" w:cs="Times New Roman"/>
                <w:sz w:val="24"/>
                <w:szCs w:val="24"/>
              </w:rPr>
            </w:pPr>
            <w:r>
              <w:rPr>
                <w:rFonts w:ascii="仿宋" w:hAnsi="仿宋" w:eastAsia="仿宋" w:cs="仿宋"/>
                <w:sz w:val="24"/>
                <w:szCs w:val="24"/>
              </w:rPr>
              <w:t>9</w:t>
            </w:r>
          </w:p>
        </w:tc>
        <w:tc>
          <w:tcPr>
            <w:tcW w:w="3246" w:type="dxa"/>
            <w:vAlign w:val="center"/>
          </w:tcPr>
          <w:p>
            <w:pPr>
              <w:spacing w:line="360" w:lineRule="auto"/>
              <w:jc w:val="center"/>
              <w:rPr>
                <w:rFonts w:ascii="仿宋" w:hAnsi="仿宋" w:eastAsia="仿宋" w:cs="Times New Roman"/>
                <w:sz w:val="24"/>
                <w:szCs w:val="24"/>
              </w:rPr>
            </w:pPr>
          </w:p>
        </w:tc>
        <w:tc>
          <w:tcPr>
            <w:tcW w:w="1443" w:type="dxa"/>
            <w:vAlign w:val="center"/>
          </w:tcPr>
          <w:p>
            <w:pPr>
              <w:spacing w:line="360" w:lineRule="auto"/>
              <w:jc w:val="center"/>
              <w:rPr>
                <w:rFonts w:ascii="仿宋" w:hAnsi="仿宋" w:eastAsia="仿宋" w:cs="Times New Roman"/>
                <w:sz w:val="24"/>
                <w:szCs w:val="24"/>
              </w:rPr>
            </w:pPr>
          </w:p>
        </w:tc>
        <w:tc>
          <w:tcPr>
            <w:tcW w:w="1441" w:type="dxa"/>
            <w:vAlign w:val="center"/>
          </w:tcPr>
          <w:p>
            <w:pPr>
              <w:spacing w:line="360" w:lineRule="auto"/>
              <w:jc w:val="center"/>
              <w:rPr>
                <w:rFonts w:ascii="仿宋" w:hAnsi="仿宋" w:eastAsia="仿宋" w:cs="Times New Roman"/>
                <w:sz w:val="24"/>
                <w:szCs w:val="24"/>
              </w:rPr>
            </w:pPr>
          </w:p>
        </w:tc>
        <w:tc>
          <w:tcPr>
            <w:tcW w:w="1441" w:type="dxa"/>
            <w:vAlign w:val="center"/>
          </w:tcPr>
          <w:p>
            <w:pPr>
              <w:spacing w:line="360" w:lineRule="auto"/>
              <w:jc w:val="center"/>
              <w:rPr>
                <w:rFonts w:ascii="仿宋" w:hAnsi="仿宋" w:eastAsia="仿宋" w:cs="Times New Roman"/>
                <w:sz w:val="24"/>
                <w:szCs w:val="24"/>
              </w:rPr>
            </w:pPr>
          </w:p>
        </w:tc>
        <w:tc>
          <w:tcPr>
            <w:tcW w:w="1984"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vAlign w:val="center"/>
          </w:tcPr>
          <w:p>
            <w:pPr>
              <w:spacing w:line="360" w:lineRule="auto"/>
              <w:jc w:val="center"/>
              <w:rPr>
                <w:rFonts w:ascii="仿宋" w:hAnsi="仿宋" w:eastAsia="仿宋" w:cs="Times New Roman"/>
                <w:sz w:val="24"/>
                <w:szCs w:val="24"/>
              </w:rPr>
            </w:pPr>
            <w:r>
              <w:rPr>
                <w:rFonts w:ascii="仿宋" w:hAnsi="仿宋" w:eastAsia="仿宋" w:cs="仿宋"/>
                <w:sz w:val="24"/>
                <w:szCs w:val="24"/>
              </w:rPr>
              <w:t>10</w:t>
            </w:r>
          </w:p>
        </w:tc>
        <w:tc>
          <w:tcPr>
            <w:tcW w:w="3246" w:type="dxa"/>
            <w:vAlign w:val="center"/>
          </w:tcPr>
          <w:p>
            <w:pPr>
              <w:spacing w:line="360" w:lineRule="auto"/>
              <w:jc w:val="center"/>
              <w:rPr>
                <w:rFonts w:ascii="仿宋" w:hAnsi="仿宋" w:eastAsia="仿宋" w:cs="Times New Roman"/>
                <w:sz w:val="24"/>
                <w:szCs w:val="24"/>
              </w:rPr>
            </w:pPr>
          </w:p>
        </w:tc>
        <w:tc>
          <w:tcPr>
            <w:tcW w:w="1443" w:type="dxa"/>
            <w:vAlign w:val="center"/>
          </w:tcPr>
          <w:p>
            <w:pPr>
              <w:spacing w:line="360" w:lineRule="auto"/>
              <w:jc w:val="center"/>
              <w:rPr>
                <w:rFonts w:ascii="仿宋" w:hAnsi="仿宋" w:eastAsia="仿宋" w:cs="Times New Roman"/>
                <w:sz w:val="24"/>
                <w:szCs w:val="24"/>
              </w:rPr>
            </w:pPr>
          </w:p>
        </w:tc>
        <w:tc>
          <w:tcPr>
            <w:tcW w:w="1441" w:type="dxa"/>
            <w:vAlign w:val="center"/>
          </w:tcPr>
          <w:p>
            <w:pPr>
              <w:spacing w:line="360" w:lineRule="auto"/>
              <w:jc w:val="center"/>
              <w:rPr>
                <w:rFonts w:ascii="仿宋" w:hAnsi="仿宋" w:eastAsia="仿宋" w:cs="Times New Roman"/>
                <w:sz w:val="24"/>
                <w:szCs w:val="24"/>
              </w:rPr>
            </w:pPr>
          </w:p>
        </w:tc>
        <w:tc>
          <w:tcPr>
            <w:tcW w:w="1441" w:type="dxa"/>
            <w:vAlign w:val="center"/>
          </w:tcPr>
          <w:p>
            <w:pPr>
              <w:spacing w:line="360" w:lineRule="auto"/>
              <w:jc w:val="center"/>
              <w:rPr>
                <w:rFonts w:ascii="仿宋" w:hAnsi="仿宋" w:eastAsia="仿宋" w:cs="Times New Roman"/>
                <w:sz w:val="24"/>
                <w:szCs w:val="24"/>
              </w:rPr>
            </w:pPr>
          </w:p>
        </w:tc>
        <w:tc>
          <w:tcPr>
            <w:tcW w:w="1984"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vAlign w:val="center"/>
          </w:tcPr>
          <w:p>
            <w:pPr>
              <w:spacing w:line="360" w:lineRule="auto"/>
              <w:jc w:val="center"/>
              <w:rPr>
                <w:rFonts w:ascii="仿宋" w:hAnsi="仿宋" w:eastAsia="仿宋" w:cs="Times New Roman"/>
                <w:sz w:val="24"/>
                <w:szCs w:val="24"/>
              </w:rPr>
            </w:pPr>
            <w:r>
              <w:rPr>
                <w:rFonts w:ascii="仿宋" w:hAnsi="仿宋" w:eastAsia="仿宋" w:cs="仿宋"/>
                <w:sz w:val="24"/>
                <w:szCs w:val="24"/>
              </w:rPr>
              <w:t>11</w:t>
            </w:r>
          </w:p>
        </w:tc>
        <w:tc>
          <w:tcPr>
            <w:tcW w:w="3246" w:type="dxa"/>
            <w:vAlign w:val="center"/>
          </w:tcPr>
          <w:p>
            <w:pPr>
              <w:spacing w:line="360" w:lineRule="auto"/>
              <w:jc w:val="center"/>
              <w:rPr>
                <w:rFonts w:ascii="仿宋" w:hAnsi="仿宋" w:eastAsia="仿宋" w:cs="Times New Roman"/>
                <w:sz w:val="24"/>
                <w:szCs w:val="24"/>
              </w:rPr>
            </w:pPr>
          </w:p>
        </w:tc>
        <w:tc>
          <w:tcPr>
            <w:tcW w:w="1443" w:type="dxa"/>
            <w:vAlign w:val="center"/>
          </w:tcPr>
          <w:p>
            <w:pPr>
              <w:spacing w:line="360" w:lineRule="auto"/>
              <w:jc w:val="center"/>
              <w:rPr>
                <w:rFonts w:ascii="仿宋" w:hAnsi="仿宋" w:eastAsia="仿宋" w:cs="Times New Roman"/>
                <w:sz w:val="24"/>
                <w:szCs w:val="24"/>
              </w:rPr>
            </w:pPr>
          </w:p>
        </w:tc>
        <w:tc>
          <w:tcPr>
            <w:tcW w:w="1441" w:type="dxa"/>
            <w:vAlign w:val="center"/>
          </w:tcPr>
          <w:p>
            <w:pPr>
              <w:spacing w:line="360" w:lineRule="auto"/>
              <w:jc w:val="center"/>
              <w:rPr>
                <w:rFonts w:ascii="仿宋" w:hAnsi="仿宋" w:eastAsia="仿宋" w:cs="Times New Roman"/>
                <w:sz w:val="24"/>
                <w:szCs w:val="24"/>
              </w:rPr>
            </w:pPr>
          </w:p>
        </w:tc>
        <w:tc>
          <w:tcPr>
            <w:tcW w:w="1441" w:type="dxa"/>
            <w:vAlign w:val="center"/>
          </w:tcPr>
          <w:p>
            <w:pPr>
              <w:spacing w:line="360" w:lineRule="auto"/>
              <w:jc w:val="center"/>
              <w:rPr>
                <w:rFonts w:ascii="仿宋" w:hAnsi="仿宋" w:eastAsia="仿宋" w:cs="Times New Roman"/>
                <w:sz w:val="24"/>
                <w:szCs w:val="24"/>
              </w:rPr>
            </w:pPr>
          </w:p>
        </w:tc>
        <w:tc>
          <w:tcPr>
            <w:tcW w:w="1984"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5699" w:type="dxa"/>
            <w:gridSpan w:val="3"/>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合</w:t>
            </w:r>
            <w:r>
              <w:rPr>
                <w:rFonts w:ascii="仿宋" w:hAnsi="仿宋" w:eastAsia="仿宋" w:cs="仿宋"/>
                <w:sz w:val="24"/>
                <w:szCs w:val="24"/>
              </w:rPr>
              <w:t xml:space="preserve">  </w:t>
            </w:r>
            <w:r>
              <w:rPr>
                <w:rFonts w:hint="eastAsia" w:ascii="仿宋" w:hAnsi="仿宋" w:eastAsia="仿宋" w:cs="仿宋"/>
                <w:sz w:val="24"/>
                <w:szCs w:val="24"/>
              </w:rPr>
              <w:t>计</w:t>
            </w:r>
          </w:p>
        </w:tc>
        <w:tc>
          <w:tcPr>
            <w:tcW w:w="1441" w:type="dxa"/>
            <w:vAlign w:val="center"/>
          </w:tcPr>
          <w:p>
            <w:pPr>
              <w:spacing w:line="360" w:lineRule="auto"/>
              <w:jc w:val="center"/>
              <w:rPr>
                <w:rFonts w:ascii="仿宋" w:hAnsi="仿宋" w:eastAsia="仿宋" w:cs="Times New Roman"/>
                <w:sz w:val="24"/>
                <w:szCs w:val="24"/>
              </w:rPr>
            </w:pPr>
          </w:p>
        </w:tc>
        <w:tc>
          <w:tcPr>
            <w:tcW w:w="1441" w:type="dxa"/>
            <w:vAlign w:val="center"/>
          </w:tcPr>
          <w:p>
            <w:pPr>
              <w:spacing w:line="360" w:lineRule="auto"/>
              <w:jc w:val="center"/>
              <w:rPr>
                <w:rFonts w:ascii="仿宋" w:hAnsi="仿宋" w:eastAsia="仿宋" w:cs="Times New Roman"/>
                <w:sz w:val="24"/>
                <w:szCs w:val="24"/>
              </w:rPr>
            </w:pPr>
          </w:p>
        </w:tc>
        <w:tc>
          <w:tcPr>
            <w:tcW w:w="1984" w:type="dxa"/>
            <w:vAlign w:val="center"/>
          </w:tcPr>
          <w:p>
            <w:pPr>
              <w:spacing w:line="360" w:lineRule="auto"/>
              <w:jc w:val="center"/>
              <w:rPr>
                <w:rFonts w:ascii="仿宋" w:hAnsi="仿宋" w:eastAsia="仿宋" w:cs="Times New Roman"/>
                <w:sz w:val="24"/>
                <w:szCs w:val="24"/>
              </w:rPr>
            </w:pPr>
          </w:p>
        </w:tc>
      </w:tr>
    </w:tbl>
    <w:p>
      <w:pPr>
        <w:spacing w:line="360" w:lineRule="auto"/>
        <w:rPr>
          <w:rFonts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本表由承包人填制，承包人应按照合同约定填报项目名称、实际金额，提交造价工程核实并由其报发包人确认后，列入合同价款内。</w:t>
      </w:r>
    </w:p>
    <w:p>
      <w:pPr>
        <w:spacing w:line="360" w:lineRule="auto"/>
        <w:ind w:firstLine="720" w:firstLineChars="300"/>
        <w:rPr>
          <w:rFonts w:ascii="仿宋" w:hAnsi="仿宋" w:eastAsia="仿宋" w:cs="仿宋"/>
          <w:b/>
          <w:bCs/>
          <w:color w:val="000000"/>
          <w:kern w:val="0"/>
          <w:sz w:val="24"/>
          <w:szCs w:val="24"/>
        </w:rPr>
      </w:pPr>
      <w:r>
        <w:rPr>
          <w:rFonts w:ascii="仿宋" w:hAnsi="仿宋" w:eastAsia="仿宋" w:cs="仿宋"/>
          <w:sz w:val="24"/>
          <w:szCs w:val="24"/>
        </w:rPr>
        <w:t>2.</w:t>
      </w:r>
      <w:r>
        <w:rPr>
          <w:rFonts w:hint="eastAsia" w:ascii="仿宋" w:hAnsi="仿宋" w:eastAsia="仿宋" w:cs="仿宋"/>
          <w:sz w:val="24"/>
          <w:szCs w:val="24"/>
        </w:rPr>
        <w:t>本表一式四份，发包人、监理人、工程造价咨询人（如有）、承包人各存一份。</w:t>
      </w:r>
      <w:r>
        <w:rPr>
          <w:rFonts w:ascii="仿宋" w:hAnsi="仿宋" w:eastAsia="仿宋" w:cs="Times New Roman"/>
          <w:sz w:val="24"/>
          <w:szCs w:val="24"/>
        </w:rPr>
        <w:br w:type="page"/>
      </w:r>
      <w:bookmarkStart w:id="791" w:name="_Toc266892946"/>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20</w:t>
      </w:r>
      <w:bookmarkEnd w:id="791"/>
    </w:p>
    <w:p>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计日工记录</w:t>
      </w:r>
    </w:p>
    <w:p>
      <w:pPr>
        <w:spacing w:line="360" w:lineRule="auto"/>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0"/>
        <w:tblW w:w="103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3050"/>
        <w:gridCol w:w="1262"/>
        <w:gridCol w:w="1262"/>
        <w:gridCol w:w="1263"/>
        <w:gridCol w:w="1262"/>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编号</w:t>
            </w:r>
          </w:p>
        </w:tc>
        <w:tc>
          <w:tcPr>
            <w:tcW w:w="3050"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项目名称</w:t>
            </w:r>
          </w:p>
        </w:tc>
        <w:tc>
          <w:tcPr>
            <w:tcW w:w="1262"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单位</w:t>
            </w:r>
          </w:p>
        </w:tc>
        <w:tc>
          <w:tcPr>
            <w:tcW w:w="1262"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暂定数量</w:t>
            </w:r>
          </w:p>
        </w:tc>
        <w:tc>
          <w:tcPr>
            <w:tcW w:w="1263"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实际数量</w:t>
            </w:r>
          </w:p>
        </w:tc>
        <w:tc>
          <w:tcPr>
            <w:tcW w:w="1262"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综合单价</w:t>
            </w:r>
          </w:p>
        </w:tc>
        <w:tc>
          <w:tcPr>
            <w:tcW w:w="1084"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一</w:t>
            </w:r>
          </w:p>
        </w:tc>
        <w:tc>
          <w:tcPr>
            <w:tcW w:w="3050" w:type="dxa"/>
            <w:vAlign w:val="center"/>
          </w:tcPr>
          <w:p>
            <w:pPr>
              <w:spacing w:line="360" w:lineRule="auto"/>
              <w:rPr>
                <w:rFonts w:ascii="仿宋" w:hAnsi="仿宋" w:eastAsia="仿宋" w:cs="Times New Roman"/>
                <w:sz w:val="24"/>
                <w:szCs w:val="24"/>
              </w:rPr>
            </w:pPr>
            <w:r>
              <w:rPr>
                <w:rFonts w:hint="eastAsia" w:ascii="仿宋" w:hAnsi="仿宋" w:eastAsia="仿宋" w:cs="仿宋"/>
                <w:sz w:val="24"/>
                <w:szCs w:val="24"/>
              </w:rPr>
              <w:t>人工</w:t>
            </w:r>
          </w:p>
        </w:tc>
        <w:tc>
          <w:tcPr>
            <w:tcW w:w="1262"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084"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pPr>
              <w:spacing w:line="360" w:lineRule="auto"/>
              <w:jc w:val="center"/>
              <w:rPr>
                <w:rFonts w:ascii="仿宋" w:hAnsi="仿宋" w:eastAsia="仿宋" w:cs="Times New Roman"/>
                <w:sz w:val="24"/>
                <w:szCs w:val="24"/>
              </w:rPr>
            </w:pPr>
            <w:r>
              <w:rPr>
                <w:rFonts w:ascii="仿宋" w:hAnsi="仿宋" w:eastAsia="仿宋" w:cs="仿宋"/>
                <w:sz w:val="24"/>
                <w:szCs w:val="24"/>
              </w:rPr>
              <w:t>1</w:t>
            </w:r>
          </w:p>
        </w:tc>
        <w:tc>
          <w:tcPr>
            <w:tcW w:w="3050"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084"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pPr>
              <w:spacing w:line="360" w:lineRule="auto"/>
              <w:jc w:val="center"/>
              <w:rPr>
                <w:rFonts w:ascii="仿宋" w:hAnsi="仿宋" w:eastAsia="仿宋" w:cs="Times New Roman"/>
                <w:sz w:val="24"/>
                <w:szCs w:val="24"/>
              </w:rPr>
            </w:pPr>
            <w:r>
              <w:rPr>
                <w:rFonts w:ascii="仿宋" w:hAnsi="仿宋" w:eastAsia="仿宋" w:cs="仿宋"/>
                <w:sz w:val="24"/>
                <w:szCs w:val="24"/>
              </w:rPr>
              <w:t>2</w:t>
            </w:r>
          </w:p>
        </w:tc>
        <w:tc>
          <w:tcPr>
            <w:tcW w:w="3050"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084"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pPr>
              <w:spacing w:line="360" w:lineRule="auto"/>
              <w:jc w:val="center"/>
              <w:rPr>
                <w:rFonts w:ascii="仿宋" w:hAnsi="仿宋" w:eastAsia="仿宋" w:cs="Times New Roman"/>
                <w:sz w:val="24"/>
                <w:szCs w:val="24"/>
              </w:rPr>
            </w:pPr>
            <w:r>
              <w:rPr>
                <w:rFonts w:ascii="仿宋" w:hAnsi="仿宋" w:eastAsia="仿宋" w:cs="仿宋"/>
                <w:sz w:val="24"/>
                <w:szCs w:val="24"/>
              </w:rPr>
              <w:t>3</w:t>
            </w:r>
          </w:p>
        </w:tc>
        <w:tc>
          <w:tcPr>
            <w:tcW w:w="3050"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084"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46" w:type="dxa"/>
            <w:vAlign w:val="center"/>
          </w:tcPr>
          <w:p>
            <w:pPr>
              <w:spacing w:line="360" w:lineRule="auto"/>
              <w:jc w:val="center"/>
              <w:rPr>
                <w:rFonts w:ascii="仿宋" w:hAnsi="仿宋" w:eastAsia="仿宋" w:cs="Times New Roman"/>
                <w:sz w:val="24"/>
                <w:szCs w:val="24"/>
              </w:rPr>
            </w:pPr>
            <w:r>
              <w:rPr>
                <w:rFonts w:ascii="仿宋" w:hAnsi="仿宋" w:eastAsia="仿宋" w:cs="仿宋"/>
                <w:sz w:val="24"/>
                <w:szCs w:val="24"/>
              </w:rPr>
              <w:t>4</w:t>
            </w:r>
          </w:p>
        </w:tc>
        <w:tc>
          <w:tcPr>
            <w:tcW w:w="3050"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084"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983" w:type="dxa"/>
            <w:gridSpan w:val="5"/>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人工小计</w:t>
            </w:r>
          </w:p>
        </w:tc>
        <w:tc>
          <w:tcPr>
            <w:tcW w:w="1262" w:type="dxa"/>
            <w:vAlign w:val="center"/>
          </w:tcPr>
          <w:p>
            <w:pPr>
              <w:spacing w:line="360" w:lineRule="auto"/>
              <w:jc w:val="center"/>
              <w:rPr>
                <w:rFonts w:ascii="仿宋" w:hAnsi="仿宋" w:eastAsia="仿宋" w:cs="Times New Roman"/>
                <w:sz w:val="24"/>
                <w:szCs w:val="24"/>
              </w:rPr>
            </w:pPr>
          </w:p>
        </w:tc>
        <w:tc>
          <w:tcPr>
            <w:tcW w:w="1084"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二</w:t>
            </w:r>
          </w:p>
        </w:tc>
        <w:tc>
          <w:tcPr>
            <w:tcW w:w="3050" w:type="dxa"/>
            <w:vAlign w:val="center"/>
          </w:tcPr>
          <w:p>
            <w:pPr>
              <w:spacing w:line="360" w:lineRule="auto"/>
              <w:rPr>
                <w:rFonts w:ascii="仿宋" w:hAnsi="仿宋" w:eastAsia="仿宋" w:cs="Times New Roman"/>
                <w:sz w:val="24"/>
                <w:szCs w:val="24"/>
              </w:rPr>
            </w:pPr>
            <w:r>
              <w:rPr>
                <w:rFonts w:hint="eastAsia" w:ascii="仿宋" w:hAnsi="仿宋" w:eastAsia="仿宋" w:cs="仿宋"/>
                <w:sz w:val="24"/>
                <w:szCs w:val="24"/>
              </w:rPr>
              <w:t>材料</w:t>
            </w:r>
          </w:p>
        </w:tc>
        <w:tc>
          <w:tcPr>
            <w:tcW w:w="1262"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084"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pPr>
              <w:spacing w:line="360" w:lineRule="auto"/>
              <w:jc w:val="center"/>
              <w:rPr>
                <w:rFonts w:ascii="仿宋" w:hAnsi="仿宋" w:eastAsia="仿宋" w:cs="Times New Roman"/>
                <w:sz w:val="24"/>
                <w:szCs w:val="24"/>
              </w:rPr>
            </w:pPr>
            <w:r>
              <w:rPr>
                <w:rFonts w:ascii="仿宋" w:hAnsi="仿宋" w:eastAsia="仿宋" w:cs="仿宋"/>
                <w:sz w:val="24"/>
                <w:szCs w:val="24"/>
              </w:rPr>
              <w:t>1</w:t>
            </w:r>
          </w:p>
        </w:tc>
        <w:tc>
          <w:tcPr>
            <w:tcW w:w="3050"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084"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pPr>
              <w:spacing w:line="360" w:lineRule="auto"/>
              <w:jc w:val="center"/>
              <w:rPr>
                <w:rFonts w:ascii="仿宋" w:hAnsi="仿宋" w:eastAsia="仿宋" w:cs="Times New Roman"/>
                <w:sz w:val="24"/>
                <w:szCs w:val="24"/>
              </w:rPr>
            </w:pPr>
            <w:r>
              <w:rPr>
                <w:rFonts w:ascii="仿宋" w:hAnsi="仿宋" w:eastAsia="仿宋" w:cs="仿宋"/>
                <w:sz w:val="24"/>
                <w:szCs w:val="24"/>
              </w:rPr>
              <w:t>2</w:t>
            </w:r>
          </w:p>
        </w:tc>
        <w:tc>
          <w:tcPr>
            <w:tcW w:w="3050"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084"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pPr>
              <w:spacing w:line="360" w:lineRule="auto"/>
              <w:jc w:val="center"/>
              <w:rPr>
                <w:rFonts w:ascii="仿宋" w:hAnsi="仿宋" w:eastAsia="仿宋" w:cs="Times New Roman"/>
                <w:sz w:val="24"/>
                <w:szCs w:val="24"/>
              </w:rPr>
            </w:pPr>
            <w:r>
              <w:rPr>
                <w:rFonts w:ascii="仿宋" w:hAnsi="仿宋" w:eastAsia="仿宋" w:cs="仿宋"/>
                <w:sz w:val="24"/>
                <w:szCs w:val="24"/>
              </w:rPr>
              <w:t>3</w:t>
            </w:r>
          </w:p>
        </w:tc>
        <w:tc>
          <w:tcPr>
            <w:tcW w:w="3050"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084"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pPr>
              <w:spacing w:line="360" w:lineRule="auto"/>
              <w:jc w:val="center"/>
              <w:rPr>
                <w:rFonts w:ascii="仿宋" w:hAnsi="仿宋" w:eastAsia="仿宋" w:cs="Times New Roman"/>
                <w:sz w:val="24"/>
                <w:szCs w:val="24"/>
              </w:rPr>
            </w:pPr>
            <w:r>
              <w:rPr>
                <w:rFonts w:ascii="仿宋" w:hAnsi="仿宋" w:eastAsia="仿宋" w:cs="仿宋"/>
                <w:sz w:val="24"/>
                <w:szCs w:val="24"/>
              </w:rPr>
              <w:t>4</w:t>
            </w:r>
          </w:p>
        </w:tc>
        <w:tc>
          <w:tcPr>
            <w:tcW w:w="3050"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084"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pPr>
              <w:spacing w:line="360" w:lineRule="auto"/>
              <w:jc w:val="center"/>
              <w:rPr>
                <w:rFonts w:ascii="仿宋" w:hAnsi="仿宋" w:eastAsia="仿宋" w:cs="Times New Roman"/>
                <w:sz w:val="24"/>
                <w:szCs w:val="24"/>
              </w:rPr>
            </w:pPr>
            <w:r>
              <w:rPr>
                <w:rFonts w:ascii="仿宋" w:hAnsi="仿宋" w:eastAsia="仿宋" w:cs="仿宋"/>
                <w:sz w:val="24"/>
                <w:szCs w:val="24"/>
              </w:rPr>
              <w:t>5</w:t>
            </w:r>
          </w:p>
        </w:tc>
        <w:tc>
          <w:tcPr>
            <w:tcW w:w="3050"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084"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pPr>
              <w:spacing w:line="360" w:lineRule="auto"/>
              <w:jc w:val="center"/>
              <w:rPr>
                <w:rFonts w:ascii="仿宋" w:hAnsi="仿宋" w:eastAsia="仿宋" w:cs="Times New Roman"/>
                <w:sz w:val="24"/>
                <w:szCs w:val="24"/>
              </w:rPr>
            </w:pPr>
            <w:r>
              <w:rPr>
                <w:rFonts w:ascii="仿宋" w:hAnsi="仿宋" w:eastAsia="仿宋" w:cs="仿宋"/>
                <w:sz w:val="24"/>
                <w:szCs w:val="24"/>
              </w:rPr>
              <w:t>6</w:t>
            </w:r>
          </w:p>
        </w:tc>
        <w:tc>
          <w:tcPr>
            <w:tcW w:w="3050"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084"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983" w:type="dxa"/>
            <w:gridSpan w:val="5"/>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材料小计</w:t>
            </w:r>
          </w:p>
        </w:tc>
        <w:tc>
          <w:tcPr>
            <w:tcW w:w="1262" w:type="dxa"/>
            <w:vAlign w:val="center"/>
          </w:tcPr>
          <w:p>
            <w:pPr>
              <w:spacing w:line="360" w:lineRule="auto"/>
              <w:jc w:val="center"/>
              <w:rPr>
                <w:rFonts w:ascii="仿宋" w:hAnsi="仿宋" w:eastAsia="仿宋" w:cs="Times New Roman"/>
                <w:sz w:val="24"/>
                <w:szCs w:val="24"/>
              </w:rPr>
            </w:pPr>
          </w:p>
        </w:tc>
        <w:tc>
          <w:tcPr>
            <w:tcW w:w="1084"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三</w:t>
            </w:r>
          </w:p>
        </w:tc>
        <w:tc>
          <w:tcPr>
            <w:tcW w:w="3050" w:type="dxa"/>
            <w:vAlign w:val="center"/>
          </w:tcPr>
          <w:p>
            <w:pPr>
              <w:spacing w:line="360" w:lineRule="auto"/>
              <w:rPr>
                <w:rFonts w:ascii="仿宋" w:hAnsi="仿宋" w:eastAsia="仿宋" w:cs="Times New Roman"/>
                <w:sz w:val="24"/>
                <w:szCs w:val="24"/>
              </w:rPr>
            </w:pPr>
            <w:r>
              <w:rPr>
                <w:rFonts w:hint="eastAsia" w:ascii="仿宋" w:hAnsi="仿宋" w:eastAsia="仿宋" w:cs="仿宋"/>
                <w:sz w:val="24"/>
                <w:szCs w:val="24"/>
              </w:rPr>
              <w:t>施工机械</w:t>
            </w:r>
          </w:p>
        </w:tc>
        <w:tc>
          <w:tcPr>
            <w:tcW w:w="1262"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084"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pPr>
              <w:spacing w:line="360" w:lineRule="auto"/>
              <w:jc w:val="center"/>
              <w:rPr>
                <w:rFonts w:ascii="仿宋" w:hAnsi="仿宋" w:eastAsia="仿宋" w:cs="Times New Roman"/>
                <w:sz w:val="24"/>
                <w:szCs w:val="24"/>
              </w:rPr>
            </w:pPr>
            <w:r>
              <w:rPr>
                <w:rFonts w:ascii="仿宋" w:hAnsi="仿宋" w:eastAsia="仿宋" w:cs="仿宋"/>
                <w:sz w:val="24"/>
                <w:szCs w:val="24"/>
              </w:rPr>
              <w:t>1</w:t>
            </w:r>
          </w:p>
        </w:tc>
        <w:tc>
          <w:tcPr>
            <w:tcW w:w="3050"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084"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46" w:type="dxa"/>
            <w:vAlign w:val="center"/>
          </w:tcPr>
          <w:p>
            <w:pPr>
              <w:spacing w:line="360" w:lineRule="auto"/>
              <w:jc w:val="center"/>
              <w:rPr>
                <w:rFonts w:ascii="仿宋" w:hAnsi="仿宋" w:eastAsia="仿宋" w:cs="Times New Roman"/>
                <w:sz w:val="24"/>
                <w:szCs w:val="24"/>
              </w:rPr>
            </w:pPr>
            <w:r>
              <w:rPr>
                <w:rFonts w:ascii="仿宋" w:hAnsi="仿宋" w:eastAsia="仿宋" w:cs="仿宋"/>
                <w:sz w:val="24"/>
                <w:szCs w:val="24"/>
              </w:rPr>
              <w:t>2</w:t>
            </w:r>
          </w:p>
        </w:tc>
        <w:tc>
          <w:tcPr>
            <w:tcW w:w="3050"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084"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pPr>
              <w:spacing w:line="360" w:lineRule="auto"/>
              <w:jc w:val="center"/>
              <w:rPr>
                <w:rFonts w:ascii="仿宋" w:hAnsi="仿宋" w:eastAsia="仿宋" w:cs="Times New Roman"/>
                <w:sz w:val="24"/>
                <w:szCs w:val="24"/>
              </w:rPr>
            </w:pPr>
            <w:r>
              <w:rPr>
                <w:rFonts w:ascii="仿宋" w:hAnsi="仿宋" w:eastAsia="仿宋" w:cs="仿宋"/>
                <w:sz w:val="24"/>
                <w:szCs w:val="24"/>
              </w:rPr>
              <w:t>3</w:t>
            </w:r>
          </w:p>
        </w:tc>
        <w:tc>
          <w:tcPr>
            <w:tcW w:w="3050"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084"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pPr>
              <w:spacing w:line="360" w:lineRule="auto"/>
              <w:jc w:val="center"/>
              <w:rPr>
                <w:rFonts w:ascii="仿宋" w:hAnsi="仿宋" w:eastAsia="仿宋" w:cs="Times New Roman"/>
                <w:sz w:val="24"/>
                <w:szCs w:val="24"/>
              </w:rPr>
            </w:pPr>
            <w:r>
              <w:rPr>
                <w:rFonts w:ascii="仿宋" w:hAnsi="仿宋" w:eastAsia="仿宋" w:cs="仿宋"/>
                <w:sz w:val="24"/>
                <w:szCs w:val="24"/>
              </w:rPr>
              <w:t>4</w:t>
            </w:r>
          </w:p>
        </w:tc>
        <w:tc>
          <w:tcPr>
            <w:tcW w:w="3050"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084"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983" w:type="dxa"/>
            <w:gridSpan w:val="5"/>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施工机械小计</w:t>
            </w:r>
          </w:p>
        </w:tc>
        <w:tc>
          <w:tcPr>
            <w:tcW w:w="1262" w:type="dxa"/>
            <w:vAlign w:val="center"/>
          </w:tcPr>
          <w:p>
            <w:pPr>
              <w:spacing w:line="360" w:lineRule="auto"/>
              <w:jc w:val="center"/>
              <w:rPr>
                <w:rFonts w:ascii="仿宋" w:hAnsi="仿宋" w:eastAsia="仿宋" w:cs="Times New Roman"/>
                <w:sz w:val="24"/>
                <w:szCs w:val="24"/>
              </w:rPr>
            </w:pPr>
          </w:p>
        </w:tc>
        <w:tc>
          <w:tcPr>
            <w:tcW w:w="1084"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983" w:type="dxa"/>
            <w:gridSpan w:val="5"/>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总</w:t>
            </w:r>
            <w:r>
              <w:rPr>
                <w:rFonts w:ascii="仿宋" w:hAnsi="仿宋" w:eastAsia="仿宋" w:cs="仿宋"/>
                <w:sz w:val="24"/>
                <w:szCs w:val="24"/>
              </w:rPr>
              <w:t xml:space="preserve">  </w:t>
            </w:r>
            <w:r>
              <w:rPr>
                <w:rFonts w:hint="eastAsia" w:ascii="仿宋" w:hAnsi="仿宋" w:eastAsia="仿宋" w:cs="仿宋"/>
                <w:sz w:val="24"/>
                <w:szCs w:val="24"/>
              </w:rPr>
              <w:t>计</w:t>
            </w:r>
          </w:p>
        </w:tc>
        <w:tc>
          <w:tcPr>
            <w:tcW w:w="1262" w:type="dxa"/>
            <w:vAlign w:val="center"/>
          </w:tcPr>
          <w:p>
            <w:pPr>
              <w:spacing w:line="360" w:lineRule="auto"/>
              <w:jc w:val="center"/>
              <w:rPr>
                <w:rFonts w:ascii="仿宋" w:hAnsi="仿宋" w:eastAsia="仿宋" w:cs="Times New Roman"/>
                <w:sz w:val="24"/>
                <w:szCs w:val="24"/>
              </w:rPr>
            </w:pPr>
          </w:p>
        </w:tc>
        <w:tc>
          <w:tcPr>
            <w:tcW w:w="1084" w:type="dxa"/>
            <w:vAlign w:val="center"/>
          </w:tcPr>
          <w:p>
            <w:pPr>
              <w:spacing w:line="360" w:lineRule="auto"/>
              <w:jc w:val="center"/>
              <w:rPr>
                <w:rFonts w:ascii="仿宋" w:hAnsi="仿宋" w:eastAsia="仿宋" w:cs="Times New Roman"/>
                <w:sz w:val="24"/>
                <w:szCs w:val="24"/>
              </w:rPr>
            </w:pPr>
          </w:p>
        </w:tc>
      </w:tr>
    </w:tbl>
    <w:p>
      <w:pPr>
        <w:spacing w:line="360" w:lineRule="auto"/>
        <w:rPr>
          <w:rFonts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本表由承包人填制，承包人应按照合同约定填报实际数量，提交造价工程核实并由其报发包人确认后，列入合同价款内。</w:t>
      </w:r>
    </w:p>
    <w:p>
      <w:pPr>
        <w:spacing w:line="360" w:lineRule="auto"/>
        <w:ind w:firstLine="720" w:firstLineChars="3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本表一式四份，发包人、监理人、工程造价咨询人（如有）、承包人各存一份。</w:t>
      </w:r>
    </w:p>
    <w:p>
      <w:pPr>
        <w:spacing w:line="360" w:lineRule="auto"/>
        <w:outlineLvl w:val="1"/>
        <w:rPr>
          <w:rFonts w:ascii="仿宋" w:hAnsi="仿宋" w:eastAsia="仿宋" w:cs="仿宋"/>
          <w:b/>
          <w:bCs/>
          <w:color w:val="000000"/>
          <w:kern w:val="0"/>
          <w:sz w:val="24"/>
          <w:szCs w:val="24"/>
        </w:rPr>
      </w:pPr>
      <w:r>
        <w:rPr>
          <w:rFonts w:ascii="仿宋" w:hAnsi="仿宋" w:eastAsia="仿宋" w:cs="Times New Roman"/>
          <w:kern w:val="0"/>
          <w:sz w:val="24"/>
          <w:szCs w:val="24"/>
        </w:rPr>
        <w:br w:type="page"/>
      </w:r>
      <w:bookmarkStart w:id="792" w:name="_Toc266892947"/>
      <w:bookmarkStart w:id="793" w:name="_Toc10625005"/>
      <w:bookmarkStart w:id="794" w:name="_Toc469384161"/>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21</w:t>
      </w:r>
      <w:bookmarkEnd w:id="792"/>
      <w:bookmarkEnd w:id="793"/>
      <w:bookmarkEnd w:id="794"/>
    </w:p>
    <w:p>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材料</w:t>
      </w:r>
      <w:r>
        <w:rPr>
          <w:rFonts w:ascii="仿宋" w:hAnsi="仿宋" w:eastAsia="仿宋" w:cs="仿宋"/>
          <w:b/>
          <w:bCs/>
          <w:spacing w:val="30"/>
          <w:sz w:val="44"/>
          <w:szCs w:val="44"/>
        </w:rPr>
        <w:t>/</w:t>
      </w:r>
      <w:r>
        <w:rPr>
          <w:rFonts w:hint="eastAsia" w:ascii="仿宋" w:hAnsi="仿宋" w:eastAsia="仿宋" w:cs="仿宋"/>
          <w:b/>
          <w:bCs/>
          <w:spacing w:val="30"/>
          <w:sz w:val="44"/>
          <w:szCs w:val="44"/>
        </w:rPr>
        <w:t>工程设备暂估价调整表</w:t>
      </w:r>
    </w:p>
    <w:p>
      <w:pPr>
        <w:spacing w:line="360" w:lineRule="auto"/>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0"/>
        <w:tblW w:w="103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3787"/>
        <w:gridCol w:w="1262"/>
        <w:gridCol w:w="1442"/>
        <w:gridCol w:w="1262"/>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序号</w:t>
            </w:r>
          </w:p>
        </w:tc>
        <w:tc>
          <w:tcPr>
            <w:tcW w:w="3787"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材料设备名称、规格、型号</w:t>
            </w:r>
          </w:p>
        </w:tc>
        <w:tc>
          <w:tcPr>
            <w:tcW w:w="1262"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计量单位</w:t>
            </w:r>
          </w:p>
        </w:tc>
        <w:tc>
          <w:tcPr>
            <w:tcW w:w="1442"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暂估单价</w:t>
            </w:r>
          </w:p>
          <w:p>
            <w:pPr>
              <w:spacing w:line="360" w:lineRule="auto"/>
              <w:jc w:val="center"/>
              <w:rPr>
                <w:rFonts w:ascii="仿宋" w:hAnsi="仿宋" w:eastAsia="仿宋" w:cs="Times New Roman"/>
                <w:sz w:val="24"/>
                <w:szCs w:val="24"/>
              </w:rPr>
            </w:pPr>
            <w:r>
              <w:rPr>
                <w:rFonts w:hint="eastAsia" w:ascii="仿宋" w:hAnsi="仿宋" w:eastAsia="仿宋" w:cs="仿宋"/>
                <w:sz w:val="24"/>
                <w:szCs w:val="24"/>
              </w:rPr>
              <w:t>（元）</w:t>
            </w:r>
          </w:p>
        </w:tc>
        <w:tc>
          <w:tcPr>
            <w:tcW w:w="1262"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实际单价</w:t>
            </w:r>
          </w:p>
          <w:p>
            <w:pPr>
              <w:spacing w:line="360" w:lineRule="auto"/>
              <w:jc w:val="center"/>
              <w:rPr>
                <w:rFonts w:ascii="仿宋" w:hAnsi="仿宋" w:eastAsia="仿宋" w:cs="Times New Roman"/>
                <w:sz w:val="24"/>
                <w:szCs w:val="24"/>
              </w:rPr>
            </w:pPr>
            <w:r>
              <w:rPr>
                <w:rFonts w:ascii="仿宋" w:hAnsi="仿宋" w:eastAsia="仿宋" w:cs="仿宋"/>
                <w:sz w:val="24"/>
                <w:szCs w:val="24"/>
              </w:rPr>
              <w:t>(</w:t>
            </w:r>
            <w:r>
              <w:rPr>
                <w:rFonts w:hint="eastAsia" w:ascii="仿宋" w:hAnsi="仿宋" w:eastAsia="仿宋" w:cs="仿宋"/>
                <w:sz w:val="24"/>
                <w:szCs w:val="24"/>
              </w:rPr>
              <w:t>元</w:t>
            </w:r>
            <w:r>
              <w:rPr>
                <w:rFonts w:ascii="仿宋" w:hAnsi="仿宋" w:eastAsia="仿宋" w:cs="仿宋"/>
                <w:sz w:val="24"/>
                <w:szCs w:val="24"/>
              </w:rPr>
              <w:t>)</w:t>
            </w:r>
          </w:p>
        </w:tc>
        <w:tc>
          <w:tcPr>
            <w:tcW w:w="1808"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pPr>
              <w:spacing w:line="360" w:lineRule="auto"/>
              <w:jc w:val="center"/>
              <w:rPr>
                <w:rFonts w:ascii="仿宋" w:hAnsi="仿宋" w:eastAsia="仿宋" w:cs="Times New Roman"/>
                <w:sz w:val="24"/>
                <w:szCs w:val="24"/>
              </w:rPr>
            </w:pPr>
          </w:p>
        </w:tc>
        <w:tc>
          <w:tcPr>
            <w:tcW w:w="3787"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442"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808"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pPr>
              <w:spacing w:line="360" w:lineRule="auto"/>
              <w:jc w:val="center"/>
              <w:rPr>
                <w:rFonts w:ascii="仿宋" w:hAnsi="仿宋" w:eastAsia="仿宋" w:cs="Times New Roman"/>
                <w:sz w:val="24"/>
                <w:szCs w:val="24"/>
              </w:rPr>
            </w:pPr>
          </w:p>
        </w:tc>
        <w:tc>
          <w:tcPr>
            <w:tcW w:w="3787"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442"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808"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pPr>
              <w:spacing w:line="360" w:lineRule="auto"/>
              <w:jc w:val="center"/>
              <w:rPr>
                <w:rFonts w:ascii="仿宋" w:hAnsi="仿宋" w:eastAsia="仿宋" w:cs="Times New Roman"/>
                <w:sz w:val="24"/>
                <w:szCs w:val="24"/>
              </w:rPr>
            </w:pPr>
          </w:p>
        </w:tc>
        <w:tc>
          <w:tcPr>
            <w:tcW w:w="3787"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442"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808"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pPr>
              <w:spacing w:line="360" w:lineRule="auto"/>
              <w:jc w:val="center"/>
              <w:rPr>
                <w:rFonts w:ascii="仿宋" w:hAnsi="仿宋" w:eastAsia="仿宋" w:cs="Times New Roman"/>
                <w:sz w:val="24"/>
                <w:szCs w:val="24"/>
              </w:rPr>
            </w:pPr>
          </w:p>
        </w:tc>
        <w:tc>
          <w:tcPr>
            <w:tcW w:w="3787"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442"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808"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772" w:type="dxa"/>
            <w:vAlign w:val="center"/>
          </w:tcPr>
          <w:p>
            <w:pPr>
              <w:spacing w:line="360" w:lineRule="auto"/>
              <w:jc w:val="center"/>
              <w:rPr>
                <w:rFonts w:ascii="仿宋" w:hAnsi="仿宋" w:eastAsia="仿宋" w:cs="Times New Roman"/>
                <w:sz w:val="24"/>
                <w:szCs w:val="24"/>
              </w:rPr>
            </w:pPr>
          </w:p>
        </w:tc>
        <w:tc>
          <w:tcPr>
            <w:tcW w:w="3787"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442"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808"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pPr>
              <w:spacing w:line="360" w:lineRule="auto"/>
              <w:jc w:val="center"/>
              <w:rPr>
                <w:rFonts w:ascii="仿宋" w:hAnsi="仿宋" w:eastAsia="仿宋" w:cs="Times New Roman"/>
                <w:sz w:val="24"/>
                <w:szCs w:val="24"/>
              </w:rPr>
            </w:pPr>
          </w:p>
        </w:tc>
        <w:tc>
          <w:tcPr>
            <w:tcW w:w="3787"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442"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808"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pPr>
              <w:spacing w:line="360" w:lineRule="auto"/>
              <w:jc w:val="center"/>
              <w:rPr>
                <w:rFonts w:ascii="仿宋" w:hAnsi="仿宋" w:eastAsia="仿宋" w:cs="Times New Roman"/>
                <w:sz w:val="24"/>
                <w:szCs w:val="24"/>
              </w:rPr>
            </w:pPr>
          </w:p>
        </w:tc>
        <w:tc>
          <w:tcPr>
            <w:tcW w:w="3787"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442"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808"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pPr>
              <w:spacing w:line="360" w:lineRule="auto"/>
              <w:jc w:val="center"/>
              <w:rPr>
                <w:rFonts w:ascii="仿宋" w:hAnsi="仿宋" w:eastAsia="仿宋" w:cs="Times New Roman"/>
                <w:sz w:val="24"/>
                <w:szCs w:val="24"/>
              </w:rPr>
            </w:pPr>
          </w:p>
        </w:tc>
        <w:tc>
          <w:tcPr>
            <w:tcW w:w="3787"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442"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808"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pPr>
              <w:spacing w:line="360" w:lineRule="auto"/>
              <w:jc w:val="center"/>
              <w:rPr>
                <w:rFonts w:ascii="仿宋" w:hAnsi="仿宋" w:eastAsia="仿宋" w:cs="Times New Roman"/>
                <w:sz w:val="24"/>
                <w:szCs w:val="24"/>
              </w:rPr>
            </w:pPr>
          </w:p>
        </w:tc>
        <w:tc>
          <w:tcPr>
            <w:tcW w:w="3787"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442"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808"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pPr>
              <w:spacing w:line="360" w:lineRule="auto"/>
              <w:jc w:val="center"/>
              <w:rPr>
                <w:rFonts w:ascii="仿宋" w:hAnsi="仿宋" w:eastAsia="仿宋" w:cs="Times New Roman"/>
                <w:sz w:val="24"/>
                <w:szCs w:val="24"/>
              </w:rPr>
            </w:pPr>
          </w:p>
        </w:tc>
        <w:tc>
          <w:tcPr>
            <w:tcW w:w="3787"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442"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808"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pPr>
              <w:spacing w:line="360" w:lineRule="auto"/>
              <w:jc w:val="center"/>
              <w:rPr>
                <w:rFonts w:ascii="仿宋" w:hAnsi="仿宋" w:eastAsia="仿宋" w:cs="Times New Roman"/>
                <w:sz w:val="24"/>
                <w:szCs w:val="24"/>
              </w:rPr>
            </w:pPr>
          </w:p>
        </w:tc>
        <w:tc>
          <w:tcPr>
            <w:tcW w:w="3787"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442"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808"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pPr>
              <w:spacing w:line="360" w:lineRule="auto"/>
              <w:jc w:val="center"/>
              <w:rPr>
                <w:rFonts w:ascii="仿宋" w:hAnsi="仿宋" w:eastAsia="仿宋" w:cs="Times New Roman"/>
                <w:sz w:val="24"/>
                <w:szCs w:val="24"/>
              </w:rPr>
            </w:pPr>
          </w:p>
        </w:tc>
        <w:tc>
          <w:tcPr>
            <w:tcW w:w="3787"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442"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808"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pPr>
              <w:spacing w:line="360" w:lineRule="auto"/>
              <w:jc w:val="center"/>
              <w:rPr>
                <w:rFonts w:ascii="仿宋" w:hAnsi="仿宋" w:eastAsia="仿宋" w:cs="Times New Roman"/>
                <w:sz w:val="24"/>
                <w:szCs w:val="24"/>
              </w:rPr>
            </w:pPr>
          </w:p>
        </w:tc>
        <w:tc>
          <w:tcPr>
            <w:tcW w:w="3787"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442"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808"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pPr>
              <w:spacing w:line="360" w:lineRule="auto"/>
              <w:jc w:val="center"/>
              <w:rPr>
                <w:rFonts w:ascii="仿宋" w:hAnsi="仿宋" w:eastAsia="仿宋" w:cs="Times New Roman"/>
                <w:sz w:val="24"/>
                <w:szCs w:val="24"/>
              </w:rPr>
            </w:pPr>
          </w:p>
        </w:tc>
        <w:tc>
          <w:tcPr>
            <w:tcW w:w="3787"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442"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808" w:type="dxa"/>
            <w:vAlign w:val="center"/>
          </w:tcPr>
          <w:p>
            <w:pPr>
              <w:spacing w:line="360" w:lineRule="auto"/>
              <w:jc w:val="center"/>
              <w:rPr>
                <w:rFonts w:ascii="仿宋" w:hAnsi="仿宋" w:eastAsia="仿宋" w:cs="Times New Roman"/>
                <w:sz w:val="24"/>
                <w:szCs w:val="24"/>
              </w:rPr>
            </w:pPr>
          </w:p>
        </w:tc>
      </w:tr>
    </w:tbl>
    <w:p>
      <w:pPr>
        <w:spacing w:line="360" w:lineRule="auto"/>
        <w:rPr>
          <w:rFonts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本表由承包人填制，承包人应按照合同约定填报实际单价，提交造价工程核实并由其报发包人确认后，将该单价与暂估单价的差额以及相关费用列入合同价款内。</w:t>
      </w:r>
    </w:p>
    <w:p>
      <w:pPr>
        <w:spacing w:line="360" w:lineRule="auto"/>
        <w:ind w:firstLine="720" w:firstLineChars="3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本表一式四份，发包人、监理人、工程造价咨询人（如有）、承包人各存一份。</w:t>
      </w:r>
    </w:p>
    <w:p>
      <w:pPr>
        <w:spacing w:line="360" w:lineRule="auto"/>
        <w:outlineLvl w:val="1"/>
        <w:rPr>
          <w:rFonts w:ascii="仿宋" w:hAnsi="仿宋" w:eastAsia="仿宋" w:cs="Times New Roman"/>
          <w:sz w:val="30"/>
          <w:szCs w:val="30"/>
        </w:rPr>
      </w:pPr>
      <w:r>
        <w:rPr>
          <w:rFonts w:ascii="仿宋" w:hAnsi="仿宋" w:eastAsia="仿宋" w:cs="Times New Roman"/>
          <w:kern w:val="0"/>
          <w:sz w:val="24"/>
          <w:szCs w:val="24"/>
        </w:rPr>
        <w:br w:type="page"/>
      </w:r>
      <w:bookmarkStart w:id="795" w:name="_Toc266892948"/>
      <w:bookmarkStart w:id="796" w:name="_Toc469384162"/>
      <w:bookmarkStart w:id="797" w:name="_Toc10625006"/>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22</w:t>
      </w:r>
      <w:bookmarkEnd w:id="795"/>
      <w:bookmarkEnd w:id="796"/>
      <w:bookmarkEnd w:id="797"/>
    </w:p>
    <w:p>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专业工程暂估价调整表</w:t>
      </w:r>
    </w:p>
    <w:p>
      <w:pPr>
        <w:spacing w:line="360" w:lineRule="auto"/>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0"/>
        <w:tblW w:w="1033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886"/>
        <w:gridCol w:w="2886"/>
        <w:gridCol w:w="1263"/>
        <w:gridCol w:w="1263"/>
        <w:gridCol w:w="1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序号</w:t>
            </w:r>
          </w:p>
        </w:tc>
        <w:tc>
          <w:tcPr>
            <w:tcW w:w="2886"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工程名称</w:t>
            </w:r>
          </w:p>
        </w:tc>
        <w:tc>
          <w:tcPr>
            <w:tcW w:w="2886"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工程内容</w:t>
            </w:r>
          </w:p>
        </w:tc>
        <w:tc>
          <w:tcPr>
            <w:tcW w:w="1263"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暂列金额</w:t>
            </w:r>
          </w:p>
          <w:p>
            <w:pPr>
              <w:spacing w:line="360" w:lineRule="auto"/>
              <w:jc w:val="center"/>
              <w:rPr>
                <w:rFonts w:ascii="仿宋" w:hAnsi="仿宋" w:eastAsia="仿宋" w:cs="Times New Roman"/>
                <w:sz w:val="24"/>
                <w:szCs w:val="24"/>
              </w:rPr>
            </w:pPr>
            <w:r>
              <w:rPr>
                <w:rFonts w:hint="eastAsia" w:ascii="仿宋" w:hAnsi="仿宋" w:eastAsia="仿宋" w:cs="仿宋"/>
                <w:sz w:val="24"/>
                <w:szCs w:val="24"/>
              </w:rPr>
              <w:t>（元）</w:t>
            </w:r>
          </w:p>
        </w:tc>
        <w:tc>
          <w:tcPr>
            <w:tcW w:w="1263"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实际金额</w:t>
            </w:r>
          </w:p>
          <w:p>
            <w:pPr>
              <w:spacing w:line="360" w:lineRule="auto"/>
              <w:jc w:val="center"/>
              <w:rPr>
                <w:rFonts w:ascii="仿宋" w:hAnsi="仿宋" w:eastAsia="仿宋" w:cs="Times New Roman"/>
                <w:sz w:val="24"/>
                <w:szCs w:val="24"/>
              </w:rPr>
            </w:pPr>
            <w:r>
              <w:rPr>
                <w:rFonts w:hint="eastAsia" w:ascii="仿宋" w:hAnsi="仿宋" w:eastAsia="仿宋" w:cs="仿宋"/>
                <w:sz w:val="24"/>
                <w:szCs w:val="24"/>
              </w:rPr>
              <w:t>（元）</w:t>
            </w:r>
          </w:p>
        </w:tc>
        <w:tc>
          <w:tcPr>
            <w:tcW w:w="1262"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pPr>
              <w:spacing w:line="360" w:lineRule="auto"/>
              <w:jc w:val="center"/>
              <w:rPr>
                <w:rFonts w:ascii="仿宋" w:hAnsi="仿宋" w:eastAsia="仿宋" w:cs="Times New Roman"/>
                <w:sz w:val="24"/>
                <w:szCs w:val="24"/>
              </w:rPr>
            </w:pPr>
          </w:p>
        </w:tc>
        <w:tc>
          <w:tcPr>
            <w:tcW w:w="2886" w:type="dxa"/>
            <w:vAlign w:val="center"/>
          </w:tcPr>
          <w:p>
            <w:pPr>
              <w:spacing w:line="360" w:lineRule="auto"/>
              <w:jc w:val="center"/>
              <w:rPr>
                <w:rFonts w:ascii="仿宋" w:hAnsi="仿宋" w:eastAsia="仿宋" w:cs="Times New Roman"/>
                <w:sz w:val="24"/>
                <w:szCs w:val="24"/>
              </w:rPr>
            </w:pPr>
          </w:p>
        </w:tc>
        <w:tc>
          <w:tcPr>
            <w:tcW w:w="2886"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pPr>
              <w:spacing w:line="360" w:lineRule="auto"/>
              <w:jc w:val="center"/>
              <w:rPr>
                <w:rFonts w:ascii="仿宋" w:hAnsi="仿宋" w:eastAsia="仿宋" w:cs="Times New Roman"/>
                <w:sz w:val="24"/>
                <w:szCs w:val="24"/>
              </w:rPr>
            </w:pPr>
          </w:p>
        </w:tc>
        <w:tc>
          <w:tcPr>
            <w:tcW w:w="2886" w:type="dxa"/>
            <w:vAlign w:val="center"/>
          </w:tcPr>
          <w:p>
            <w:pPr>
              <w:spacing w:line="360" w:lineRule="auto"/>
              <w:jc w:val="center"/>
              <w:rPr>
                <w:rFonts w:ascii="仿宋" w:hAnsi="仿宋" w:eastAsia="仿宋" w:cs="Times New Roman"/>
                <w:sz w:val="24"/>
                <w:szCs w:val="24"/>
              </w:rPr>
            </w:pPr>
          </w:p>
        </w:tc>
        <w:tc>
          <w:tcPr>
            <w:tcW w:w="2886"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pPr>
              <w:spacing w:line="360" w:lineRule="auto"/>
              <w:jc w:val="center"/>
              <w:rPr>
                <w:rFonts w:ascii="仿宋" w:hAnsi="仿宋" w:eastAsia="仿宋" w:cs="Times New Roman"/>
                <w:sz w:val="24"/>
                <w:szCs w:val="24"/>
              </w:rPr>
            </w:pPr>
          </w:p>
        </w:tc>
        <w:tc>
          <w:tcPr>
            <w:tcW w:w="2886" w:type="dxa"/>
            <w:vAlign w:val="center"/>
          </w:tcPr>
          <w:p>
            <w:pPr>
              <w:spacing w:line="360" w:lineRule="auto"/>
              <w:jc w:val="center"/>
              <w:rPr>
                <w:rFonts w:ascii="仿宋" w:hAnsi="仿宋" w:eastAsia="仿宋" w:cs="Times New Roman"/>
                <w:sz w:val="24"/>
                <w:szCs w:val="24"/>
              </w:rPr>
            </w:pPr>
          </w:p>
        </w:tc>
        <w:tc>
          <w:tcPr>
            <w:tcW w:w="2886"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pPr>
              <w:spacing w:line="360" w:lineRule="auto"/>
              <w:jc w:val="center"/>
              <w:rPr>
                <w:rFonts w:ascii="仿宋" w:hAnsi="仿宋" w:eastAsia="仿宋" w:cs="Times New Roman"/>
                <w:sz w:val="24"/>
                <w:szCs w:val="24"/>
              </w:rPr>
            </w:pPr>
          </w:p>
        </w:tc>
        <w:tc>
          <w:tcPr>
            <w:tcW w:w="2886" w:type="dxa"/>
            <w:vAlign w:val="center"/>
          </w:tcPr>
          <w:p>
            <w:pPr>
              <w:spacing w:line="360" w:lineRule="auto"/>
              <w:jc w:val="center"/>
              <w:rPr>
                <w:rFonts w:ascii="仿宋" w:hAnsi="仿宋" w:eastAsia="仿宋" w:cs="Times New Roman"/>
                <w:sz w:val="24"/>
                <w:szCs w:val="24"/>
              </w:rPr>
            </w:pPr>
          </w:p>
        </w:tc>
        <w:tc>
          <w:tcPr>
            <w:tcW w:w="2886"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772" w:type="dxa"/>
            <w:vAlign w:val="center"/>
          </w:tcPr>
          <w:p>
            <w:pPr>
              <w:spacing w:line="360" w:lineRule="auto"/>
              <w:jc w:val="center"/>
              <w:rPr>
                <w:rFonts w:ascii="仿宋" w:hAnsi="仿宋" w:eastAsia="仿宋" w:cs="Times New Roman"/>
                <w:sz w:val="24"/>
                <w:szCs w:val="24"/>
              </w:rPr>
            </w:pPr>
          </w:p>
        </w:tc>
        <w:tc>
          <w:tcPr>
            <w:tcW w:w="2886" w:type="dxa"/>
            <w:vAlign w:val="center"/>
          </w:tcPr>
          <w:p>
            <w:pPr>
              <w:spacing w:line="360" w:lineRule="auto"/>
              <w:jc w:val="center"/>
              <w:rPr>
                <w:rFonts w:ascii="仿宋" w:hAnsi="仿宋" w:eastAsia="仿宋" w:cs="Times New Roman"/>
                <w:sz w:val="24"/>
                <w:szCs w:val="24"/>
              </w:rPr>
            </w:pPr>
          </w:p>
        </w:tc>
        <w:tc>
          <w:tcPr>
            <w:tcW w:w="2886"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pPr>
              <w:spacing w:line="360" w:lineRule="auto"/>
              <w:jc w:val="center"/>
              <w:rPr>
                <w:rFonts w:ascii="仿宋" w:hAnsi="仿宋" w:eastAsia="仿宋" w:cs="Times New Roman"/>
                <w:sz w:val="24"/>
                <w:szCs w:val="24"/>
              </w:rPr>
            </w:pPr>
          </w:p>
        </w:tc>
        <w:tc>
          <w:tcPr>
            <w:tcW w:w="2886" w:type="dxa"/>
            <w:vAlign w:val="center"/>
          </w:tcPr>
          <w:p>
            <w:pPr>
              <w:spacing w:line="360" w:lineRule="auto"/>
              <w:jc w:val="center"/>
              <w:rPr>
                <w:rFonts w:ascii="仿宋" w:hAnsi="仿宋" w:eastAsia="仿宋" w:cs="Times New Roman"/>
                <w:sz w:val="24"/>
                <w:szCs w:val="24"/>
              </w:rPr>
            </w:pPr>
          </w:p>
        </w:tc>
        <w:tc>
          <w:tcPr>
            <w:tcW w:w="2886"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pPr>
              <w:spacing w:line="360" w:lineRule="auto"/>
              <w:jc w:val="center"/>
              <w:rPr>
                <w:rFonts w:ascii="仿宋" w:hAnsi="仿宋" w:eastAsia="仿宋" w:cs="Times New Roman"/>
                <w:sz w:val="24"/>
                <w:szCs w:val="24"/>
              </w:rPr>
            </w:pPr>
          </w:p>
        </w:tc>
        <w:tc>
          <w:tcPr>
            <w:tcW w:w="2886" w:type="dxa"/>
            <w:vAlign w:val="center"/>
          </w:tcPr>
          <w:p>
            <w:pPr>
              <w:spacing w:line="360" w:lineRule="auto"/>
              <w:jc w:val="center"/>
              <w:rPr>
                <w:rFonts w:ascii="仿宋" w:hAnsi="仿宋" w:eastAsia="仿宋" w:cs="Times New Roman"/>
                <w:sz w:val="24"/>
                <w:szCs w:val="24"/>
              </w:rPr>
            </w:pPr>
          </w:p>
        </w:tc>
        <w:tc>
          <w:tcPr>
            <w:tcW w:w="2886"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pPr>
              <w:spacing w:line="360" w:lineRule="auto"/>
              <w:jc w:val="center"/>
              <w:rPr>
                <w:rFonts w:ascii="仿宋" w:hAnsi="仿宋" w:eastAsia="仿宋" w:cs="Times New Roman"/>
                <w:sz w:val="24"/>
                <w:szCs w:val="24"/>
              </w:rPr>
            </w:pPr>
          </w:p>
        </w:tc>
        <w:tc>
          <w:tcPr>
            <w:tcW w:w="2886" w:type="dxa"/>
            <w:vAlign w:val="center"/>
          </w:tcPr>
          <w:p>
            <w:pPr>
              <w:spacing w:line="360" w:lineRule="auto"/>
              <w:jc w:val="center"/>
              <w:rPr>
                <w:rFonts w:ascii="仿宋" w:hAnsi="仿宋" w:eastAsia="仿宋" w:cs="Times New Roman"/>
                <w:sz w:val="24"/>
                <w:szCs w:val="24"/>
              </w:rPr>
            </w:pPr>
          </w:p>
        </w:tc>
        <w:tc>
          <w:tcPr>
            <w:tcW w:w="2886"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pPr>
              <w:spacing w:line="360" w:lineRule="auto"/>
              <w:jc w:val="center"/>
              <w:rPr>
                <w:rFonts w:ascii="仿宋" w:hAnsi="仿宋" w:eastAsia="仿宋" w:cs="Times New Roman"/>
                <w:sz w:val="24"/>
                <w:szCs w:val="24"/>
              </w:rPr>
            </w:pPr>
          </w:p>
        </w:tc>
        <w:tc>
          <w:tcPr>
            <w:tcW w:w="2886" w:type="dxa"/>
            <w:vAlign w:val="center"/>
          </w:tcPr>
          <w:p>
            <w:pPr>
              <w:spacing w:line="360" w:lineRule="auto"/>
              <w:jc w:val="center"/>
              <w:rPr>
                <w:rFonts w:ascii="仿宋" w:hAnsi="仿宋" w:eastAsia="仿宋" w:cs="Times New Roman"/>
                <w:sz w:val="24"/>
                <w:szCs w:val="24"/>
              </w:rPr>
            </w:pPr>
          </w:p>
        </w:tc>
        <w:tc>
          <w:tcPr>
            <w:tcW w:w="2886"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pPr>
              <w:spacing w:line="360" w:lineRule="auto"/>
              <w:jc w:val="center"/>
              <w:rPr>
                <w:rFonts w:ascii="仿宋" w:hAnsi="仿宋" w:eastAsia="仿宋" w:cs="Times New Roman"/>
                <w:sz w:val="24"/>
                <w:szCs w:val="24"/>
              </w:rPr>
            </w:pPr>
          </w:p>
        </w:tc>
        <w:tc>
          <w:tcPr>
            <w:tcW w:w="2886" w:type="dxa"/>
            <w:vAlign w:val="center"/>
          </w:tcPr>
          <w:p>
            <w:pPr>
              <w:spacing w:line="360" w:lineRule="auto"/>
              <w:jc w:val="center"/>
              <w:rPr>
                <w:rFonts w:ascii="仿宋" w:hAnsi="仿宋" w:eastAsia="仿宋" w:cs="Times New Roman"/>
                <w:sz w:val="24"/>
                <w:szCs w:val="24"/>
              </w:rPr>
            </w:pPr>
          </w:p>
        </w:tc>
        <w:tc>
          <w:tcPr>
            <w:tcW w:w="2886"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pPr>
              <w:spacing w:line="360" w:lineRule="auto"/>
              <w:jc w:val="center"/>
              <w:rPr>
                <w:rFonts w:ascii="仿宋" w:hAnsi="仿宋" w:eastAsia="仿宋" w:cs="Times New Roman"/>
                <w:sz w:val="24"/>
                <w:szCs w:val="24"/>
              </w:rPr>
            </w:pPr>
          </w:p>
        </w:tc>
        <w:tc>
          <w:tcPr>
            <w:tcW w:w="2886" w:type="dxa"/>
            <w:vAlign w:val="center"/>
          </w:tcPr>
          <w:p>
            <w:pPr>
              <w:spacing w:line="360" w:lineRule="auto"/>
              <w:jc w:val="center"/>
              <w:rPr>
                <w:rFonts w:ascii="仿宋" w:hAnsi="仿宋" w:eastAsia="仿宋" w:cs="Times New Roman"/>
                <w:sz w:val="24"/>
                <w:szCs w:val="24"/>
              </w:rPr>
            </w:pPr>
          </w:p>
        </w:tc>
        <w:tc>
          <w:tcPr>
            <w:tcW w:w="2886"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pPr>
              <w:spacing w:line="360" w:lineRule="auto"/>
              <w:jc w:val="center"/>
              <w:rPr>
                <w:rFonts w:ascii="仿宋" w:hAnsi="仿宋" w:eastAsia="仿宋" w:cs="Times New Roman"/>
                <w:sz w:val="24"/>
                <w:szCs w:val="24"/>
              </w:rPr>
            </w:pPr>
          </w:p>
        </w:tc>
        <w:tc>
          <w:tcPr>
            <w:tcW w:w="2886" w:type="dxa"/>
            <w:vAlign w:val="center"/>
          </w:tcPr>
          <w:p>
            <w:pPr>
              <w:spacing w:line="360" w:lineRule="auto"/>
              <w:jc w:val="center"/>
              <w:rPr>
                <w:rFonts w:ascii="仿宋" w:hAnsi="仿宋" w:eastAsia="仿宋" w:cs="Times New Roman"/>
                <w:sz w:val="24"/>
                <w:szCs w:val="24"/>
              </w:rPr>
            </w:pPr>
          </w:p>
        </w:tc>
        <w:tc>
          <w:tcPr>
            <w:tcW w:w="2886"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pPr>
              <w:spacing w:line="360" w:lineRule="auto"/>
              <w:jc w:val="center"/>
              <w:rPr>
                <w:rFonts w:ascii="仿宋" w:hAnsi="仿宋" w:eastAsia="仿宋" w:cs="Times New Roman"/>
                <w:sz w:val="24"/>
                <w:szCs w:val="24"/>
              </w:rPr>
            </w:pPr>
          </w:p>
        </w:tc>
        <w:tc>
          <w:tcPr>
            <w:tcW w:w="2886" w:type="dxa"/>
            <w:vAlign w:val="center"/>
          </w:tcPr>
          <w:p>
            <w:pPr>
              <w:spacing w:line="360" w:lineRule="auto"/>
              <w:rPr>
                <w:rFonts w:ascii="仿宋" w:hAnsi="仿宋" w:eastAsia="仿宋" w:cs="Times New Roman"/>
                <w:sz w:val="24"/>
                <w:szCs w:val="24"/>
              </w:rPr>
            </w:pPr>
          </w:p>
        </w:tc>
        <w:tc>
          <w:tcPr>
            <w:tcW w:w="2886"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544" w:type="dxa"/>
            <w:gridSpan w:val="3"/>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合</w:t>
            </w:r>
            <w:r>
              <w:rPr>
                <w:rFonts w:ascii="仿宋" w:hAnsi="仿宋" w:eastAsia="仿宋" w:cs="仿宋"/>
                <w:sz w:val="24"/>
                <w:szCs w:val="24"/>
              </w:rPr>
              <w:t xml:space="preserve">  </w:t>
            </w:r>
            <w:r>
              <w:rPr>
                <w:rFonts w:hint="eastAsia" w:ascii="仿宋" w:hAnsi="仿宋" w:eastAsia="仿宋" w:cs="仿宋"/>
                <w:sz w:val="24"/>
                <w:szCs w:val="24"/>
              </w:rPr>
              <w:t>计</w:t>
            </w:r>
          </w:p>
        </w:tc>
        <w:tc>
          <w:tcPr>
            <w:tcW w:w="1263"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r>
    </w:tbl>
    <w:p>
      <w:pPr>
        <w:spacing w:line="360" w:lineRule="auto"/>
        <w:rPr>
          <w:rFonts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本表由承包人填制，承包人应按照合同约定填报实际数量，提交造价工程核实并由其报发包人确认后，将金额与暂估价金额以及相关费用列入合同价款内。</w:t>
      </w:r>
    </w:p>
    <w:p>
      <w:pPr>
        <w:spacing w:line="360" w:lineRule="auto"/>
        <w:ind w:firstLine="720" w:firstLineChars="3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本表一式四份，发包人、监理人、工程造价咨询人（如有）、承包人各存一份。</w:t>
      </w:r>
    </w:p>
    <w:p>
      <w:pPr>
        <w:spacing w:line="360" w:lineRule="auto"/>
        <w:outlineLvl w:val="1"/>
        <w:rPr>
          <w:rFonts w:ascii="仿宋" w:hAnsi="仿宋" w:eastAsia="仿宋" w:cs="仿宋"/>
          <w:b/>
          <w:bCs/>
          <w:color w:val="000000"/>
          <w:kern w:val="0"/>
          <w:sz w:val="24"/>
          <w:szCs w:val="24"/>
        </w:rPr>
      </w:pPr>
      <w:r>
        <w:rPr>
          <w:rFonts w:ascii="仿宋" w:hAnsi="仿宋" w:eastAsia="仿宋" w:cs="Times New Roman"/>
          <w:kern w:val="0"/>
          <w:sz w:val="24"/>
          <w:szCs w:val="24"/>
        </w:rPr>
        <w:br w:type="page"/>
      </w:r>
      <w:bookmarkStart w:id="798" w:name="_Toc469384163"/>
      <w:bookmarkStart w:id="799" w:name="_Toc266892949"/>
      <w:bookmarkStart w:id="800" w:name="_Toc10625007"/>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23</w:t>
      </w:r>
      <w:bookmarkEnd w:id="798"/>
      <w:bookmarkEnd w:id="799"/>
      <w:bookmarkEnd w:id="800"/>
    </w:p>
    <w:p>
      <w:pPr>
        <w:spacing w:before="50" w:after="50"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费用索赔申请表</w:t>
      </w:r>
    </w:p>
    <w:p>
      <w:pPr>
        <w:spacing w:line="360" w:lineRule="auto"/>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0"/>
        <w:tblW w:w="10443"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50" w:hRule="atLeast"/>
        </w:trPr>
        <w:tc>
          <w:tcPr>
            <w:tcW w:w="10443" w:type="dxa"/>
            <w:tcBorders>
              <w:bottom w:val="single" w:color="auto" w:sz="4" w:space="0"/>
            </w:tcBorders>
            <w:vAlign w:val="top"/>
          </w:tcPr>
          <w:p>
            <w:pPr>
              <w:spacing w:before="120" w:line="360" w:lineRule="auto"/>
              <w:ind w:left="-28" w:firstLine="181"/>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（工程造价咨询人全称）</w:t>
            </w:r>
            <w:r>
              <w:rPr>
                <w:rFonts w:ascii="仿宋" w:hAnsi="仿宋" w:eastAsia="仿宋" w:cs="仿宋"/>
                <w:sz w:val="24"/>
                <w:szCs w:val="24"/>
              </w:rPr>
              <w:t xml:space="preserve"> </w:t>
            </w:r>
          </w:p>
          <w:p>
            <w:pPr>
              <w:spacing w:line="360" w:lineRule="auto"/>
              <w:ind w:left="-28" w:firstLine="482"/>
              <w:rPr>
                <w:rFonts w:ascii="仿宋" w:hAnsi="仿宋" w:eastAsia="仿宋" w:cs="Times New Roman"/>
                <w:sz w:val="24"/>
                <w:szCs w:val="24"/>
              </w:rPr>
            </w:pPr>
            <w:r>
              <w:rPr>
                <w:rFonts w:hint="eastAsia" w:ascii="仿宋" w:hAnsi="仿宋" w:eastAsia="仿宋" w:cs="仿宋"/>
                <w:sz w:val="24"/>
                <w:szCs w:val="24"/>
              </w:rPr>
              <w:t>根据施工合同第</w:t>
            </w:r>
            <w:r>
              <w:rPr>
                <w:rFonts w:ascii="仿宋" w:hAnsi="仿宋" w:eastAsia="仿宋" w:cs="仿宋"/>
                <w:sz w:val="24"/>
                <w:szCs w:val="24"/>
                <w:u w:val="single"/>
              </w:rPr>
              <w:t xml:space="preserve">              </w:t>
            </w:r>
            <w:r>
              <w:rPr>
                <w:rFonts w:hint="eastAsia" w:ascii="仿宋" w:hAnsi="仿宋" w:eastAsia="仿宋" w:cs="仿宋"/>
                <w:sz w:val="24"/>
                <w:szCs w:val="24"/>
              </w:rPr>
              <w:t>条规定，由于</w:t>
            </w:r>
            <w:r>
              <w:rPr>
                <w:rFonts w:ascii="仿宋" w:hAnsi="仿宋" w:eastAsia="仿宋" w:cs="仿宋"/>
                <w:sz w:val="24"/>
                <w:szCs w:val="24"/>
                <w:u w:val="single"/>
              </w:rPr>
              <w:t xml:space="preserve">                           </w:t>
            </w:r>
            <w:r>
              <w:rPr>
                <w:rFonts w:hint="eastAsia" w:ascii="仿宋" w:hAnsi="仿宋" w:eastAsia="仿宋" w:cs="仿宋"/>
                <w:sz w:val="24"/>
                <w:szCs w:val="24"/>
              </w:rPr>
              <w:t>原因</w:t>
            </w:r>
            <w:r>
              <w:rPr>
                <w:rFonts w:ascii="仿宋" w:hAnsi="仿宋" w:eastAsia="仿宋" w:cs="仿宋"/>
                <w:sz w:val="24"/>
                <w:szCs w:val="24"/>
              </w:rPr>
              <w:t>,</w:t>
            </w:r>
            <w:r>
              <w:rPr>
                <w:rFonts w:hint="eastAsia" w:ascii="仿宋" w:hAnsi="仿宋" w:eastAsia="仿宋" w:cs="仿宋"/>
                <w:sz w:val="24"/>
                <w:szCs w:val="24"/>
              </w:rPr>
              <w:t>我方要求索赔金额</w:t>
            </w:r>
            <w:r>
              <w:rPr>
                <w:rFonts w:ascii="仿宋" w:hAnsi="仿宋" w:eastAsia="仿宋" w:cs="仿宋"/>
                <w:sz w:val="24"/>
                <w:szCs w:val="24"/>
              </w:rPr>
              <w:t>(</w:t>
            </w:r>
            <w:r>
              <w:rPr>
                <w:rFonts w:hint="eastAsia" w:ascii="仿宋" w:hAnsi="仿宋" w:eastAsia="仿宋" w:cs="仿宋"/>
                <w:sz w:val="24"/>
                <w:szCs w:val="24"/>
              </w:rPr>
              <w:t>大写</w:t>
            </w:r>
            <w:r>
              <w:rPr>
                <w:rFonts w:ascii="仿宋" w:hAnsi="仿宋" w:eastAsia="仿宋" w:cs="仿宋"/>
                <w:sz w:val="24"/>
                <w:szCs w:val="24"/>
              </w:rPr>
              <w:t>)</w:t>
            </w:r>
            <w:r>
              <w:rPr>
                <w:rFonts w:ascii="仿宋" w:hAnsi="仿宋" w:eastAsia="仿宋" w:cs="仿宋"/>
                <w:sz w:val="24"/>
                <w:szCs w:val="24"/>
                <w:u w:val="single"/>
              </w:rPr>
              <w:t xml:space="preserve">                   </w:t>
            </w:r>
            <w:r>
              <w:rPr>
                <w:rFonts w:ascii="仿宋" w:hAnsi="仿宋" w:eastAsia="仿宋" w:cs="仿宋"/>
                <w:sz w:val="24"/>
                <w:szCs w:val="24"/>
              </w:rPr>
              <w:t>(</w:t>
            </w:r>
            <w:r>
              <w:rPr>
                <w:rFonts w:hint="eastAsia" w:ascii="仿宋" w:hAnsi="仿宋" w:eastAsia="仿宋" w:cs="仿宋"/>
                <w:sz w:val="24"/>
                <w:szCs w:val="24"/>
              </w:rPr>
              <w:t>小写</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元</w:t>
            </w:r>
            <w:r>
              <w:rPr>
                <w:rFonts w:ascii="仿宋" w:hAnsi="仿宋" w:eastAsia="仿宋" w:cs="仿宋"/>
                <w:sz w:val="24"/>
                <w:szCs w:val="24"/>
              </w:rPr>
              <w:t>)</w:t>
            </w:r>
            <w:r>
              <w:rPr>
                <w:rFonts w:hint="eastAsia" w:ascii="仿宋" w:hAnsi="仿宋" w:eastAsia="仿宋" w:cs="仿宋"/>
                <w:sz w:val="24"/>
                <w:szCs w:val="24"/>
              </w:rPr>
              <w:t>，请予以批准。</w:t>
            </w:r>
          </w:p>
          <w:p>
            <w:pPr>
              <w:spacing w:line="360" w:lineRule="auto"/>
              <w:ind w:left="480"/>
              <w:rPr>
                <w:rFonts w:ascii="仿宋" w:hAnsi="仿宋" w:eastAsia="仿宋" w:cs="Times New Roman"/>
                <w:sz w:val="24"/>
                <w:szCs w:val="24"/>
              </w:rPr>
            </w:pPr>
            <w:r>
              <w:rPr>
                <w:rFonts w:hint="eastAsia" w:ascii="仿宋" w:hAnsi="仿宋" w:eastAsia="仿宋" w:cs="仿宋"/>
                <w:sz w:val="24"/>
                <w:szCs w:val="24"/>
              </w:rPr>
              <w:t>１．费用索赔的详细理由和依据：</w:t>
            </w:r>
          </w:p>
          <w:p>
            <w:pPr>
              <w:spacing w:line="360" w:lineRule="auto"/>
              <w:rPr>
                <w:rFonts w:ascii="仿宋" w:hAnsi="仿宋" w:eastAsia="仿宋" w:cs="Times New Roman"/>
                <w:sz w:val="24"/>
                <w:szCs w:val="24"/>
              </w:rPr>
            </w:pPr>
          </w:p>
          <w:p>
            <w:pPr>
              <w:spacing w:line="360" w:lineRule="auto"/>
              <w:rPr>
                <w:rFonts w:ascii="仿宋" w:hAnsi="仿宋" w:eastAsia="仿宋" w:cs="Times New Roman"/>
                <w:sz w:val="24"/>
                <w:szCs w:val="24"/>
              </w:rPr>
            </w:pPr>
          </w:p>
          <w:p>
            <w:pPr>
              <w:spacing w:line="360" w:lineRule="auto"/>
              <w:rPr>
                <w:rFonts w:ascii="仿宋" w:hAnsi="仿宋" w:eastAsia="仿宋" w:cs="Times New Roman"/>
                <w:sz w:val="24"/>
                <w:szCs w:val="24"/>
              </w:rPr>
            </w:pPr>
          </w:p>
          <w:p>
            <w:pPr>
              <w:spacing w:line="360" w:lineRule="auto"/>
              <w:rPr>
                <w:rFonts w:ascii="仿宋" w:hAnsi="仿宋" w:eastAsia="仿宋" w:cs="Times New Roman"/>
                <w:sz w:val="24"/>
                <w:szCs w:val="24"/>
              </w:rPr>
            </w:pPr>
          </w:p>
          <w:p>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．索赔金额的计算：</w:t>
            </w:r>
          </w:p>
          <w:p>
            <w:pPr>
              <w:spacing w:line="360" w:lineRule="auto"/>
              <w:ind w:left="-28" w:firstLine="458"/>
              <w:rPr>
                <w:rFonts w:ascii="仿宋" w:hAnsi="仿宋" w:eastAsia="仿宋" w:cs="Times New Roman"/>
                <w:sz w:val="24"/>
                <w:szCs w:val="24"/>
              </w:rPr>
            </w:pPr>
          </w:p>
          <w:p>
            <w:pPr>
              <w:spacing w:line="360" w:lineRule="auto"/>
              <w:ind w:left="-28" w:firstLine="458"/>
              <w:rPr>
                <w:rFonts w:ascii="仿宋" w:hAnsi="仿宋" w:eastAsia="仿宋" w:cs="Times New Roman"/>
                <w:sz w:val="24"/>
                <w:szCs w:val="24"/>
              </w:rPr>
            </w:pPr>
          </w:p>
          <w:p>
            <w:pPr>
              <w:spacing w:line="360" w:lineRule="auto"/>
              <w:ind w:left="-28" w:firstLine="458"/>
              <w:rPr>
                <w:rFonts w:ascii="仿宋" w:hAnsi="仿宋" w:eastAsia="仿宋" w:cs="Times New Roman"/>
                <w:sz w:val="24"/>
                <w:szCs w:val="24"/>
              </w:rPr>
            </w:pPr>
          </w:p>
          <w:p>
            <w:pPr>
              <w:spacing w:line="360" w:lineRule="auto"/>
              <w:ind w:left="-28" w:firstLine="458"/>
              <w:rPr>
                <w:rFonts w:ascii="仿宋" w:hAnsi="仿宋" w:eastAsia="仿宋" w:cs="Times New Roman"/>
                <w:sz w:val="24"/>
                <w:szCs w:val="24"/>
              </w:rPr>
            </w:pPr>
          </w:p>
          <w:p>
            <w:pPr>
              <w:spacing w:line="360" w:lineRule="auto"/>
              <w:ind w:left="-28" w:firstLine="458"/>
              <w:rPr>
                <w:rFonts w:ascii="仿宋" w:hAnsi="仿宋" w:eastAsia="仿宋" w:cs="Times New Roman"/>
                <w:sz w:val="24"/>
                <w:szCs w:val="24"/>
              </w:rPr>
            </w:pPr>
          </w:p>
          <w:p>
            <w:pPr>
              <w:spacing w:line="360" w:lineRule="auto"/>
              <w:ind w:left="-28" w:firstLine="458"/>
              <w:rPr>
                <w:rFonts w:ascii="仿宋" w:hAnsi="仿宋" w:eastAsia="仿宋" w:cs="Times New Roman"/>
                <w:sz w:val="24"/>
                <w:szCs w:val="24"/>
              </w:rPr>
            </w:pPr>
          </w:p>
          <w:p>
            <w:pPr>
              <w:spacing w:line="360" w:lineRule="auto"/>
              <w:ind w:left="-28" w:firstLine="458"/>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．证明材料：</w:t>
            </w:r>
          </w:p>
          <w:p>
            <w:pPr>
              <w:spacing w:line="360" w:lineRule="auto"/>
              <w:ind w:firstLine="480" w:firstLineChars="200"/>
              <w:rPr>
                <w:rFonts w:ascii="仿宋" w:hAnsi="仿宋" w:eastAsia="仿宋" w:cs="Times New Roman"/>
                <w:sz w:val="24"/>
                <w:szCs w:val="24"/>
              </w:rPr>
            </w:pPr>
          </w:p>
          <w:p>
            <w:pPr>
              <w:tabs>
                <w:tab w:val="left" w:pos="6912"/>
              </w:tabs>
              <w:spacing w:line="360" w:lineRule="auto"/>
              <w:ind w:firstLine="6000" w:firstLineChars="2500"/>
              <w:rPr>
                <w:rFonts w:ascii="仿宋" w:hAnsi="仿宋" w:eastAsia="仿宋" w:cs="Times New Roman"/>
                <w:sz w:val="24"/>
                <w:szCs w:val="24"/>
              </w:rPr>
            </w:pPr>
          </w:p>
          <w:p>
            <w:pPr>
              <w:tabs>
                <w:tab w:val="left" w:pos="6912"/>
              </w:tabs>
              <w:spacing w:line="360" w:lineRule="auto"/>
              <w:ind w:firstLine="6000" w:firstLineChars="2500"/>
              <w:rPr>
                <w:rFonts w:ascii="仿宋" w:hAnsi="仿宋" w:eastAsia="仿宋" w:cs="Times New Roman"/>
                <w:sz w:val="24"/>
                <w:szCs w:val="24"/>
              </w:rPr>
            </w:pPr>
          </w:p>
          <w:p>
            <w:pPr>
              <w:tabs>
                <w:tab w:val="left" w:pos="6912"/>
              </w:tabs>
              <w:spacing w:line="360" w:lineRule="auto"/>
              <w:ind w:firstLine="6000" w:firstLineChars="2500"/>
              <w:rPr>
                <w:rFonts w:ascii="仿宋" w:hAnsi="仿宋" w:eastAsia="仿宋" w:cs="Times New Roman"/>
                <w:sz w:val="24"/>
                <w:szCs w:val="24"/>
              </w:rPr>
            </w:pPr>
          </w:p>
          <w:p>
            <w:pPr>
              <w:tabs>
                <w:tab w:val="left" w:pos="6912"/>
              </w:tabs>
              <w:spacing w:line="360" w:lineRule="auto"/>
              <w:ind w:firstLine="6000" w:firstLineChars="2500"/>
              <w:rPr>
                <w:rFonts w:ascii="仿宋" w:hAnsi="仿宋" w:eastAsia="仿宋" w:cs="Times New Roman"/>
                <w:sz w:val="24"/>
                <w:szCs w:val="24"/>
              </w:rPr>
            </w:pPr>
          </w:p>
          <w:p>
            <w:pPr>
              <w:tabs>
                <w:tab w:val="left" w:pos="6912"/>
              </w:tabs>
              <w:spacing w:line="360" w:lineRule="auto"/>
              <w:ind w:firstLine="6000" w:firstLineChars="2500"/>
              <w:rPr>
                <w:rFonts w:ascii="仿宋" w:hAnsi="仿宋" w:eastAsia="仿宋" w:cs="Times New Roman"/>
                <w:sz w:val="24"/>
                <w:szCs w:val="24"/>
              </w:rPr>
            </w:pPr>
          </w:p>
          <w:p>
            <w:pPr>
              <w:tabs>
                <w:tab w:val="left" w:pos="6912"/>
              </w:tabs>
              <w:spacing w:line="360" w:lineRule="auto"/>
              <w:ind w:firstLine="6372" w:firstLineChars="2655"/>
              <w:rPr>
                <w:rFonts w:ascii="仿宋" w:hAnsi="仿宋" w:eastAsia="仿宋" w:cs="Times New Roman"/>
                <w:sz w:val="24"/>
                <w:szCs w:val="24"/>
                <w:u w:val="single"/>
              </w:rPr>
            </w:pPr>
            <w:r>
              <w:rPr>
                <w:rFonts w:hint="eastAsia" w:ascii="仿宋" w:hAnsi="仿宋" w:eastAsia="仿宋" w:cs="仿宋"/>
                <w:sz w:val="24"/>
                <w:szCs w:val="24"/>
              </w:rPr>
              <w:t>承包人（章）</w:t>
            </w:r>
            <w:r>
              <w:rPr>
                <w:rFonts w:ascii="仿宋" w:hAnsi="仿宋" w:eastAsia="仿宋" w:cs="仿宋"/>
                <w:sz w:val="24"/>
                <w:szCs w:val="24"/>
              </w:rPr>
              <w:t xml:space="preserve">                </w:t>
            </w:r>
          </w:p>
          <w:p>
            <w:pPr>
              <w:spacing w:line="360" w:lineRule="auto"/>
              <w:ind w:firstLine="6372" w:firstLineChars="2655"/>
              <w:rPr>
                <w:rFonts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pPr>
              <w:tabs>
                <w:tab w:val="left" w:pos="7272"/>
              </w:tabs>
              <w:spacing w:line="360" w:lineRule="auto"/>
              <w:ind w:firstLine="6372" w:firstLineChars="2655"/>
              <w:rPr>
                <w:rFonts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pPr>
        <w:spacing w:line="360" w:lineRule="auto"/>
        <w:rPr>
          <w:rFonts w:ascii="仿宋" w:hAnsi="仿宋" w:eastAsia="仿宋" w:cs="Times New Roman"/>
          <w:sz w:val="24"/>
          <w:szCs w:val="24"/>
        </w:rPr>
      </w:pPr>
      <w:r>
        <w:rPr>
          <w:rFonts w:hint="eastAsia" w:ascii="仿宋" w:hAnsi="仿宋" w:eastAsia="仿宋" w:cs="仿宋"/>
          <w:sz w:val="24"/>
          <w:szCs w:val="24"/>
        </w:rPr>
        <w:t>说明：本表一式三份，由承包人填制</w:t>
      </w:r>
      <w:r>
        <w:rPr>
          <w:rFonts w:ascii="仿宋" w:hAnsi="仿宋" w:eastAsia="仿宋" w:cs="仿宋"/>
          <w:sz w:val="24"/>
          <w:szCs w:val="24"/>
        </w:rPr>
        <w:t>,</w:t>
      </w:r>
      <w:r>
        <w:rPr>
          <w:rFonts w:hint="eastAsia" w:ascii="仿宋" w:hAnsi="仿宋" w:eastAsia="仿宋" w:cs="仿宋"/>
          <w:sz w:val="24"/>
          <w:szCs w:val="24"/>
        </w:rPr>
        <w:t>并连同发包人、工程造价咨询人（如有）各存一份。</w:t>
      </w:r>
    </w:p>
    <w:p>
      <w:pPr>
        <w:spacing w:line="360" w:lineRule="auto"/>
        <w:outlineLvl w:val="1"/>
        <w:rPr>
          <w:rFonts w:ascii="仿宋" w:hAnsi="仿宋" w:eastAsia="仿宋" w:cs="Times New Roman"/>
          <w:sz w:val="24"/>
          <w:szCs w:val="24"/>
        </w:rPr>
      </w:pPr>
      <w:r>
        <w:rPr>
          <w:rFonts w:ascii="仿宋" w:hAnsi="仿宋" w:eastAsia="仿宋" w:cs="Times New Roman"/>
          <w:kern w:val="0"/>
          <w:sz w:val="24"/>
          <w:szCs w:val="24"/>
        </w:rPr>
        <w:br w:type="page"/>
      </w:r>
      <w:bookmarkStart w:id="801" w:name="_Toc266892950"/>
      <w:bookmarkStart w:id="802" w:name="_Toc469384164"/>
      <w:bookmarkStart w:id="803" w:name="_Toc10625008"/>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24</w:t>
      </w:r>
      <w:bookmarkEnd w:id="801"/>
      <w:bookmarkEnd w:id="802"/>
      <w:bookmarkEnd w:id="803"/>
    </w:p>
    <w:p>
      <w:pPr>
        <w:spacing w:before="50" w:after="50" w:line="360" w:lineRule="auto"/>
        <w:jc w:val="center"/>
        <w:rPr>
          <w:rFonts w:ascii="仿宋" w:hAnsi="仿宋" w:eastAsia="仿宋" w:cs="Times New Roman"/>
          <w:b/>
          <w:bCs/>
        </w:rPr>
      </w:pPr>
      <w:r>
        <w:rPr>
          <w:rFonts w:hint="eastAsia" w:ascii="仿宋" w:hAnsi="仿宋" w:eastAsia="仿宋" w:cs="仿宋"/>
          <w:b/>
          <w:bCs/>
          <w:spacing w:val="30"/>
          <w:sz w:val="44"/>
          <w:szCs w:val="44"/>
        </w:rPr>
        <w:t>费用索赔审批表</w:t>
      </w:r>
    </w:p>
    <w:p>
      <w:pPr>
        <w:spacing w:line="360" w:lineRule="auto"/>
        <w:rPr>
          <w:rFonts w:ascii="仿宋" w:hAnsi="仿宋" w:eastAsia="仿宋" w:cs="仿宋"/>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0"/>
        <w:tblW w:w="10459"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66" w:hRule="atLeast"/>
        </w:trPr>
        <w:tc>
          <w:tcPr>
            <w:tcW w:w="10459" w:type="dxa"/>
            <w:tcBorders>
              <w:bottom w:val="single" w:color="auto" w:sz="4" w:space="0"/>
            </w:tcBorders>
            <w:vAlign w:val="top"/>
          </w:tcPr>
          <w:p>
            <w:pPr>
              <w:spacing w:before="120" w:line="360" w:lineRule="auto"/>
              <w:ind w:left="-28" w:firstLine="181"/>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（承包人全称）</w:t>
            </w:r>
            <w:r>
              <w:rPr>
                <w:rFonts w:ascii="仿宋" w:hAnsi="仿宋" w:eastAsia="仿宋" w:cs="仿宋"/>
                <w:sz w:val="24"/>
                <w:szCs w:val="24"/>
              </w:rPr>
              <w:t xml:space="preserve"> </w:t>
            </w:r>
          </w:p>
          <w:p>
            <w:pPr>
              <w:spacing w:line="360" w:lineRule="auto"/>
              <w:ind w:left="-28" w:firstLine="482"/>
              <w:jc w:val="left"/>
              <w:rPr>
                <w:rFonts w:ascii="仿宋" w:hAnsi="仿宋" w:eastAsia="仿宋" w:cs="Times New Roman"/>
                <w:sz w:val="24"/>
                <w:szCs w:val="24"/>
              </w:rPr>
            </w:pPr>
            <w:r>
              <w:rPr>
                <w:rFonts w:hint="eastAsia" w:ascii="仿宋" w:hAnsi="仿宋" w:eastAsia="仿宋" w:cs="仿宋"/>
                <w:sz w:val="24"/>
                <w:szCs w:val="24"/>
              </w:rPr>
              <w:t>根据施工合同条款第</w:t>
            </w:r>
            <w:r>
              <w:rPr>
                <w:rFonts w:ascii="仿宋" w:hAnsi="仿宋" w:eastAsia="仿宋" w:cs="仿宋"/>
                <w:sz w:val="24"/>
                <w:szCs w:val="24"/>
                <w:u w:val="single"/>
              </w:rPr>
              <w:t xml:space="preserve">               </w:t>
            </w:r>
            <w:r>
              <w:rPr>
                <w:rFonts w:hint="eastAsia" w:ascii="仿宋" w:hAnsi="仿宋" w:eastAsia="仿宋" w:cs="仿宋"/>
                <w:sz w:val="24"/>
                <w:szCs w:val="24"/>
              </w:rPr>
              <w:t>的规定，你方提出的工期索赔申请第</w:t>
            </w:r>
            <w:r>
              <w:rPr>
                <w:rFonts w:ascii="仿宋" w:hAnsi="仿宋" w:eastAsia="仿宋" w:cs="仿宋"/>
                <w:sz w:val="24"/>
                <w:szCs w:val="24"/>
                <w:u w:val="single"/>
              </w:rPr>
              <w:t xml:space="preserve">    </w:t>
            </w:r>
            <w:r>
              <w:rPr>
                <w:rFonts w:hint="eastAsia" w:ascii="仿宋" w:hAnsi="仿宋" w:eastAsia="仿宋" w:cs="仿宋"/>
                <w:sz w:val="24"/>
                <w:szCs w:val="24"/>
              </w:rPr>
              <w:t>号</w:t>
            </w:r>
            <w:r>
              <w:rPr>
                <w:rFonts w:ascii="仿宋" w:hAnsi="仿宋" w:eastAsia="仿宋" w:cs="仿宋"/>
                <w:sz w:val="24"/>
                <w:szCs w:val="24"/>
              </w:rPr>
              <w:t>,</w:t>
            </w:r>
            <w:r>
              <w:rPr>
                <w:rFonts w:hint="eastAsia" w:ascii="仿宋" w:hAnsi="仿宋" w:eastAsia="仿宋" w:cs="仿宋"/>
                <w:sz w:val="24"/>
                <w:szCs w:val="24"/>
              </w:rPr>
              <w:t>索赔费用：</w:t>
            </w:r>
            <w:r>
              <w:rPr>
                <w:rFonts w:ascii="仿宋" w:hAnsi="仿宋" w:eastAsia="仿宋" w:cs="仿宋"/>
                <w:sz w:val="24"/>
                <w:szCs w:val="24"/>
              </w:rPr>
              <w:t>(</w:t>
            </w:r>
            <w:r>
              <w:rPr>
                <w:rFonts w:hint="eastAsia" w:ascii="仿宋" w:hAnsi="仿宋" w:eastAsia="仿宋" w:cs="仿宋"/>
                <w:sz w:val="24"/>
                <w:szCs w:val="24"/>
              </w:rPr>
              <w:t>大写</w:t>
            </w:r>
            <w:r>
              <w:rPr>
                <w:rFonts w:ascii="仿宋" w:hAnsi="仿宋" w:eastAsia="仿宋" w:cs="仿宋"/>
                <w:sz w:val="24"/>
                <w:szCs w:val="24"/>
              </w:rPr>
              <w:t>)</w:t>
            </w:r>
            <w:r>
              <w:rPr>
                <w:rFonts w:ascii="仿宋" w:hAnsi="仿宋" w:eastAsia="仿宋" w:cs="仿宋"/>
                <w:sz w:val="24"/>
                <w:szCs w:val="24"/>
                <w:u w:val="single"/>
              </w:rPr>
              <w:t xml:space="preserve">                   </w:t>
            </w:r>
            <w:r>
              <w:rPr>
                <w:rFonts w:ascii="仿宋" w:hAnsi="仿宋" w:eastAsia="仿宋" w:cs="仿宋"/>
                <w:sz w:val="24"/>
                <w:szCs w:val="24"/>
              </w:rPr>
              <w:t>(</w:t>
            </w:r>
            <w:r>
              <w:rPr>
                <w:rFonts w:hint="eastAsia" w:ascii="仿宋" w:hAnsi="仿宋" w:eastAsia="仿宋" w:cs="仿宋"/>
                <w:sz w:val="24"/>
                <w:szCs w:val="24"/>
              </w:rPr>
              <w:t>小写</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元</w:t>
            </w:r>
            <w:r>
              <w:rPr>
                <w:rFonts w:ascii="仿宋" w:hAnsi="仿宋" w:eastAsia="仿宋" w:cs="仿宋"/>
                <w:sz w:val="24"/>
                <w:szCs w:val="24"/>
              </w:rPr>
              <w:t>)</w:t>
            </w:r>
            <w:r>
              <w:rPr>
                <w:rFonts w:hint="eastAsia" w:ascii="仿宋" w:hAnsi="仿宋" w:eastAsia="仿宋" w:cs="仿宋"/>
                <w:sz w:val="24"/>
                <w:szCs w:val="24"/>
              </w:rPr>
              <w:t>，经我方审核：</w:t>
            </w:r>
          </w:p>
          <w:p>
            <w:pPr>
              <w:spacing w:line="360" w:lineRule="auto"/>
              <w:ind w:left="-28" w:firstLine="550"/>
              <w:rPr>
                <w:rFonts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不同意此项索赔。</w:t>
            </w:r>
          </w:p>
          <w:p>
            <w:pPr>
              <w:spacing w:line="360" w:lineRule="auto"/>
              <w:ind w:left="-28" w:firstLine="550"/>
              <w:rPr>
                <w:rFonts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同意此项索赔，金额</w:t>
            </w:r>
            <w:r>
              <w:rPr>
                <w:rFonts w:ascii="仿宋" w:hAnsi="仿宋" w:eastAsia="仿宋" w:cs="仿宋"/>
                <w:sz w:val="24"/>
                <w:szCs w:val="24"/>
              </w:rPr>
              <w:t>(</w:t>
            </w:r>
            <w:r>
              <w:rPr>
                <w:rFonts w:hint="eastAsia" w:ascii="仿宋" w:hAnsi="仿宋" w:eastAsia="仿宋" w:cs="仿宋"/>
                <w:sz w:val="24"/>
                <w:szCs w:val="24"/>
              </w:rPr>
              <w:t>大写</w:t>
            </w:r>
            <w:r>
              <w:rPr>
                <w:rFonts w:ascii="仿宋" w:hAnsi="仿宋" w:eastAsia="仿宋" w:cs="仿宋"/>
                <w:sz w:val="24"/>
                <w:szCs w:val="24"/>
              </w:rPr>
              <w:t>)</w:t>
            </w:r>
            <w:r>
              <w:rPr>
                <w:rFonts w:ascii="仿宋" w:hAnsi="仿宋" w:eastAsia="仿宋" w:cs="仿宋"/>
                <w:sz w:val="24"/>
                <w:szCs w:val="24"/>
                <w:u w:val="single"/>
              </w:rPr>
              <w:t xml:space="preserve">                   </w:t>
            </w:r>
            <w:r>
              <w:rPr>
                <w:rFonts w:ascii="仿宋" w:hAnsi="仿宋" w:eastAsia="仿宋" w:cs="仿宋"/>
                <w:sz w:val="24"/>
                <w:szCs w:val="24"/>
              </w:rPr>
              <w:t>(</w:t>
            </w:r>
            <w:r>
              <w:rPr>
                <w:rFonts w:hint="eastAsia" w:ascii="仿宋" w:hAnsi="仿宋" w:eastAsia="仿宋" w:cs="仿宋"/>
                <w:sz w:val="24"/>
                <w:szCs w:val="24"/>
              </w:rPr>
              <w:t>小写</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元</w:t>
            </w:r>
            <w:r>
              <w:rPr>
                <w:rFonts w:ascii="仿宋" w:hAnsi="仿宋" w:eastAsia="仿宋" w:cs="仿宋"/>
                <w:sz w:val="24"/>
                <w:szCs w:val="24"/>
              </w:rPr>
              <w:t>)</w:t>
            </w:r>
            <w:r>
              <w:rPr>
                <w:rFonts w:hint="eastAsia" w:ascii="仿宋" w:hAnsi="仿宋" w:eastAsia="仿宋" w:cs="仿宋"/>
                <w:sz w:val="24"/>
                <w:szCs w:val="24"/>
              </w:rPr>
              <w:t>。</w:t>
            </w:r>
          </w:p>
          <w:p>
            <w:pPr>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同意</w:t>
            </w:r>
            <w:r>
              <w:rPr>
                <w:rFonts w:ascii="仿宋" w:hAnsi="仿宋" w:eastAsia="仿宋" w:cs="仿宋"/>
                <w:sz w:val="24"/>
                <w:szCs w:val="24"/>
              </w:rPr>
              <w:t>/</w:t>
            </w:r>
            <w:r>
              <w:rPr>
                <w:rFonts w:hint="eastAsia" w:ascii="仿宋" w:hAnsi="仿宋" w:eastAsia="仿宋" w:cs="仿宋"/>
                <w:sz w:val="24"/>
                <w:szCs w:val="24"/>
              </w:rPr>
              <w:t>不同意索赔说明理由：</w:t>
            </w:r>
          </w:p>
          <w:p>
            <w:pPr>
              <w:spacing w:line="360" w:lineRule="auto"/>
              <w:ind w:firstLine="480" w:firstLineChars="200"/>
              <w:rPr>
                <w:rFonts w:ascii="仿宋" w:hAnsi="仿宋" w:eastAsia="仿宋" w:cs="Times New Roman"/>
                <w:sz w:val="24"/>
                <w:szCs w:val="24"/>
              </w:rPr>
            </w:pPr>
          </w:p>
          <w:p>
            <w:pPr>
              <w:spacing w:line="360" w:lineRule="auto"/>
              <w:ind w:firstLine="480" w:firstLineChars="200"/>
              <w:rPr>
                <w:rFonts w:ascii="仿宋" w:hAnsi="仿宋" w:eastAsia="仿宋" w:cs="Times New Roman"/>
                <w:sz w:val="24"/>
                <w:szCs w:val="24"/>
              </w:rPr>
            </w:pPr>
          </w:p>
          <w:p>
            <w:pPr>
              <w:spacing w:line="360" w:lineRule="auto"/>
              <w:ind w:firstLine="480" w:firstLineChars="200"/>
              <w:rPr>
                <w:rFonts w:ascii="仿宋" w:hAnsi="仿宋" w:eastAsia="仿宋" w:cs="Times New Roman"/>
                <w:sz w:val="24"/>
                <w:szCs w:val="24"/>
              </w:rPr>
            </w:pPr>
          </w:p>
          <w:p>
            <w:pPr>
              <w:spacing w:line="360" w:lineRule="auto"/>
              <w:ind w:firstLine="480" w:firstLineChars="200"/>
              <w:rPr>
                <w:rFonts w:ascii="仿宋" w:hAnsi="仿宋" w:eastAsia="仿宋" w:cs="Times New Roman"/>
                <w:sz w:val="24"/>
                <w:szCs w:val="24"/>
              </w:rPr>
            </w:pPr>
          </w:p>
          <w:p>
            <w:pPr>
              <w:spacing w:line="360" w:lineRule="auto"/>
              <w:ind w:firstLine="480" w:firstLineChars="200"/>
              <w:rPr>
                <w:rFonts w:ascii="仿宋" w:hAnsi="仿宋" w:eastAsia="仿宋" w:cs="Times New Roman"/>
                <w:sz w:val="24"/>
                <w:szCs w:val="24"/>
              </w:rPr>
            </w:pPr>
          </w:p>
          <w:p>
            <w:pPr>
              <w:spacing w:line="360" w:lineRule="auto"/>
              <w:ind w:firstLine="480" w:firstLineChars="200"/>
              <w:rPr>
                <w:rFonts w:ascii="仿宋" w:hAnsi="仿宋" w:eastAsia="仿宋" w:cs="Times New Roman"/>
                <w:sz w:val="24"/>
                <w:szCs w:val="24"/>
              </w:rPr>
            </w:pPr>
          </w:p>
          <w:p>
            <w:pPr>
              <w:spacing w:line="360" w:lineRule="auto"/>
              <w:ind w:left="-108" w:firstLine="590"/>
              <w:rPr>
                <w:rFonts w:ascii="仿宋" w:hAnsi="仿宋" w:eastAsia="仿宋" w:cs="Times New Roman"/>
                <w:sz w:val="24"/>
                <w:szCs w:val="24"/>
              </w:rPr>
            </w:pPr>
          </w:p>
          <w:p>
            <w:pPr>
              <w:spacing w:line="360" w:lineRule="auto"/>
              <w:ind w:left="-108" w:firstLine="590"/>
              <w:rPr>
                <w:rFonts w:ascii="仿宋" w:hAnsi="仿宋" w:eastAsia="仿宋" w:cs="Times New Roman"/>
                <w:sz w:val="24"/>
                <w:szCs w:val="24"/>
              </w:rPr>
            </w:pPr>
          </w:p>
          <w:p>
            <w:pPr>
              <w:spacing w:line="360" w:lineRule="auto"/>
              <w:ind w:left="-108" w:firstLine="590"/>
              <w:rPr>
                <w:rFonts w:ascii="仿宋" w:hAnsi="仿宋" w:eastAsia="仿宋" w:cs="Times New Roman"/>
                <w:sz w:val="24"/>
                <w:szCs w:val="24"/>
              </w:rPr>
            </w:pPr>
          </w:p>
          <w:p>
            <w:pPr>
              <w:spacing w:line="360" w:lineRule="auto"/>
              <w:ind w:left="-108" w:firstLine="590"/>
              <w:rPr>
                <w:rFonts w:ascii="仿宋" w:hAnsi="仿宋" w:eastAsia="仿宋" w:cs="Times New Roman"/>
                <w:sz w:val="24"/>
                <w:szCs w:val="24"/>
              </w:rPr>
            </w:pPr>
          </w:p>
          <w:p>
            <w:pPr>
              <w:spacing w:line="360" w:lineRule="auto"/>
              <w:ind w:left="-108" w:firstLine="590"/>
              <w:rPr>
                <w:rFonts w:ascii="仿宋" w:hAnsi="仿宋" w:eastAsia="仿宋" w:cs="Times New Roman"/>
                <w:sz w:val="24"/>
                <w:szCs w:val="24"/>
              </w:rPr>
            </w:pPr>
          </w:p>
          <w:p>
            <w:pPr>
              <w:spacing w:line="360" w:lineRule="auto"/>
              <w:ind w:left="-108" w:firstLine="590"/>
              <w:rPr>
                <w:rFonts w:ascii="仿宋" w:hAnsi="仿宋" w:eastAsia="仿宋" w:cs="Times New Roman"/>
                <w:sz w:val="24"/>
                <w:szCs w:val="24"/>
              </w:rPr>
            </w:pPr>
          </w:p>
          <w:p>
            <w:pPr>
              <w:spacing w:line="360" w:lineRule="auto"/>
              <w:ind w:left="-108" w:firstLine="590"/>
              <w:rPr>
                <w:rFonts w:ascii="仿宋" w:hAnsi="仿宋" w:eastAsia="仿宋" w:cs="Times New Roman"/>
                <w:sz w:val="24"/>
                <w:szCs w:val="24"/>
              </w:rPr>
            </w:pPr>
          </w:p>
          <w:p>
            <w:pPr>
              <w:spacing w:line="360" w:lineRule="auto"/>
              <w:ind w:left="-108" w:firstLine="590"/>
              <w:rPr>
                <w:rFonts w:ascii="仿宋" w:hAnsi="仿宋" w:eastAsia="仿宋" w:cs="Times New Roman"/>
                <w:sz w:val="24"/>
                <w:szCs w:val="24"/>
              </w:rPr>
            </w:pPr>
          </w:p>
          <w:p>
            <w:pPr>
              <w:spacing w:line="360" w:lineRule="auto"/>
              <w:rPr>
                <w:rFonts w:ascii="仿宋" w:hAnsi="仿宋" w:eastAsia="仿宋" w:cs="Times New Roman"/>
                <w:sz w:val="24"/>
                <w:szCs w:val="24"/>
              </w:rPr>
            </w:pPr>
          </w:p>
          <w:p>
            <w:pPr>
              <w:tabs>
                <w:tab w:val="left" w:pos="6912"/>
              </w:tabs>
              <w:spacing w:line="360" w:lineRule="auto"/>
              <w:ind w:firstLine="6000" w:firstLineChars="2500"/>
              <w:rPr>
                <w:rFonts w:ascii="仿宋" w:hAnsi="仿宋" w:eastAsia="仿宋" w:cs="Times New Roman"/>
                <w:sz w:val="24"/>
                <w:szCs w:val="24"/>
                <w:u w:val="single"/>
              </w:rPr>
            </w:pPr>
            <w:r>
              <w:rPr>
                <w:rFonts w:hint="eastAsia" w:ascii="仿宋" w:hAnsi="仿宋" w:eastAsia="仿宋" w:cs="仿宋"/>
                <w:sz w:val="24"/>
                <w:szCs w:val="24"/>
              </w:rPr>
              <w:t>工程造价咨询人（如有）（章）</w:t>
            </w:r>
            <w:r>
              <w:rPr>
                <w:rFonts w:ascii="仿宋" w:hAnsi="仿宋" w:eastAsia="仿宋" w:cs="仿宋"/>
                <w:sz w:val="24"/>
                <w:szCs w:val="24"/>
              </w:rPr>
              <w:t xml:space="preserve">                </w:t>
            </w:r>
          </w:p>
          <w:p>
            <w:pPr>
              <w:spacing w:line="360" w:lineRule="auto"/>
              <w:ind w:firstLine="6000"/>
              <w:rPr>
                <w:rFonts w:ascii="仿宋" w:hAnsi="仿宋" w:eastAsia="仿宋" w:cs="仿宋"/>
                <w:sz w:val="24"/>
                <w:szCs w:val="24"/>
                <w:u w:val="single"/>
              </w:rPr>
            </w:pPr>
            <w:r>
              <w:rPr>
                <w:rFonts w:hint="eastAsia" w:ascii="仿宋" w:hAnsi="仿宋" w:eastAsia="仿宋" w:cs="仿宋"/>
                <w:sz w:val="24"/>
                <w:szCs w:val="24"/>
              </w:rPr>
              <w:t>造价工程师</w:t>
            </w:r>
            <w:r>
              <w:rPr>
                <w:rFonts w:ascii="仿宋" w:hAnsi="仿宋" w:eastAsia="仿宋" w:cs="仿宋"/>
                <w:sz w:val="24"/>
                <w:szCs w:val="24"/>
                <w:u w:val="single"/>
              </w:rPr>
              <w:t xml:space="preserve">                </w:t>
            </w:r>
          </w:p>
          <w:p>
            <w:pPr>
              <w:tabs>
                <w:tab w:val="left" w:pos="7272"/>
              </w:tabs>
              <w:spacing w:line="360" w:lineRule="auto"/>
              <w:ind w:firstLine="6000"/>
              <w:rPr>
                <w:rFonts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pPr>
        <w:rPr>
          <w:rFonts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．在需要选择的栏中的“□”内作标识“√”。</w:t>
      </w:r>
    </w:p>
    <w:p>
      <w:pPr>
        <w:spacing w:before="120" w:beforeLines="50" w:after="120" w:afterLines="50"/>
        <w:ind w:firstLine="720" w:firstLineChars="3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．本表一式三份，由承包人填制</w:t>
      </w:r>
      <w:r>
        <w:rPr>
          <w:rFonts w:ascii="仿宋" w:hAnsi="仿宋" w:eastAsia="仿宋" w:cs="仿宋"/>
          <w:sz w:val="24"/>
          <w:szCs w:val="24"/>
        </w:rPr>
        <w:t>,</w:t>
      </w:r>
      <w:r>
        <w:rPr>
          <w:rFonts w:hint="eastAsia" w:ascii="仿宋" w:hAnsi="仿宋" w:eastAsia="仿宋" w:cs="仿宋"/>
          <w:sz w:val="24"/>
          <w:szCs w:val="24"/>
        </w:rPr>
        <w:t>并连同发包人、工程造价咨询人（如有）各存一份。</w:t>
      </w:r>
    </w:p>
    <w:p>
      <w:pPr>
        <w:spacing w:line="360" w:lineRule="auto"/>
        <w:outlineLvl w:val="1"/>
        <w:rPr>
          <w:rFonts w:ascii="仿宋" w:hAnsi="仿宋" w:eastAsia="仿宋" w:cs="仿宋"/>
          <w:b/>
          <w:bCs/>
          <w:color w:val="000000"/>
          <w:kern w:val="0"/>
          <w:sz w:val="24"/>
          <w:szCs w:val="24"/>
        </w:rPr>
      </w:pPr>
      <w:r>
        <w:rPr>
          <w:rFonts w:ascii="仿宋" w:hAnsi="仿宋" w:eastAsia="仿宋" w:cs="Times New Roman"/>
          <w:kern w:val="0"/>
          <w:sz w:val="24"/>
          <w:szCs w:val="24"/>
        </w:rPr>
        <w:br w:type="page"/>
      </w:r>
      <w:bookmarkStart w:id="804" w:name="_Toc469384165"/>
      <w:bookmarkStart w:id="805" w:name="_Toc10625009"/>
      <w:bookmarkStart w:id="806" w:name="_Toc266892951"/>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25</w:t>
      </w:r>
      <w:bookmarkEnd w:id="804"/>
      <w:bookmarkEnd w:id="805"/>
      <w:bookmarkEnd w:id="806"/>
    </w:p>
    <w:p>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已完工程款额报告</w:t>
      </w:r>
    </w:p>
    <w:p>
      <w:pPr>
        <w:spacing w:line="360" w:lineRule="auto"/>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0"/>
        <w:tblW w:w="10461"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538"/>
        <w:gridCol w:w="592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28" w:hRule="atLeast"/>
        </w:trPr>
        <w:tc>
          <w:tcPr>
            <w:tcW w:w="10461" w:type="dxa"/>
            <w:gridSpan w:val="2"/>
            <w:tcBorders>
              <w:bottom w:val="single" w:color="auto" w:sz="4" w:space="0"/>
            </w:tcBorders>
            <w:vAlign w:val="top"/>
          </w:tcPr>
          <w:p>
            <w:pPr>
              <w:spacing w:before="120" w:line="360" w:lineRule="auto"/>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（工程造价咨询人（如有）全称）</w:t>
            </w:r>
          </w:p>
          <w:p>
            <w:pPr>
              <w:spacing w:line="360" w:lineRule="auto"/>
              <w:ind w:left="-27" w:leftChars="-13" w:firstLine="480" w:firstLineChars="200"/>
              <w:rPr>
                <w:rFonts w:ascii="仿宋" w:hAnsi="仿宋" w:eastAsia="仿宋" w:cs="Times New Roman"/>
                <w:sz w:val="24"/>
                <w:szCs w:val="24"/>
              </w:rPr>
            </w:pPr>
            <w:r>
              <w:rPr>
                <w:rFonts w:hint="eastAsia" w:ascii="仿宋" w:hAnsi="仿宋" w:eastAsia="仿宋" w:cs="仿宋"/>
                <w:sz w:val="24"/>
                <w:szCs w:val="24"/>
              </w:rPr>
              <w:t>于</w:t>
            </w:r>
            <w:r>
              <w:rPr>
                <w:rFonts w:ascii="仿宋" w:hAnsi="仿宋" w:eastAsia="仿宋" w:cs="仿宋"/>
                <w:sz w:val="24"/>
                <w:szCs w:val="24"/>
                <w:u w:val="single"/>
              </w:rPr>
              <w:t xml:space="preserve">        </w:t>
            </w:r>
            <w:r>
              <w:rPr>
                <w:rFonts w:hint="eastAsia" w:ascii="仿宋" w:hAnsi="仿宋" w:eastAsia="仿宋" w:cs="仿宋"/>
                <w:sz w:val="24"/>
                <w:szCs w:val="24"/>
              </w:rPr>
              <w:t>至</w:t>
            </w:r>
            <w:r>
              <w:rPr>
                <w:rFonts w:ascii="仿宋" w:hAnsi="仿宋" w:eastAsia="仿宋" w:cs="仿宋"/>
                <w:sz w:val="24"/>
                <w:szCs w:val="24"/>
                <w:u w:val="single"/>
              </w:rPr>
              <w:t xml:space="preserve">        </w:t>
            </w:r>
            <w:r>
              <w:rPr>
                <w:rFonts w:hint="eastAsia" w:ascii="仿宋" w:hAnsi="仿宋" w:eastAsia="仿宋" w:cs="仿宋"/>
                <w:sz w:val="24"/>
                <w:szCs w:val="24"/>
              </w:rPr>
              <w:t>期间</w:t>
            </w:r>
            <w:r>
              <w:rPr>
                <w:rFonts w:ascii="仿宋" w:hAnsi="仿宋" w:eastAsia="仿宋" w:cs="仿宋"/>
                <w:sz w:val="24"/>
                <w:szCs w:val="24"/>
              </w:rPr>
              <w:t>,</w:t>
            </w:r>
            <w:r>
              <w:rPr>
                <w:rFonts w:hint="eastAsia" w:ascii="仿宋" w:hAnsi="仿宋" w:eastAsia="仿宋" w:cs="仿宋"/>
                <w:sz w:val="24"/>
                <w:szCs w:val="24"/>
              </w:rPr>
              <w:t>我方按照合同约定和监理工程师的指令，实际已完工程款额为（大写）</w:t>
            </w:r>
            <w:r>
              <w:rPr>
                <w:rFonts w:ascii="仿宋" w:hAnsi="仿宋" w:eastAsia="仿宋" w:cs="仿宋"/>
                <w:sz w:val="24"/>
                <w:szCs w:val="24"/>
                <w:u w:val="single"/>
              </w:rPr>
              <w:t xml:space="preserve">                         </w:t>
            </w:r>
            <w:r>
              <w:rPr>
                <w:rFonts w:hint="eastAsia" w:ascii="仿宋" w:hAnsi="仿宋" w:eastAsia="仿宋" w:cs="仿宋"/>
                <w:sz w:val="24"/>
                <w:szCs w:val="24"/>
                <w:u w:val="single"/>
              </w:rPr>
              <w:t>　　　　</w:t>
            </w:r>
            <w:r>
              <w:rPr>
                <w:rFonts w:hint="eastAsia" w:ascii="仿宋" w:hAnsi="仿宋" w:eastAsia="仿宋" w:cs="仿宋"/>
                <w:sz w:val="24"/>
                <w:szCs w:val="24"/>
              </w:rPr>
              <w:t>（小写</w:t>
            </w:r>
            <w:r>
              <w:rPr>
                <w:rFonts w:ascii="仿宋" w:hAnsi="仿宋" w:eastAsia="仿宋" w:cs="仿宋"/>
                <w:sz w:val="24"/>
                <w:szCs w:val="24"/>
                <w:u w:val="single"/>
              </w:rPr>
              <w:t xml:space="preserve">              </w:t>
            </w:r>
            <w:r>
              <w:rPr>
                <w:rFonts w:hint="eastAsia" w:ascii="仿宋" w:hAnsi="仿宋" w:eastAsia="仿宋" w:cs="仿宋"/>
                <w:sz w:val="24"/>
                <w:szCs w:val="24"/>
              </w:rPr>
              <w:t>），累计已完工程款额（大写）</w:t>
            </w:r>
            <w:r>
              <w:rPr>
                <w:rFonts w:ascii="仿宋" w:hAnsi="仿宋" w:eastAsia="仿宋" w:cs="仿宋"/>
                <w:sz w:val="24"/>
                <w:szCs w:val="24"/>
                <w:u w:val="single"/>
              </w:rPr>
              <w:t xml:space="preserve">                                      </w:t>
            </w:r>
            <w:r>
              <w:rPr>
                <w:rFonts w:hint="eastAsia" w:ascii="仿宋" w:hAnsi="仿宋" w:eastAsia="仿宋" w:cs="仿宋"/>
                <w:sz w:val="24"/>
                <w:szCs w:val="24"/>
              </w:rPr>
              <w:t>（小写</w:t>
            </w:r>
            <w:r>
              <w:rPr>
                <w:rFonts w:ascii="仿宋" w:hAnsi="仿宋" w:eastAsia="仿宋" w:cs="仿宋"/>
                <w:sz w:val="24"/>
                <w:szCs w:val="24"/>
                <w:u w:val="single"/>
              </w:rPr>
              <w:t xml:space="preserve">             </w:t>
            </w:r>
            <w:r>
              <w:rPr>
                <w:rFonts w:hint="eastAsia" w:ascii="仿宋" w:hAnsi="仿宋" w:eastAsia="仿宋" w:cs="仿宋"/>
                <w:sz w:val="24"/>
                <w:szCs w:val="24"/>
              </w:rPr>
              <w:t>）。根据施工合同条款</w:t>
            </w:r>
            <w:r>
              <w:rPr>
                <w:rFonts w:ascii="仿宋" w:hAnsi="仿宋" w:eastAsia="仿宋" w:cs="仿宋"/>
                <w:sz w:val="24"/>
                <w:szCs w:val="24"/>
                <w:u w:val="single"/>
              </w:rPr>
              <w:t xml:space="preserve">                                        </w:t>
            </w:r>
            <w:r>
              <w:rPr>
                <w:rFonts w:hint="eastAsia" w:ascii="仿宋" w:hAnsi="仿宋" w:eastAsia="仿宋" w:cs="仿宋"/>
                <w:sz w:val="24"/>
                <w:szCs w:val="24"/>
              </w:rPr>
              <w:t>的规定，现提出已完工程款额报告，请予复核和确认。</w:t>
            </w:r>
          </w:p>
          <w:p>
            <w:pPr>
              <w:spacing w:line="360" w:lineRule="auto"/>
              <w:rPr>
                <w:rFonts w:ascii="仿宋" w:hAnsi="仿宋" w:eastAsia="仿宋" w:cs="Times New Roman"/>
                <w:sz w:val="24"/>
                <w:szCs w:val="24"/>
              </w:rPr>
            </w:pPr>
            <w:r>
              <w:rPr>
                <w:rFonts w:hint="eastAsia" w:ascii="仿宋" w:hAnsi="仿宋" w:eastAsia="仿宋" w:cs="仿宋"/>
                <w:sz w:val="24"/>
                <w:szCs w:val="24"/>
              </w:rPr>
              <w:t>附：</w:t>
            </w:r>
            <w:r>
              <w:rPr>
                <w:rFonts w:ascii="仿宋" w:hAnsi="仿宋" w:eastAsia="仿宋" w:cs="仿宋"/>
                <w:sz w:val="24"/>
                <w:szCs w:val="24"/>
              </w:rPr>
              <w:t xml:space="preserve">1. </w:t>
            </w:r>
            <w:r>
              <w:rPr>
                <w:rFonts w:hint="eastAsia" w:ascii="仿宋" w:hAnsi="仿宋" w:eastAsia="仿宋" w:cs="仿宋"/>
                <w:sz w:val="24"/>
                <w:szCs w:val="24"/>
              </w:rPr>
              <w:t>已完工程款额明细表：</w:t>
            </w:r>
          </w:p>
          <w:p>
            <w:pPr>
              <w:spacing w:line="360" w:lineRule="auto"/>
              <w:ind w:left="-108" w:firstLine="590"/>
              <w:rPr>
                <w:rFonts w:ascii="仿宋" w:hAnsi="仿宋" w:eastAsia="仿宋" w:cs="Times New Roman"/>
                <w:sz w:val="24"/>
                <w:szCs w:val="24"/>
              </w:rPr>
            </w:pPr>
            <w:r>
              <w:rPr>
                <w:rFonts w:ascii="仿宋" w:hAnsi="仿宋" w:eastAsia="仿宋" w:cs="仿宋"/>
                <w:sz w:val="24"/>
                <w:szCs w:val="24"/>
              </w:rPr>
              <w:t xml:space="preserve">2. </w:t>
            </w:r>
            <w:r>
              <w:rPr>
                <w:rFonts w:hint="eastAsia" w:ascii="仿宋" w:hAnsi="仿宋" w:eastAsia="仿宋" w:cs="仿宋"/>
                <w:sz w:val="24"/>
                <w:szCs w:val="24"/>
              </w:rPr>
              <w:t>证明材料：</w:t>
            </w:r>
          </w:p>
          <w:p>
            <w:pPr>
              <w:tabs>
                <w:tab w:val="left" w:pos="6912"/>
              </w:tabs>
              <w:spacing w:line="360" w:lineRule="auto"/>
              <w:ind w:firstLine="6000" w:firstLineChars="2500"/>
              <w:rPr>
                <w:rFonts w:ascii="仿宋" w:hAnsi="仿宋" w:eastAsia="仿宋" w:cs="Times New Roman"/>
                <w:sz w:val="24"/>
                <w:szCs w:val="24"/>
                <w:u w:val="single"/>
              </w:rPr>
            </w:pPr>
            <w:r>
              <w:rPr>
                <w:rFonts w:hint="eastAsia" w:ascii="仿宋" w:hAnsi="仿宋" w:eastAsia="仿宋" w:cs="仿宋"/>
                <w:sz w:val="24"/>
                <w:szCs w:val="24"/>
              </w:rPr>
              <w:t>承包人（章）</w:t>
            </w:r>
            <w:r>
              <w:rPr>
                <w:rFonts w:ascii="仿宋" w:hAnsi="仿宋" w:eastAsia="仿宋" w:cs="仿宋"/>
                <w:sz w:val="24"/>
                <w:szCs w:val="24"/>
              </w:rPr>
              <w:t xml:space="preserve">                </w:t>
            </w:r>
          </w:p>
          <w:p>
            <w:pPr>
              <w:spacing w:line="360" w:lineRule="auto"/>
              <w:ind w:firstLine="6000"/>
              <w:rPr>
                <w:rFonts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pPr>
              <w:tabs>
                <w:tab w:val="left" w:pos="7272"/>
              </w:tabs>
              <w:spacing w:line="360" w:lineRule="auto"/>
              <w:ind w:firstLine="6000"/>
              <w:rPr>
                <w:rFonts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31" w:hRule="atLeast"/>
        </w:trPr>
        <w:tc>
          <w:tcPr>
            <w:tcW w:w="4538" w:type="dxa"/>
            <w:tcBorders>
              <w:top w:val="single" w:color="auto" w:sz="4" w:space="0"/>
              <w:bottom w:val="single" w:color="auto" w:sz="4" w:space="0"/>
              <w:right w:val="single" w:color="auto" w:sz="4" w:space="0"/>
            </w:tcBorders>
            <w:vAlign w:val="top"/>
          </w:tcPr>
          <w:p>
            <w:pPr>
              <w:spacing w:line="360" w:lineRule="auto"/>
              <w:rPr>
                <w:rFonts w:ascii="仿宋" w:hAnsi="仿宋" w:eastAsia="仿宋" w:cs="Times New Roman"/>
                <w:sz w:val="24"/>
                <w:szCs w:val="24"/>
              </w:rPr>
            </w:pPr>
            <w:r>
              <w:rPr>
                <w:rFonts w:hint="eastAsia" w:ascii="仿宋" w:hAnsi="仿宋" w:eastAsia="仿宋" w:cs="仿宋"/>
                <w:sz w:val="24"/>
                <w:szCs w:val="24"/>
              </w:rPr>
              <w:t>复核意见：</w:t>
            </w:r>
          </w:p>
          <w:p>
            <w:pPr>
              <w:spacing w:line="360" w:lineRule="auto"/>
              <w:ind w:firstLine="640" w:firstLineChars="200"/>
              <w:rPr>
                <w:rFonts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与实际施工情况不相符，修改意见见附件；</w:t>
            </w:r>
          </w:p>
          <w:p>
            <w:pPr>
              <w:spacing w:line="360" w:lineRule="auto"/>
              <w:ind w:firstLine="640" w:firstLineChars="200"/>
              <w:rPr>
                <w:rFonts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与实际施工情况相符，具体金额由造价工程师复核。</w:t>
            </w:r>
          </w:p>
          <w:p>
            <w:pPr>
              <w:spacing w:line="360" w:lineRule="auto"/>
              <w:ind w:firstLine="480" w:firstLineChars="200"/>
              <w:rPr>
                <w:rFonts w:ascii="仿宋" w:hAnsi="仿宋" w:eastAsia="仿宋" w:cs="Times New Roman"/>
                <w:sz w:val="24"/>
                <w:szCs w:val="24"/>
              </w:rPr>
            </w:pPr>
          </w:p>
          <w:p>
            <w:pPr>
              <w:spacing w:line="360" w:lineRule="auto"/>
              <w:ind w:firstLine="1470" w:firstLineChars="700"/>
              <w:rPr>
                <w:rFonts w:ascii="仿宋" w:hAnsi="仿宋" w:eastAsia="仿宋" w:cs="Times New Roman"/>
                <w:u w:val="single"/>
              </w:rPr>
            </w:pPr>
            <w:r>
              <w:rPr>
                <w:rFonts w:hint="eastAsia" w:ascii="仿宋" w:hAnsi="仿宋" w:eastAsia="仿宋" w:cs="仿宋"/>
              </w:rPr>
              <w:t>监理人（章）</w:t>
            </w:r>
            <w:r>
              <w:rPr>
                <w:rFonts w:ascii="仿宋" w:hAnsi="仿宋" w:eastAsia="仿宋" w:cs="仿宋"/>
              </w:rPr>
              <w:t xml:space="preserve">   </w:t>
            </w:r>
          </w:p>
          <w:p>
            <w:pPr>
              <w:spacing w:line="360" w:lineRule="auto"/>
              <w:ind w:firstLine="1470" w:firstLineChars="700"/>
              <w:rPr>
                <w:rFonts w:ascii="仿宋" w:hAnsi="仿宋" w:eastAsia="仿宋" w:cs="仿宋"/>
                <w:u w:val="single"/>
              </w:rPr>
            </w:pPr>
            <w:r>
              <w:rPr>
                <w:rFonts w:hint="eastAsia" w:ascii="仿宋" w:hAnsi="仿宋" w:eastAsia="仿宋" w:cs="仿宋"/>
              </w:rPr>
              <w:t>监理工程师</w:t>
            </w:r>
            <w:r>
              <w:rPr>
                <w:rFonts w:ascii="仿宋" w:hAnsi="仿宋" w:eastAsia="仿宋" w:cs="仿宋"/>
                <w:u w:val="single"/>
              </w:rPr>
              <w:t xml:space="preserve">          </w:t>
            </w:r>
          </w:p>
          <w:p>
            <w:pPr>
              <w:spacing w:line="360" w:lineRule="auto"/>
              <w:ind w:firstLine="1470" w:firstLineChars="700"/>
              <w:rPr>
                <w:rFonts w:ascii="仿宋" w:hAnsi="仿宋" w:eastAsia="仿宋" w:cs="Times New Roman"/>
                <w:sz w:val="24"/>
                <w:szCs w:val="24"/>
              </w:rPr>
            </w:pPr>
            <w:r>
              <w:rPr>
                <w:rFonts w:hint="eastAsia" w:ascii="仿宋" w:hAnsi="仿宋" w:eastAsia="仿宋" w:cs="仿宋"/>
              </w:rPr>
              <w:t>日</w:t>
            </w:r>
            <w:r>
              <w:rPr>
                <w:rFonts w:ascii="仿宋" w:hAnsi="仿宋" w:eastAsia="仿宋" w:cs="仿宋"/>
              </w:rPr>
              <w:t xml:space="preserve">      </w:t>
            </w:r>
            <w:r>
              <w:rPr>
                <w:rFonts w:hint="eastAsia" w:ascii="仿宋" w:hAnsi="仿宋" w:eastAsia="仿宋" w:cs="仿宋"/>
              </w:rPr>
              <w:t>期</w:t>
            </w:r>
            <w:r>
              <w:rPr>
                <w:rFonts w:ascii="仿宋" w:hAnsi="仿宋" w:eastAsia="仿宋" w:cs="仿宋"/>
                <w:u w:val="single"/>
              </w:rPr>
              <w:t xml:space="preserve">          </w:t>
            </w:r>
          </w:p>
        </w:tc>
        <w:tc>
          <w:tcPr>
            <w:tcW w:w="5923" w:type="dxa"/>
            <w:tcBorders>
              <w:top w:val="single" w:color="auto" w:sz="4" w:space="0"/>
              <w:left w:val="single" w:color="auto" w:sz="4" w:space="0"/>
              <w:bottom w:val="single" w:color="auto" w:sz="4" w:space="0"/>
            </w:tcBorders>
            <w:vAlign w:val="top"/>
          </w:tcPr>
          <w:p>
            <w:pPr>
              <w:widowControl/>
              <w:spacing w:line="360" w:lineRule="auto"/>
              <w:jc w:val="left"/>
              <w:rPr>
                <w:rFonts w:ascii="仿宋" w:hAnsi="仿宋" w:eastAsia="仿宋" w:cs="Times New Roman"/>
                <w:sz w:val="24"/>
                <w:szCs w:val="24"/>
              </w:rPr>
            </w:pPr>
            <w:r>
              <w:rPr>
                <w:rFonts w:hint="eastAsia" w:ascii="仿宋" w:hAnsi="仿宋" w:eastAsia="仿宋" w:cs="仿宋"/>
                <w:sz w:val="24"/>
                <w:szCs w:val="24"/>
              </w:rPr>
              <w:t>复核意见：</w:t>
            </w:r>
          </w:p>
          <w:p>
            <w:pPr>
              <w:widowControl/>
              <w:spacing w:line="360" w:lineRule="auto"/>
              <w:ind w:firstLine="480" w:firstLineChars="200"/>
              <w:jc w:val="left"/>
              <w:rPr>
                <w:rFonts w:ascii="仿宋" w:hAnsi="仿宋" w:eastAsia="仿宋" w:cs="Times New Roman"/>
                <w:sz w:val="24"/>
                <w:szCs w:val="24"/>
              </w:rPr>
            </w:pPr>
            <w:r>
              <w:rPr>
                <w:rFonts w:hint="eastAsia" w:ascii="仿宋" w:hAnsi="仿宋" w:eastAsia="仿宋" w:cs="仿宋"/>
                <w:sz w:val="24"/>
                <w:szCs w:val="24"/>
              </w:rPr>
              <w:t>根据施工合同条款</w:t>
            </w:r>
            <w:r>
              <w:rPr>
                <w:rFonts w:ascii="仿宋" w:hAnsi="仿宋" w:eastAsia="仿宋" w:cs="仿宋"/>
                <w:sz w:val="24"/>
                <w:szCs w:val="24"/>
                <w:u w:val="single"/>
              </w:rPr>
              <w:t xml:space="preserve">         </w:t>
            </w:r>
            <w:r>
              <w:rPr>
                <w:rFonts w:hint="eastAsia" w:ascii="仿宋" w:hAnsi="仿宋" w:eastAsia="仿宋" w:cs="仿宋"/>
                <w:sz w:val="24"/>
                <w:szCs w:val="24"/>
                <w:u w:val="single"/>
              </w:rPr>
              <w:t>　</w:t>
            </w:r>
            <w:r>
              <w:rPr>
                <w:rFonts w:hint="eastAsia" w:ascii="仿宋" w:hAnsi="仿宋" w:eastAsia="仿宋" w:cs="仿宋"/>
                <w:sz w:val="24"/>
                <w:szCs w:val="24"/>
              </w:rPr>
              <w:t>的规定，经复核你方提出的已完工程款额报告（第</w:t>
            </w:r>
            <w:r>
              <w:rPr>
                <w:rFonts w:ascii="仿宋" w:hAnsi="仿宋" w:eastAsia="仿宋" w:cs="仿宋"/>
                <w:sz w:val="24"/>
                <w:szCs w:val="24"/>
                <w:u w:val="single"/>
              </w:rPr>
              <w:t xml:space="preserve">      </w:t>
            </w:r>
            <w:r>
              <w:rPr>
                <w:rFonts w:hint="eastAsia" w:ascii="仿宋" w:hAnsi="仿宋" w:eastAsia="仿宋" w:cs="仿宋"/>
                <w:sz w:val="24"/>
                <w:szCs w:val="24"/>
              </w:rPr>
              <w:t>号），截止</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日，实际已完工程款为（大写）</w:t>
            </w:r>
            <w:r>
              <w:rPr>
                <w:rFonts w:ascii="仿宋" w:hAnsi="仿宋" w:eastAsia="仿宋" w:cs="仿宋"/>
                <w:sz w:val="24"/>
                <w:szCs w:val="24"/>
                <w:u w:val="single"/>
              </w:rPr>
              <w:t xml:space="preserve">             </w:t>
            </w:r>
            <w:r>
              <w:rPr>
                <w:rFonts w:hint="eastAsia" w:ascii="仿宋" w:hAnsi="仿宋" w:eastAsia="仿宋" w:cs="仿宋"/>
                <w:sz w:val="24"/>
                <w:szCs w:val="24"/>
              </w:rPr>
              <w:t>（小写</w:t>
            </w:r>
            <w:r>
              <w:rPr>
                <w:rFonts w:ascii="仿宋" w:hAnsi="仿宋" w:eastAsia="仿宋" w:cs="仿宋"/>
                <w:sz w:val="24"/>
                <w:szCs w:val="24"/>
                <w:u w:val="single"/>
              </w:rPr>
              <w:t xml:space="preserve">       </w:t>
            </w:r>
            <w:r>
              <w:rPr>
                <w:rFonts w:hint="eastAsia" w:ascii="仿宋" w:hAnsi="仿宋" w:eastAsia="仿宋" w:cs="仿宋"/>
                <w:sz w:val="24"/>
                <w:szCs w:val="24"/>
              </w:rPr>
              <w:t>），累计已完工程款额（大写）</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（小写：</w:t>
            </w:r>
            <w:r>
              <w:rPr>
                <w:rFonts w:ascii="仿宋" w:hAnsi="仿宋" w:eastAsia="仿宋" w:cs="仿宋"/>
                <w:sz w:val="24"/>
                <w:szCs w:val="24"/>
                <w:u w:val="single"/>
              </w:rPr>
              <w:t xml:space="preserve">           </w:t>
            </w:r>
            <w:r>
              <w:rPr>
                <w:rFonts w:hint="eastAsia" w:ascii="仿宋" w:hAnsi="仿宋" w:eastAsia="仿宋" w:cs="仿宋"/>
                <w:sz w:val="24"/>
                <w:szCs w:val="24"/>
              </w:rPr>
              <w:t>）。</w:t>
            </w:r>
          </w:p>
          <w:p>
            <w:pPr>
              <w:widowControl/>
              <w:spacing w:line="360" w:lineRule="auto"/>
              <w:ind w:firstLine="480" w:firstLineChars="200"/>
              <w:jc w:val="left"/>
              <w:rPr>
                <w:rFonts w:ascii="仿宋" w:hAnsi="仿宋" w:eastAsia="仿宋" w:cs="Times New Roman"/>
                <w:sz w:val="24"/>
                <w:szCs w:val="24"/>
              </w:rPr>
            </w:pPr>
            <w:r>
              <w:rPr>
                <w:rFonts w:hint="eastAsia" w:ascii="仿宋" w:hAnsi="仿宋" w:eastAsia="仿宋" w:cs="仿宋"/>
                <w:sz w:val="24"/>
                <w:szCs w:val="24"/>
              </w:rPr>
              <w:t>附：已完工程款额明细复核表。</w:t>
            </w:r>
          </w:p>
          <w:p>
            <w:pPr>
              <w:spacing w:line="360" w:lineRule="auto"/>
              <w:ind w:firstLine="2083" w:firstLineChars="992"/>
              <w:rPr>
                <w:rFonts w:ascii="仿宋" w:hAnsi="仿宋" w:eastAsia="仿宋" w:cs="Times New Roman"/>
                <w:u w:val="single"/>
              </w:rPr>
            </w:pPr>
            <w:r>
              <w:rPr>
                <w:rFonts w:hint="eastAsia" w:ascii="仿宋" w:hAnsi="仿宋" w:eastAsia="仿宋" w:cs="仿宋"/>
              </w:rPr>
              <w:t>工程造价咨询人（如有）（章）</w:t>
            </w:r>
            <w:r>
              <w:rPr>
                <w:rFonts w:ascii="仿宋" w:hAnsi="仿宋" w:eastAsia="仿宋" w:cs="仿宋"/>
              </w:rPr>
              <w:t xml:space="preserve">             </w:t>
            </w:r>
          </w:p>
          <w:p>
            <w:pPr>
              <w:spacing w:line="360" w:lineRule="auto"/>
              <w:ind w:left="2020" w:leftChars="962" w:firstLine="315" w:firstLineChars="150"/>
              <w:rPr>
                <w:rFonts w:ascii="仿宋" w:hAnsi="仿宋" w:eastAsia="仿宋" w:cs="仿宋"/>
                <w:u w:val="single"/>
              </w:rPr>
            </w:pPr>
            <w:r>
              <w:rPr>
                <w:rFonts w:hint="eastAsia" w:ascii="仿宋" w:hAnsi="仿宋" w:eastAsia="仿宋" w:cs="仿宋"/>
              </w:rPr>
              <w:t>造价工程师</w:t>
            </w:r>
            <w:r>
              <w:rPr>
                <w:rFonts w:ascii="仿宋" w:hAnsi="仿宋" w:eastAsia="仿宋" w:cs="仿宋"/>
                <w:u w:val="single"/>
              </w:rPr>
              <w:t xml:space="preserve">            </w:t>
            </w:r>
          </w:p>
          <w:p>
            <w:pPr>
              <w:spacing w:line="360" w:lineRule="auto"/>
              <w:ind w:firstLine="2083" w:firstLineChars="992"/>
              <w:rPr>
                <w:rFonts w:ascii="仿宋" w:hAnsi="仿宋" w:eastAsia="仿宋" w:cs="Times New Roman"/>
                <w:sz w:val="24"/>
                <w:szCs w:val="24"/>
              </w:rPr>
            </w:pPr>
            <w:r>
              <w:rPr>
                <w:rFonts w:hint="eastAsia" w:ascii="仿宋" w:hAnsi="仿宋" w:eastAsia="仿宋" w:cs="仿宋"/>
              </w:rPr>
              <w:t>日</w:t>
            </w:r>
            <w:r>
              <w:rPr>
                <w:rFonts w:ascii="仿宋" w:hAnsi="仿宋" w:eastAsia="仿宋" w:cs="仿宋"/>
              </w:rPr>
              <w:t xml:space="preserve">      </w:t>
            </w:r>
            <w:r>
              <w:rPr>
                <w:rFonts w:hint="eastAsia" w:ascii="仿宋" w:hAnsi="仿宋" w:eastAsia="仿宋" w:cs="仿宋"/>
              </w:rPr>
              <w:t>期</w:t>
            </w:r>
            <w:r>
              <w:rPr>
                <w:rFonts w:ascii="仿宋" w:hAnsi="仿宋" w:eastAsia="仿宋" w:cs="仿宋"/>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86" w:hRule="atLeast"/>
        </w:trPr>
        <w:tc>
          <w:tcPr>
            <w:tcW w:w="10461" w:type="dxa"/>
            <w:gridSpan w:val="2"/>
            <w:tcBorders>
              <w:top w:val="single" w:color="auto" w:sz="4" w:space="0"/>
            </w:tcBorders>
            <w:vAlign w:val="top"/>
          </w:tcPr>
          <w:p>
            <w:pPr>
              <w:spacing w:line="360" w:lineRule="auto"/>
              <w:ind w:hanging="3"/>
              <w:jc w:val="left"/>
              <w:rPr>
                <w:rFonts w:ascii="仿宋" w:hAnsi="仿宋" w:eastAsia="仿宋" w:cs="Times New Roman"/>
                <w:sz w:val="24"/>
                <w:szCs w:val="24"/>
              </w:rPr>
            </w:pPr>
            <w:r>
              <w:rPr>
                <w:rFonts w:hint="eastAsia" w:ascii="仿宋" w:hAnsi="仿宋" w:eastAsia="仿宋" w:cs="仿宋"/>
                <w:sz w:val="24"/>
                <w:szCs w:val="24"/>
              </w:rPr>
              <w:t>确认意见：</w:t>
            </w:r>
          </w:p>
          <w:p>
            <w:pPr>
              <w:spacing w:line="360" w:lineRule="auto"/>
              <w:ind w:left="-28" w:firstLine="550"/>
              <w:rPr>
                <w:rFonts w:ascii="仿宋" w:hAnsi="仿宋" w:eastAsia="仿宋" w:cs="仿宋"/>
                <w:sz w:val="24"/>
                <w:szCs w:val="24"/>
              </w:rPr>
            </w:pPr>
            <w:r>
              <w:rPr>
                <w:rFonts w:hint="eastAsia" w:ascii="仿宋" w:hAnsi="仿宋" w:eastAsia="仿宋" w:cs="仿宋"/>
                <w:sz w:val="24"/>
                <w:szCs w:val="24"/>
              </w:rPr>
              <w:t>□不同意</w:t>
            </w:r>
            <w:r>
              <w:rPr>
                <w:rFonts w:ascii="仿宋" w:hAnsi="仿宋" w:eastAsia="仿宋" w:cs="仿宋"/>
                <w:sz w:val="24"/>
                <w:szCs w:val="24"/>
              </w:rPr>
              <w:t>/</w:t>
            </w:r>
            <w:r>
              <w:rPr>
                <w:rFonts w:hint="eastAsia" w:ascii="仿宋" w:hAnsi="仿宋" w:eastAsia="仿宋" w:cs="仿宋"/>
                <w:sz w:val="24"/>
                <w:szCs w:val="24"/>
              </w:rPr>
              <w:t>□同意。</w:t>
            </w:r>
            <w:r>
              <w:rPr>
                <w:rFonts w:ascii="仿宋" w:hAnsi="仿宋" w:eastAsia="仿宋" w:cs="仿宋"/>
                <w:sz w:val="24"/>
                <w:szCs w:val="24"/>
              </w:rPr>
              <w:t xml:space="preserve">   </w:t>
            </w:r>
          </w:p>
          <w:p>
            <w:pPr>
              <w:spacing w:line="360" w:lineRule="auto"/>
              <w:ind w:firstLine="480" w:firstLineChars="200"/>
              <w:jc w:val="center"/>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　　发　包　人（章）</w:t>
            </w:r>
          </w:p>
          <w:p>
            <w:pPr>
              <w:spacing w:line="360" w:lineRule="auto"/>
              <w:ind w:firstLine="480" w:firstLineChars="200"/>
              <w:jc w:val="center"/>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发包人代表</w:t>
            </w:r>
            <w:r>
              <w:rPr>
                <w:rFonts w:ascii="仿宋" w:hAnsi="仿宋" w:eastAsia="仿宋" w:cs="仿宋"/>
                <w:sz w:val="24"/>
                <w:szCs w:val="24"/>
                <w:u w:val="single"/>
              </w:rPr>
              <w:t xml:space="preserve">                     </w:t>
            </w:r>
          </w:p>
          <w:p>
            <w:pPr>
              <w:spacing w:line="360" w:lineRule="auto"/>
              <w:ind w:firstLine="480" w:firstLineChars="200"/>
              <w:jc w:val="center"/>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　日</w:t>
            </w:r>
            <w:r>
              <w:rPr>
                <w:rFonts w:ascii="仿宋" w:hAnsi="仿宋" w:eastAsia="仿宋" w:cs="仿宋"/>
                <w:sz w:val="24"/>
                <w:szCs w:val="24"/>
              </w:rPr>
              <w:t xml:space="preserve">   </w:t>
            </w:r>
            <w:r>
              <w:rPr>
                <w:rFonts w:hint="eastAsia" w:ascii="仿宋" w:hAnsi="仿宋" w:eastAsia="仿宋" w:cs="仿宋"/>
                <w:sz w:val="24"/>
                <w:szCs w:val="24"/>
              </w:rPr>
              <w:t>　</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rPr>
              <w:t xml:space="preserve"> </w:t>
            </w:r>
            <w:r>
              <w:rPr>
                <w:rFonts w:ascii="仿宋" w:hAnsi="仿宋" w:eastAsia="仿宋" w:cs="仿宋"/>
                <w:sz w:val="24"/>
                <w:szCs w:val="24"/>
                <w:u w:val="single"/>
              </w:rPr>
              <w:t xml:space="preserve">                     </w:t>
            </w:r>
          </w:p>
        </w:tc>
      </w:tr>
    </w:tbl>
    <w:p>
      <w:pPr>
        <w:rPr>
          <w:rFonts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、在需要选择的栏中的“□”内作标识“√”。</w:t>
      </w:r>
    </w:p>
    <w:p>
      <w:pPr>
        <w:ind w:left="1078" w:leftChars="342" w:hanging="360" w:hangingChars="150"/>
        <w:rPr>
          <w:rFonts w:ascii="仿宋" w:hAnsi="仿宋" w:eastAsia="仿宋" w:cs="Times New Roman"/>
        </w:rPr>
      </w:pPr>
      <w:r>
        <w:rPr>
          <w:rFonts w:ascii="仿宋" w:hAnsi="仿宋" w:eastAsia="仿宋" w:cs="仿宋"/>
          <w:sz w:val="24"/>
          <w:szCs w:val="24"/>
        </w:rPr>
        <w:t>2</w:t>
      </w:r>
      <w:r>
        <w:rPr>
          <w:rFonts w:hint="eastAsia" w:ascii="仿宋" w:hAnsi="仿宋" w:eastAsia="仿宋" w:cs="仿宋"/>
          <w:sz w:val="24"/>
          <w:szCs w:val="24"/>
        </w:rPr>
        <w:t>、本表一式五份，由承包人、监理人、工程造价咨询人（如有）、发包人按合同规定程序填制，发包人存二份，其他各存一份</w:t>
      </w:r>
      <w:r>
        <w:rPr>
          <w:rFonts w:hint="eastAsia" w:ascii="仿宋" w:hAnsi="仿宋" w:eastAsia="仿宋" w:cs="仿宋"/>
        </w:rPr>
        <w:t>。</w:t>
      </w:r>
    </w:p>
    <w:p>
      <w:pPr>
        <w:widowControl/>
        <w:jc w:val="left"/>
        <w:rPr>
          <w:rFonts w:ascii="仿宋" w:hAnsi="仿宋" w:eastAsia="仿宋" w:cs="Times New Roman"/>
          <w:kern w:val="0"/>
        </w:rPr>
        <w:sectPr>
          <w:endnotePr>
            <w:numFmt w:val="decimal"/>
          </w:endnotePr>
          <w:pgSz w:w="11906" w:h="16838"/>
          <w:pgMar w:top="1418" w:right="737" w:bottom="851" w:left="737" w:header="0" w:footer="0" w:gutter="0"/>
          <w:cols w:space="720" w:num="1"/>
        </w:sectPr>
      </w:pPr>
    </w:p>
    <w:p>
      <w:pPr>
        <w:spacing w:line="360" w:lineRule="auto"/>
        <w:outlineLvl w:val="1"/>
        <w:rPr>
          <w:rFonts w:ascii="仿宋" w:hAnsi="仿宋" w:eastAsia="仿宋" w:cs="仿宋"/>
          <w:b/>
          <w:bCs/>
          <w:color w:val="000000"/>
          <w:kern w:val="0"/>
          <w:sz w:val="24"/>
          <w:szCs w:val="24"/>
        </w:rPr>
      </w:pPr>
      <w:bookmarkStart w:id="807" w:name="_Toc266892952"/>
      <w:bookmarkStart w:id="808" w:name="_Toc10625010"/>
      <w:bookmarkStart w:id="809" w:name="_Toc469384166"/>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26</w:t>
      </w:r>
      <w:bookmarkEnd w:id="807"/>
      <w:bookmarkEnd w:id="808"/>
      <w:bookmarkEnd w:id="809"/>
    </w:p>
    <w:p>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已完工程款额明细表</w:t>
      </w:r>
    </w:p>
    <w:p>
      <w:pPr>
        <w:spacing w:line="360" w:lineRule="auto"/>
        <w:ind w:firstLine="240" w:firstLineChars="100"/>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 xml:space="preserve">                       </w:t>
      </w:r>
      <w:r>
        <w:rPr>
          <w:rFonts w:hint="eastAsia" w:ascii="仿宋" w:hAnsi="仿宋" w:eastAsia="仿宋" w:cs="仿宋"/>
          <w:sz w:val="24"/>
          <w:szCs w:val="24"/>
        </w:rPr>
        <w:t>截止日期：</w:t>
      </w:r>
    </w:p>
    <w:tbl>
      <w:tblPr>
        <w:tblStyle w:val="40"/>
        <w:tblW w:w="14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923"/>
        <w:gridCol w:w="1639"/>
        <w:gridCol w:w="2550"/>
        <w:gridCol w:w="956"/>
        <w:gridCol w:w="859"/>
        <w:gridCol w:w="950"/>
        <w:gridCol w:w="860"/>
        <w:gridCol w:w="850"/>
        <w:gridCol w:w="865"/>
        <w:gridCol w:w="848"/>
        <w:gridCol w:w="892"/>
        <w:gridCol w:w="862"/>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 w:hRule="atLeast"/>
          <w:jc w:val="center"/>
        </w:trPr>
        <w:tc>
          <w:tcPr>
            <w:tcW w:w="741" w:type="dxa"/>
            <w:vMerge w:val="restart"/>
            <w:vAlign w:val="center"/>
          </w:tcPr>
          <w:p>
            <w:pPr>
              <w:spacing w:line="360" w:lineRule="auto"/>
              <w:jc w:val="center"/>
              <w:rPr>
                <w:rFonts w:ascii="仿宋" w:hAnsi="仿宋" w:eastAsia="仿宋" w:cs="Times New Roman"/>
              </w:rPr>
            </w:pPr>
            <w:r>
              <w:rPr>
                <w:rFonts w:hint="eastAsia" w:ascii="仿宋" w:hAnsi="仿宋" w:eastAsia="仿宋" w:cs="仿宋"/>
              </w:rPr>
              <w:t>序号</w:t>
            </w:r>
          </w:p>
        </w:tc>
        <w:tc>
          <w:tcPr>
            <w:tcW w:w="923" w:type="dxa"/>
            <w:vMerge w:val="restart"/>
            <w:vAlign w:val="center"/>
          </w:tcPr>
          <w:p>
            <w:pPr>
              <w:spacing w:line="360" w:lineRule="auto"/>
              <w:jc w:val="center"/>
              <w:rPr>
                <w:rFonts w:ascii="仿宋" w:hAnsi="仿宋" w:eastAsia="仿宋" w:cs="Times New Roman"/>
              </w:rPr>
            </w:pPr>
            <w:r>
              <w:rPr>
                <w:rFonts w:hint="eastAsia" w:ascii="仿宋" w:hAnsi="仿宋" w:eastAsia="仿宋" w:cs="仿宋"/>
              </w:rPr>
              <w:t>项目</w:t>
            </w:r>
          </w:p>
          <w:p>
            <w:pPr>
              <w:spacing w:line="360" w:lineRule="auto"/>
              <w:jc w:val="center"/>
              <w:rPr>
                <w:rFonts w:ascii="仿宋" w:hAnsi="仿宋" w:eastAsia="仿宋" w:cs="Times New Roman"/>
              </w:rPr>
            </w:pPr>
            <w:r>
              <w:rPr>
                <w:rFonts w:hint="eastAsia" w:ascii="仿宋" w:hAnsi="仿宋" w:eastAsia="仿宋" w:cs="仿宋"/>
              </w:rPr>
              <w:t>编码</w:t>
            </w:r>
          </w:p>
        </w:tc>
        <w:tc>
          <w:tcPr>
            <w:tcW w:w="1639" w:type="dxa"/>
            <w:vMerge w:val="restart"/>
            <w:vAlign w:val="center"/>
          </w:tcPr>
          <w:p>
            <w:pPr>
              <w:spacing w:line="360" w:lineRule="auto"/>
              <w:jc w:val="center"/>
              <w:rPr>
                <w:rFonts w:ascii="仿宋" w:hAnsi="仿宋" w:eastAsia="仿宋" w:cs="Times New Roman"/>
              </w:rPr>
            </w:pPr>
            <w:r>
              <w:rPr>
                <w:rFonts w:hint="eastAsia" w:ascii="仿宋" w:hAnsi="仿宋" w:eastAsia="仿宋" w:cs="仿宋"/>
              </w:rPr>
              <w:t>项目名称</w:t>
            </w:r>
          </w:p>
        </w:tc>
        <w:tc>
          <w:tcPr>
            <w:tcW w:w="2550" w:type="dxa"/>
            <w:vMerge w:val="restart"/>
            <w:vAlign w:val="center"/>
          </w:tcPr>
          <w:p>
            <w:pPr>
              <w:spacing w:line="360" w:lineRule="auto"/>
              <w:jc w:val="center"/>
              <w:rPr>
                <w:rFonts w:ascii="仿宋" w:hAnsi="仿宋" w:eastAsia="仿宋" w:cs="Times New Roman"/>
              </w:rPr>
            </w:pPr>
            <w:r>
              <w:rPr>
                <w:rFonts w:hint="eastAsia" w:ascii="仿宋" w:hAnsi="仿宋" w:eastAsia="仿宋" w:cs="仿宋"/>
              </w:rPr>
              <w:t>单位</w:t>
            </w:r>
          </w:p>
        </w:tc>
        <w:tc>
          <w:tcPr>
            <w:tcW w:w="956" w:type="dxa"/>
            <w:vMerge w:val="restart"/>
            <w:vAlign w:val="center"/>
          </w:tcPr>
          <w:p>
            <w:pPr>
              <w:spacing w:line="360" w:lineRule="auto"/>
              <w:jc w:val="center"/>
              <w:rPr>
                <w:rFonts w:ascii="仿宋" w:hAnsi="仿宋" w:eastAsia="仿宋" w:cs="Times New Roman"/>
              </w:rPr>
            </w:pPr>
            <w:r>
              <w:rPr>
                <w:rFonts w:hint="eastAsia" w:ascii="仿宋" w:hAnsi="仿宋" w:eastAsia="仿宋" w:cs="仿宋"/>
              </w:rPr>
              <w:t>清单</w:t>
            </w:r>
          </w:p>
          <w:p>
            <w:pPr>
              <w:spacing w:line="360" w:lineRule="auto"/>
              <w:jc w:val="center"/>
              <w:rPr>
                <w:rFonts w:ascii="仿宋" w:hAnsi="仿宋" w:eastAsia="仿宋" w:cs="Times New Roman"/>
              </w:rPr>
            </w:pPr>
            <w:r>
              <w:rPr>
                <w:rFonts w:hint="eastAsia" w:ascii="仿宋" w:hAnsi="仿宋" w:eastAsia="仿宋" w:cs="仿宋"/>
              </w:rPr>
              <w:t>工程量</w:t>
            </w:r>
          </w:p>
        </w:tc>
        <w:tc>
          <w:tcPr>
            <w:tcW w:w="2669" w:type="dxa"/>
            <w:gridSpan w:val="3"/>
            <w:vAlign w:val="center"/>
          </w:tcPr>
          <w:p>
            <w:pPr>
              <w:spacing w:line="360" w:lineRule="auto"/>
              <w:jc w:val="center"/>
              <w:rPr>
                <w:rFonts w:ascii="仿宋" w:hAnsi="仿宋" w:eastAsia="仿宋" w:cs="Times New Roman"/>
              </w:rPr>
            </w:pPr>
            <w:r>
              <w:rPr>
                <w:rFonts w:hint="eastAsia" w:ascii="仿宋" w:hAnsi="仿宋" w:eastAsia="仿宋" w:cs="仿宋"/>
              </w:rPr>
              <w:t>项目单价（元）</w:t>
            </w:r>
          </w:p>
        </w:tc>
        <w:tc>
          <w:tcPr>
            <w:tcW w:w="1715" w:type="dxa"/>
            <w:gridSpan w:val="2"/>
            <w:vAlign w:val="center"/>
          </w:tcPr>
          <w:p>
            <w:pPr>
              <w:spacing w:line="360" w:lineRule="auto"/>
              <w:jc w:val="center"/>
              <w:rPr>
                <w:rFonts w:ascii="仿宋" w:hAnsi="仿宋" w:eastAsia="仿宋" w:cs="Times New Roman"/>
              </w:rPr>
            </w:pPr>
            <w:r>
              <w:rPr>
                <w:rFonts w:hint="eastAsia" w:ascii="仿宋" w:hAnsi="仿宋" w:eastAsia="仿宋" w:cs="仿宋"/>
              </w:rPr>
              <w:t>上期末累计</w:t>
            </w:r>
          </w:p>
        </w:tc>
        <w:tc>
          <w:tcPr>
            <w:tcW w:w="1740" w:type="dxa"/>
            <w:gridSpan w:val="2"/>
            <w:vAlign w:val="center"/>
          </w:tcPr>
          <w:p>
            <w:pPr>
              <w:spacing w:line="360" w:lineRule="auto"/>
              <w:jc w:val="center"/>
              <w:rPr>
                <w:rFonts w:ascii="仿宋" w:hAnsi="仿宋" w:eastAsia="仿宋" w:cs="Times New Roman"/>
              </w:rPr>
            </w:pPr>
            <w:r>
              <w:rPr>
                <w:rFonts w:hint="eastAsia" w:ascii="仿宋" w:hAnsi="仿宋" w:eastAsia="仿宋" w:cs="仿宋"/>
              </w:rPr>
              <w:t>本期间</w:t>
            </w:r>
          </w:p>
        </w:tc>
        <w:tc>
          <w:tcPr>
            <w:tcW w:w="1722" w:type="dxa"/>
            <w:gridSpan w:val="2"/>
            <w:vAlign w:val="center"/>
          </w:tcPr>
          <w:p>
            <w:pPr>
              <w:spacing w:line="360" w:lineRule="auto"/>
              <w:jc w:val="center"/>
              <w:rPr>
                <w:rFonts w:ascii="仿宋" w:hAnsi="仿宋" w:eastAsia="仿宋" w:cs="Times New Roman"/>
              </w:rPr>
            </w:pPr>
            <w:r>
              <w:rPr>
                <w:rFonts w:hint="eastAsia" w:ascii="仿宋" w:hAnsi="仿宋" w:eastAsia="仿宋" w:cs="仿宋"/>
              </w:rPr>
              <w:t>本期末累计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741" w:type="dxa"/>
            <w:vMerge w:val="continue"/>
            <w:vAlign w:val="center"/>
          </w:tcPr>
          <w:p>
            <w:pPr>
              <w:widowControl/>
              <w:jc w:val="left"/>
              <w:rPr>
                <w:rFonts w:ascii="仿宋" w:hAnsi="仿宋" w:eastAsia="仿宋" w:cs="Times New Roman"/>
              </w:rPr>
            </w:pPr>
          </w:p>
        </w:tc>
        <w:tc>
          <w:tcPr>
            <w:tcW w:w="923" w:type="dxa"/>
            <w:vMerge w:val="continue"/>
            <w:vAlign w:val="center"/>
          </w:tcPr>
          <w:p>
            <w:pPr>
              <w:widowControl/>
              <w:jc w:val="left"/>
              <w:rPr>
                <w:rFonts w:ascii="仿宋" w:hAnsi="仿宋" w:eastAsia="仿宋" w:cs="Times New Roman"/>
              </w:rPr>
            </w:pPr>
          </w:p>
        </w:tc>
        <w:tc>
          <w:tcPr>
            <w:tcW w:w="1639" w:type="dxa"/>
            <w:vMerge w:val="continue"/>
            <w:vAlign w:val="center"/>
          </w:tcPr>
          <w:p>
            <w:pPr>
              <w:widowControl/>
              <w:jc w:val="left"/>
              <w:rPr>
                <w:rFonts w:ascii="仿宋" w:hAnsi="仿宋" w:eastAsia="仿宋" w:cs="Times New Roman"/>
              </w:rPr>
            </w:pPr>
          </w:p>
        </w:tc>
        <w:tc>
          <w:tcPr>
            <w:tcW w:w="2550" w:type="dxa"/>
            <w:vMerge w:val="continue"/>
            <w:vAlign w:val="center"/>
          </w:tcPr>
          <w:p>
            <w:pPr>
              <w:widowControl/>
              <w:jc w:val="left"/>
              <w:rPr>
                <w:rFonts w:ascii="仿宋" w:hAnsi="仿宋" w:eastAsia="仿宋" w:cs="Times New Roman"/>
              </w:rPr>
            </w:pPr>
          </w:p>
        </w:tc>
        <w:tc>
          <w:tcPr>
            <w:tcW w:w="956" w:type="dxa"/>
            <w:vMerge w:val="continue"/>
            <w:vAlign w:val="center"/>
          </w:tcPr>
          <w:p>
            <w:pPr>
              <w:widowControl/>
              <w:jc w:val="left"/>
              <w:rPr>
                <w:rFonts w:ascii="仿宋" w:hAnsi="仿宋" w:eastAsia="仿宋" w:cs="Times New Roman"/>
              </w:rPr>
            </w:pPr>
          </w:p>
        </w:tc>
        <w:tc>
          <w:tcPr>
            <w:tcW w:w="859" w:type="dxa"/>
            <w:vAlign w:val="center"/>
          </w:tcPr>
          <w:p>
            <w:pPr>
              <w:spacing w:line="360" w:lineRule="auto"/>
              <w:jc w:val="center"/>
              <w:rPr>
                <w:rFonts w:ascii="仿宋" w:hAnsi="仿宋" w:eastAsia="仿宋" w:cs="Times New Roman"/>
              </w:rPr>
            </w:pPr>
            <w:r>
              <w:rPr>
                <w:rFonts w:hint="eastAsia" w:ascii="仿宋" w:hAnsi="仿宋" w:eastAsia="仿宋" w:cs="仿宋"/>
              </w:rPr>
              <w:t>综合</w:t>
            </w:r>
          </w:p>
          <w:p>
            <w:pPr>
              <w:spacing w:line="360" w:lineRule="auto"/>
              <w:jc w:val="center"/>
              <w:rPr>
                <w:rFonts w:ascii="仿宋" w:hAnsi="仿宋" w:eastAsia="仿宋" w:cs="Times New Roman"/>
              </w:rPr>
            </w:pPr>
            <w:r>
              <w:rPr>
                <w:rFonts w:hint="eastAsia" w:ascii="仿宋" w:hAnsi="仿宋" w:eastAsia="仿宋" w:cs="仿宋"/>
              </w:rPr>
              <w:t>单价</w:t>
            </w:r>
          </w:p>
          <w:p>
            <w:pPr>
              <w:spacing w:line="360" w:lineRule="auto"/>
              <w:jc w:val="center"/>
              <w:rPr>
                <w:rFonts w:ascii="仿宋" w:hAnsi="仿宋" w:eastAsia="仿宋" w:cs="Times New Roman"/>
              </w:rPr>
            </w:pPr>
            <w:r>
              <w:rPr>
                <w:rFonts w:hint="eastAsia" w:ascii="仿宋" w:hAnsi="仿宋" w:eastAsia="仿宋" w:cs="仿宋"/>
              </w:rPr>
              <w:t>（元）</w:t>
            </w:r>
          </w:p>
        </w:tc>
        <w:tc>
          <w:tcPr>
            <w:tcW w:w="950" w:type="dxa"/>
            <w:vAlign w:val="center"/>
          </w:tcPr>
          <w:p>
            <w:pPr>
              <w:spacing w:line="360" w:lineRule="auto"/>
              <w:jc w:val="center"/>
              <w:rPr>
                <w:rFonts w:ascii="仿宋" w:hAnsi="仿宋" w:eastAsia="仿宋" w:cs="Times New Roman"/>
              </w:rPr>
            </w:pPr>
            <w:r>
              <w:rPr>
                <w:rFonts w:hint="eastAsia" w:ascii="仿宋" w:hAnsi="仿宋" w:eastAsia="仿宋" w:cs="仿宋"/>
              </w:rPr>
              <w:t>规费和</w:t>
            </w:r>
          </w:p>
          <w:p>
            <w:pPr>
              <w:spacing w:line="360" w:lineRule="auto"/>
              <w:jc w:val="center"/>
              <w:rPr>
                <w:rFonts w:ascii="仿宋" w:hAnsi="仿宋" w:eastAsia="仿宋" w:cs="Times New Roman"/>
              </w:rPr>
            </w:pPr>
            <w:r>
              <w:rPr>
                <w:rFonts w:hint="eastAsia" w:ascii="仿宋" w:hAnsi="仿宋" w:eastAsia="仿宋" w:cs="仿宋"/>
              </w:rPr>
              <w:t>税金</w:t>
            </w:r>
          </w:p>
          <w:p>
            <w:pPr>
              <w:spacing w:line="360" w:lineRule="auto"/>
              <w:jc w:val="center"/>
              <w:rPr>
                <w:rFonts w:ascii="仿宋" w:hAnsi="仿宋" w:eastAsia="仿宋" w:cs="Times New Roman"/>
              </w:rPr>
            </w:pPr>
            <w:r>
              <w:rPr>
                <w:rFonts w:hint="eastAsia" w:ascii="仿宋" w:hAnsi="仿宋" w:eastAsia="仿宋" w:cs="仿宋"/>
              </w:rPr>
              <w:t>（元）</w:t>
            </w:r>
          </w:p>
        </w:tc>
        <w:tc>
          <w:tcPr>
            <w:tcW w:w="860" w:type="dxa"/>
            <w:vAlign w:val="center"/>
          </w:tcPr>
          <w:p>
            <w:pPr>
              <w:spacing w:line="360" w:lineRule="auto"/>
              <w:jc w:val="center"/>
              <w:rPr>
                <w:rFonts w:ascii="仿宋" w:hAnsi="仿宋" w:eastAsia="仿宋" w:cs="Times New Roman"/>
              </w:rPr>
            </w:pPr>
            <w:r>
              <w:rPr>
                <w:rFonts w:hint="eastAsia" w:ascii="仿宋" w:hAnsi="仿宋" w:eastAsia="仿宋" w:cs="仿宋"/>
              </w:rPr>
              <w:t>合计</w:t>
            </w:r>
          </w:p>
          <w:p>
            <w:pPr>
              <w:spacing w:line="360" w:lineRule="auto"/>
              <w:jc w:val="center"/>
              <w:rPr>
                <w:rFonts w:ascii="仿宋" w:hAnsi="仿宋" w:eastAsia="仿宋" w:cs="Times New Roman"/>
              </w:rPr>
            </w:pPr>
            <w:r>
              <w:rPr>
                <w:rFonts w:hint="eastAsia" w:ascii="仿宋" w:hAnsi="仿宋" w:eastAsia="仿宋" w:cs="仿宋"/>
              </w:rPr>
              <w:t>（元）</w:t>
            </w:r>
          </w:p>
        </w:tc>
        <w:tc>
          <w:tcPr>
            <w:tcW w:w="850" w:type="dxa"/>
            <w:vAlign w:val="center"/>
          </w:tcPr>
          <w:p>
            <w:pPr>
              <w:spacing w:line="360" w:lineRule="auto"/>
              <w:jc w:val="center"/>
              <w:rPr>
                <w:rFonts w:ascii="仿宋" w:hAnsi="仿宋" w:eastAsia="仿宋" w:cs="Times New Roman"/>
              </w:rPr>
            </w:pPr>
            <w:r>
              <w:rPr>
                <w:rFonts w:hint="eastAsia" w:ascii="仿宋" w:hAnsi="仿宋" w:eastAsia="仿宋" w:cs="仿宋"/>
              </w:rPr>
              <w:t>已完</w:t>
            </w:r>
          </w:p>
          <w:p>
            <w:pPr>
              <w:spacing w:line="360" w:lineRule="auto"/>
              <w:jc w:val="center"/>
              <w:rPr>
                <w:rFonts w:ascii="仿宋" w:hAnsi="仿宋" w:eastAsia="仿宋" w:cs="Times New Roman"/>
              </w:rPr>
            </w:pPr>
            <w:r>
              <w:rPr>
                <w:rFonts w:hint="eastAsia" w:ascii="仿宋" w:hAnsi="仿宋" w:eastAsia="仿宋" w:cs="仿宋"/>
              </w:rPr>
              <w:t>工程量</w:t>
            </w:r>
          </w:p>
        </w:tc>
        <w:tc>
          <w:tcPr>
            <w:tcW w:w="865" w:type="dxa"/>
            <w:vAlign w:val="center"/>
          </w:tcPr>
          <w:p>
            <w:pPr>
              <w:spacing w:line="360" w:lineRule="auto"/>
              <w:jc w:val="center"/>
              <w:rPr>
                <w:rFonts w:ascii="仿宋" w:hAnsi="仿宋" w:eastAsia="仿宋" w:cs="Times New Roman"/>
              </w:rPr>
            </w:pPr>
            <w:r>
              <w:rPr>
                <w:rFonts w:hint="eastAsia" w:ascii="仿宋" w:hAnsi="仿宋" w:eastAsia="仿宋" w:cs="仿宋"/>
              </w:rPr>
              <w:t>合价</w:t>
            </w:r>
          </w:p>
          <w:p>
            <w:pPr>
              <w:spacing w:line="360" w:lineRule="auto"/>
              <w:jc w:val="center"/>
              <w:rPr>
                <w:rFonts w:ascii="仿宋" w:hAnsi="仿宋" w:eastAsia="仿宋" w:cs="Times New Roman"/>
              </w:rPr>
            </w:pPr>
            <w:r>
              <w:rPr>
                <w:rFonts w:hint="eastAsia" w:ascii="仿宋" w:hAnsi="仿宋" w:eastAsia="仿宋" w:cs="仿宋"/>
              </w:rPr>
              <w:t>（元）</w:t>
            </w:r>
          </w:p>
        </w:tc>
        <w:tc>
          <w:tcPr>
            <w:tcW w:w="848" w:type="dxa"/>
            <w:vAlign w:val="center"/>
          </w:tcPr>
          <w:p>
            <w:pPr>
              <w:spacing w:line="360" w:lineRule="auto"/>
              <w:jc w:val="center"/>
              <w:rPr>
                <w:rFonts w:ascii="仿宋" w:hAnsi="仿宋" w:eastAsia="仿宋" w:cs="Times New Roman"/>
              </w:rPr>
            </w:pPr>
            <w:r>
              <w:rPr>
                <w:rFonts w:hint="eastAsia" w:ascii="仿宋" w:hAnsi="仿宋" w:eastAsia="仿宋" w:cs="仿宋"/>
              </w:rPr>
              <w:t>完成</w:t>
            </w:r>
          </w:p>
          <w:p>
            <w:pPr>
              <w:spacing w:line="360" w:lineRule="auto"/>
              <w:jc w:val="center"/>
              <w:rPr>
                <w:rFonts w:ascii="仿宋" w:hAnsi="仿宋" w:eastAsia="仿宋" w:cs="Times New Roman"/>
              </w:rPr>
            </w:pPr>
            <w:r>
              <w:rPr>
                <w:rFonts w:hint="eastAsia" w:ascii="仿宋" w:hAnsi="仿宋" w:eastAsia="仿宋" w:cs="仿宋"/>
              </w:rPr>
              <w:t>工程量</w:t>
            </w:r>
          </w:p>
        </w:tc>
        <w:tc>
          <w:tcPr>
            <w:tcW w:w="892" w:type="dxa"/>
            <w:vAlign w:val="center"/>
          </w:tcPr>
          <w:p>
            <w:pPr>
              <w:spacing w:line="360" w:lineRule="auto"/>
              <w:jc w:val="center"/>
              <w:rPr>
                <w:rFonts w:ascii="仿宋" w:hAnsi="仿宋" w:eastAsia="仿宋" w:cs="Times New Roman"/>
              </w:rPr>
            </w:pPr>
            <w:r>
              <w:rPr>
                <w:rFonts w:hint="eastAsia" w:ascii="仿宋" w:hAnsi="仿宋" w:eastAsia="仿宋" w:cs="仿宋"/>
              </w:rPr>
              <w:t>合价</w:t>
            </w:r>
          </w:p>
          <w:p>
            <w:pPr>
              <w:spacing w:line="360" w:lineRule="auto"/>
              <w:jc w:val="center"/>
              <w:rPr>
                <w:rFonts w:ascii="仿宋" w:hAnsi="仿宋" w:eastAsia="仿宋" w:cs="Times New Roman"/>
              </w:rPr>
            </w:pPr>
            <w:r>
              <w:rPr>
                <w:rFonts w:hint="eastAsia" w:ascii="仿宋" w:hAnsi="仿宋" w:eastAsia="仿宋" w:cs="仿宋"/>
              </w:rPr>
              <w:t>（元）</w:t>
            </w:r>
          </w:p>
        </w:tc>
        <w:tc>
          <w:tcPr>
            <w:tcW w:w="862" w:type="dxa"/>
            <w:vAlign w:val="center"/>
          </w:tcPr>
          <w:p>
            <w:pPr>
              <w:spacing w:line="360" w:lineRule="auto"/>
              <w:jc w:val="center"/>
              <w:rPr>
                <w:rFonts w:ascii="仿宋" w:hAnsi="仿宋" w:eastAsia="仿宋" w:cs="Times New Roman"/>
              </w:rPr>
            </w:pPr>
            <w:r>
              <w:rPr>
                <w:rFonts w:hint="eastAsia" w:ascii="仿宋" w:hAnsi="仿宋" w:eastAsia="仿宋" w:cs="仿宋"/>
              </w:rPr>
              <w:t>已完</w:t>
            </w:r>
          </w:p>
          <w:p>
            <w:pPr>
              <w:spacing w:line="360" w:lineRule="auto"/>
              <w:jc w:val="center"/>
              <w:rPr>
                <w:rFonts w:ascii="仿宋" w:hAnsi="仿宋" w:eastAsia="仿宋" w:cs="Times New Roman"/>
              </w:rPr>
            </w:pPr>
            <w:r>
              <w:rPr>
                <w:rFonts w:hint="eastAsia" w:ascii="仿宋" w:hAnsi="仿宋" w:eastAsia="仿宋" w:cs="仿宋"/>
              </w:rPr>
              <w:t>工程量</w:t>
            </w:r>
          </w:p>
        </w:tc>
        <w:tc>
          <w:tcPr>
            <w:tcW w:w="860" w:type="dxa"/>
            <w:vAlign w:val="center"/>
          </w:tcPr>
          <w:p>
            <w:pPr>
              <w:spacing w:line="360" w:lineRule="auto"/>
              <w:rPr>
                <w:rFonts w:ascii="仿宋" w:hAnsi="仿宋" w:eastAsia="仿宋" w:cs="Times New Roman"/>
              </w:rPr>
            </w:pPr>
            <w:r>
              <w:rPr>
                <w:rFonts w:ascii="仿宋" w:hAnsi="仿宋" w:eastAsia="仿宋" w:cs="仿宋"/>
              </w:rPr>
              <w:t xml:space="preserve"> </w:t>
            </w:r>
            <w:r>
              <w:rPr>
                <w:rFonts w:hint="eastAsia" w:ascii="仿宋" w:hAnsi="仿宋" w:eastAsia="仿宋" w:cs="仿宋"/>
              </w:rPr>
              <w:t>合价</w:t>
            </w:r>
          </w:p>
          <w:p>
            <w:pPr>
              <w:spacing w:line="360" w:lineRule="auto"/>
              <w:rPr>
                <w:rFonts w:ascii="仿宋" w:hAnsi="仿宋" w:eastAsia="仿宋" w:cs="Times New Roman"/>
              </w:rPr>
            </w:pPr>
            <w:r>
              <w:rPr>
                <w:rFonts w:hint="eastAsia" w:ascii="仿宋" w:hAnsi="仿宋" w:eastAsia="仿宋" w:cs="仿宋"/>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pPr>
              <w:spacing w:line="360" w:lineRule="auto"/>
              <w:jc w:val="center"/>
              <w:rPr>
                <w:rFonts w:ascii="仿宋" w:hAnsi="仿宋" w:eastAsia="仿宋" w:cs="Times New Roman"/>
                <w:sz w:val="24"/>
                <w:szCs w:val="24"/>
              </w:rPr>
            </w:pPr>
          </w:p>
        </w:tc>
        <w:tc>
          <w:tcPr>
            <w:tcW w:w="923" w:type="dxa"/>
            <w:vAlign w:val="center"/>
          </w:tcPr>
          <w:p>
            <w:pPr>
              <w:spacing w:line="360" w:lineRule="auto"/>
              <w:jc w:val="center"/>
              <w:rPr>
                <w:rFonts w:ascii="仿宋" w:hAnsi="仿宋" w:eastAsia="仿宋" w:cs="Times New Roman"/>
                <w:sz w:val="24"/>
                <w:szCs w:val="24"/>
              </w:rPr>
            </w:pPr>
          </w:p>
        </w:tc>
        <w:tc>
          <w:tcPr>
            <w:tcW w:w="1639" w:type="dxa"/>
            <w:vAlign w:val="center"/>
          </w:tcPr>
          <w:p>
            <w:pPr>
              <w:spacing w:line="360" w:lineRule="auto"/>
              <w:jc w:val="center"/>
              <w:rPr>
                <w:rFonts w:ascii="仿宋" w:hAnsi="仿宋" w:eastAsia="仿宋" w:cs="Times New Roman"/>
                <w:sz w:val="24"/>
                <w:szCs w:val="24"/>
              </w:rPr>
            </w:pPr>
          </w:p>
        </w:tc>
        <w:tc>
          <w:tcPr>
            <w:tcW w:w="2550" w:type="dxa"/>
            <w:vAlign w:val="center"/>
          </w:tcPr>
          <w:p>
            <w:pPr>
              <w:spacing w:line="360" w:lineRule="auto"/>
              <w:jc w:val="center"/>
              <w:rPr>
                <w:rFonts w:ascii="仿宋" w:hAnsi="仿宋" w:eastAsia="仿宋" w:cs="Times New Roman"/>
                <w:sz w:val="24"/>
                <w:szCs w:val="24"/>
              </w:rPr>
            </w:pPr>
          </w:p>
        </w:tc>
        <w:tc>
          <w:tcPr>
            <w:tcW w:w="956" w:type="dxa"/>
            <w:vAlign w:val="center"/>
          </w:tcPr>
          <w:p>
            <w:pPr>
              <w:spacing w:line="360" w:lineRule="auto"/>
              <w:jc w:val="center"/>
              <w:rPr>
                <w:rFonts w:ascii="仿宋" w:hAnsi="仿宋" w:eastAsia="仿宋" w:cs="Times New Roman"/>
                <w:sz w:val="24"/>
                <w:szCs w:val="24"/>
              </w:rPr>
            </w:pPr>
          </w:p>
        </w:tc>
        <w:tc>
          <w:tcPr>
            <w:tcW w:w="859" w:type="dxa"/>
            <w:vAlign w:val="center"/>
          </w:tcPr>
          <w:p>
            <w:pPr>
              <w:spacing w:line="360" w:lineRule="auto"/>
              <w:jc w:val="center"/>
              <w:rPr>
                <w:rFonts w:ascii="仿宋" w:hAnsi="仿宋" w:eastAsia="仿宋" w:cs="Times New Roman"/>
                <w:sz w:val="24"/>
                <w:szCs w:val="24"/>
              </w:rPr>
            </w:pPr>
          </w:p>
        </w:tc>
        <w:tc>
          <w:tcPr>
            <w:tcW w:w="950" w:type="dxa"/>
            <w:vAlign w:val="center"/>
          </w:tcPr>
          <w:p>
            <w:pPr>
              <w:spacing w:line="360" w:lineRule="auto"/>
              <w:jc w:val="center"/>
              <w:rPr>
                <w:rFonts w:ascii="仿宋" w:hAnsi="仿宋" w:eastAsia="仿宋" w:cs="Times New Roman"/>
                <w:sz w:val="24"/>
                <w:szCs w:val="24"/>
              </w:rPr>
            </w:pPr>
          </w:p>
        </w:tc>
        <w:tc>
          <w:tcPr>
            <w:tcW w:w="860" w:type="dxa"/>
            <w:vAlign w:val="center"/>
          </w:tcPr>
          <w:p>
            <w:pPr>
              <w:spacing w:line="360" w:lineRule="auto"/>
              <w:jc w:val="center"/>
              <w:rPr>
                <w:rFonts w:ascii="仿宋" w:hAnsi="仿宋" w:eastAsia="仿宋" w:cs="Times New Roman"/>
                <w:sz w:val="24"/>
                <w:szCs w:val="24"/>
              </w:rPr>
            </w:pPr>
          </w:p>
        </w:tc>
        <w:tc>
          <w:tcPr>
            <w:tcW w:w="850" w:type="dxa"/>
            <w:vAlign w:val="center"/>
          </w:tcPr>
          <w:p>
            <w:pPr>
              <w:spacing w:line="360" w:lineRule="auto"/>
              <w:jc w:val="center"/>
              <w:rPr>
                <w:rFonts w:ascii="仿宋" w:hAnsi="仿宋" w:eastAsia="仿宋" w:cs="Times New Roman"/>
                <w:sz w:val="24"/>
                <w:szCs w:val="24"/>
              </w:rPr>
            </w:pPr>
          </w:p>
        </w:tc>
        <w:tc>
          <w:tcPr>
            <w:tcW w:w="865" w:type="dxa"/>
            <w:vAlign w:val="center"/>
          </w:tcPr>
          <w:p>
            <w:pPr>
              <w:spacing w:line="360" w:lineRule="auto"/>
              <w:jc w:val="center"/>
              <w:rPr>
                <w:rFonts w:ascii="仿宋" w:hAnsi="仿宋" w:eastAsia="仿宋" w:cs="Times New Roman"/>
                <w:sz w:val="24"/>
                <w:szCs w:val="24"/>
              </w:rPr>
            </w:pPr>
          </w:p>
        </w:tc>
        <w:tc>
          <w:tcPr>
            <w:tcW w:w="848" w:type="dxa"/>
            <w:vAlign w:val="center"/>
          </w:tcPr>
          <w:p>
            <w:pPr>
              <w:spacing w:line="360" w:lineRule="auto"/>
              <w:jc w:val="center"/>
              <w:rPr>
                <w:rFonts w:ascii="仿宋" w:hAnsi="仿宋" w:eastAsia="仿宋" w:cs="Times New Roman"/>
                <w:sz w:val="24"/>
                <w:szCs w:val="24"/>
              </w:rPr>
            </w:pPr>
          </w:p>
        </w:tc>
        <w:tc>
          <w:tcPr>
            <w:tcW w:w="892" w:type="dxa"/>
            <w:vAlign w:val="center"/>
          </w:tcPr>
          <w:p>
            <w:pPr>
              <w:spacing w:line="360" w:lineRule="auto"/>
              <w:jc w:val="center"/>
              <w:rPr>
                <w:rFonts w:ascii="仿宋" w:hAnsi="仿宋" w:eastAsia="仿宋" w:cs="Times New Roman"/>
                <w:sz w:val="24"/>
                <w:szCs w:val="24"/>
              </w:rPr>
            </w:pPr>
          </w:p>
        </w:tc>
        <w:tc>
          <w:tcPr>
            <w:tcW w:w="862" w:type="dxa"/>
            <w:vAlign w:val="center"/>
          </w:tcPr>
          <w:p>
            <w:pPr>
              <w:spacing w:line="360" w:lineRule="auto"/>
              <w:jc w:val="center"/>
              <w:rPr>
                <w:rFonts w:ascii="仿宋" w:hAnsi="仿宋" w:eastAsia="仿宋" w:cs="Times New Roman"/>
                <w:sz w:val="24"/>
                <w:szCs w:val="24"/>
              </w:rPr>
            </w:pPr>
          </w:p>
        </w:tc>
        <w:tc>
          <w:tcPr>
            <w:tcW w:w="860"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pPr>
              <w:spacing w:line="360" w:lineRule="auto"/>
              <w:jc w:val="center"/>
              <w:rPr>
                <w:rFonts w:ascii="仿宋" w:hAnsi="仿宋" w:eastAsia="仿宋" w:cs="Times New Roman"/>
                <w:sz w:val="24"/>
                <w:szCs w:val="24"/>
              </w:rPr>
            </w:pPr>
          </w:p>
        </w:tc>
        <w:tc>
          <w:tcPr>
            <w:tcW w:w="923" w:type="dxa"/>
            <w:vAlign w:val="center"/>
          </w:tcPr>
          <w:p>
            <w:pPr>
              <w:spacing w:line="360" w:lineRule="auto"/>
              <w:jc w:val="center"/>
              <w:rPr>
                <w:rFonts w:ascii="仿宋" w:hAnsi="仿宋" w:eastAsia="仿宋" w:cs="Times New Roman"/>
                <w:sz w:val="24"/>
                <w:szCs w:val="24"/>
              </w:rPr>
            </w:pPr>
          </w:p>
        </w:tc>
        <w:tc>
          <w:tcPr>
            <w:tcW w:w="1639" w:type="dxa"/>
            <w:vAlign w:val="center"/>
          </w:tcPr>
          <w:p>
            <w:pPr>
              <w:spacing w:line="360" w:lineRule="auto"/>
              <w:jc w:val="center"/>
              <w:rPr>
                <w:rFonts w:ascii="仿宋" w:hAnsi="仿宋" w:eastAsia="仿宋" w:cs="Times New Roman"/>
                <w:sz w:val="24"/>
                <w:szCs w:val="24"/>
              </w:rPr>
            </w:pPr>
          </w:p>
        </w:tc>
        <w:tc>
          <w:tcPr>
            <w:tcW w:w="2550" w:type="dxa"/>
            <w:vAlign w:val="center"/>
          </w:tcPr>
          <w:p>
            <w:pPr>
              <w:spacing w:line="360" w:lineRule="auto"/>
              <w:jc w:val="center"/>
              <w:rPr>
                <w:rFonts w:ascii="仿宋" w:hAnsi="仿宋" w:eastAsia="仿宋" w:cs="Times New Roman"/>
                <w:sz w:val="24"/>
                <w:szCs w:val="24"/>
              </w:rPr>
            </w:pPr>
          </w:p>
        </w:tc>
        <w:tc>
          <w:tcPr>
            <w:tcW w:w="956" w:type="dxa"/>
            <w:vAlign w:val="center"/>
          </w:tcPr>
          <w:p>
            <w:pPr>
              <w:spacing w:line="360" w:lineRule="auto"/>
              <w:jc w:val="center"/>
              <w:rPr>
                <w:rFonts w:ascii="仿宋" w:hAnsi="仿宋" w:eastAsia="仿宋" w:cs="Times New Roman"/>
                <w:sz w:val="24"/>
                <w:szCs w:val="24"/>
              </w:rPr>
            </w:pPr>
          </w:p>
        </w:tc>
        <w:tc>
          <w:tcPr>
            <w:tcW w:w="859" w:type="dxa"/>
            <w:vAlign w:val="center"/>
          </w:tcPr>
          <w:p>
            <w:pPr>
              <w:spacing w:line="360" w:lineRule="auto"/>
              <w:jc w:val="center"/>
              <w:rPr>
                <w:rFonts w:ascii="仿宋" w:hAnsi="仿宋" w:eastAsia="仿宋" w:cs="Times New Roman"/>
                <w:sz w:val="24"/>
                <w:szCs w:val="24"/>
              </w:rPr>
            </w:pPr>
          </w:p>
        </w:tc>
        <w:tc>
          <w:tcPr>
            <w:tcW w:w="950" w:type="dxa"/>
            <w:vAlign w:val="center"/>
          </w:tcPr>
          <w:p>
            <w:pPr>
              <w:spacing w:line="360" w:lineRule="auto"/>
              <w:jc w:val="center"/>
              <w:rPr>
                <w:rFonts w:ascii="仿宋" w:hAnsi="仿宋" w:eastAsia="仿宋" w:cs="Times New Roman"/>
                <w:sz w:val="24"/>
                <w:szCs w:val="24"/>
              </w:rPr>
            </w:pPr>
          </w:p>
        </w:tc>
        <w:tc>
          <w:tcPr>
            <w:tcW w:w="860" w:type="dxa"/>
            <w:vAlign w:val="center"/>
          </w:tcPr>
          <w:p>
            <w:pPr>
              <w:spacing w:line="360" w:lineRule="auto"/>
              <w:jc w:val="center"/>
              <w:rPr>
                <w:rFonts w:ascii="仿宋" w:hAnsi="仿宋" w:eastAsia="仿宋" w:cs="Times New Roman"/>
                <w:sz w:val="24"/>
                <w:szCs w:val="24"/>
              </w:rPr>
            </w:pPr>
          </w:p>
        </w:tc>
        <w:tc>
          <w:tcPr>
            <w:tcW w:w="850" w:type="dxa"/>
            <w:vAlign w:val="center"/>
          </w:tcPr>
          <w:p>
            <w:pPr>
              <w:spacing w:line="360" w:lineRule="auto"/>
              <w:jc w:val="center"/>
              <w:rPr>
                <w:rFonts w:ascii="仿宋" w:hAnsi="仿宋" w:eastAsia="仿宋" w:cs="Times New Roman"/>
                <w:sz w:val="24"/>
                <w:szCs w:val="24"/>
              </w:rPr>
            </w:pPr>
          </w:p>
        </w:tc>
        <w:tc>
          <w:tcPr>
            <w:tcW w:w="865" w:type="dxa"/>
            <w:vAlign w:val="center"/>
          </w:tcPr>
          <w:p>
            <w:pPr>
              <w:spacing w:line="360" w:lineRule="auto"/>
              <w:jc w:val="center"/>
              <w:rPr>
                <w:rFonts w:ascii="仿宋" w:hAnsi="仿宋" w:eastAsia="仿宋" w:cs="Times New Roman"/>
                <w:sz w:val="24"/>
                <w:szCs w:val="24"/>
              </w:rPr>
            </w:pPr>
          </w:p>
        </w:tc>
        <w:tc>
          <w:tcPr>
            <w:tcW w:w="848" w:type="dxa"/>
            <w:vAlign w:val="center"/>
          </w:tcPr>
          <w:p>
            <w:pPr>
              <w:spacing w:line="360" w:lineRule="auto"/>
              <w:jc w:val="center"/>
              <w:rPr>
                <w:rFonts w:ascii="仿宋" w:hAnsi="仿宋" w:eastAsia="仿宋" w:cs="Times New Roman"/>
                <w:sz w:val="24"/>
                <w:szCs w:val="24"/>
              </w:rPr>
            </w:pPr>
          </w:p>
        </w:tc>
        <w:tc>
          <w:tcPr>
            <w:tcW w:w="892" w:type="dxa"/>
            <w:vAlign w:val="center"/>
          </w:tcPr>
          <w:p>
            <w:pPr>
              <w:spacing w:line="360" w:lineRule="auto"/>
              <w:jc w:val="center"/>
              <w:rPr>
                <w:rFonts w:ascii="仿宋" w:hAnsi="仿宋" w:eastAsia="仿宋" w:cs="Times New Roman"/>
                <w:sz w:val="24"/>
                <w:szCs w:val="24"/>
              </w:rPr>
            </w:pPr>
          </w:p>
        </w:tc>
        <w:tc>
          <w:tcPr>
            <w:tcW w:w="862" w:type="dxa"/>
            <w:vAlign w:val="center"/>
          </w:tcPr>
          <w:p>
            <w:pPr>
              <w:spacing w:line="360" w:lineRule="auto"/>
              <w:jc w:val="center"/>
              <w:rPr>
                <w:rFonts w:ascii="仿宋" w:hAnsi="仿宋" w:eastAsia="仿宋" w:cs="Times New Roman"/>
                <w:sz w:val="24"/>
                <w:szCs w:val="24"/>
              </w:rPr>
            </w:pPr>
          </w:p>
        </w:tc>
        <w:tc>
          <w:tcPr>
            <w:tcW w:w="860"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pPr>
              <w:spacing w:line="360" w:lineRule="auto"/>
              <w:jc w:val="center"/>
              <w:rPr>
                <w:rFonts w:ascii="仿宋" w:hAnsi="仿宋" w:eastAsia="仿宋" w:cs="Times New Roman"/>
                <w:sz w:val="24"/>
                <w:szCs w:val="24"/>
              </w:rPr>
            </w:pPr>
          </w:p>
        </w:tc>
        <w:tc>
          <w:tcPr>
            <w:tcW w:w="923" w:type="dxa"/>
            <w:vAlign w:val="center"/>
          </w:tcPr>
          <w:p>
            <w:pPr>
              <w:spacing w:line="360" w:lineRule="auto"/>
              <w:jc w:val="center"/>
              <w:rPr>
                <w:rFonts w:ascii="仿宋" w:hAnsi="仿宋" w:eastAsia="仿宋" w:cs="Times New Roman"/>
                <w:sz w:val="24"/>
                <w:szCs w:val="24"/>
              </w:rPr>
            </w:pPr>
          </w:p>
        </w:tc>
        <w:tc>
          <w:tcPr>
            <w:tcW w:w="1639" w:type="dxa"/>
            <w:vAlign w:val="center"/>
          </w:tcPr>
          <w:p>
            <w:pPr>
              <w:spacing w:line="360" w:lineRule="auto"/>
              <w:jc w:val="center"/>
              <w:rPr>
                <w:rFonts w:ascii="仿宋" w:hAnsi="仿宋" w:eastAsia="仿宋" w:cs="Times New Roman"/>
                <w:sz w:val="24"/>
                <w:szCs w:val="24"/>
              </w:rPr>
            </w:pPr>
          </w:p>
        </w:tc>
        <w:tc>
          <w:tcPr>
            <w:tcW w:w="2550" w:type="dxa"/>
            <w:vAlign w:val="center"/>
          </w:tcPr>
          <w:p>
            <w:pPr>
              <w:spacing w:line="360" w:lineRule="auto"/>
              <w:jc w:val="center"/>
              <w:rPr>
                <w:rFonts w:ascii="仿宋" w:hAnsi="仿宋" w:eastAsia="仿宋" w:cs="Times New Roman"/>
                <w:sz w:val="24"/>
                <w:szCs w:val="24"/>
              </w:rPr>
            </w:pPr>
          </w:p>
        </w:tc>
        <w:tc>
          <w:tcPr>
            <w:tcW w:w="956" w:type="dxa"/>
            <w:vAlign w:val="center"/>
          </w:tcPr>
          <w:p>
            <w:pPr>
              <w:spacing w:line="360" w:lineRule="auto"/>
              <w:jc w:val="center"/>
              <w:rPr>
                <w:rFonts w:ascii="仿宋" w:hAnsi="仿宋" w:eastAsia="仿宋" w:cs="Times New Roman"/>
                <w:sz w:val="24"/>
                <w:szCs w:val="24"/>
              </w:rPr>
            </w:pPr>
          </w:p>
        </w:tc>
        <w:tc>
          <w:tcPr>
            <w:tcW w:w="859" w:type="dxa"/>
            <w:vAlign w:val="center"/>
          </w:tcPr>
          <w:p>
            <w:pPr>
              <w:spacing w:line="360" w:lineRule="auto"/>
              <w:jc w:val="center"/>
              <w:rPr>
                <w:rFonts w:ascii="仿宋" w:hAnsi="仿宋" w:eastAsia="仿宋" w:cs="Times New Roman"/>
                <w:sz w:val="24"/>
                <w:szCs w:val="24"/>
              </w:rPr>
            </w:pPr>
          </w:p>
        </w:tc>
        <w:tc>
          <w:tcPr>
            <w:tcW w:w="950" w:type="dxa"/>
            <w:vAlign w:val="center"/>
          </w:tcPr>
          <w:p>
            <w:pPr>
              <w:spacing w:line="360" w:lineRule="auto"/>
              <w:jc w:val="center"/>
              <w:rPr>
                <w:rFonts w:ascii="仿宋" w:hAnsi="仿宋" w:eastAsia="仿宋" w:cs="Times New Roman"/>
                <w:sz w:val="24"/>
                <w:szCs w:val="24"/>
              </w:rPr>
            </w:pPr>
          </w:p>
        </w:tc>
        <w:tc>
          <w:tcPr>
            <w:tcW w:w="860" w:type="dxa"/>
            <w:vAlign w:val="center"/>
          </w:tcPr>
          <w:p>
            <w:pPr>
              <w:spacing w:line="360" w:lineRule="auto"/>
              <w:jc w:val="center"/>
              <w:rPr>
                <w:rFonts w:ascii="仿宋" w:hAnsi="仿宋" w:eastAsia="仿宋" w:cs="Times New Roman"/>
                <w:sz w:val="24"/>
                <w:szCs w:val="24"/>
              </w:rPr>
            </w:pPr>
          </w:p>
        </w:tc>
        <w:tc>
          <w:tcPr>
            <w:tcW w:w="850" w:type="dxa"/>
            <w:vAlign w:val="center"/>
          </w:tcPr>
          <w:p>
            <w:pPr>
              <w:spacing w:line="360" w:lineRule="auto"/>
              <w:jc w:val="center"/>
              <w:rPr>
                <w:rFonts w:ascii="仿宋" w:hAnsi="仿宋" w:eastAsia="仿宋" w:cs="Times New Roman"/>
                <w:sz w:val="24"/>
                <w:szCs w:val="24"/>
              </w:rPr>
            </w:pPr>
          </w:p>
        </w:tc>
        <w:tc>
          <w:tcPr>
            <w:tcW w:w="865" w:type="dxa"/>
            <w:vAlign w:val="center"/>
          </w:tcPr>
          <w:p>
            <w:pPr>
              <w:spacing w:line="360" w:lineRule="auto"/>
              <w:jc w:val="center"/>
              <w:rPr>
                <w:rFonts w:ascii="仿宋" w:hAnsi="仿宋" w:eastAsia="仿宋" w:cs="Times New Roman"/>
                <w:sz w:val="24"/>
                <w:szCs w:val="24"/>
              </w:rPr>
            </w:pPr>
          </w:p>
        </w:tc>
        <w:tc>
          <w:tcPr>
            <w:tcW w:w="848" w:type="dxa"/>
            <w:vAlign w:val="center"/>
          </w:tcPr>
          <w:p>
            <w:pPr>
              <w:spacing w:line="360" w:lineRule="auto"/>
              <w:jc w:val="center"/>
              <w:rPr>
                <w:rFonts w:ascii="仿宋" w:hAnsi="仿宋" w:eastAsia="仿宋" w:cs="Times New Roman"/>
                <w:sz w:val="24"/>
                <w:szCs w:val="24"/>
              </w:rPr>
            </w:pPr>
          </w:p>
        </w:tc>
        <w:tc>
          <w:tcPr>
            <w:tcW w:w="892" w:type="dxa"/>
            <w:vAlign w:val="center"/>
          </w:tcPr>
          <w:p>
            <w:pPr>
              <w:spacing w:line="360" w:lineRule="auto"/>
              <w:jc w:val="center"/>
              <w:rPr>
                <w:rFonts w:ascii="仿宋" w:hAnsi="仿宋" w:eastAsia="仿宋" w:cs="Times New Roman"/>
                <w:sz w:val="24"/>
                <w:szCs w:val="24"/>
              </w:rPr>
            </w:pPr>
          </w:p>
        </w:tc>
        <w:tc>
          <w:tcPr>
            <w:tcW w:w="862" w:type="dxa"/>
            <w:vAlign w:val="center"/>
          </w:tcPr>
          <w:p>
            <w:pPr>
              <w:spacing w:line="360" w:lineRule="auto"/>
              <w:jc w:val="center"/>
              <w:rPr>
                <w:rFonts w:ascii="仿宋" w:hAnsi="仿宋" w:eastAsia="仿宋" w:cs="Times New Roman"/>
                <w:sz w:val="24"/>
                <w:szCs w:val="24"/>
              </w:rPr>
            </w:pPr>
          </w:p>
        </w:tc>
        <w:tc>
          <w:tcPr>
            <w:tcW w:w="860"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pPr>
              <w:spacing w:line="360" w:lineRule="auto"/>
              <w:jc w:val="center"/>
              <w:rPr>
                <w:rFonts w:ascii="仿宋" w:hAnsi="仿宋" w:eastAsia="仿宋" w:cs="Times New Roman"/>
                <w:sz w:val="24"/>
                <w:szCs w:val="24"/>
              </w:rPr>
            </w:pPr>
          </w:p>
        </w:tc>
        <w:tc>
          <w:tcPr>
            <w:tcW w:w="923" w:type="dxa"/>
            <w:vAlign w:val="center"/>
          </w:tcPr>
          <w:p>
            <w:pPr>
              <w:spacing w:line="360" w:lineRule="auto"/>
              <w:jc w:val="center"/>
              <w:rPr>
                <w:rFonts w:ascii="仿宋" w:hAnsi="仿宋" w:eastAsia="仿宋" w:cs="Times New Roman"/>
                <w:sz w:val="24"/>
                <w:szCs w:val="24"/>
              </w:rPr>
            </w:pPr>
          </w:p>
        </w:tc>
        <w:tc>
          <w:tcPr>
            <w:tcW w:w="1639" w:type="dxa"/>
            <w:vAlign w:val="center"/>
          </w:tcPr>
          <w:p>
            <w:pPr>
              <w:spacing w:line="360" w:lineRule="auto"/>
              <w:jc w:val="center"/>
              <w:rPr>
                <w:rFonts w:ascii="仿宋" w:hAnsi="仿宋" w:eastAsia="仿宋" w:cs="Times New Roman"/>
                <w:sz w:val="24"/>
                <w:szCs w:val="24"/>
              </w:rPr>
            </w:pPr>
          </w:p>
        </w:tc>
        <w:tc>
          <w:tcPr>
            <w:tcW w:w="2550" w:type="dxa"/>
            <w:vAlign w:val="center"/>
          </w:tcPr>
          <w:p>
            <w:pPr>
              <w:spacing w:line="360" w:lineRule="auto"/>
              <w:jc w:val="center"/>
              <w:rPr>
                <w:rFonts w:ascii="仿宋" w:hAnsi="仿宋" w:eastAsia="仿宋" w:cs="Times New Roman"/>
                <w:sz w:val="24"/>
                <w:szCs w:val="24"/>
              </w:rPr>
            </w:pPr>
          </w:p>
        </w:tc>
        <w:tc>
          <w:tcPr>
            <w:tcW w:w="956" w:type="dxa"/>
            <w:vAlign w:val="center"/>
          </w:tcPr>
          <w:p>
            <w:pPr>
              <w:spacing w:line="360" w:lineRule="auto"/>
              <w:jc w:val="center"/>
              <w:rPr>
                <w:rFonts w:ascii="仿宋" w:hAnsi="仿宋" w:eastAsia="仿宋" w:cs="Times New Roman"/>
                <w:sz w:val="24"/>
                <w:szCs w:val="24"/>
              </w:rPr>
            </w:pPr>
          </w:p>
        </w:tc>
        <w:tc>
          <w:tcPr>
            <w:tcW w:w="859" w:type="dxa"/>
            <w:vAlign w:val="center"/>
          </w:tcPr>
          <w:p>
            <w:pPr>
              <w:spacing w:line="360" w:lineRule="auto"/>
              <w:jc w:val="center"/>
              <w:rPr>
                <w:rFonts w:ascii="仿宋" w:hAnsi="仿宋" w:eastAsia="仿宋" w:cs="Times New Roman"/>
                <w:sz w:val="24"/>
                <w:szCs w:val="24"/>
              </w:rPr>
            </w:pPr>
          </w:p>
        </w:tc>
        <w:tc>
          <w:tcPr>
            <w:tcW w:w="950" w:type="dxa"/>
            <w:vAlign w:val="center"/>
          </w:tcPr>
          <w:p>
            <w:pPr>
              <w:spacing w:line="360" w:lineRule="auto"/>
              <w:jc w:val="center"/>
              <w:rPr>
                <w:rFonts w:ascii="仿宋" w:hAnsi="仿宋" w:eastAsia="仿宋" w:cs="Times New Roman"/>
                <w:sz w:val="24"/>
                <w:szCs w:val="24"/>
              </w:rPr>
            </w:pPr>
          </w:p>
        </w:tc>
        <w:tc>
          <w:tcPr>
            <w:tcW w:w="860" w:type="dxa"/>
            <w:vAlign w:val="center"/>
          </w:tcPr>
          <w:p>
            <w:pPr>
              <w:spacing w:line="360" w:lineRule="auto"/>
              <w:jc w:val="center"/>
              <w:rPr>
                <w:rFonts w:ascii="仿宋" w:hAnsi="仿宋" w:eastAsia="仿宋" w:cs="Times New Roman"/>
                <w:sz w:val="24"/>
                <w:szCs w:val="24"/>
              </w:rPr>
            </w:pPr>
          </w:p>
        </w:tc>
        <w:tc>
          <w:tcPr>
            <w:tcW w:w="850" w:type="dxa"/>
            <w:vAlign w:val="center"/>
          </w:tcPr>
          <w:p>
            <w:pPr>
              <w:spacing w:line="360" w:lineRule="auto"/>
              <w:jc w:val="center"/>
              <w:rPr>
                <w:rFonts w:ascii="仿宋" w:hAnsi="仿宋" w:eastAsia="仿宋" w:cs="Times New Roman"/>
                <w:sz w:val="24"/>
                <w:szCs w:val="24"/>
              </w:rPr>
            </w:pPr>
          </w:p>
        </w:tc>
        <w:tc>
          <w:tcPr>
            <w:tcW w:w="865" w:type="dxa"/>
            <w:vAlign w:val="center"/>
          </w:tcPr>
          <w:p>
            <w:pPr>
              <w:spacing w:line="360" w:lineRule="auto"/>
              <w:jc w:val="center"/>
              <w:rPr>
                <w:rFonts w:ascii="仿宋" w:hAnsi="仿宋" w:eastAsia="仿宋" w:cs="Times New Roman"/>
                <w:sz w:val="24"/>
                <w:szCs w:val="24"/>
              </w:rPr>
            </w:pPr>
          </w:p>
        </w:tc>
        <w:tc>
          <w:tcPr>
            <w:tcW w:w="848" w:type="dxa"/>
            <w:vAlign w:val="center"/>
          </w:tcPr>
          <w:p>
            <w:pPr>
              <w:spacing w:line="360" w:lineRule="auto"/>
              <w:jc w:val="center"/>
              <w:rPr>
                <w:rFonts w:ascii="仿宋" w:hAnsi="仿宋" w:eastAsia="仿宋" w:cs="Times New Roman"/>
                <w:sz w:val="24"/>
                <w:szCs w:val="24"/>
              </w:rPr>
            </w:pPr>
          </w:p>
        </w:tc>
        <w:tc>
          <w:tcPr>
            <w:tcW w:w="892" w:type="dxa"/>
            <w:vAlign w:val="center"/>
          </w:tcPr>
          <w:p>
            <w:pPr>
              <w:spacing w:line="360" w:lineRule="auto"/>
              <w:jc w:val="center"/>
              <w:rPr>
                <w:rFonts w:ascii="仿宋" w:hAnsi="仿宋" w:eastAsia="仿宋" w:cs="Times New Roman"/>
                <w:sz w:val="24"/>
                <w:szCs w:val="24"/>
              </w:rPr>
            </w:pPr>
          </w:p>
        </w:tc>
        <w:tc>
          <w:tcPr>
            <w:tcW w:w="862" w:type="dxa"/>
            <w:vAlign w:val="center"/>
          </w:tcPr>
          <w:p>
            <w:pPr>
              <w:spacing w:line="360" w:lineRule="auto"/>
              <w:jc w:val="center"/>
              <w:rPr>
                <w:rFonts w:ascii="仿宋" w:hAnsi="仿宋" w:eastAsia="仿宋" w:cs="Times New Roman"/>
                <w:sz w:val="24"/>
                <w:szCs w:val="24"/>
              </w:rPr>
            </w:pPr>
          </w:p>
        </w:tc>
        <w:tc>
          <w:tcPr>
            <w:tcW w:w="860"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pPr>
              <w:spacing w:line="360" w:lineRule="auto"/>
              <w:jc w:val="center"/>
              <w:rPr>
                <w:rFonts w:ascii="仿宋" w:hAnsi="仿宋" w:eastAsia="仿宋" w:cs="Times New Roman"/>
                <w:sz w:val="24"/>
                <w:szCs w:val="24"/>
              </w:rPr>
            </w:pPr>
          </w:p>
        </w:tc>
        <w:tc>
          <w:tcPr>
            <w:tcW w:w="923" w:type="dxa"/>
            <w:vAlign w:val="center"/>
          </w:tcPr>
          <w:p>
            <w:pPr>
              <w:spacing w:line="360" w:lineRule="auto"/>
              <w:jc w:val="center"/>
              <w:rPr>
                <w:rFonts w:ascii="仿宋" w:hAnsi="仿宋" w:eastAsia="仿宋" w:cs="Times New Roman"/>
                <w:sz w:val="24"/>
                <w:szCs w:val="24"/>
              </w:rPr>
            </w:pPr>
          </w:p>
        </w:tc>
        <w:tc>
          <w:tcPr>
            <w:tcW w:w="1639" w:type="dxa"/>
            <w:vAlign w:val="center"/>
          </w:tcPr>
          <w:p>
            <w:pPr>
              <w:spacing w:line="360" w:lineRule="auto"/>
              <w:jc w:val="center"/>
              <w:rPr>
                <w:rFonts w:ascii="仿宋" w:hAnsi="仿宋" w:eastAsia="仿宋" w:cs="Times New Roman"/>
                <w:sz w:val="24"/>
                <w:szCs w:val="24"/>
              </w:rPr>
            </w:pPr>
          </w:p>
        </w:tc>
        <w:tc>
          <w:tcPr>
            <w:tcW w:w="2550" w:type="dxa"/>
            <w:vAlign w:val="center"/>
          </w:tcPr>
          <w:p>
            <w:pPr>
              <w:spacing w:line="360" w:lineRule="auto"/>
              <w:jc w:val="center"/>
              <w:rPr>
                <w:rFonts w:ascii="仿宋" w:hAnsi="仿宋" w:eastAsia="仿宋" w:cs="Times New Roman"/>
                <w:sz w:val="24"/>
                <w:szCs w:val="24"/>
              </w:rPr>
            </w:pPr>
          </w:p>
        </w:tc>
        <w:tc>
          <w:tcPr>
            <w:tcW w:w="956" w:type="dxa"/>
            <w:vAlign w:val="center"/>
          </w:tcPr>
          <w:p>
            <w:pPr>
              <w:spacing w:line="360" w:lineRule="auto"/>
              <w:jc w:val="center"/>
              <w:rPr>
                <w:rFonts w:ascii="仿宋" w:hAnsi="仿宋" w:eastAsia="仿宋" w:cs="Times New Roman"/>
                <w:sz w:val="24"/>
                <w:szCs w:val="24"/>
              </w:rPr>
            </w:pPr>
          </w:p>
        </w:tc>
        <w:tc>
          <w:tcPr>
            <w:tcW w:w="859" w:type="dxa"/>
            <w:vAlign w:val="center"/>
          </w:tcPr>
          <w:p>
            <w:pPr>
              <w:spacing w:line="360" w:lineRule="auto"/>
              <w:jc w:val="center"/>
              <w:rPr>
                <w:rFonts w:ascii="仿宋" w:hAnsi="仿宋" w:eastAsia="仿宋" w:cs="Times New Roman"/>
                <w:sz w:val="24"/>
                <w:szCs w:val="24"/>
              </w:rPr>
            </w:pPr>
          </w:p>
        </w:tc>
        <w:tc>
          <w:tcPr>
            <w:tcW w:w="950" w:type="dxa"/>
            <w:vAlign w:val="center"/>
          </w:tcPr>
          <w:p>
            <w:pPr>
              <w:spacing w:line="360" w:lineRule="auto"/>
              <w:jc w:val="center"/>
              <w:rPr>
                <w:rFonts w:ascii="仿宋" w:hAnsi="仿宋" w:eastAsia="仿宋" w:cs="Times New Roman"/>
                <w:sz w:val="24"/>
                <w:szCs w:val="24"/>
              </w:rPr>
            </w:pPr>
          </w:p>
        </w:tc>
        <w:tc>
          <w:tcPr>
            <w:tcW w:w="860" w:type="dxa"/>
            <w:vAlign w:val="center"/>
          </w:tcPr>
          <w:p>
            <w:pPr>
              <w:spacing w:line="360" w:lineRule="auto"/>
              <w:jc w:val="center"/>
              <w:rPr>
                <w:rFonts w:ascii="仿宋" w:hAnsi="仿宋" w:eastAsia="仿宋" w:cs="Times New Roman"/>
                <w:sz w:val="24"/>
                <w:szCs w:val="24"/>
              </w:rPr>
            </w:pPr>
          </w:p>
        </w:tc>
        <w:tc>
          <w:tcPr>
            <w:tcW w:w="850" w:type="dxa"/>
            <w:vAlign w:val="center"/>
          </w:tcPr>
          <w:p>
            <w:pPr>
              <w:spacing w:line="360" w:lineRule="auto"/>
              <w:jc w:val="center"/>
              <w:rPr>
                <w:rFonts w:ascii="仿宋" w:hAnsi="仿宋" w:eastAsia="仿宋" w:cs="Times New Roman"/>
                <w:sz w:val="24"/>
                <w:szCs w:val="24"/>
              </w:rPr>
            </w:pPr>
          </w:p>
        </w:tc>
        <w:tc>
          <w:tcPr>
            <w:tcW w:w="865" w:type="dxa"/>
            <w:vAlign w:val="center"/>
          </w:tcPr>
          <w:p>
            <w:pPr>
              <w:spacing w:line="360" w:lineRule="auto"/>
              <w:jc w:val="center"/>
              <w:rPr>
                <w:rFonts w:ascii="仿宋" w:hAnsi="仿宋" w:eastAsia="仿宋" w:cs="Times New Roman"/>
                <w:sz w:val="24"/>
                <w:szCs w:val="24"/>
              </w:rPr>
            </w:pPr>
          </w:p>
        </w:tc>
        <w:tc>
          <w:tcPr>
            <w:tcW w:w="848" w:type="dxa"/>
            <w:vAlign w:val="center"/>
          </w:tcPr>
          <w:p>
            <w:pPr>
              <w:spacing w:line="360" w:lineRule="auto"/>
              <w:jc w:val="center"/>
              <w:rPr>
                <w:rFonts w:ascii="仿宋" w:hAnsi="仿宋" w:eastAsia="仿宋" w:cs="Times New Roman"/>
                <w:sz w:val="24"/>
                <w:szCs w:val="24"/>
              </w:rPr>
            </w:pPr>
          </w:p>
        </w:tc>
        <w:tc>
          <w:tcPr>
            <w:tcW w:w="892" w:type="dxa"/>
            <w:vAlign w:val="center"/>
          </w:tcPr>
          <w:p>
            <w:pPr>
              <w:spacing w:line="360" w:lineRule="auto"/>
              <w:jc w:val="center"/>
              <w:rPr>
                <w:rFonts w:ascii="仿宋" w:hAnsi="仿宋" w:eastAsia="仿宋" w:cs="Times New Roman"/>
                <w:sz w:val="24"/>
                <w:szCs w:val="24"/>
              </w:rPr>
            </w:pPr>
          </w:p>
        </w:tc>
        <w:tc>
          <w:tcPr>
            <w:tcW w:w="862" w:type="dxa"/>
            <w:vAlign w:val="center"/>
          </w:tcPr>
          <w:p>
            <w:pPr>
              <w:spacing w:line="360" w:lineRule="auto"/>
              <w:jc w:val="center"/>
              <w:rPr>
                <w:rFonts w:ascii="仿宋" w:hAnsi="仿宋" w:eastAsia="仿宋" w:cs="Times New Roman"/>
                <w:sz w:val="24"/>
                <w:szCs w:val="24"/>
              </w:rPr>
            </w:pPr>
          </w:p>
        </w:tc>
        <w:tc>
          <w:tcPr>
            <w:tcW w:w="860"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pPr>
              <w:spacing w:line="360" w:lineRule="auto"/>
              <w:jc w:val="center"/>
              <w:rPr>
                <w:rFonts w:ascii="仿宋" w:hAnsi="仿宋" w:eastAsia="仿宋" w:cs="Times New Roman"/>
                <w:sz w:val="24"/>
                <w:szCs w:val="24"/>
              </w:rPr>
            </w:pPr>
          </w:p>
        </w:tc>
        <w:tc>
          <w:tcPr>
            <w:tcW w:w="923" w:type="dxa"/>
            <w:vAlign w:val="center"/>
          </w:tcPr>
          <w:p>
            <w:pPr>
              <w:spacing w:line="360" w:lineRule="auto"/>
              <w:jc w:val="center"/>
              <w:rPr>
                <w:rFonts w:ascii="仿宋" w:hAnsi="仿宋" w:eastAsia="仿宋" w:cs="Times New Roman"/>
                <w:sz w:val="24"/>
                <w:szCs w:val="24"/>
              </w:rPr>
            </w:pPr>
          </w:p>
        </w:tc>
        <w:tc>
          <w:tcPr>
            <w:tcW w:w="1639" w:type="dxa"/>
            <w:vAlign w:val="center"/>
          </w:tcPr>
          <w:p>
            <w:pPr>
              <w:spacing w:line="360" w:lineRule="auto"/>
              <w:jc w:val="center"/>
              <w:rPr>
                <w:rFonts w:ascii="仿宋" w:hAnsi="仿宋" w:eastAsia="仿宋" w:cs="Times New Roman"/>
                <w:sz w:val="24"/>
                <w:szCs w:val="24"/>
              </w:rPr>
            </w:pPr>
          </w:p>
        </w:tc>
        <w:tc>
          <w:tcPr>
            <w:tcW w:w="2550" w:type="dxa"/>
            <w:vAlign w:val="center"/>
          </w:tcPr>
          <w:p>
            <w:pPr>
              <w:spacing w:line="360" w:lineRule="auto"/>
              <w:jc w:val="center"/>
              <w:rPr>
                <w:rFonts w:ascii="仿宋" w:hAnsi="仿宋" w:eastAsia="仿宋" w:cs="Times New Roman"/>
                <w:sz w:val="24"/>
                <w:szCs w:val="24"/>
              </w:rPr>
            </w:pPr>
          </w:p>
        </w:tc>
        <w:tc>
          <w:tcPr>
            <w:tcW w:w="956" w:type="dxa"/>
            <w:vAlign w:val="center"/>
          </w:tcPr>
          <w:p>
            <w:pPr>
              <w:spacing w:line="360" w:lineRule="auto"/>
              <w:jc w:val="center"/>
              <w:rPr>
                <w:rFonts w:ascii="仿宋" w:hAnsi="仿宋" w:eastAsia="仿宋" w:cs="Times New Roman"/>
                <w:sz w:val="24"/>
                <w:szCs w:val="24"/>
              </w:rPr>
            </w:pPr>
          </w:p>
        </w:tc>
        <w:tc>
          <w:tcPr>
            <w:tcW w:w="859" w:type="dxa"/>
            <w:vAlign w:val="center"/>
          </w:tcPr>
          <w:p>
            <w:pPr>
              <w:spacing w:line="360" w:lineRule="auto"/>
              <w:jc w:val="center"/>
              <w:rPr>
                <w:rFonts w:ascii="仿宋" w:hAnsi="仿宋" w:eastAsia="仿宋" w:cs="Times New Roman"/>
                <w:sz w:val="24"/>
                <w:szCs w:val="24"/>
              </w:rPr>
            </w:pPr>
          </w:p>
        </w:tc>
        <w:tc>
          <w:tcPr>
            <w:tcW w:w="950" w:type="dxa"/>
            <w:vAlign w:val="center"/>
          </w:tcPr>
          <w:p>
            <w:pPr>
              <w:spacing w:line="360" w:lineRule="auto"/>
              <w:jc w:val="center"/>
              <w:rPr>
                <w:rFonts w:ascii="仿宋" w:hAnsi="仿宋" w:eastAsia="仿宋" w:cs="Times New Roman"/>
                <w:sz w:val="24"/>
                <w:szCs w:val="24"/>
              </w:rPr>
            </w:pPr>
          </w:p>
        </w:tc>
        <w:tc>
          <w:tcPr>
            <w:tcW w:w="860" w:type="dxa"/>
            <w:vAlign w:val="center"/>
          </w:tcPr>
          <w:p>
            <w:pPr>
              <w:spacing w:line="360" w:lineRule="auto"/>
              <w:jc w:val="center"/>
              <w:rPr>
                <w:rFonts w:ascii="仿宋" w:hAnsi="仿宋" w:eastAsia="仿宋" w:cs="Times New Roman"/>
                <w:sz w:val="24"/>
                <w:szCs w:val="24"/>
              </w:rPr>
            </w:pPr>
          </w:p>
        </w:tc>
        <w:tc>
          <w:tcPr>
            <w:tcW w:w="850" w:type="dxa"/>
            <w:vAlign w:val="center"/>
          </w:tcPr>
          <w:p>
            <w:pPr>
              <w:spacing w:line="360" w:lineRule="auto"/>
              <w:jc w:val="center"/>
              <w:rPr>
                <w:rFonts w:ascii="仿宋" w:hAnsi="仿宋" w:eastAsia="仿宋" w:cs="Times New Roman"/>
                <w:sz w:val="24"/>
                <w:szCs w:val="24"/>
              </w:rPr>
            </w:pPr>
          </w:p>
        </w:tc>
        <w:tc>
          <w:tcPr>
            <w:tcW w:w="865" w:type="dxa"/>
            <w:vAlign w:val="center"/>
          </w:tcPr>
          <w:p>
            <w:pPr>
              <w:spacing w:line="360" w:lineRule="auto"/>
              <w:jc w:val="center"/>
              <w:rPr>
                <w:rFonts w:ascii="仿宋" w:hAnsi="仿宋" w:eastAsia="仿宋" w:cs="Times New Roman"/>
                <w:sz w:val="24"/>
                <w:szCs w:val="24"/>
              </w:rPr>
            </w:pPr>
          </w:p>
        </w:tc>
        <w:tc>
          <w:tcPr>
            <w:tcW w:w="848" w:type="dxa"/>
            <w:vAlign w:val="center"/>
          </w:tcPr>
          <w:p>
            <w:pPr>
              <w:spacing w:line="360" w:lineRule="auto"/>
              <w:jc w:val="center"/>
              <w:rPr>
                <w:rFonts w:ascii="仿宋" w:hAnsi="仿宋" w:eastAsia="仿宋" w:cs="Times New Roman"/>
                <w:sz w:val="24"/>
                <w:szCs w:val="24"/>
              </w:rPr>
            </w:pPr>
          </w:p>
        </w:tc>
        <w:tc>
          <w:tcPr>
            <w:tcW w:w="892" w:type="dxa"/>
            <w:vAlign w:val="center"/>
          </w:tcPr>
          <w:p>
            <w:pPr>
              <w:spacing w:line="360" w:lineRule="auto"/>
              <w:jc w:val="center"/>
              <w:rPr>
                <w:rFonts w:ascii="仿宋" w:hAnsi="仿宋" w:eastAsia="仿宋" w:cs="Times New Roman"/>
                <w:sz w:val="24"/>
                <w:szCs w:val="24"/>
              </w:rPr>
            </w:pPr>
          </w:p>
        </w:tc>
        <w:tc>
          <w:tcPr>
            <w:tcW w:w="862" w:type="dxa"/>
            <w:vAlign w:val="center"/>
          </w:tcPr>
          <w:p>
            <w:pPr>
              <w:spacing w:line="360" w:lineRule="auto"/>
              <w:jc w:val="center"/>
              <w:rPr>
                <w:rFonts w:ascii="仿宋" w:hAnsi="仿宋" w:eastAsia="仿宋" w:cs="Times New Roman"/>
                <w:sz w:val="24"/>
                <w:szCs w:val="24"/>
              </w:rPr>
            </w:pPr>
          </w:p>
        </w:tc>
        <w:tc>
          <w:tcPr>
            <w:tcW w:w="860"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pPr>
              <w:spacing w:line="360" w:lineRule="auto"/>
              <w:jc w:val="center"/>
              <w:rPr>
                <w:rFonts w:ascii="仿宋" w:hAnsi="仿宋" w:eastAsia="仿宋" w:cs="Times New Roman"/>
                <w:sz w:val="24"/>
                <w:szCs w:val="24"/>
              </w:rPr>
            </w:pPr>
          </w:p>
        </w:tc>
        <w:tc>
          <w:tcPr>
            <w:tcW w:w="923" w:type="dxa"/>
            <w:vAlign w:val="center"/>
          </w:tcPr>
          <w:p>
            <w:pPr>
              <w:spacing w:line="360" w:lineRule="auto"/>
              <w:jc w:val="center"/>
              <w:rPr>
                <w:rFonts w:ascii="仿宋" w:hAnsi="仿宋" w:eastAsia="仿宋" w:cs="Times New Roman"/>
                <w:sz w:val="24"/>
                <w:szCs w:val="24"/>
              </w:rPr>
            </w:pPr>
          </w:p>
        </w:tc>
        <w:tc>
          <w:tcPr>
            <w:tcW w:w="1639" w:type="dxa"/>
            <w:vAlign w:val="center"/>
          </w:tcPr>
          <w:p>
            <w:pPr>
              <w:spacing w:line="360" w:lineRule="auto"/>
              <w:jc w:val="center"/>
              <w:rPr>
                <w:rFonts w:ascii="仿宋" w:hAnsi="仿宋" w:eastAsia="仿宋" w:cs="Times New Roman"/>
                <w:sz w:val="24"/>
                <w:szCs w:val="24"/>
              </w:rPr>
            </w:pPr>
          </w:p>
        </w:tc>
        <w:tc>
          <w:tcPr>
            <w:tcW w:w="2550" w:type="dxa"/>
            <w:vAlign w:val="center"/>
          </w:tcPr>
          <w:p>
            <w:pPr>
              <w:spacing w:line="360" w:lineRule="auto"/>
              <w:jc w:val="center"/>
              <w:rPr>
                <w:rFonts w:ascii="仿宋" w:hAnsi="仿宋" w:eastAsia="仿宋" w:cs="Times New Roman"/>
                <w:sz w:val="24"/>
                <w:szCs w:val="24"/>
              </w:rPr>
            </w:pPr>
          </w:p>
        </w:tc>
        <w:tc>
          <w:tcPr>
            <w:tcW w:w="956" w:type="dxa"/>
            <w:vAlign w:val="center"/>
          </w:tcPr>
          <w:p>
            <w:pPr>
              <w:spacing w:line="360" w:lineRule="auto"/>
              <w:jc w:val="center"/>
              <w:rPr>
                <w:rFonts w:ascii="仿宋" w:hAnsi="仿宋" w:eastAsia="仿宋" w:cs="Times New Roman"/>
                <w:sz w:val="24"/>
                <w:szCs w:val="24"/>
              </w:rPr>
            </w:pPr>
          </w:p>
        </w:tc>
        <w:tc>
          <w:tcPr>
            <w:tcW w:w="859" w:type="dxa"/>
            <w:vAlign w:val="center"/>
          </w:tcPr>
          <w:p>
            <w:pPr>
              <w:spacing w:line="360" w:lineRule="auto"/>
              <w:jc w:val="center"/>
              <w:rPr>
                <w:rFonts w:ascii="仿宋" w:hAnsi="仿宋" w:eastAsia="仿宋" w:cs="Times New Roman"/>
                <w:sz w:val="24"/>
                <w:szCs w:val="24"/>
              </w:rPr>
            </w:pPr>
          </w:p>
        </w:tc>
        <w:tc>
          <w:tcPr>
            <w:tcW w:w="950" w:type="dxa"/>
            <w:vAlign w:val="center"/>
          </w:tcPr>
          <w:p>
            <w:pPr>
              <w:spacing w:line="360" w:lineRule="auto"/>
              <w:jc w:val="center"/>
              <w:rPr>
                <w:rFonts w:ascii="仿宋" w:hAnsi="仿宋" w:eastAsia="仿宋" w:cs="Times New Roman"/>
                <w:sz w:val="24"/>
                <w:szCs w:val="24"/>
              </w:rPr>
            </w:pPr>
          </w:p>
        </w:tc>
        <w:tc>
          <w:tcPr>
            <w:tcW w:w="860" w:type="dxa"/>
            <w:vAlign w:val="center"/>
          </w:tcPr>
          <w:p>
            <w:pPr>
              <w:spacing w:line="360" w:lineRule="auto"/>
              <w:jc w:val="center"/>
              <w:rPr>
                <w:rFonts w:ascii="仿宋" w:hAnsi="仿宋" w:eastAsia="仿宋" w:cs="Times New Roman"/>
                <w:sz w:val="24"/>
                <w:szCs w:val="24"/>
              </w:rPr>
            </w:pPr>
          </w:p>
        </w:tc>
        <w:tc>
          <w:tcPr>
            <w:tcW w:w="850" w:type="dxa"/>
            <w:vAlign w:val="center"/>
          </w:tcPr>
          <w:p>
            <w:pPr>
              <w:spacing w:line="360" w:lineRule="auto"/>
              <w:jc w:val="center"/>
              <w:rPr>
                <w:rFonts w:ascii="仿宋" w:hAnsi="仿宋" w:eastAsia="仿宋" w:cs="Times New Roman"/>
                <w:sz w:val="24"/>
                <w:szCs w:val="24"/>
              </w:rPr>
            </w:pPr>
          </w:p>
        </w:tc>
        <w:tc>
          <w:tcPr>
            <w:tcW w:w="865" w:type="dxa"/>
            <w:vAlign w:val="center"/>
          </w:tcPr>
          <w:p>
            <w:pPr>
              <w:spacing w:line="360" w:lineRule="auto"/>
              <w:jc w:val="center"/>
              <w:rPr>
                <w:rFonts w:ascii="仿宋" w:hAnsi="仿宋" w:eastAsia="仿宋" w:cs="Times New Roman"/>
                <w:sz w:val="24"/>
                <w:szCs w:val="24"/>
              </w:rPr>
            </w:pPr>
          </w:p>
        </w:tc>
        <w:tc>
          <w:tcPr>
            <w:tcW w:w="848" w:type="dxa"/>
            <w:vAlign w:val="center"/>
          </w:tcPr>
          <w:p>
            <w:pPr>
              <w:spacing w:line="360" w:lineRule="auto"/>
              <w:jc w:val="center"/>
              <w:rPr>
                <w:rFonts w:ascii="仿宋" w:hAnsi="仿宋" w:eastAsia="仿宋" w:cs="Times New Roman"/>
                <w:sz w:val="24"/>
                <w:szCs w:val="24"/>
              </w:rPr>
            </w:pPr>
          </w:p>
        </w:tc>
        <w:tc>
          <w:tcPr>
            <w:tcW w:w="892" w:type="dxa"/>
            <w:vAlign w:val="center"/>
          </w:tcPr>
          <w:p>
            <w:pPr>
              <w:spacing w:line="360" w:lineRule="auto"/>
              <w:jc w:val="center"/>
              <w:rPr>
                <w:rFonts w:ascii="仿宋" w:hAnsi="仿宋" w:eastAsia="仿宋" w:cs="Times New Roman"/>
                <w:sz w:val="24"/>
                <w:szCs w:val="24"/>
              </w:rPr>
            </w:pPr>
          </w:p>
        </w:tc>
        <w:tc>
          <w:tcPr>
            <w:tcW w:w="862" w:type="dxa"/>
            <w:vAlign w:val="center"/>
          </w:tcPr>
          <w:p>
            <w:pPr>
              <w:spacing w:line="360" w:lineRule="auto"/>
              <w:jc w:val="center"/>
              <w:rPr>
                <w:rFonts w:ascii="仿宋" w:hAnsi="仿宋" w:eastAsia="仿宋" w:cs="Times New Roman"/>
                <w:sz w:val="24"/>
                <w:szCs w:val="24"/>
              </w:rPr>
            </w:pPr>
          </w:p>
        </w:tc>
        <w:tc>
          <w:tcPr>
            <w:tcW w:w="860"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pPr>
              <w:spacing w:line="360" w:lineRule="auto"/>
              <w:jc w:val="center"/>
              <w:rPr>
                <w:rFonts w:ascii="仿宋" w:hAnsi="仿宋" w:eastAsia="仿宋" w:cs="Times New Roman"/>
                <w:sz w:val="24"/>
                <w:szCs w:val="24"/>
              </w:rPr>
            </w:pPr>
          </w:p>
        </w:tc>
        <w:tc>
          <w:tcPr>
            <w:tcW w:w="923" w:type="dxa"/>
            <w:vAlign w:val="center"/>
          </w:tcPr>
          <w:p>
            <w:pPr>
              <w:spacing w:line="360" w:lineRule="auto"/>
              <w:jc w:val="center"/>
              <w:rPr>
                <w:rFonts w:ascii="仿宋" w:hAnsi="仿宋" w:eastAsia="仿宋" w:cs="Times New Roman"/>
                <w:sz w:val="24"/>
                <w:szCs w:val="24"/>
              </w:rPr>
            </w:pPr>
          </w:p>
        </w:tc>
        <w:tc>
          <w:tcPr>
            <w:tcW w:w="1639" w:type="dxa"/>
            <w:vAlign w:val="center"/>
          </w:tcPr>
          <w:p>
            <w:pPr>
              <w:spacing w:line="360" w:lineRule="auto"/>
              <w:jc w:val="center"/>
              <w:rPr>
                <w:rFonts w:ascii="仿宋" w:hAnsi="仿宋" w:eastAsia="仿宋" w:cs="Times New Roman"/>
                <w:sz w:val="24"/>
                <w:szCs w:val="24"/>
              </w:rPr>
            </w:pPr>
          </w:p>
        </w:tc>
        <w:tc>
          <w:tcPr>
            <w:tcW w:w="2550" w:type="dxa"/>
            <w:vAlign w:val="center"/>
          </w:tcPr>
          <w:p>
            <w:pPr>
              <w:spacing w:line="360" w:lineRule="auto"/>
              <w:jc w:val="center"/>
              <w:rPr>
                <w:rFonts w:ascii="仿宋" w:hAnsi="仿宋" w:eastAsia="仿宋" w:cs="Times New Roman"/>
                <w:sz w:val="24"/>
                <w:szCs w:val="24"/>
              </w:rPr>
            </w:pPr>
          </w:p>
        </w:tc>
        <w:tc>
          <w:tcPr>
            <w:tcW w:w="956" w:type="dxa"/>
            <w:vAlign w:val="center"/>
          </w:tcPr>
          <w:p>
            <w:pPr>
              <w:spacing w:line="360" w:lineRule="auto"/>
              <w:jc w:val="center"/>
              <w:rPr>
                <w:rFonts w:ascii="仿宋" w:hAnsi="仿宋" w:eastAsia="仿宋" w:cs="Times New Roman"/>
                <w:sz w:val="24"/>
                <w:szCs w:val="24"/>
              </w:rPr>
            </w:pPr>
          </w:p>
        </w:tc>
        <w:tc>
          <w:tcPr>
            <w:tcW w:w="859" w:type="dxa"/>
            <w:vAlign w:val="center"/>
          </w:tcPr>
          <w:p>
            <w:pPr>
              <w:spacing w:line="360" w:lineRule="auto"/>
              <w:jc w:val="center"/>
              <w:rPr>
                <w:rFonts w:ascii="仿宋" w:hAnsi="仿宋" w:eastAsia="仿宋" w:cs="Times New Roman"/>
                <w:sz w:val="24"/>
                <w:szCs w:val="24"/>
              </w:rPr>
            </w:pPr>
          </w:p>
        </w:tc>
        <w:tc>
          <w:tcPr>
            <w:tcW w:w="950" w:type="dxa"/>
            <w:vAlign w:val="center"/>
          </w:tcPr>
          <w:p>
            <w:pPr>
              <w:spacing w:line="360" w:lineRule="auto"/>
              <w:jc w:val="center"/>
              <w:rPr>
                <w:rFonts w:ascii="仿宋" w:hAnsi="仿宋" w:eastAsia="仿宋" w:cs="Times New Roman"/>
                <w:sz w:val="24"/>
                <w:szCs w:val="24"/>
              </w:rPr>
            </w:pPr>
          </w:p>
        </w:tc>
        <w:tc>
          <w:tcPr>
            <w:tcW w:w="860" w:type="dxa"/>
            <w:vAlign w:val="center"/>
          </w:tcPr>
          <w:p>
            <w:pPr>
              <w:spacing w:line="360" w:lineRule="auto"/>
              <w:jc w:val="center"/>
              <w:rPr>
                <w:rFonts w:ascii="仿宋" w:hAnsi="仿宋" w:eastAsia="仿宋" w:cs="Times New Roman"/>
                <w:sz w:val="24"/>
                <w:szCs w:val="24"/>
              </w:rPr>
            </w:pPr>
          </w:p>
        </w:tc>
        <w:tc>
          <w:tcPr>
            <w:tcW w:w="850" w:type="dxa"/>
            <w:vAlign w:val="center"/>
          </w:tcPr>
          <w:p>
            <w:pPr>
              <w:spacing w:line="360" w:lineRule="auto"/>
              <w:jc w:val="center"/>
              <w:rPr>
                <w:rFonts w:ascii="仿宋" w:hAnsi="仿宋" w:eastAsia="仿宋" w:cs="Times New Roman"/>
                <w:sz w:val="24"/>
                <w:szCs w:val="24"/>
              </w:rPr>
            </w:pPr>
          </w:p>
        </w:tc>
        <w:tc>
          <w:tcPr>
            <w:tcW w:w="865" w:type="dxa"/>
            <w:vAlign w:val="center"/>
          </w:tcPr>
          <w:p>
            <w:pPr>
              <w:spacing w:line="360" w:lineRule="auto"/>
              <w:jc w:val="center"/>
              <w:rPr>
                <w:rFonts w:ascii="仿宋" w:hAnsi="仿宋" w:eastAsia="仿宋" w:cs="Times New Roman"/>
                <w:sz w:val="24"/>
                <w:szCs w:val="24"/>
              </w:rPr>
            </w:pPr>
          </w:p>
        </w:tc>
        <w:tc>
          <w:tcPr>
            <w:tcW w:w="848" w:type="dxa"/>
            <w:vAlign w:val="center"/>
          </w:tcPr>
          <w:p>
            <w:pPr>
              <w:spacing w:line="360" w:lineRule="auto"/>
              <w:jc w:val="center"/>
              <w:rPr>
                <w:rFonts w:ascii="仿宋" w:hAnsi="仿宋" w:eastAsia="仿宋" w:cs="Times New Roman"/>
                <w:sz w:val="24"/>
                <w:szCs w:val="24"/>
              </w:rPr>
            </w:pPr>
          </w:p>
        </w:tc>
        <w:tc>
          <w:tcPr>
            <w:tcW w:w="892" w:type="dxa"/>
            <w:vAlign w:val="center"/>
          </w:tcPr>
          <w:p>
            <w:pPr>
              <w:spacing w:line="360" w:lineRule="auto"/>
              <w:jc w:val="center"/>
              <w:rPr>
                <w:rFonts w:ascii="仿宋" w:hAnsi="仿宋" w:eastAsia="仿宋" w:cs="Times New Roman"/>
                <w:sz w:val="24"/>
                <w:szCs w:val="24"/>
              </w:rPr>
            </w:pPr>
          </w:p>
        </w:tc>
        <w:tc>
          <w:tcPr>
            <w:tcW w:w="862" w:type="dxa"/>
            <w:vAlign w:val="center"/>
          </w:tcPr>
          <w:p>
            <w:pPr>
              <w:spacing w:line="360" w:lineRule="auto"/>
              <w:jc w:val="center"/>
              <w:rPr>
                <w:rFonts w:ascii="仿宋" w:hAnsi="仿宋" w:eastAsia="仿宋" w:cs="Times New Roman"/>
                <w:sz w:val="24"/>
                <w:szCs w:val="24"/>
              </w:rPr>
            </w:pPr>
          </w:p>
        </w:tc>
        <w:tc>
          <w:tcPr>
            <w:tcW w:w="860"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pPr>
              <w:spacing w:line="360" w:lineRule="auto"/>
              <w:jc w:val="center"/>
              <w:rPr>
                <w:rFonts w:ascii="仿宋" w:hAnsi="仿宋" w:eastAsia="仿宋" w:cs="Times New Roman"/>
                <w:sz w:val="24"/>
                <w:szCs w:val="24"/>
              </w:rPr>
            </w:pPr>
          </w:p>
        </w:tc>
        <w:tc>
          <w:tcPr>
            <w:tcW w:w="923" w:type="dxa"/>
            <w:vAlign w:val="center"/>
          </w:tcPr>
          <w:p>
            <w:pPr>
              <w:spacing w:line="360" w:lineRule="auto"/>
              <w:jc w:val="center"/>
              <w:rPr>
                <w:rFonts w:ascii="仿宋" w:hAnsi="仿宋" w:eastAsia="仿宋" w:cs="Times New Roman"/>
                <w:sz w:val="24"/>
                <w:szCs w:val="24"/>
              </w:rPr>
            </w:pPr>
          </w:p>
        </w:tc>
        <w:tc>
          <w:tcPr>
            <w:tcW w:w="1639" w:type="dxa"/>
            <w:vAlign w:val="center"/>
          </w:tcPr>
          <w:p>
            <w:pPr>
              <w:spacing w:line="360" w:lineRule="auto"/>
              <w:jc w:val="center"/>
              <w:rPr>
                <w:rFonts w:ascii="仿宋" w:hAnsi="仿宋" w:eastAsia="仿宋" w:cs="Times New Roman"/>
                <w:sz w:val="24"/>
                <w:szCs w:val="24"/>
              </w:rPr>
            </w:pPr>
          </w:p>
        </w:tc>
        <w:tc>
          <w:tcPr>
            <w:tcW w:w="2550" w:type="dxa"/>
            <w:vAlign w:val="center"/>
          </w:tcPr>
          <w:p>
            <w:pPr>
              <w:spacing w:line="360" w:lineRule="auto"/>
              <w:jc w:val="center"/>
              <w:rPr>
                <w:rFonts w:ascii="仿宋" w:hAnsi="仿宋" w:eastAsia="仿宋" w:cs="Times New Roman"/>
                <w:sz w:val="24"/>
                <w:szCs w:val="24"/>
              </w:rPr>
            </w:pPr>
          </w:p>
        </w:tc>
        <w:tc>
          <w:tcPr>
            <w:tcW w:w="956" w:type="dxa"/>
            <w:vAlign w:val="center"/>
          </w:tcPr>
          <w:p>
            <w:pPr>
              <w:spacing w:line="360" w:lineRule="auto"/>
              <w:jc w:val="center"/>
              <w:rPr>
                <w:rFonts w:ascii="仿宋" w:hAnsi="仿宋" w:eastAsia="仿宋" w:cs="Times New Roman"/>
                <w:sz w:val="24"/>
                <w:szCs w:val="24"/>
              </w:rPr>
            </w:pPr>
          </w:p>
        </w:tc>
        <w:tc>
          <w:tcPr>
            <w:tcW w:w="859" w:type="dxa"/>
            <w:vAlign w:val="center"/>
          </w:tcPr>
          <w:p>
            <w:pPr>
              <w:spacing w:line="360" w:lineRule="auto"/>
              <w:jc w:val="center"/>
              <w:rPr>
                <w:rFonts w:ascii="仿宋" w:hAnsi="仿宋" w:eastAsia="仿宋" w:cs="Times New Roman"/>
                <w:sz w:val="24"/>
                <w:szCs w:val="24"/>
              </w:rPr>
            </w:pPr>
          </w:p>
        </w:tc>
        <w:tc>
          <w:tcPr>
            <w:tcW w:w="950" w:type="dxa"/>
            <w:vAlign w:val="center"/>
          </w:tcPr>
          <w:p>
            <w:pPr>
              <w:spacing w:line="360" w:lineRule="auto"/>
              <w:jc w:val="center"/>
              <w:rPr>
                <w:rFonts w:ascii="仿宋" w:hAnsi="仿宋" w:eastAsia="仿宋" w:cs="Times New Roman"/>
                <w:sz w:val="24"/>
                <w:szCs w:val="24"/>
              </w:rPr>
            </w:pPr>
          </w:p>
        </w:tc>
        <w:tc>
          <w:tcPr>
            <w:tcW w:w="860" w:type="dxa"/>
            <w:vAlign w:val="center"/>
          </w:tcPr>
          <w:p>
            <w:pPr>
              <w:spacing w:line="360" w:lineRule="auto"/>
              <w:jc w:val="center"/>
              <w:rPr>
                <w:rFonts w:ascii="仿宋" w:hAnsi="仿宋" w:eastAsia="仿宋" w:cs="Times New Roman"/>
                <w:sz w:val="24"/>
                <w:szCs w:val="24"/>
              </w:rPr>
            </w:pPr>
          </w:p>
        </w:tc>
        <w:tc>
          <w:tcPr>
            <w:tcW w:w="850" w:type="dxa"/>
            <w:vAlign w:val="center"/>
          </w:tcPr>
          <w:p>
            <w:pPr>
              <w:spacing w:line="360" w:lineRule="auto"/>
              <w:jc w:val="center"/>
              <w:rPr>
                <w:rFonts w:ascii="仿宋" w:hAnsi="仿宋" w:eastAsia="仿宋" w:cs="Times New Roman"/>
                <w:sz w:val="24"/>
                <w:szCs w:val="24"/>
              </w:rPr>
            </w:pPr>
          </w:p>
        </w:tc>
        <w:tc>
          <w:tcPr>
            <w:tcW w:w="865" w:type="dxa"/>
            <w:vAlign w:val="center"/>
          </w:tcPr>
          <w:p>
            <w:pPr>
              <w:spacing w:line="360" w:lineRule="auto"/>
              <w:jc w:val="center"/>
              <w:rPr>
                <w:rFonts w:ascii="仿宋" w:hAnsi="仿宋" w:eastAsia="仿宋" w:cs="Times New Roman"/>
                <w:sz w:val="24"/>
                <w:szCs w:val="24"/>
              </w:rPr>
            </w:pPr>
          </w:p>
        </w:tc>
        <w:tc>
          <w:tcPr>
            <w:tcW w:w="848" w:type="dxa"/>
            <w:vAlign w:val="center"/>
          </w:tcPr>
          <w:p>
            <w:pPr>
              <w:spacing w:line="360" w:lineRule="auto"/>
              <w:jc w:val="center"/>
              <w:rPr>
                <w:rFonts w:ascii="仿宋" w:hAnsi="仿宋" w:eastAsia="仿宋" w:cs="Times New Roman"/>
                <w:sz w:val="24"/>
                <w:szCs w:val="24"/>
              </w:rPr>
            </w:pPr>
          </w:p>
        </w:tc>
        <w:tc>
          <w:tcPr>
            <w:tcW w:w="892" w:type="dxa"/>
            <w:vAlign w:val="center"/>
          </w:tcPr>
          <w:p>
            <w:pPr>
              <w:spacing w:line="360" w:lineRule="auto"/>
              <w:jc w:val="center"/>
              <w:rPr>
                <w:rFonts w:ascii="仿宋" w:hAnsi="仿宋" w:eastAsia="仿宋" w:cs="Times New Roman"/>
                <w:sz w:val="24"/>
                <w:szCs w:val="24"/>
              </w:rPr>
            </w:pPr>
          </w:p>
        </w:tc>
        <w:tc>
          <w:tcPr>
            <w:tcW w:w="862" w:type="dxa"/>
            <w:vAlign w:val="center"/>
          </w:tcPr>
          <w:p>
            <w:pPr>
              <w:spacing w:line="360" w:lineRule="auto"/>
              <w:jc w:val="center"/>
              <w:rPr>
                <w:rFonts w:ascii="仿宋" w:hAnsi="仿宋" w:eastAsia="仿宋" w:cs="Times New Roman"/>
                <w:sz w:val="24"/>
                <w:szCs w:val="24"/>
              </w:rPr>
            </w:pPr>
          </w:p>
        </w:tc>
        <w:tc>
          <w:tcPr>
            <w:tcW w:w="860"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pPr>
              <w:spacing w:line="360" w:lineRule="auto"/>
              <w:jc w:val="center"/>
              <w:rPr>
                <w:rFonts w:ascii="仿宋" w:hAnsi="仿宋" w:eastAsia="仿宋" w:cs="Times New Roman"/>
                <w:sz w:val="24"/>
                <w:szCs w:val="24"/>
              </w:rPr>
            </w:pPr>
          </w:p>
        </w:tc>
        <w:tc>
          <w:tcPr>
            <w:tcW w:w="923" w:type="dxa"/>
            <w:vAlign w:val="center"/>
          </w:tcPr>
          <w:p>
            <w:pPr>
              <w:spacing w:line="360" w:lineRule="auto"/>
              <w:jc w:val="center"/>
              <w:rPr>
                <w:rFonts w:ascii="仿宋" w:hAnsi="仿宋" w:eastAsia="仿宋" w:cs="Times New Roman"/>
                <w:sz w:val="24"/>
                <w:szCs w:val="24"/>
              </w:rPr>
            </w:pPr>
          </w:p>
        </w:tc>
        <w:tc>
          <w:tcPr>
            <w:tcW w:w="1639" w:type="dxa"/>
            <w:vAlign w:val="center"/>
          </w:tcPr>
          <w:p>
            <w:pPr>
              <w:spacing w:line="360" w:lineRule="auto"/>
              <w:jc w:val="center"/>
              <w:rPr>
                <w:rFonts w:ascii="仿宋" w:hAnsi="仿宋" w:eastAsia="仿宋" w:cs="Times New Roman"/>
                <w:sz w:val="24"/>
                <w:szCs w:val="24"/>
              </w:rPr>
            </w:pPr>
          </w:p>
        </w:tc>
        <w:tc>
          <w:tcPr>
            <w:tcW w:w="2550" w:type="dxa"/>
            <w:vAlign w:val="center"/>
          </w:tcPr>
          <w:p>
            <w:pPr>
              <w:spacing w:line="360" w:lineRule="auto"/>
              <w:jc w:val="center"/>
              <w:rPr>
                <w:rFonts w:ascii="仿宋" w:hAnsi="仿宋" w:eastAsia="仿宋" w:cs="Times New Roman"/>
                <w:sz w:val="24"/>
                <w:szCs w:val="24"/>
              </w:rPr>
            </w:pPr>
          </w:p>
        </w:tc>
        <w:tc>
          <w:tcPr>
            <w:tcW w:w="956" w:type="dxa"/>
            <w:vAlign w:val="center"/>
          </w:tcPr>
          <w:p>
            <w:pPr>
              <w:spacing w:line="360" w:lineRule="auto"/>
              <w:jc w:val="center"/>
              <w:rPr>
                <w:rFonts w:ascii="仿宋" w:hAnsi="仿宋" w:eastAsia="仿宋" w:cs="Times New Roman"/>
                <w:sz w:val="24"/>
                <w:szCs w:val="24"/>
              </w:rPr>
            </w:pPr>
          </w:p>
        </w:tc>
        <w:tc>
          <w:tcPr>
            <w:tcW w:w="859" w:type="dxa"/>
            <w:vAlign w:val="center"/>
          </w:tcPr>
          <w:p>
            <w:pPr>
              <w:spacing w:line="360" w:lineRule="auto"/>
              <w:jc w:val="center"/>
              <w:rPr>
                <w:rFonts w:ascii="仿宋" w:hAnsi="仿宋" w:eastAsia="仿宋" w:cs="Times New Roman"/>
                <w:sz w:val="24"/>
                <w:szCs w:val="24"/>
              </w:rPr>
            </w:pPr>
          </w:p>
        </w:tc>
        <w:tc>
          <w:tcPr>
            <w:tcW w:w="950" w:type="dxa"/>
            <w:vAlign w:val="center"/>
          </w:tcPr>
          <w:p>
            <w:pPr>
              <w:spacing w:line="360" w:lineRule="auto"/>
              <w:jc w:val="center"/>
              <w:rPr>
                <w:rFonts w:ascii="仿宋" w:hAnsi="仿宋" w:eastAsia="仿宋" w:cs="Times New Roman"/>
                <w:sz w:val="24"/>
                <w:szCs w:val="24"/>
              </w:rPr>
            </w:pPr>
          </w:p>
        </w:tc>
        <w:tc>
          <w:tcPr>
            <w:tcW w:w="860" w:type="dxa"/>
            <w:vAlign w:val="center"/>
          </w:tcPr>
          <w:p>
            <w:pPr>
              <w:spacing w:line="360" w:lineRule="auto"/>
              <w:jc w:val="center"/>
              <w:rPr>
                <w:rFonts w:ascii="仿宋" w:hAnsi="仿宋" w:eastAsia="仿宋" w:cs="Times New Roman"/>
                <w:sz w:val="24"/>
                <w:szCs w:val="24"/>
              </w:rPr>
            </w:pPr>
          </w:p>
        </w:tc>
        <w:tc>
          <w:tcPr>
            <w:tcW w:w="850" w:type="dxa"/>
            <w:vAlign w:val="center"/>
          </w:tcPr>
          <w:p>
            <w:pPr>
              <w:spacing w:line="360" w:lineRule="auto"/>
              <w:jc w:val="center"/>
              <w:rPr>
                <w:rFonts w:ascii="仿宋" w:hAnsi="仿宋" w:eastAsia="仿宋" w:cs="Times New Roman"/>
                <w:sz w:val="24"/>
                <w:szCs w:val="24"/>
              </w:rPr>
            </w:pPr>
          </w:p>
        </w:tc>
        <w:tc>
          <w:tcPr>
            <w:tcW w:w="865" w:type="dxa"/>
            <w:vAlign w:val="center"/>
          </w:tcPr>
          <w:p>
            <w:pPr>
              <w:spacing w:line="360" w:lineRule="auto"/>
              <w:jc w:val="center"/>
              <w:rPr>
                <w:rFonts w:ascii="仿宋" w:hAnsi="仿宋" w:eastAsia="仿宋" w:cs="Times New Roman"/>
                <w:sz w:val="24"/>
                <w:szCs w:val="24"/>
              </w:rPr>
            </w:pPr>
          </w:p>
        </w:tc>
        <w:tc>
          <w:tcPr>
            <w:tcW w:w="848" w:type="dxa"/>
            <w:vAlign w:val="center"/>
          </w:tcPr>
          <w:p>
            <w:pPr>
              <w:spacing w:line="360" w:lineRule="auto"/>
              <w:jc w:val="center"/>
              <w:rPr>
                <w:rFonts w:ascii="仿宋" w:hAnsi="仿宋" w:eastAsia="仿宋" w:cs="Times New Roman"/>
                <w:sz w:val="24"/>
                <w:szCs w:val="24"/>
              </w:rPr>
            </w:pPr>
          </w:p>
        </w:tc>
        <w:tc>
          <w:tcPr>
            <w:tcW w:w="892" w:type="dxa"/>
            <w:vAlign w:val="center"/>
          </w:tcPr>
          <w:p>
            <w:pPr>
              <w:spacing w:line="360" w:lineRule="auto"/>
              <w:jc w:val="center"/>
              <w:rPr>
                <w:rFonts w:ascii="仿宋" w:hAnsi="仿宋" w:eastAsia="仿宋" w:cs="Times New Roman"/>
                <w:sz w:val="24"/>
                <w:szCs w:val="24"/>
              </w:rPr>
            </w:pPr>
          </w:p>
        </w:tc>
        <w:tc>
          <w:tcPr>
            <w:tcW w:w="862" w:type="dxa"/>
            <w:vAlign w:val="center"/>
          </w:tcPr>
          <w:p>
            <w:pPr>
              <w:spacing w:line="360" w:lineRule="auto"/>
              <w:jc w:val="center"/>
              <w:rPr>
                <w:rFonts w:ascii="仿宋" w:hAnsi="仿宋" w:eastAsia="仿宋" w:cs="Times New Roman"/>
                <w:sz w:val="24"/>
                <w:szCs w:val="24"/>
              </w:rPr>
            </w:pPr>
          </w:p>
        </w:tc>
        <w:tc>
          <w:tcPr>
            <w:tcW w:w="860"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pPr>
              <w:spacing w:line="360" w:lineRule="auto"/>
              <w:jc w:val="center"/>
              <w:rPr>
                <w:rFonts w:ascii="仿宋" w:hAnsi="仿宋" w:eastAsia="仿宋" w:cs="Times New Roman"/>
                <w:sz w:val="24"/>
                <w:szCs w:val="24"/>
              </w:rPr>
            </w:pPr>
          </w:p>
        </w:tc>
        <w:tc>
          <w:tcPr>
            <w:tcW w:w="923" w:type="dxa"/>
            <w:vAlign w:val="center"/>
          </w:tcPr>
          <w:p>
            <w:pPr>
              <w:spacing w:line="360" w:lineRule="auto"/>
              <w:jc w:val="center"/>
              <w:rPr>
                <w:rFonts w:ascii="仿宋" w:hAnsi="仿宋" w:eastAsia="仿宋" w:cs="Times New Roman"/>
                <w:sz w:val="24"/>
                <w:szCs w:val="24"/>
              </w:rPr>
            </w:pPr>
          </w:p>
        </w:tc>
        <w:tc>
          <w:tcPr>
            <w:tcW w:w="1639" w:type="dxa"/>
            <w:vAlign w:val="center"/>
          </w:tcPr>
          <w:p>
            <w:pPr>
              <w:spacing w:line="360" w:lineRule="auto"/>
              <w:jc w:val="center"/>
              <w:rPr>
                <w:rFonts w:ascii="仿宋" w:hAnsi="仿宋" w:eastAsia="仿宋" w:cs="Times New Roman"/>
                <w:sz w:val="24"/>
                <w:szCs w:val="24"/>
              </w:rPr>
            </w:pPr>
          </w:p>
        </w:tc>
        <w:tc>
          <w:tcPr>
            <w:tcW w:w="2550" w:type="dxa"/>
            <w:vAlign w:val="center"/>
          </w:tcPr>
          <w:p>
            <w:pPr>
              <w:spacing w:line="360" w:lineRule="auto"/>
              <w:jc w:val="center"/>
              <w:rPr>
                <w:rFonts w:ascii="仿宋" w:hAnsi="仿宋" w:eastAsia="仿宋" w:cs="Times New Roman"/>
                <w:sz w:val="24"/>
                <w:szCs w:val="24"/>
              </w:rPr>
            </w:pPr>
          </w:p>
        </w:tc>
        <w:tc>
          <w:tcPr>
            <w:tcW w:w="956" w:type="dxa"/>
            <w:vAlign w:val="center"/>
          </w:tcPr>
          <w:p>
            <w:pPr>
              <w:spacing w:line="360" w:lineRule="auto"/>
              <w:jc w:val="center"/>
              <w:rPr>
                <w:rFonts w:ascii="仿宋" w:hAnsi="仿宋" w:eastAsia="仿宋" w:cs="Times New Roman"/>
                <w:sz w:val="24"/>
                <w:szCs w:val="24"/>
              </w:rPr>
            </w:pPr>
          </w:p>
        </w:tc>
        <w:tc>
          <w:tcPr>
            <w:tcW w:w="859" w:type="dxa"/>
            <w:vAlign w:val="center"/>
          </w:tcPr>
          <w:p>
            <w:pPr>
              <w:spacing w:line="360" w:lineRule="auto"/>
              <w:jc w:val="center"/>
              <w:rPr>
                <w:rFonts w:ascii="仿宋" w:hAnsi="仿宋" w:eastAsia="仿宋" w:cs="Times New Roman"/>
                <w:sz w:val="24"/>
                <w:szCs w:val="24"/>
              </w:rPr>
            </w:pPr>
          </w:p>
        </w:tc>
        <w:tc>
          <w:tcPr>
            <w:tcW w:w="950" w:type="dxa"/>
            <w:vAlign w:val="center"/>
          </w:tcPr>
          <w:p>
            <w:pPr>
              <w:spacing w:line="360" w:lineRule="auto"/>
              <w:jc w:val="center"/>
              <w:rPr>
                <w:rFonts w:ascii="仿宋" w:hAnsi="仿宋" w:eastAsia="仿宋" w:cs="Times New Roman"/>
                <w:sz w:val="24"/>
                <w:szCs w:val="24"/>
              </w:rPr>
            </w:pPr>
          </w:p>
        </w:tc>
        <w:tc>
          <w:tcPr>
            <w:tcW w:w="860" w:type="dxa"/>
            <w:vAlign w:val="center"/>
          </w:tcPr>
          <w:p>
            <w:pPr>
              <w:spacing w:line="360" w:lineRule="auto"/>
              <w:jc w:val="center"/>
              <w:rPr>
                <w:rFonts w:ascii="仿宋" w:hAnsi="仿宋" w:eastAsia="仿宋" w:cs="Times New Roman"/>
                <w:sz w:val="24"/>
                <w:szCs w:val="24"/>
              </w:rPr>
            </w:pPr>
          </w:p>
        </w:tc>
        <w:tc>
          <w:tcPr>
            <w:tcW w:w="850" w:type="dxa"/>
            <w:vAlign w:val="center"/>
          </w:tcPr>
          <w:p>
            <w:pPr>
              <w:spacing w:line="360" w:lineRule="auto"/>
              <w:jc w:val="center"/>
              <w:rPr>
                <w:rFonts w:ascii="仿宋" w:hAnsi="仿宋" w:eastAsia="仿宋" w:cs="Times New Roman"/>
                <w:sz w:val="24"/>
                <w:szCs w:val="24"/>
              </w:rPr>
            </w:pPr>
          </w:p>
        </w:tc>
        <w:tc>
          <w:tcPr>
            <w:tcW w:w="865" w:type="dxa"/>
            <w:vAlign w:val="center"/>
          </w:tcPr>
          <w:p>
            <w:pPr>
              <w:spacing w:line="360" w:lineRule="auto"/>
              <w:jc w:val="center"/>
              <w:rPr>
                <w:rFonts w:ascii="仿宋" w:hAnsi="仿宋" w:eastAsia="仿宋" w:cs="Times New Roman"/>
                <w:sz w:val="24"/>
                <w:szCs w:val="24"/>
              </w:rPr>
            </w:pPr>
          </w:p>
        </w:tc>
        <w:tc>
          <w:tcPr>
            <w:tcW w:w="848" w:type="dxa"/>
            <w:vAlign w:val="center"/>
          </w:tcPr>
          <w:p>
            <w:pPr>
              <w:spacing w:line="360" w:lineRule="auto"/>
              <w:jc w:val="center"/>
              <w:rPr>
                <w:rFonts w:ascii="仿宋" w:hAnsi="仿宋" w:eastAsia="仿宋" w:cs="Times New Roman"/>
                <w:sz w:val="24"/>
                <w:szCs w:val="24"/>
              </w:rPr>
            </w:pPr>
          </w:p>
        </w:tc>
        <w:tc>
          <w:tcPr>
            <w:tcW w:w="892" w:type="dxa"/>
            <w:vAlign w:val="center"/>
          </w:tcPr>
          <w:p>
            <w:pPr>
              <w:spacing w:line="360" w:lineRule="auto"/>
              <w:jc w:val="center"/>
              <w:rPr>
                <w:rFonts w:ascii="仿宋" w:hAnsi="仿宋" w:eastAsia="仿宋" w:cs="Times New Roman"/>
                <w:sz w:val="24"/>
                <w:szCs w:val="24"/>
              </w:rPr>
            </w:pPr>
          </w:p>
        </w:tc>
        <w:tc>
          <w:tcPr>
            <w:tcW w:w="862" w:type="dxa"/>
            <w:vAlign w:val="center"/>
          </w:tcPr>
          <w:p>
            <w:pPr>
              <w:spacing w:line="360" w:lineRule="auto"/>
              <w:jc w:val="center"/>
              <w:rPr>
                <w:rFonts w:ascii="仿宋" w:hAnsi="仿宋" w:eastAsia="仿宋" w:cs="Times New Roman"/>
                <w:sz w:val="24"/>
                <w:szCs w:val="24"/>
              </w:rPr>
            </w:pPr>
          </w:p>
        </w:tc>
        <w:tc>
          <w:tcPr>
            <w:tcW w:w="860"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pPr>
              <w:spacing w:line="360" w:lineRule="auto"/>
              <w:jc w:val="center"/>
              <w:rPr>
                <w:rFonts w:ascii="仿宋" w:hAnsi="仿宋" w:eastAsia="仿宋" w:cs="Times New Roman"/>
                <w:sz w:val="24"/>
                <w:szCs w:val="24"/>
              </w:rPr>
            </w:pPr>
          </w:p>
        </w:tc>
        <w:tc>
          <w:tcPr>
            <w:tcW w:w="923" w:type="dxa"/>
            <w:vAlign w:val="center"/>
          </w:tcPr>
          <w:p>
            <w:pPr>
              <w:spacing w:line="360" w:lineRule="auto"/>
              <w:jc w:val="center"/>
              <w:rPr>
                <w:rFonts w:ascii="仿宋" w:hAnsi="仿宋" w:eastAsia="仿宋" w:cs="Times New Roman"/>
                <w:sz w:val="24"/>
                <w:szCs w:val="24"/>
              </w:rPr>
            </w:pPr>
          </w:p>
        </w:tc>
        <w:tc>
          <w:tcPr>
            <w:tcW w:w="1639" w:type="dxa"/>
            <w:vAlign w:val="center"/>
          </w:tcPr>
          <w:p>
            <w:pPr>
              <w:spacing w:line="360" w:lineRule="auto"/>
              <w:jc w:val="center"/>
              <w:rPr>
                <w:rFonts w:ascii="仿宋" w:hAnsi="仿宋" w:eastAsia="仿宋" w:cs="Times New Roman"/>
                <w:sz w:val="24"/>
                <w:szCs w:val="24"/>
              </w:rPr>
            </w:pPr>
          </w:p>
        </w:tc>
        <w:tc>
          <w:tcPr>
            <w:tcW w:w="2550" w:type="dxa"/>
            <w:vAlign w:val="center"/>
          </w:tcPr>
          <w:p>
            <w:pPr>
              <w:spacing w:line="360" w:lineRule="auto"/>
              <w:jc w:val="center"/>
              <w:rPr>
                <w:rFonts w:ascii="仿宋" w:hAnsi="仿宋" w:eastAsia="仿宋" w:cs="Times New Roman"/>
                <w:sz w:val="24"/>
                <w:szCs w:val="24"/>
              </w:rPr>
            </w:pPr>
          </w:p>
        </w:tc>
        <w:tc>
          <w:tcPr>
            <w:tcW w:w="956" w:type="dxa"/>
            <w:vAlign w:val="center"/>
          </w:tcPr>
          <w:p>
            <w:pPr>
              <w:spacing w:line="360" w:lineRule="auto"/>
              <w:jc w:val="center"/>
              <w:rPr>
                <w:rFonts w:ascii="仿宋" w:hAnsi="仿宋" w:eastAsia="仿宋" w:cs="Times New Roman"/>
                <w:sz w:val="24"/>
                <w:szCs w:val="24"/>
              </w:rPr>
            </w:pPr>
          </w:p>
        </w:tc>
        <w:tc>
          <w:tcPr>
            <w:tcW w:w="859" w:type="dxa"/>
            <w:vAlign w:val="center"/>
          </w:tcPr>
          <w:p>
            <w:pPr>
              <w:spacing w:line="360" w:lineRule="auto"/>
              <w:jc w:val="center"/>
              <w:rPr>
                <w:rFonts w:ascii="仿宋" w:hAnsi="仿宋" w:eastAsia="仿宋" w:cs="Times New Roman"/>
                <w:sz w:val="24"/>
                <w:szCs w:val="24"/>
              </w:rPr>
            </w:pPr>
          </w:p>
        </w:tc>
        <w:tc>
          <w:tcPr>
            <w:tcW w:w="950" w:type="dxa"/>
            <w:vAlign w:val="center"/>
          </w:tcPr>
          <w:p>
            <w:pPr>
              <w:spacing w:line="360" w:lineRule="auto"/>
              <w:jc w:val="center"/>
              <w:rPr>
                <w:rFonts w:ascii="仿宋" w:hAnsi="仿宋" w:eastAsia="仿宋" w:cs="Times New Roman"/>
                <w:sz w:val="24"/>
                <w:szCs w:val="24"/>
              </w:rPr>
            </w:pPr>
          </w:p>
        </w:tc>
        <w:tc>
          <w:tcPr>
            <w:tcW w:w="860" w:type="dxa"/>
            <w:vAlign w:val="center"/>
          </w:tcPr>
          <w:p>
            <w:pPr>
              <w:spacing w:line="360" w:lineRule="auto"/>
              <w:jc w:val="center"/>
              <w:rPr>
                <w:rFonts w:ascii="仿宋" w:hAnsi="仿宋" w:eastAsia="仿宋" w:cs="Times New Roman"/>
                <w:sz w:val="24"/>
                <w:szCs w:val="24"/>
              </w:rPr>
            </w:pPr>
          </w:p>
        </w:tc>
        <w:tc>
          <w:tcPr>
            <w:tcW w:w="850" w:type="dxa"/>
            <w:vAlign w:val="center"/>
          </w:tcPr>
          <w:p>
            <w:pPr>
              <w:spacing w:line="360" w:lineRule="auto"/>
              <w:jc w:val="center"/>
              <w:rPr>
                <w:rFonts w:ascii="仿宋" w:hAnsi="仿宋" w:eastAsia="仿宋" w:cs="Times New Roman"/>
                <w:sz w:val="24"/>
                <w:szCs w:val="24"/>
              </w:rPr>
            </w:pPr>
          </w:p>
        </w:tc>
        <w:tc>
          <w:tcPr>
            <w:tcW w:w="865" w:type="dxa"/>
            <w:vAlign w:val="center"/>
          </w:tcPr>
          <w:p>
            <w:pPr>
              <w:spacing w:line="360" w:lineRule="auto"/>
              <w:jc w:val="center"/>
              <w:rPr>
                <w:rFonts w:ascii="仿宋" w:hAnsi="仿宋" w:eastAsia="仿宋" w:cs="Times New Roman"/>
                <w:sz w:val="24"/>
                <w:szCs w:val="24"/>
              </w:rPr>
            </w:pPr>
          </w:p>
        </w:tc>
        <w:tc>
          <w:tcPr>
            <w:tcW w:w="848" w:type="dxa"/>
            <w:vAlign w:val="center"/>
          </w:tcPr>
          <w:p>
            <w:pPr>
              <w:spacing w:line="360" w:lineRule="auto"/>
              <w:jc w:val="center"/>
              <w:rPr>
                <w:rFonts w:ascii="仿宋" w:hAnsi="仿宋" w:eastAsia="仿宋" w:cs="Times New Roman"/>
                <w:sz w:val="24"/>
                <w:szCs w:val="24"/>
              </w:rPr>
            </w:pPr>
          </w:p>
        </w:tc>
        <w:tc>
          <w:tcPr>
            <w:tcW w:w="892" w:type="dxa"/>
            <w:vAlign w:val="center"/>
          </w:tcPr>
          <w:p>
            <w:pPr>
              <w:spacing w:line="360" w:lineRule="auto"/>
              <w:jc w:val="center"/>
              <w:rPr>
                <w:rFonts w:ascii="仿宋" w:hAnsi="仿宋" w:eastAsia="仿宋" w:cs="Times New Roman"/>
                <w:sz w:val="24"/>
                <w:szCs w:val="24"/>
              </w:rPr>
            </w:pPr>
          </w:p>
        </w:tc>
        <w:tc>
          <w:tcPr>
            <w:tcW w:w="862" w:type="dxa"/>
            <w:vAlign w:val="center"/>
          </w:tcPr>
          <w:p>
            <w:pPr>
              <w:spacing w:line="360" w:lineRule="auto"/>
              <w:jc w:val="center"/>
              <w:rPr>
                <w:rFonts w:ascii="仿宋" w:hAnsi="仿宋" w:eastAsia="仿宋" w:cs="Times New Roman"/>
                <w:sz w:val="24"/>
                <w:szCs w:val="24"/>
              </w:rPr>
            </w:pPr>
          </w:p>
        </w:tc>
        <w:tc>
          <w:tcPr>
            <w:tcW w:w="860"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pPr>
              <w:spacing w:line="360" w:lineRule="auto"/>
              <w:jc w:val="center"/>
              <w:rPr>
                <w:rFonts w:ascii="仿宋" w:hAnsi="仿宋" w:eastAsia="仿宋" w:cs="Times New Roman"/>
              </w:rPr>
            </w:pPr>
          </w:p>
        </w:tc>
        <w:tc>
          <w:tcPr>
            <w:tcW w:w="923" w:type="dxa"/>
            <w:vAlign w:val="center"/>
          </w:tcPr>
          <w:p>
            <w:pPr>
              <w:spacing w:line="360" w:lineRule="auto"/>
              <w:jc w:val="center"/>
              <w:rPr>
                <w:rFonts w:ascii="仿宋" w:hAnsi="仿宋" w:eastAsia="仿宋" w:cs="Times New Roman"/>
              </w:rPr>
            </w:pPr>
          </w:p>
        </w:tc>
        <w:tc>
          <w:tcPr>
            <w:tcW w:w="1639" w:type="dxa"/>
            <w:vAlign w:val="center"/>
          </w:tcPr>
          <w:p>
            <w:pPr>
              <w:spacing w:line="360" w:lineRule="auto"/>
              <w:jc w:val="center"/>
              <w:rPr>
                <w:rFonts w:ascii="仿宋" w:hAnsi="仿宋" w:eastAsia="仿宋" w:cs="Times New Roman"/>
              </w:rPr>
            </w:pPr>
            <w:r>
              <w:rPr>
                <w:rFonts w:hint="eastAsia" w:ascii="仿宋" w:hAnsi="仿宋" w:eastAsia="仿宋" w:cs="仿宋"/>
              </w:rPr>
              <w:t>本页小计</w:t>
            </w:r>
          </w:p>
        </w:tc>
        <w:tc>
          <w:tcPr>
            <w:tcW w:w="2550" w:type="dxa"/>
            <w:vAlign w:val="center"/>
          </w:tcPr>
          <w:p>
            <w:pPr>
              <w:spacing w:line="360" w:lineRule="auto"/>
              <w:jc w:val="center"/>
              <w:rPr>
                <w:rFonts w:ascii="仿宋" w:hAnsi="仿宋" w:eastAsia="仿宋" w:cs="Times New Roman"/>
              </w:rPr>
            </w:pPr>
            <w:r>
              <w:rPr>
                <w:rFonts w:hint="eastAsia" w:ascii="仿宋" w:hAnsi="仿宋" w:eastAsia="仿宋" w:cs="仿宋"/>
              </w:rPr>
              <w:t>元</w:t>
            </w:r>
          </w:p>
        </w:tc>
        <w:tc>
          <w:tcPr>
            <w:tcW w:w="956" w:type="dxa"/>
            <w:vAlign w:val="center"/>
          </w:tcPr>
          <w:p>
            <w:pPr>
              <w:spacing w:line="360" w:lineRule="auto"/>
              <w:jc w:val="center"/>
              <w:rPr>
                <w:rFonts w:ascii="仿宋" w:hAnsi="仿宋" w:eastAsia="仿宋" w:cs="Times New Roman"/>
              </w:rPr>
            </w:pPr>
          </w:p>
        </w:tc>
        <w:tc>
          <w:tcPr>
            <w:tcW w:w="859" w:type="dxa"/>
            <w:vAlign w:val="center"/>
          </w:tcPr>
          <w:p>
            <w:pPr>
              <w:spacing w:line="360" w:lineRule="auto"/>
              <w:jc w:val="center"/>
              <w:rPr>
                <w:rFonts w:ascii="仿宋" w:hAnsi="仿宋" w:eastAsia="仿宋" w:cs="Times New Roman"/>
              </w:rPr>
            </w:pPr>
          </w:p>
        </w:tc>
        <w:tc>
          <w:tcPr>
            <w:tcW w:w="950" w:type="dxa"/>
            <w:vAlign w:val="center"/>
          </w:tcPr>
          <w:p>
            <w:pPr>
              <w:spacing w:line="360" w:lineRule="auto"/>
              <w:jc w:val="center"/>
              <w:rPr>
                <w:rFonts w:ascii="仿宋" w:hAnsi="仿宋" w:eastAsia="仿宋" w:cs="Times New Roman"/>
              </w:rPr>
            </w:pPr>
          </w:p>
        </w:tc>
        <w:tc>
          <w:tcPr>
            <w:tcW w:w="860" w:type="dxa"/>
            <w:vAlign w:val="center"/>
          </w:tcPr>
          <w:p>
            <w:pPr>
              <w:spacing w:line="360" w:lineRule="auto"/>
              <w:jc w:val="center"/>
              <w:rPr>
                <w:rFonts w:ascii="仿宋" w:hAnsi="仿宋" w:eastAsia="仿宋" w:cs="Times New Roman"/>
              </w:rPr>
            </w:pPr>
          </w:p>
        </w:tc>
        <w:tc>
          <w:tcPr>
            <w:tcW w:w="850" w:type="dxa"/>
            <w:vAlign w:val="center"/>
          </w:tcPr>
          <w:p>
            <w:pPr>
              <w:spacing w:line="360" w:lineRule="auto"/>
              <w:jc w:val="center"/>
              <w:rPr>
                <w:rFonts w:ascii="仿宋" w:hAnsi="仿宋" w:eastAsia="仿宋" w:cs="Times New Roman"/>
              </w:rPr>
            </w:pPr>
          </w:p>
        </w:tc>
        <w:tc>
          <w:tcPr>
            <w:tcW w:w="865" w:type="dxa"/>
            <w:vAlign w:val="top"/>
          </w:tcPr>
          <w:p>
            <w:pPr>
              <w:spacing w:line="360" w:lineRule="auto"/>
              <w:jc w:val="center"/>
              <w:rPr>
                <w:rFonts w:ascii="仿宋" w:hAnsi="仿宋" w:eastAsia="仿宋" w:cs="Times New Roman"/>
              </w:rPr>
            </w:pPr>
          </w:p>
        </w:tc>
        <w:tc>
          <w:tcPr>
            <w:tcW w:w="848" w:type="dxa"/>
            <w:vAlign w:val="center"/>
          </w:tcPr>
          <w:p>
            <w:pPr>
              <w:spacing w:line="360" w:lineRule="auto"/>
              <w:jc w:val="center"/>
              <w:rPr>
                <w:rFonts w:ascii="仿宋" w:hAnsi="仿宋" w:eastAsia="仿宋" w:cs="Times New Roman"/>
              </w:rPr>
            </w:pPr>
          </w:p>
        </w:tc>
        <w:tc>
          <w:tcPr>
            <w:tcW w:w="892" w:type="dxa"/>
            <w:vAlign w:val="center"/>
          </w:tcPr>
          <w:p>
            <w:pPr>
              <w:spacing w:line="360" w:lineRule="auto"/>
              <w:jc w:val="center"/>
              <w:rPr>
                <w:rFonts w:ascii="仿宋" w:hAnsi="仿宋" w:eastAsia="仿宋" w:cs="Times New Roman"/>
              </w:rPr>
            </w:pPr>
          </w:p>
        </w:tc>
        <w:tc>
          <w:tcPr>
            <w:tcW w:w="862" w:type="dxa"/>
            <w:vAlign w:val="center"/>
          </w:tcPr>
          <w:p>
            <w:pPr>
              <w:spacing w:line="360" w:lineRule="auto"/>
              <w:jc w:val="center"/>
              <w:rPr>
                <w:rFonts w:ascii="仿宋" w:hAnsi="仿宋" w:eastAsia="仿宋" w:cs="Times New Roman"/>
              </w:rPr>
            </w:pPr>
          </w:p>
        </w:tc>
        <w:tc>
          <w:tcPr>
            <w:tcW w:w="860" w:type="dxa"/>
            <w:vAlign w:val="center"/>
          </w:tcPr>
          <w:p>
            <w:pPr>
              <w:spacing w:line="360" w:lineRule="auto"/>
              <w:jc w:val="cente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pPr>
              <w:spacing w:line="360" w:lineRule="auto"/>
              <w:jc w:val="center"/>
              <w:rPr>
                <w:rFonts w:ascii="仿宋" w:hAnsi="仿宋" w:eastAsia="仿宋" w:cs="Times New Roman"/>
              </w:rPr>
            </w:pPr>
          </w:p>
        </w:tc>
        <w:tc>
          <w:tcPr>
            <w:tcW w:w="923" w:type="dxa"/>
            <w:vAlign w:val="center"/>
          </w:tcPr>
          <w:p>
            <w:pPr>
              <w:spacing w:line="360" w:lineRule="auto"/>
              <w:jc w:val="center"/>
              <w:rPr>
                <w:rFonts w:ascii="仿宋" w:hAnsi="仿宋" w:eastAsia="仿宋" w:cs="Times New Roman"/>
              </w:rPr>
            </w:pPr>
          </w:p>
        </w:tc>
        <w:tc>
          <w:tcPr>
            <w:tcW w:w="1639" w:type="dxa"/>
            <w:vAlign w:val="center"/>
          </w:tcPr>
          <w:p>
            <w:pPr>
              <w:spacing w:line="360" w:lineRule="auto"/>
              <w:jc w:val="center"/>
              <w:rPr>
                <w:rFonts w:ascii="仿宋" w:hAnsi="仿宋" w:eastAsia="仿宋" w:cs="Times New Roman"/>
              </w:rPr>
            </w:pPr>
            <w:r>
              <w:rPr>
                <w:rFonts w:hint="eastAsia" w:ascii="仿宋" w:hAnsi="仿宋" w:eastAsia="仿宋" w:cs="仿宋"/>
              </w:rPr>
              <w:t>合计</w:t>
            </w:r>
          </w:p>
        </w:tc>
        <w:tc>
          <w:tcPr>
            <w:tcW w:w="2550" w:type="dxa"/>
            <w:vAlign w:val="center"/>
          </w:tcPr>
          <w:p>
            <w:pPr>
              <w:spacing w:line="360" w:lineRule="auto"/>
              <w:jc w:val="center"/>
              <w:rPr>
                <w:rFonts w:ascii="仿宋" w:hAnsi="仿宋" w:eastAsia="仿宋" w:cs="Times New Roman"/>
              </w:rPr>
            </w:pPr>
            <w:r>
              <w:rPr>
                <w:rFonts w:hint="eastAsia" w:ascii="仿宋" w:hAnsi="仿宋" w:eastAsia="仿宋" w:cs="仿宋"/>
              </w:rPr>
              <w:t>元</w:t>
            </w:r>
          </w:p>
        </w:tc>
        <w:tc>
          <w:tcPr>
            <w:tcW w:w="956" w:type="dxa"/>
            <w:vAlign w:val="center"/>
          </w:tcPr>
          <w:p>
            <w:pPr>
              <w:spacing w:line="360" w:lineRule="auto"/>
              <w:jc w:val="center"/>
              <w:rPr>
                <w:rFonts w:ascii="仿宋" w:hAnsi="仿宋" w:eastAsia="仿宋" w:cs="Times New Roman"/>
              </w:rPr>
            </w:pPr>
          </w:p>
        </w:tc>
        <w:tc>
          <w:tcPr>
            <w:tcW w:w="859" w:type="dxa"/>
            <w:vAlign w:val="center"/>
          </w:tcPr>
          <w:p>
            <w:pPr>
              <w:spacing w:line="360" w:lineRule="auto"/>
              <w:jc w:val="center"/>
              <w:rPr>
                <w:rFonts w:ascii="仿宋" w:hAnsi="仿宋" w:eastAsia="仿宋" w:cs="Times New Roman"/>
              </w:rPr>
            </w:pPr>
          </w:p>
        </w:tc>
        <w:tc>
          <w:tcPr>
            <w:tcW w:w="950" w:type="dxa"/>
            <w:vAlign w:val="center"/>
          </w:tcPr>
          <w:p>
            <w:pPr>
              <w:spacing w:line="360" w:lineRule="auto"/>
              <w:jc w:val="center"/>
              <w:rPr>
                <w:rFonts w:ascii="仿宋" w:hAnsi="仿宋" w:eastAsia="仿宋" w:cs="Times New Roman"/>
              </w:rPr>
            </w:pPr>
          </w:p>
        </w:tc>
        <w:tc>
          <w:tcPr>
            <w:tcW w:w="860" w:type="dxa"/>
            <w:vAlign w:val="center"/>
          </w:tcPr>
          <w:p>
            <w:pPr>
              <w:spacing w:line="360" w:lineRule="auto"/>
              <w:jc w:val="center"/>
              <w:rPr>
                <w:rFonts w:ascii="仿宋" w:hAnsi="仿宋" w:eastAsia="仿宋" w:cs="Times New Roman"/>
              </w:rPr>
            </w:pPr>
          </w:p>
        </w:tc>
        <w:tc>
          <w:tcPr>
            <w:tcW w:w="850" w:type="dxa"/>
            <w:vAlign w:val="center"/>
          </w:tcPr>
          <w:p>
            <w:pPr>
              <w:spacing w:line="360" w:lineRule="auto"/>
              <w:jc w:val="center"/>
              <w:rPr>
                <w:rFonts w:ascii="仿宋" w:hAnsi="仿宋" w:eastAsia="仿宋" w:cs="Times New Roman"/>
              </w:rPr>
            </w:pPr>
          </w:p>
        </w:tc>
        <w:tc>
          <w:tcPr>
            <w:tcW w:w="865" w:type="dxa"/>
            <w:vAlign w:val="top"/>
          </w:tcPr>
          <w:p>
            <w:pPr>
              <w:spacing w:line="360" w:lineRule="auto"/>
              <w:jc w:val="center"/>
              <w:rPr>
                <w:rFonts w:ascii="仿宋" w:hAnsi="仿宋" w:eastAsia="仿宋" w:cs="Times New Roman"/>
              </w:rPr>
            </w:pPr>
          </w:p>
        </w:tc>
        <w:tc>
          <w:tcPr>
            <w:tcW w:w="848" w:type="dxa"/>
            <w:vAlign w:val="center"/>
          </w:tcPr>
          <w:p>
            <w:pPr>
              <w:spacing w:line="360" w:lineRule="auto"/>
              <w:jc w:val="center"/>
              <w:rPr>
                <w:rFonts w:ascii="仿宋" w:hAnsi="仿宋" w:eastAsia="仿宋" w:cs="Times New Roman"/>
              </w:rPr>
            </w:pPr>
          </w:p>
        </w:tc>
        <w:tc>
          <w:tcPr>
            <w:tcW w:w="892" w:type="dxa"/>
            <w:vAlign w:val="center"/>
          </w:tcPr>
          <w:p>
            <w:pPr>
              <w:spacing w:line="360" w:lineRule="auto"/>
              <w:jc w:val="center"/>
              <w:rPr>
                <w:rFonts w:ascii="仿宋" w:hAnsi="仿宋" w:eastAsia="仿宋" w:cs="Times New Roman"/>
              </w:rPr>
            </w:pPr>
          </w:p>
        </w:tc>
        <w:tc>
          <w:tcPr>
            <w:tcW w:w="862" w:type="dxa"/>
            <w:vAlign w:val="center"/>
          </w:tcPr>
          <w:p>
            <w:pPr>
              <w:spacing w:line="360" w:lineRule="auto"/>
              <w:jc w:val="center"/>
              <w:rPr>
                <w:rFonts w:ascii="仿宋" w:hAnsi="仿宋" w:eastAsia="仿宋" w:cs="Times New Roman"/>
              </w:rPr>
            </w:pPr>
          </w:p>
        </w:tc>
        <w:tc>
          <w:tcPr>
            <w:tcW w:w="860" w:type="dxa"/>
            <w:vAlign w:val="center"/>
          </w:tcPr>
          <w:p>
            <w:pPr>
              <w:spacing w:line="360" w:lineRule="auto"/>
              <w:jc w:val="center"/>
              <w:rPr>
                <w:rFonts w:ascii="仿宋" w:hAnsi="仿宋" w:eastAsia="仿宋" w:cs="Times New Roman"/>
              </w:rPr>
            </w:pPr>
          </w:p>
        </w:tc>
      </w:tr>
    </w:tbl>
    <w:p>
      <w:pPr>
        <w:spacing w:line="360" w:lineRule="auto"/>
        <w:ind w:firstLine="240" w:firstLineChars="100"/>
        <w:rPr>
          <w:rFonts w:ascii="仿宋" w:hAnsi="仿宋" w:eastAsia="仿宋" w:cs="Times New Roman"/>
          <w:sz w:val="24"/>
          <w:szCs w:val="24"/>
        </w:rPr>
      </w:pPr>
      <w:r>
        <w:rPr>
          <w:rFonts w:hint="eastAsia" w:ascii="仿宋" w:hAnsi="仿宋" w:eastAsia="仿宋" w:cs="仿宋"/>
          <w:sz w:val="24"/>
          <w:szCs w:val="24"/>
        </w:rPr>
        <w:t>编制：</w:t>
      </w:r>
      <w:r>
        <w:rPr>
          <w:rFonts w:ascii="仿宋" w:hAnsi="仿宋" w:eastAsia="仿宋" w:cs="仿宋"/>
          <w:sz w:val="24"/>
          <w:szCs w:val="24"/>
        </w:rPr>
        <w:t xml:space="preserve">                     </w:t>
      </w:r>
      <w:r>
        <w:rPr>
          <w:rFonts w:hint="eastAsia" w:ascii="仿宋" w:hAnsi="仿宋" w:eastAsia="仿宋" w:cs="仿宋"/>
          <w:sz w:val="24"/>
          <w:szCs w:val="24"/>
        </w:rPr>
        <w:t>复核：</w:t>
      </w:r>
      <w:r>
        <w:rPr>
          <w:rFonts w:ascii="仿宋" w:hAnsi="仿宋" w:eastAsia="仿宋" w:cs="仿宋"/>
          <w:sz w:val="24"/>
          <w:szCs w:val="24"/>
        </w:rPr>
        <w:t xml:space="preserve">                     </w:t>
      </w:r>
      <w:r>
        <w:rPr>
          <w:rFonts w:hint="eastAsia" w:ascii="仿宋" w:hAnsi="仿宋" w:eastAsia="仿宋" w:cs="仿宋"/>
          <w:sz w:val="24"/>
          <w:szCs w:val="24"/>
        </w:rPr>
        <w:t>承包人代表：</w:t>
      </w:r>
      <w:r>
        <w:rPr>
          <w:rFonts w:ascii="仿宋" w:hAnsi="仿宋" w:eastAsia="仿宋" w:cs="仿宋"/>
          <w:sz w:val="24"/>
          <w:szCs w:val="24"/>
        </w:rPr>
        <w:t xml:space="preserve">                          </w:t>
      </w: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　月</w:t>
      </w:r>
      <w:r>
        <w:rPr>
          <w:rFonts w:ascii="仿宋" w:hAnsi="仿宋" w:eastAsia="仿宋" w:cs="仿宋"/>
          <w:sz w:val="24"/>
          <w:szCs w:val="24"/>
        </w:rPr>
        <w:t xml:space="preserve">   </w:t>
      </w:r>
      <w:r>
        <w:rPr>
          <w:rFonts w:hint="eastAsia" w:ascii="仿宋" w:hAnsi="仿宋" w:eastAsia="仿宋" w:cs="仿宋"/>
          <w:sz w:val="24"/>
          <w:szCs w:val="24"/>
        </w:rPr>
        <w:t>日</w:t>
      </w:r>
    </w:p>
    <w:p>
      <w:pPr>
        <w:widowControl/>
        <w:spacing w:line="360" w:lineRule="auto"/>
        <w:jc w:val="left"/>
        <w:rPr>
          <w:rFonts w:ascii="仿宋" w:hAnsi="仿宋" w:eastAsia="仿宋" w:cs="Times New Roman"/>
          <w:kern w:val="0"/>
          <w:sz w:val="24"/>
          <w:szCs w:val="24"/>
        </w:rPr>
        <w:sectPr>
          <w:endnotePr>
            <w:numFmt w:val="decimal"/>
          </w:endnotePr>
          <w:pgSz w:w="16838" w:h="11906" w:orient="landscape"/>
          <w:pgMar w:top="737" w:right="1418" w:bottom="737" w:left="851" w:header="0" w:footer="0" w:gutter="0"/>
          <w:cols w:space="720" w:num="1"/>
        </w:sectPr>
      </w:pPr>
    </w:p>
    <w:p>
      <w:pPr>
        <w:spacing w:line="360" w:lineRule="auto"/>
        <w:outlineLvl w:val="1"/>
        <w:rPr>
          <w:rFonts w:ascii="仿宋" w:hAnsi="仿宋" w:eastAsia="仿宋" w:cs="仿宋"/>
          <w:b/>
          <w:bCs/>
          <w:color w:val="000000"/>
          <w:kern w:val="0"/>
          <w:sz w:val="24"/>
          <w:szCs w:val="24"/>
        </w:rPr>
      </w:pPr>
      <w:bookmarkStart w:id="810" w:name="_Toc469384167"/>
      <w:bookmarkStart w:id="811" w:name="_Toc10625011"/>
      <w:bookmarkStart w:id="812" w:name="_Toc266892953"/>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27</w:t>
      </w:r>
      <w:bookmarkEnd w:id="810"/>
      <w:bookmarkEnd w:id="811"/>
      <w:bookmarkEnd w:id="812"/>
    </w:p>
    <w:p>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支付申请</w:t>
      </w:r>
    </w:p>
    <w:p>
      <w:pPr>
        <w:spacing w:line="360" w:lineRule="auto"/>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0"/>
        <w:tblW w:w="10460"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6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92" w:hRule="atLeast"/>
        </w:trPr>
        <w:tc>
          <w:tcPr>
            <w:tcW w:w="10460" w:type="dxa"/>
            <w:tcBorders>
              <w:bottom w:val="single" w:color="auto" w:sz="4" w:space="0"/>
            </w:tcBorders>
            <w:vAlign w:val="top"/>
          </w:tcPr>
          <w:p>
            <w:pPr>
              <w:spacing w:before="120" w:line="360" w:lineRule="auto"/>
              <w:ind w:left="-28" w:firstLine="181"/>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（工程造价咨询人（如有）全称）</w:t>
            </w:r>
          </w:p>
          <w:p>
            <w:pPr>
              <w:spacing w:line="360" w:lineRule="auto"/>
              <w:ind w:left="-28" w:firstLine="482"/>
              <w:rPr>
                <w:rFonts w:ascii="仿宋" w:hAnsi="仿宋" w:eastAsia="仿宋" w:cs="Times New Roman"/>
                <w:sz w:val="24"/>
                <w:szCs w:val="24"/>
              </w:rPr>
            </w:pPr>
          </w:p>
          <w:p>
            <w:pPr>
              <w:spacing w:line="360" w:lineRule="auto"/>
              <w:ind w:left="-28" w:firstLine="482"/>
              <w:rPr>
                <w:rFonts w:ascii="仿宋" w:hAnsi="仿宋" w:eastAsia="仿宋" w:cs="Times New Roman"/>
                <w:sz w:val="24"/>
                <w:szCs w:val="24"/>
              </w:rPr>
            </w:pPr>
            <w:r>
              <w:rPr>
                <w:rFonts w:hint="eastAsia" w:ascii="仿宋" w:hAnsi="仿宋" w:eastAsia="仿宋" w:cs="仿宋"/>
                <w:sz w:val="24"/>
                <w:szCs w:val="24"/>
              </w:rPr>
              <w:t>我方于</w:t>
            </w:r>
            <w:r>
              <w:rPr>
                <w:rFonts w:ascii="仿宋" w:hAnsi="仿宋" w:eastAsia="仿宋" w:cs="仿宋"/>
                <w:sz w:val="24"/>
                <w:szCs w:val="24"/>
                <w:u w:val="single"/>
              </w:rPr>
              <w:t xml:space="preserve">        </w:t>
            </w:r>
            <w:r>
              <w:rPr>
                <w:rFonts w:hint="eastAsia" w:ascii="仿宋" w:hAnsi="仿宋" w:eastAsia="仿宋" w:cs="仿宋"/>
                <w:sz w:val="24"/>
                <w:szCs w:val="24"/>
              </w:rPr>
              <w:t>至</w:t>
            </w:r>
            <w:r>
              <w:rPr>
                <w:rFonts w:ascii="仿宋" w:hAnsi="仿宋" w:eastAsia="仿宋" w:cs="仿宋"/>
                <w:sz w:val="24"/>
                <w:szCs w:val="24"/>
                <w:u w:val="single"/>
              </w:rPr>
              <w:t xml:space="preserve">       </w:t>
            </w:r>
            <w:r>
              <w:rPr>
                <w:rFonts w:hint="eastAsia" w:ascii="仿宋" w:hAnsi="仿宋" w:eastAsia="仿宋" w:cs="仿宋"/>
                <w:sz w:val="24"/>
                <w:szCs w:val="24"/>
              </w:rPr>
              <w:t>期间已完成了</w:t>
            </w:r>
            <w:r>
              <w:rPr>
                <w:rFonts w:ascii="仿宋" w:hAnsi="仿宋" w:eastAsia="仿宋" w:cs="仿宋"/>
                <w:sz w:val="24"/>
                <w:szCs w:val="24"/>
                <w:u w:val="single"/>
              </w:rPr>
              <w:t xml:space="preserve">              </w:t>
            </w:r>
            <w:r>
              <w:rPr>
                <w:rFonts w:hint="eastAsia" w:ascii="仿宋" w:hAnsi="仿宋" w:eastAsia="仿宋" w:cs="仿宋"/>
                <w:sz w:val="24"/>
                <w:szCs w:val="24"/>
              </w:rPr>
              <w:t>工作，根据施工合同条款</w:t>
            </w:r>
            <w:r>
              <w:rPr>
                <w:rFonts w:ascii="仿宋" w:hAnsi="仿宋" w:eastAsia="仿宋" w:cs="仿宋"/>
                <w:sz w:val="24"/>
                <w:szCs w:val="24"/>
                <w:u w:val="single"/>
              </w:rPr>
              <w:t xml:space="preserve">      </w:t>
            </w:r>
            <w:r>
              <w:rPr>
                <w:rFonts w:hint="eastAsia" w:ascii="仿宋" w:hAnsi="仿宋" w:eastAsia="仿宋" w:cs="仿宋"/>
                <w:sz w:val="24"/>
                <w:szCs w:val="24"/>
              </w:rPr>
              <w:t>的规定，现申请支付本期的工程款额为（大写）</w:t>
            </w:r>
            <w:r>
              <w:rPr>
                <w:rFonts w:ascii="仿宋" w:hAnsi="仿宋" w:eastAsia="仿宋" w:cs="仿宋"/>
                <w:sz w:val="24"/>
                <w:szCs w:val="24"/>
                <w:u w:val="single"/>
              </w:rPr>
              <w:t xml:space="preserve">                         </w:t>
            </w:r>
            <w:r>
              <w:rPr>
                <w:rFonts w:hint="eastAsia" w:ascii="仿宋" w:hAnsi="仿宋" w:eastAsia="仿宋" w:cs="仿宋"/>
                <w:sz w:val="24"/>
                <w:szCs w:val="24"/>
              </w:rPr>
              <w:t>（小写</w:t>
            </w:r>
            <w:r>
              <w:rPr>
                <w:rFonts w:ascii="仿宋" w:hAnsi="仿宋" w:eastAsia="仿宋" w:cs="仿宋"/>
                <w:sz w:val="24"/>
                <w:szCs w:val="24"/>
                <w:u w:val="single"/>
              </w:rPr>
              <w:t xml:space="preserve">            </w:t>
            </w:r>
            <w:r>
              <w:rPr>
                <w:rFonts w:hint="eastAsia" w:ascii="仿宋" w:hAnsi="仿宋" w:eastAsia="仿宋" w:cs="仿宋"/>
                <w:sz w:val="24"/>
                <w:szCs w:val="24"/>
              </w:rPr>
              <w:t>），请予以复核和确认，并在支付证书签发后按合同规定时间内支付。</w:t>
            </w:r>
          </w:p>
          <w:p>
            <w:pPr>
              <w:spacing w:line="360" w:lineRule="auto"/>
              <w:ind w:left="-28" w:firstLine="482"/>
              <w:rPr>
                <w:rFonts w:ascii="仿宋" w:hAnsi="仿宋" w:eastAsia="仿宋" w:cs="Times New Roman"/>
                <w:sz w:val="24"/>
                <w:szCs w:val="24"/>
              </w:rPr>
            </w:pPr>
          </w:p>
          <w:p>
            <w:pPr>
              <w:spacing w:line="360" w:lineRule="auto"/>
              <w:ind w:left="-28" w:firstLine="482"/>
              <w:rPr>
                <w:rFonts w:ascii="仿宋" w:hAnsi="仿宋" w:eastAsia="仿宋" w:cs="Times New Roman"/>
                <w:sz w:val="24"/>
                <w:szCs w:val="24"/>
              </w:rPr>
            </w:pPr>
            <w:r>
              <w:rPr>
                <w:rFonts w:hint="eastAsia" w:ascii="仿宋" w:hAnsi="仿宋" w:eastAsia="仿宋" w:cs="仿宋"/>
                <w:sz w:val="24"/>
                <w:szCs w:val="24"/>
              </w:rPr>
              <w:t>具体细目如下：</w:t>
            </w:r>
          </w:p>
          <w:tbl>
            <w:tblPr>
              <w:tblStyle w:val="40"/>
              <w:tblW w:w="10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4861"/>
              <w:gridCol w:w="1424"/>
              <w:gridCol w:w="3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trPr>
              <w:tc>
                <w:tcPr>
                  <w:tcW w:w="8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r>
                    <w:rPr>
                      <w:rFonts w:hint="eastAsia" w:ascii="仿宋" w:hAnsi="仿宋" w:eastAsia="仿宋" w:cs="仿宋"/>
                    </w:rPr>
                    <w:t>序号</w:t>
                  </w:r>
                </w:p>
              </w:tc>
              <w:tc>
                <w:tcPr>
                  <w:tcW w:w="48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r>
                    <w:rPr>
                      <w:rFonts w:hint="eastAsia" w:ascii="仿宋" w:hAnsi="仿宋" w:eastAsia="仿宋" w:cs="仿宋"/>
                    </w:rPr>
                    <w:t>名</w:t>
                  </w:r>
                  <w:r>
                    <w:rPr>
                      <w:rFonts w:ascii="仿宋" w:hAnsi="仿宋" w:eastAsia="仿宋" w:cs="仿宋"/>
                    </w:rPr>
                    <w:t xml:space="preserve">           </w:t>
                  </w:r>
                  <w:r>
                    <w:rPr>
                      <w:rFonts w:hint="eastAsia" w:ascii="仿宋" w:hAnsi="仿宋" w:eastAsia="仿宋" w:cs="仿宋"/>
                    </w:rPr>
                    <w:t>称</w:t>
                  </w:r>
                </w:p>
              </w:tc>
              <w:tc>
                <w:tcPr>
                  <w:tcW w:w="14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r>
                    <w:rPr>
                      <w:rFonts w:hint="eastAsia" w:ascii="仿宋" w:hAnsi="仿宋" w:eastAsia="仿宋" w:cs="仿宋"/>
                    </w:rPr>
                    <w:t>金</w:t>
                  </w:r>
                  <w:r>
                    <w:rPr>
                      <w:rFonts w:ascii="仿宋" w:hAnsi="仿宋" w:eastAsia="仿宋" w:cs="仿宋"/>
                    </w:rPr>
                    <w:t xml:space="preserve"> </w:t>
                  </w:r>
                  <w:r>
                    <w:rPr>
                      <w:rFonts w:hint="eastAsia" w:ascii="仿宋" w:hAnsi="仿宋" w:eastAsia="仿宋" w:cs="仿宋"/>
                    </w:rPr>
                    <w:t>额（元）</w:t>
                  </w:r>
                </w:p>
              </w:tc>
              <w:tc>
                <w:tcPr>
                  <w:tcW w:w="30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r>
                    <w:rPr>
                      <w:rFonts w:hint="eastAsia" w:ascii="仿宋" w:hAnsi="仿宋" w:eastAsia="仿宋" w:cs="仿宋"/>
                    </w:rPr>
                    <w:t>备</w:t>
                  </w:r>
                  <w:r>
                    <w:rPr>
                      <w:rFonts w:ascii="仿宋" w:hAnsi="仿宋" w:eastAsia="仿宋" w:cs="仿宋"/>
                    </w:rPr>
                    <w:t xml:space="preserve">       </w:t>
                  </w:r>
                  <w:r>
                    <w:rPr>
                      <w:rFonts w:hint="eastAsia" w:ascii="仿宋" w:hAnsi="仿宋" w:eastAsia="仿宋" w:cs="仿宋"/>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trPr>
              <w:tc>
                <w:tcPr>
                  <w:tcW w:w="8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r>
                    <w:rPr>
                      <w:rFonts w:ascii="仿宋" w:hAnsi="仿宋" w:eastAsia="仿宋" w:cs="仿宋"/>
                    </w:rPr>
                    <w:t>1</w:t>
                  </w:r>
                </w:p>
              </w:tc>
              <w:tc>
                <w:tcPr>
                  <w:tcW w:w="486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r>
                    <w:rPr>
                      <w:rFonts w:hint="eastAsia" w:ascii="仿宋" w:hAnsi="仿宋" w:eastAsia="仿宋" w:cs="仿宋"/>
                    </w:rPr>
                    <w:t>累计已完工程价款</w:t>
                  </w:r>
                </w:p>
              </w:tc>
              <w:tc>
                <w:tcPr>
                  <w:tcW w:w="14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trPr>
              <w:tc>
                <w:tcPr>
                  <w:tcW w:w="8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r>
                    <w:rPr>
                      <w:rFonts w:ascii="仿宋" w:hAnsi="仿宋" w:eastAsia="仿宋" w:cs="仿宋"/>
                    </w:rPr>
                    <w:t>2</w:t>
                  </w:r>
                </w:p>
              </w:tc>
              <w:tc>
                <w:tcPr>
                  <w:tcW w:w="486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r>
                    <w:rPr>
                      <w:rFonts w:hint="eastAsia" w:ascii="仿宋" w:hAnsi="仿宋" w:eastAsia="仿宋" w:cs="仿宋"/>
                    </w:rPr>
                    <w:t>累计已实际支付的工程价款</w:t>
                  </w:r>
                </w:p>
              </w:tc>
              <w:tc>
                <w:tcPr>
                  <w:tcW w:w="14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8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r>
                    <w:rPr>
                      <w:rFonts w:ascii="仿宋" w:hAnsi="仿宋" w:eastAsia="仿宋" w:cs="仿宋"/>
                    </w:rPr>
                    <w:t>3</w:t>
                  </w:r>
                </w:p>
              </w:tc>
              <w:tc>
                <w:tcPr>
                  <w:tcW w:w="486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r>
                    <w:rPr>
                      <w:rFonts w:hint="eastAsia" w:ascii="仿宋" w:hAnsi="仿宋" w:eastAsia="仿宋" w:cs="仿宋"/>
                    </w:rPr>
                    <w:t>本期间已完工程价款</w:t>
                  </w:r>
                </w:p>
              </w:tc>
              <w:tc>
                <w:tcPr>
                  <w:tcW w:w="14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8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r>
                    <w:rPr>
                      <w:rFonts w:ascii="仿宋" w:hAnsi="仿宋" w:eastAsia="仿宋" w:cs="仿宋"/>
                    </w:rPr>
                    <w:t>4</w:t>
                  </w:r>
                </w:p>
              </w:tc>
              <w:tc>
                <w:tcPr>
                  <w:tcW w:w="486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r>
                    <w:rPr>
                      <w:rFonts w:hint="eastAsia" w:ascii="仿宋" w:hAnsi="仿宋" w:eastAsia="仿宋" w:cs="仿宋"/>
                    </w:rPr>
                    <w:t>本期间完成的零星工作项目价款</w:t>
                  </w:r>
                </w:p>
              </w:tc>
              <w:tc>
                <w:tcPr>
                  <w:tcW w:w="14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8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r>
                    <w:rPr>
                      <w:rFonts w:ascii="仿宋" w:hAnsi="仿宋" w:eastAsia="仿宋" w:cs="仿宋"/>
                    </w:rPr>
                    <w:t>5</w:t>
                  </w:r>
                </w:p>
              </w:tc>
              <w:tc>
                <w:tcPr>
                  <w:tcW w:w="486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r>
                    <w:rPr>
                      <w:rFonts w:hint="eastAsia" w:ascii="仿宋" w:hAnsi="仿宋" w:eastAsia="仿宋" w:cs="仿宋"/>
                    </w:rPr>
                    <w:t>本期间应支付的预留金价款</w:t>
                  </w:r>
                </w:p>
              </w:tc>
              <w:tc>
                <w:tcPr>
                  <w:tcW w:w="14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trPr>
              <w:tc>
                <w:tcPr>
                  <w:tcW w:w="8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r>
                    <w:rPr>
                      <w:rFonts w:ascii="仿宋" w:hAnsi="仿宋" w:eastAsia="仿宋" w:cs="仿宋"/>
                    </w:rPr>
                    <w:t>6</w:t>
                  </w:r>
                </w:p>
              </w:tc>
              <w:tc>
                <w:tcPr>
                  <w:tcW w:w="486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r>
                    <w:rPr>
                      <w:rFonts w:hint="eastAsia" w:ascii="仿宋" w:hAnsi="仿宋" w:eastAsia="仿宋" w:cs="仿宋"/>
                    </w:rPr>
                    <w:t>本期间应支付的工程变更价款</w:t>
                  </w:r>
                </w:p>
              </w:tc>
              <w:tc>
                <w:tcPr>
                  <w:tcW w:w="14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r>
                    <w:rPr>
                      <w:rFonts w:hint="eastAsia" w:ascii="仿宋" w:hAnsi="仿宋" w:eastAsia="仿宋" w:cs="仿宋"/>
                    </w:rPr>
                    <w:t>根据第</w:t>
                  </w:r>
                  <w:r>
                    <w:rPr>
                      <w:rFonts w:ascii="仿宋" w:hAnsi="仿宋" w:eastAsia="仿宋" w:cs="仿宋"/>
                    </w:rPr>
                    <w:t>66</w:t>
                  </w:r>
                  <w:r>
                    <w:rPr>
                      <w:rFonts w:hint="eastAsia" w:ascii="仿宋" w:hAnsi="仿宋" w:eastAsia="仿宋" w:cs="仿宋"/>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rPr>
              <w:tc>
                <w:tcPr>
                  <w:tcW w:w="8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r>
                    <w:rPr>
                      <w:rFonts w:ascii="仿宋" w:hAnsi="仿宋" w:eastAsia="仿宋" w:cs="仿宋"/>
                    </w:rPr>
                    <w:t>7</w:t>
                  </w:r>
                </w:p>
              </w:tc>
              <w:tc>
                <w:tcPr>
                  <w:tcW w:w="486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r>
                    <w:rPr>
                      <w:rFonts w:hint="eastAsia" w:ascii="仿宋" w:hAnsi="仿宋" w:eastAsia="仿宋" w:cs="仿宋"/>
                    </w:rPr>
                    <w:t>本期间应支付的安全防护、文明施工措施费</w:t>
                  </w:r>
                </w:p>
              </w:tc>
              <w:tc>
                <w:tcPr>
                  <w:tcW w:w="14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r>
                    <w:rPr>
                      <w:rFonts w:hint="eastAsia" w:ascii="仿宋" w:hAnsi="仿宋" w:eastAsia="仿宋" w:cs="仿宋"/>
                    </w:rPr>
                    <w:t>根据第</w:t>
                  </w:r>
                  <w:r>
                    <w:rPr>
                      <w:rFonts w:ascii="仿宋" w:hAnsi="仿宋" w:eastAsia="仿宋" w:cs="仿宋"/>
                    </w:rPr>
                    <w:t>68</w:t>
                  </w:r>
                  <w:r>
                    <w:rPr>
                      <w:rFonts w:hint="eastAsia" w:ascii="仿宋" w:hAnsi="仿宋" w:eastAsia="仿宋" w:cs="仿宋"/>
                    </w:rPr>
                    <w:t>条至第</w:t>
                  </w:r>
                  <w:r>
                    <w:rPr>
                      <w:rFonts w:ascii="仿宋" w:hAnsi="仿宋" w:eastAsia="仿宋" w:cs="仿宋"/>
                    </w:rPr>
                    <w:t xml:space="preserve"> 76 </w:t>
                  </w:r>
                  <w:r>
                    <w:rPr>
                      <w:rFonts w:hint="eastAsia" w:ascii="仿宋" w:hAnsi="仿宋" w:eastAsia="仿宋" w:cs="仿宋"/>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8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r>
                    <w:rPr>
                      <w:rFonts w:ascii="仿宋" w:hAnsi="仿宋" w:eastAsia="仿宋" w:cs="仿宋"/>
                    </w:rPr>
                    <w:t>8</w:t>
                  </w:r>
                </w:p>
              </w:tc>
              <w:tc>
                <w:tcPr>
                  <w:tcW w:w="486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r>
                    <w:rPr>
                      <w:rFonts w:hint="eastAsia" w:ascii="仿宋" w:hAnsi="仿宋" w:eastAsia="仿宋" w:cs="仿宋"/>
                    </w:rPr>
                    <w:t>物价和后继法律法规的调整价款</w:t>
                  </w:r>
                </w:p>
              </w:tc>
              <w:tc>
                <w:tcPr>
                  <w:tcW w:w="14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r>
                    <w:rPr>
                      <w:rFonts w:hint="eastAsia" w:ascii="仿宋" w:hAnsi="仿宋" w:eastAsia="仿宋" w:cs="仿宋"/>
                    </w:rPr>
                    <w:t>根据第</w:t>
                  </w:r>
                  <w:r>
                    <w:rPr>
                      <w:rFonts w:ascii="仿宋" w:hAnsi="仿宋" w:eastAsia="仿宋" w:cs="仿宋"/>
                    </w:rPr>
                    <w:t>79</w:t>
                  </w:r>
                  <w:r>
                    <w:rPr>
                      <w:rFonts w:hint="eastAsia" w:ascii="仿宋" w:hAnsi="仿宋" w:eastAsia="仿宋" w:cs="仿宋"/>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trPr>
              <w:tc>
                <w:tcPr>
                  <w:tcW w:w="8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r>
                    <w:rPr>
                      <w:rFonts w:ascii="仿宋" w:hAnsi="仿宋" w:eastAsia="仿宋" w:cs="仿宋"/>
                    </w:rPr>
                    <w:t>9</w:t>
                  </w:r>
                </w:p>
              </w:tc>
              <w:tc>
                <w:tcPr>
                  <w:tcW w:w="486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r>
                    <w:rPr>
                      <w:rFonts w:hint="eastAsia" w:ascii="仿宋" w:hAnsi="仿宋" w:eastAsia="仿宋" w:cs="仿宋"/>
                    </w:rPr>
                    <w:t>本期间应扣除的误期赔偿费</w:t>
                  </w:r>
                </w:p>
              </w:tc>
              <w:tc>
                <w:tcPr>
                  <w:tcW w:w="14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r>
                    <w:rPr>
                      <w:rFonts w:hint="eastAsia" w:ascii="仿宋" w:hAnsi="仿宋" w:eastAsia="仿宋" w:cs="仿宋"/>
                    </w:rPr>
                    <w:t>根据第</w:t>
                  </w:r>
                  <w:r>
                    <w:rPr>
                      <w:rFonts w:ascii="仿宋" w:hAnsi="仿宋" w:eastAsia="仿宋" w:cs="仿宋"/>
                    </w:rPr>
                    <w:t>80</w:t>
                  </w:r>
                  <w:r>
                    <w:rPr>
                      <w:rFonts w:hint="eastAsia" w:ascii="仿宋" w:hAnsi="仿宋" w:eastAsia="仿宋" w:cs="仿宋"/>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trPr>
              <w:tc>
                <w:tcPr>
                  <w:tcW w:w="8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r>
                    <w:rPr>
                      <w:rFonts w:ascii="仿宋" w:hAnsi="仿宋" w:eastAsia="仿宋" w:cs="仿宋"/>
                    </w:rPr>
                    <w:t>10</w:t>
                  </w:r>
                </w:p>
              </w:tc>
              <w:tc>
                <w:tcPr>
                  <w:tcW w:w="486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r>
                    <w:rPr>
                      <w:rFonts w:hint="eastAsia" w:ascii="仿宋" w:hAnsi="仿宋" w:eastAsia="仿宋" w:cs="仿宋"/>
                    </w:rPr>
                    <w:t>本期间应扣回的预付款</w:t>
                  </w:r>
                </w:p>
              </w:tc>
              <w:tc>
                <w:tcPr>
                  <w:tcW w:w="14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r>
                    <w:rPr>
                      <w:rFonts w:hint="eastAsia" w:ascii="仿宋" w:hAnsi="仿宋" w:eastAsia="仿宋" w:cs="仿宋"/>
                    </w:rPr>
                    <w:t>根据第</w:t>
                  </w:r>
                  <w:r>
                    <w:rPr>
                      <w:rFonts w:ascii="仿宋" w:hAnsi="仿宋" w:eastAsia="仿宋" w:cs="仿宋"/>
                    </w:rPr>
                    <w:t>84</w:t>
                  </w:r>
                  <w:r>
                    <w:rPr>
                      <w:rFonts w:hint="eastAsia" w:ascii="仿宋" w:hAnsi="仿宋" w:eastAsia="仿宋" w:cs="仿宋"/>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trPr>
              <w:tc>
                <w:tcPr>
                  <w:tcW w:w="8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r>
                    <w:rPr>
                      <w:rFonts w:ascii="仿宋" w:hAnsi="仿宋" w:eastAsia="仿宋" w:cs="仿宋"/>
                    </w:rPr>
                    <w:t>11</w:t>
                  </w:r>
                </w:p>
              </w:tc>
              <w:tc>
                <w:tcPr>
                  <w:tcW w:w="486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r>
                    <w:rPr>
                      <w:rFonts w:hint="eastAsia" w:ascii="仿宋" w:hAnsi="仿宋" w:eastAsia="仿宋" w:cs="仿宋"/>
                    </w:rPr>
                    <w:t>本期间应扣留的质量保证金</w:t>
                  </w:r>
                </w:p>
              </w:tc>
              <w:tc>
                <w:tcPr>
                  <w:tcW w:w="14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trPr>
              <w:tc>
                <w:tcPr>
                  <w:tcW w:w="8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r>
                    <w:rPr>
                      <w:rFonts w:ascii="仿宋" w:hAnsi="仿宋" w:eastAsia="仿宋" w:cs="仿宋"/>
                    </w:rPr>
                    <w:t>12</w:t>
                  </w:r>
                </w:p>
              </w:tc>
              <w:tc>
                <w:tcPr>
                  <w:tcW w:w="486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r>
                    <w:rPr>
                      <w:rFonts w:hint="eastAsia" w:ascii="仿宋" w:hAnsi="仿宋" w:eastAsia="仿宋" w:cs="仿宋"/>
                    </w:rPr>
                    <w:t>本期间应支付或扣回（留）的其他款项</w:t>
                  </w:r>
                </w:p>
              </w:tc>
              <w:tc>
                <w:tcPr>
                  <w:tcW w:w="14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8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p>
              </w:tc>
              <w:tc>
                <w:tcPr>
                  <w:tcW w:w="486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p>
              </w:tc>
              <w:tc>
                <w:tcPr>
                  <w:tcW w:w="14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rPr>
              <w:tc>
                <w:tcPr>
                  <w:tcW w:w="8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p>
              </w:tc>
              <w:tc>
                <w:tcPr>
                  <w:tcW w:w="486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r>
                    <w:rPr>
                      <w:rFonts w:hint="eastAsia" w:ascii="仿宋" w:hAnsi="仿宋" w:eastAsia="仿宋" w:cs="仿宋"/>
                    </w:rPr>
                    <w:t>本期间应支付的工程价款</w:t>
                  </w:r>
                </w:p>
              </w:tc>
              <w:tc>
                <w:tcPr>
                  <w:tcW w:w="14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p>
              </w:tc>
            </w:tr>
          </w:tbl>
          <w:p>
            <w:pPr>
              <w:tabs>
                <w:tab w:val="left" w:pos="6912"/>
              </w:tabs>
              <w:spacing w:line="360" w:lineRule="auto"/>
              <w:rPr>
                <w:rFonts w:ascii="仿宋" w:hAnsi="仿宋" w:eastAsia="仿宋" w:cs="Times New Roman"/>
              </w:rPr>
            </w:pPr>
            <w:r>
              <w:rPr>
                <w:rFonts w:hint="eastAsia" w:ascii="仿宋" w:hAnsi="仿宋" w:eastAsia="仿宋" w:cs="仿宋"/>
                <w:sz w:val="24"/>
                <w:szCs w:val="24"/>
              </w:rPr>
              <w:t>附：</w:t>
            </w:r>
          </w:p>
          <w:p>
            <w:pPr>
              <w:tabs>
                <w:tab w:val="left" w:pos="6912"/>
              </w:tabs>
              <w:spacing w:line="360" w:lineRule="auto"/>
              <w:ind w:left="420"/>
              <w:rPr>
                <w:rFonts w:ascii="仿宋" w:hAnsi="仿宋" w:eastAsia="仿宋" w:cs="Times New Roman"/>
                <w:sz w:val="24"/>
                <w:szCs w:val="24"/>
              </w:rPr>
            </w:pPr>
            <w:r>
              <w:rPr>
                <w:rFonts w:ascii="仿宋" w:hAnsi="仿宋" w:eastAsia="仿宋" w:cs="仿宋"/>
                <w:sz w:val="24"/>
                <w:szCs w:val="24"/>
              </w:rPr>
              <w:t xml:space="preserve">1. </w:t>
            </w:r>
            <w:r>
              <w:rPr>
                <w:rFonts w:hint="eastAsia" w:ascii="仿宋" w:hAnsi="仿宋" w:eastAsia="仿宋" w:cs="仿宋"/>
                <w:sz w:val="24"/>
                <w:szCs w:val="24"/>
              </w:rPr>
              <w:t>有关证明资料；</w:t>
            </w:r>
          </w:p>
          <w:p>
            <w:pPr>
              <w:tabs>
                <w:tab w:val="left" w:pos="6912"/>
              </w:tabs>
              <w:spacing w:line="360" w:lineRule="auto"/>
              <w:ind w:left="420"/>
              <w:rPr>
                <w:rFonts w:ascii="仿宋" w:hAnsi="仿宋" w:eastAsia="仿宋" w:cs="Times New Roman"/>
                <w:sz w:val="24"/>
                <w:szCs w:val="24"/>
              </w:rPr>
            </w:pPr>
            <w:r>
              <w:rPr>
                <w:rFonts w:ascii="仿宋" w:hAnsi="仿宋" w:eastAsia="仿宋" w:cs="仿宋"/>
                <w:sz w:val="24"/>
                <w:szCs w:val="24"/>
              </w:rPr>
              <w:t xml:space="preserve">2. </w:t>
            </w:r>
            <w:r>
              <w:rPr>
                <w:rFonts w:hint="eastAsia" w:ascii="仿宋" w:hAnsi="仿宋" w:eastAsia="仿宋" w:cs="仿宋"/>
                <w:sz w:val="24"/>
                <w:szCs w:val="24"/>
              </w:rPr>
              <w:t>计算过程及说明。</w:t>
            </w:r>
          </w:p>
          <w:p>
            <w:pPr>
              <w:tabs>
                <w:tab w:val="left" w:pos="6912"/>
              </w:tabs>
              <w:spacing w:line="360" w:lineRule="auto"/>
              <w:ind w:firstLine="6720" w:firstLineChars="2800"/>
              <w:rPr>
                <w:rFonts w:ascii="仿宋" w:hAnsi="仿宋" w:eastAsia="仿宋" w:cs="Times New Roman"/>
                <w:sz w:val="24"/>
                <w:szCs w:val="24"/>
              </w:rPr>
            </w:pPr>
          </w:p>
          <w:p>
            <w:pPr>
              <w:tabs>
                <w:tab w:val="left" w:pos="6912"/>
              </w:tabs>
              <w:spacing w:line="360" w:lineRule="auto"/>
              <w:ind w:firstLine="6720" w:firstLineChars="2800"/>
              <w:rPr>
                <w:rFonts w:ascii="仿宋" w:hAnsi="仿宋" w:eastAsia="仿宋" w:cs="Times New Roman"/>
                <w:sz w:val="24"/>
                <w:szCs w:val="24"/>
              </w:rPr>
            </w:pPr>
          </w:p>
          <w:p>
            <w:pPr>
              <w:tabs>
                <w:tab w:val="left" w:pos="6912"/>
              </w:tabs>
              <w:spacing w:line="360" w:lineRule="auto"/>
              <w:ind w:firstLine="6720" w:firstLineChars="2800"/>
              <w:rPr>
                <w:rFonts w:ascii="仿宋" w:hAnsi="仿宋" w:eastAsia="仿宋" w:cs="Times New Roman"/>
                <w:sz w:val="24"/>
                <w:szCs w:val="24"/>
              </w:rPr>
            </w:pPr>
          </w:p>
          <w:p>
            <w:pPr>
              <w:tabs>
                <w:tab w:val="left" w:pos="6912"/>
              </w:tabs>
              <w:spacing w:line="360" w:lineRule="auto"/>
              <w:ind w:firstLine="6720" w:firstLineChars="2800"/>
              <w:rPr>
                <w:rFonts w:ascii="仿宋" w:hAnsi="仿宋" w:eastAsia="仿宋" w:cs="Times New Roman"/>
                <w:sz w:val="24"/>
                <w:szCs w:val="24"/>
                <w:u w:val="single"/>
              </w:rPr>
            </w:pPr>
            <w:r>
              <w:rPr>
                <w:rFonts w:hint="eastAsia" w:ascii="仿宋" w:hAnsi="仿宋" w:eastAsia="仿宋" w:cs="仿宋"/>
                <w:sz w:val="24"/>
                <w:szCs w:val="24"/>
              </w:rPr>
              <w:t>承　包　人（章）</w:t>
            </w:r>
          </w:p>
          <w:p>
            <w:pPr>
              <w:spacing w:line="360" w:lineRule="auto"/>
              <w:ind w:firstLine="6720" w:firstLineChars="2800"/>
              <w:rPr>
                <w:rFonts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pPr>
              <w:tabs>
                <w:tab w:val="left" w:pos="7272"/>
              </w:tabs>
              <w:spacing w:line="360" w:lineRule="auto"/>
              <w:ind w:left="6730" w:leftChars="3205"/>
              <w:rPr>
                <w:rFonts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pPr>
        <w:pStyle w:val="2"/>
        <w:adjustRightInd w:val="0"/>
        <w:snapToGrid w:val="0"/>
        <w:ind w:left="720" w:hanging="720" w:hangingChars="300"/>
        <w:rPr>
          <w:rFonts w:ascii="仿宋" w:hAnsi="仿宋" w:eastAsia="仿宋" w:cs="Times New Roman"/>
          <w:sz w:val="24"/>
          <w:szCs w:val="24"/>
        </w:rPr>
      </w:pPr>
      <w:r>
        <w:rPr>
          <w:rFonts w:hint="eastAsia" w:ascii="仿宋" w:hAnsi="仿宋" w:eastAsia="仿宋" w:cs="仿宋"/>
          <w:sz w:val="24"/>
          <w:szCs w:val="24"/>
        </w:rPr>
        <w:t>说明：本表一式五份，由承包人填制，承包人、监理单位和造价咨询单位各存一份，发包人存二份。</w:t>
      </w:r>
    </w:p>
    <w:p>
      <w:pPr>
        <w:spacing w:line="360" w:lineRule="auto"/>
        <w:outlineLvl w:val="1"/>
        <w:rPr>
          <w:rFonts w:ascii="仿宋" w:hAnsi="仿宋" w:eastAsia="仿宋" w:cs="仿宋"/>
          <w:b/>
          <w:bCs/>
          <w:color w:val="000000"/>
          <w:kern w:val="0"/>
          <w:sz w:val="24"/>
          <w:szCs w:val="24"/>
        </w:rPr>
      </w:pPr>
      <w:r>
        <w:rPr>
          <w:rFonts w:ascii="仿宋" w:hAnsi="仿宋" w:eastAsia="仿宋" w:cs="Times New Roman"/>
          <w:kern w:val="0"/>
          <w:sz w:val="24"/>
          <w:szCs w:val="24"/>
        </w:rPr>
        <w:br w:type="page"/>
      </w:r>
      <w:bookmarkStart w:id="813" w:name="_Toc469384168"/>
      <w:bookmarkStart w:id="814" w:name="_Toc266892954"/>
      <w:bookmarkStart w:id="815" w:name="_Toc10625012"/>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28</w:t>
      </w:r>
      <w:bookmarkEnd w:id="813"/>
      <w:bookmarkEnd w:id="814"/>
      <w:bookmarkEnd w:id="815"/>
    </w:p>
    <w:p>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支付证书</w:t>
      </w:r>
    </w:p>
    <w:p>
      <w:pPr>
        <w:spacing w:line="360" w:lineRule="auto"/>
        <w:ind w:firstLine="240" w:firstLineChars="100"/>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0"/>
        <w:tblW w:w="10260"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26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660" w:hRule="atLeast"/>
        </w:trPr>
        <w:tc>
          <w:tcPr>
            <w:tcW w:w="10260" w:type="dxa"/>
            <w:tcBorders>
              <w:bottom w:val="single" w:color="auto" w:sz="4" w:space="0"/>
            </w:tcBorders>
            <w:vAlign w:val="top"/>
          </w:tcPr>
          <w:p>
            <w:pPr>
              <w:spacing w:before="120" w:line="360" w:lineRule="auto"/>
              <w:ind w:left="-28" w:firstLine="181"/>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（发包人全称）</w:t>
            </w:r>
          </w:p>
          <w:p>
            <w:pPr>
              <w:spacing w:line="360" w:lineRule="auto"/>
              <w:ind w:left="-28" w:firstLine="482"/>
              <w:rPr>
                <w:rFonts w:ascii="仿宋" w:hAnsi="仿宋" w:eastAsia="仿宋" w:cs="Times New Roman"/>
                <w:sz w:val="24"/>
                <w:szCs w:val="24"/>
              </w:rPr>
            </w:pPr>
            <w:r>
              <w:rPr>
                <w:rFonts w:hint="eastAsia" w:ascii="仿宋" w:hAnsi="仿宋" w:eastAsia="仿宋" w:cs="仿宋"/>
                <w:sz w:val="24"/>
                <w:szCs w:val="24"/>
              </w:rPr>
              <w:t>根据施工合同条款</w:t>
            </w:r>
            <w:r>
              <w:rPr>
                <w:rFonts w:ascii="仿宋" w:hAnsi="仿宋" w:eastAsia="仿宋" w:cs="仿宋"/>
                <w:sz w:val="24"/>
                <w:szCs w:val="24"/>
                <w:u w:val="single"/>
              </w:rPr>
              <w:t xml:space="preserve">      </w:t>
            </w:r>
            <w:r>
              <w:rPr>
                <w:rFonts w:hint="eastAsia" w:ascii="仿宋" w:hAnsi="仿宋" w:eastAsia="仿宋" w:cs="仿宋"/>
                <w:sz w:val="24"/>
                <w:szCs w:val="24"/>
                <w:u w:val="single"/>
              </w:rPr>
              <w:t>　</w:t>
            </w:r>
            <w:r>
              <w:rPr>
                <w:rFonts w:hint="eastAsia" w:ascii="仿宋" w:hAnsi="仿宋" w:eastAsia="仿宋" w:cs="仿宋"/>
                <w:sz w:val="24"/>
                <w:szCs w:val="24"/>
              </w:rPr>
              <w:t>的规定，经核实承包人提出的已完工程款额报告（编号</w:t>
            </w:r>
            <w:r>
              <w:rPr>
                <w:rFonts w:ascii="仿宋" w:hAnsi="仿宋" w:eastAsia="仿宋" w:cs="仿宋"/>
                <w:sz w:val="24"/>
                <w:szCs w:val="24"/>
              </w:rPr>
              <w:t xml:space="preserve">   </w:t>
            </w:r>
            <w:r>
              <w:rPr>
                <w:rFonts w:hint="eastAsia" w:ascii="仿宋" w:hAnsi="仿宋" w:eastAsia="仿宋" w:cs="仿宋"/>
                <w:sz w:val="24"/>
                <w:szCs w:val="24"/>
              </w:rPr>
              <w:t>　</w:t>
            </w:r>
            <w:r>
              <w:rPr>
                <w:rFonts w:ascii="仿宋" w:hAnsi="仿宋" w:eastAsia="仿宋" w:cs="仿宋"/>
                <w:sz w:val="24"/>
                <w:szCs w:val="24"/>
              </w:rPr>
              <w:t xml:space="preserve"> </w:t>
            </w:r>
            <w:r>
              <w:rPr>
                <w:rFonts w:hint="eastAsia" w:ascii="仿宋" w:hAnsi="仿宋" w:eastAsia="仿宋" w:cs="仿宋"/>
                <w:sz w:val="24"/>
                <w:szCs w:val="24"/>
              </w:rPr>
              <w:t>）和支付申请报告（编号</w:t>
            </w:r>
            <w:r>
              <w:rPr>
                <w:rFonts w:ascii="仿宋" w:hAnsi="仿宋" w:eastAsia="仿宋" w:cs="仿宋"/>
                <w:sz w:val="24"/>
                <w:szCs w:val="24"/>
              </w:rPr>
              <w:t xml:space="preserve">      </w:t>
            </w:r>
            <w:r>
              <w:rPr>
                <w:rFonts w:hint="eastAsia" w:ascii="仿宋" w:hAnsi="仿宋" w:eastAsia="仿宋" w:cs="仿宋"/>
                <w:sz w:val="24"/>
                <w:szCs w:val="24"/>
              </w:rPr>
              <w:t>　），于</w:t>
            </w:r>
            <w:r>
              <w:rPr>
                <w:rFonts w:ascii="仿宋" w:hAnsi="仿宋" w:eastAsia="仿宋" w:cs="仿宋"/>
                <w:sz w:val="24"/>
                <w:szCs w:val="24"/>
                <w:u w:val="single"/>
              </w:rPr>
              <w:t xml:space="preserve">          </w:t>
            </w:r>
            <w:r>
              <w:rPr>
                <w:rFonts w:hint="eastAsia" w:ascii="仿宋" w:hAnsi="仿宋" w:eastAsia="仿宋" w:cs="仿宋"/>
                <w:sz w:val="24"/>
                <w:szCs w:val="24"/>
              </w:rPr>
              <w:t>至</w:t>
            </w:r>
            <w:r>
              <w:rPr>
                <w:rFonts w:ascii="仿宋" w:hAnsi="仿宋" w:eastAsia="仿宋" w:cs="仿宋"/>
                <w:sz w:val="24"/>
                <w:szCs w:val="24"/>
                <w:u w:val="single"/>
              </w:rPr>
              <w:t xml:space="preserve">          </w:t>
            </w:r>
            <w:r>
              <w:rPr>
                <w:rFonts w:hint="eastAsia" w:ascii="仿宋" w:hAnsi="仿宋" w:eastAsia="仿宋" w:cs="仿宋"/>
                <w:sz w:val="24"/>
                <w:szCs w:val="24"/>
              </w:rPr>
              <w:t>期间</w:t>
            </w:r>
            <w:r>
              <w:rPr>
                <w:rFonts w:ascii="仿宋" w:hAnsi="仿宋" w:eastAsia="仿宋" w:cs="仿宋"/>
                <w:sz w:val="24"/>
                <w:szCs w:val="24"/>
              </w:rPr>
              <w:t>,</w:t>
            </w:r>
            <w:r>
              <w:rPr>
                <w:rFonts w:hint="eastAsia" w:ascii="仿宋" w:hAnsi="仿宋" w:eastAsia="仿宋" w:cs="仿宋"/>
                <w:sz w:val="24"/>
                <w:szCs w:val="24"/>
              </w:rPr>
              <w:t>同意本期间支付工程款（大写）</w:t>
            </w:r>
            <w:r>
              <w:rPr>
                <w:rFonts w:ascii="仿宋" w:hAnsi="仿宋" w:eastAsia="仿宋" w:cs="仿宋"/>
                <w:sz w:val="24"/>
                <w:szCs w:val="24"/>
                <w:u w:val="single"/>
              </w:rPr>
              <w:t xml:space="preserve">                         </w:t>
            </w:r>
            <w:r>
              <w:rPr>
                <w:rFonts w:hint="eastAsia" w:ascii="仿宋" w:hAnsi="仿宋" w:eastAsia="仿宋" w:cs="仿宋"/>
                <w:sz w:val="24"/>
                <w:szCs w:val="24"/>
              </w:rPr>
              <w:t>（小写</w:t>
            </w:r>
            <w:r>
              <w:rPr>
                <w:rFonts w:ascii="仿宋" w:hAnsi="仿宋" w:eastAsia="仿宋" w:cs="仿宋"/>
                <w:sz w:val="24"/>
                <w:szCs w:val="24"/>
                <w:u w:val="single"/>
              </w:rPr>
              <w:t xml:space="preserve">            </w:t>
            </w:r>
            <w:r>
              <w:rPr>
                <w:rFonts w:hint="eastAsia" w:ascii="仿宋" w:hAnsi="仿宋" w:eastAsia="仿宋" w:cs="仿宋"/>
                <w:sz w:val="24"/>
                <w:szCs w:val="24"/>
              </w:rPr>
              <w:t>）。请按合同规定时间内向承包人支付工程价款。其中：</w:t>
            </w:r>
          </w:p>
          <w:p>
            <w:pPr>
              <w:spacing w:line="360" w:lineRule="auto"/>
              <w:rPr>
                <w:rFonts w:ascii="仿宋" w:hAnsi="仿宋" w:eastAsia="仿宋" w:cs="Times New Roman"/>
                <w:sz w:val="24"/>
                <w:szCs w:val="24"/>
              </w:rPr>
            </w:pPr>
            <w:r>
              <w:rPr>
                <w:rFonts w:hint="eastAsia" w:ascii="仿宋" w:hAnsi="仿宋" w:eastAsia="仿宋" w:cs="仿宋"/>
                <w:sz w:val="24"/>
                <w:szCs w:val="24"/>
              </w:rPr>
              <w:t>１．承包人申报款为：</w:t>
            </w:r>
          </w:p>
          <w:p>
            <w:pPr>
              <w:spacing w:line="360" w:lineRule="auto"/>
              <w:rPr>
                <w:rFonts w:ascii="仿宋" w:hAnsi="仿宋" w:eastAsia="仿宋" w:cs="Times New Roman"/>
                <w:sz w:val="24"/>
                <w:szCs w:val="24"/>
              </w:rPr>
            </w:pPr>
            <w:r>
              <w:rPr>
                <w:rFonts w:hint="eastAsia" w:ascii="仿宋" w:hAnsi="仿宋" w:eastAsia="仿宋" w:cs="仿宋"/>
                <w:sz w:val="24"/>
                <w:szCs w:val="24"/>
              </w:rPr>
              <w:t>２．经复核承包人应得款为：</w:t>
            </w:r>
          </w:p>
          <w:p>
            <w:pPr>
              <w:spacing w:line="360" w:lineRule="auto"/>
              <w:rPr>
                <w:rFonts w:ascii="仿宋" w:hAnsi="仿宋" w:eastAsia="仿宋" w:cs="Times New Roman"/>
                <w:sz w:val="24"/>
                <w:szCs w:val="24"/>
              </w:rPr>
            </w:pPr>
            <w:r>
              <w:rPr>
                <w:rFonts w:hint="eastAsia" w:ascii="仿宋" w:hAnsi="仿宋" w:eastAsia="仿宋" w:cs="仿宋"/>
                <w:sz w:val="24"/>
                <w:szCs w:val="24"/>
              </w:rPr>
              <w:t>３．本期应扣款为：</w:t>
            </w:r>
          </w:p>
          <w:p>
            <w:pPr>
              <w:spacing w:line="360" w:lineRule="auto"/>
              <w:rPr>
                <w:rFonts w:ascii="仿宋" w:hAnsi="仿宋" w:eastAsia="仿宋" w:cs="Times New Roman"/>
                <w:sz w:val="24"/>
                <w:szCs w:val="24"/>
              </w:rPr>
            </w:pPr>
            <w:r>
              <w:rPr>
                <w:rFonts w:hint="eastAsia" w:ascii="仿宋" w:hAnsi="仿宋" w:eastAsia="仿宋" w:cs="仿宋"/>
                <w:sz w:val="24"/>
                <w:szCs w:val="24"/>
              </w:rPr>
              <w:t>４．本期应付款为：</w:t>
            </w:r>
          </w:p>
          <w:p>
            <w:pPr>
              <w:spacing w:line="360" w:lineRule="auto"/>
              <w:ind w:left="-28" w:firstLine="482"/>
              <w:rPr>
                <w:rFonts w:ascii="仿宋" w:hAnsi="仿宋" w:eastAsia="仿宋" w:cs="Times New Roman"/>
                <w:sz w:val="24"/>
                <w:szCs w:val="24"/>
              </w:rPr>
            </w:pPr>
            <w:r>
              <w:rPr>
                <w:rFonts w:hint="eastAsia" w:ascii="仿宋" w:hAnsi="仿宋" w:eastAsia="仿宋" w:cs="仿宋"/>
                <w:sz w:val="24"/>
                <w:szCs w:val="24"/>
              </w:rPr>
              <w:t>具体细目如下：</w:t>
            </w:r>
          </w:p>
          <w:tbl>
            <w:tblPr>
              <w:tblStyle w:val="40"/>
              <w:tblW w:w="8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4206"/>
              <w:gridCol w:w="1371"/>
              <w:gridCol w:w="2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6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r>
                    <w:rPr>
                      <w:rFonts w:hint="eastAsia" w:ascii="仿宋" w:hAnsi="仿宋" w:eastAsia="仿宋" w:cs="仿宋"/>
                    </w:rPr>
                    <w:t>序号</w:t>
                  </w:r>
                </w:p>
              </w:tc>
              <w:tc>
                <w:tcPr>
                  <w:tcW w:w="4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r>
                    <w:rPr>
                      <w:rFonts w:hint="eastAsia" w:ascii="仿宋" w:hAnsi="仿宋" w:eastAsia="仿宋" w:cs="仿宋"/>
                    </w:rPr>
                    <w:t>名</w:t>
                  </w:r>
                  <w:r>
                    <w:rPr>
                      <w:rFonts w:ascii="仿宋" w:hAnsi="仿宋" w:eastAsia="仿宋" w:cs="仿宋"/>
                    </w:rPr>
                    <w:t xml:space="preserve">           </w:t>
                  </w:r>
                  <w:r>
                    <w:rPr>
                      <w:rFonts w:hint="eastAsia" w:ascii="仿宋" w:hAnsi="仿宋" w:eastAsia="仿宋" w:cs="仿宋"/>
                    </w:rPr>
                    <w:t>称</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r>
                    <w:rPr>
                      <w:rFonts w:hint="eastAsia" w:ascii="仿宋" w:hAnsi="仿宋" w:eastAsia="仿宋" w:cs="仿宋"/>
                    </w:rPr>
                    <w:t>金</w:t>
                  </w:r>
                  <w:r>
                    <w:rPr>
                      <w:rFonts w:ascii="仿宋" w:hAnsi="仿宋" w:eastAsia="仿宋" w:cs="仿宋"/>
                    </w:rPr>
                    <w:t xml:space="preserve"> </w:t>
                  </w:r>
                  <w:r>
                    <w:rPr>
                      <w:rFonts w:hint="eastAsia" w:ascii="仿宋" w:hAnsi="仿宋" w:eastAsia="仿宋" w:cs="仿宋"/>
                    </w:rPr>
                    <w:t>额（元）</w:t>
                  </w:r>
                </w:p>
              </w:tc>
              <w:tc>
                <w:tcPr>
                  <w:tcW w:w="24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r>
                    <w:rPr>
                      <w:rFonts w:hint="eastAsia" w:ascii="仿宋" w:hAnsi="仿宋" w:eastAsia="仿宋" w:cs="仿宋"/>
                    </w:rPr>
                    <w:t>备</w:t>
                  </w:r>
                  <w:r>
                    <w:rPr>
                      <w:rFonts w:ascii="仿宋" w:hAnsi="仿宋" w:eastAsia="仿宋" w:cs="仿宋"/>
                    </w:rPr>
                    <w:t xml:space="preserve">       </w:t>
                  </w:r>
                  <w:r>
                    <w:rPr>
                      <w:rFonts w:hint="eastAsia" w:ascii="仿宋" w:hAnsi="仿宋" w:eastAsia="仿宋" w:cs="仿宋"/>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6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r>
                    <w:rPr>
                      <w:rFonts w:ascii="仿宋" w:hAnsi="仿宋" w:eastAsia="仿宋" w:cs="仿宋"/>
                    </w:rPr>
                    <w:t>1</w:t>
                  </w:r>
                </w:p>
              </w:tc>
              <w:tc>
                <w:tcPr>
                  <w:tcW w:w="42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r>
                    <w:rPr>
                      <w:rFonts w:hint="eastAsia" w:ascii="仿宋" w:hAnsi="仿宋" w:eastAsia="仿宋" w:cs="仿宋"/>
                    </w:rPr>
                    <w:t>累计已完工程价款</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trPr>
              <w:tc>
                <w:tcPr>
                  <w:tcW w:w="6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r>
                    <w:rPr>
                      <w:rFonts w:ascii="仿宋" w:hAnsi="仿宋" w:eastAsia="仿宋" w:cs="仿宋"/>
                    </w:rPr>
                    <w:t>2</w:t>
                  </w:r>
                </w:p>
              </w:tc>
              <w:tc>
                <w:tcPr>
                  <w:tcW w:w="42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r>
                    <w:rPr>
                      <w:rFonts w:hint="eastAsia" w:ascii="仿宋" w:hAnsi="仿宋" w:eastAsia="仿宋" w:cs="仿宋"/>
                    </w:rPr>
                    <w:t>累计已实际支付的工程价款</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trPr>
              <w:tc>
                <w:tcPr>
                  <w:tcW w:w="6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r>
                    <w:rPr>
                      <w:rFonts w:ascii="仿宋" w:hAnsi="仿宋" w:eastAsia="仿宋" w:cs="仿宋"/>
                    </w:rPr>
                    <w:t>3</w:t>
                  </w:r>
                </w:p>
              </w:tc>
              <w:tc>
                <w:tcPr>
                  <w:tcW w:w="42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r>
                    <w:rPr>
                      <w:rFonts w:hint="eastAsia" w:ascii="仿宋" w:hAnsi="仿宋" w:eastAsia="仿宋" w:cs="仿宋"/>
                    </w:rPr>
                    <w:t>本期间已完工程价款</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trPr>
              <w:tc>
                <w:tcPr>
                  <w:tcW w:w="6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r>
                    <w:rPr>
                      <w:rFonts w:ascii="仿宋" w:hAnsi="仿宋" w:eastAsia="仿宋" w:cs="仿宋"/>
                    </w:rPr>
                    <w:t>4</w:t>
                  </w:r>
                </w:p>
              </w:tc>
              <w:tc>
                <w:tcPr>
                  <w:tcW w:w="42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r>
                    <w:rPr>
                      <w:rFonts w:hint="eastAsia" w:ascii="仿宋" w:hAnsi="仿宋" w:eastAsia="仿宋" w:cs="仿宋"/>
                    </w:rPr>
                    <w:t>本期间完成的零星工作项目价款</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exact"/>
              </w:trPr>
              <w:tc>
                <w:tcPr>
                  <w:tcW w:w="6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r>
                    <w:rPr>
                      <w:rFonts w:ascii="仿宋" w:hAnsi="仿宋" w:eastAsia="仿宋" w:cs="仿宋"/>
                    </w:rPr>
                    <w:t>5</w:t>
                  </w:r>
                </w:p>
              </w:tc>
              <w:tc>
                <w:tcPr>
                  <w:tcW w:w="42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r>
                    <w:rPr>
                      <w:rFonts w:hint="eastAsia" w:ascii="仿宋" w:hAnsi="仿宋" w:eastAsia="仿宋" w:cs="仿宋"/>
                    </w:rPr>
                    <w:t>本期间应支付的预留金价款</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trPr>
              <w:tc>
                <w:tcPr>
                  <w:tcW w:w="6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r>
                    <w:rPr>
                      <w:rFonts w:ascii="仿宋" w:hAnsi="仿宋" w:eastAsia="仿宋" w:cs="仿宋"/>
                    </w:rPr>
                    <w:t>6</w:t>
                  </w:r>
                </w:p>
              </w:tc>
              <w:tc>
                <w:tcPr>
                  <w:tcW w:w="42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r>
                    <w:rPr>
                      <w:rFonts w:hint="eastAsia" w:ascii="仿宋" w:hAnsi="仿宋" w:eastAsia="仿宋" w:cs="仿宋"/>
                    </w:rPr>
                    <w:t>本期间应支付的工程变更价款</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r>
                    <w:rPr>
                      <w:rFonts w:hint="eastAsia" w:ascii="仿宋" w:hAnsi="仿宋" w:eastAsia="仿宋" w:cs="仿宋"/>
                    </w:rPr>
                    <w:t>根据第</w:t>
                  </w:r>
                  <w:r>
                    <w:rPr>
                      <w:rFonts w:ascii="仿宋" w:hAnsi="仿宋" w:eastAsia="仿宋" w:cs="仿宋"/>
                    </w:rPr>
                    <w:t>66</w:t>
                  </w:r>
                  <w:r>
                    <w:rPr>
                      <w:rFonts w:hint="eastAsia" w:ascii="仿宋" w:hAnsi="仿宋" w:eastAsia="仿宋" w:cs="仿宋"/>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trPr>
              <w:tc>
                <w:tcPr>
                  <w:tcW w:w="6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r>
                    <w:rPr>
                      <w:rFonts w:ascii="仿宋" w:hAnsi="仿宋" w:eastAsia="仿宋" w:cs="仿宋"/>
                    </w:rPr>
                    <w:t>7</w:t>
                  </w:r>
                </w:p>
              </w:tc>
              <w:tc>
                <w:tcPr>
                  <w:tcW w:w="42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r>
                    <w:rPr>
                      <w:rFonts w:hint="eastAsia" w:ascii="仿宋" w:hAnsi="仿宋" w:eastAsia="仿宋" w:cs="仿宋"/>
                    </w:rPr>
                    <w:t>本期间应支付的安全防护、文明施工措施费</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r>
                    <w:rPr>
                      <w:rFonts w:hint="eastAsia" w:ascii="仿宋" w:hAnsi="仿宋" w:eastAsia="仿宋" w:cs="仿宋"/>
                    </w:rPr>
                    <w:t>根据第</w:t>
                  </w:r>
                  <w:r>
                    <w:rPr>
                      <w:rFonts w:ascii="仿宋" w:hAnsi="仿宋" w:eastAsia="仿宋" w:cs="仿宋"/>
                    </w:rPr>
                    <w:t>68</w:t>
                  </w:r>
                  <w:r>
                    <w:rPr>
                      <w:rFonts w:hint="eastAsia" w:ascii="仿宋" w:hAnsi="仿宋" w:eastAsia="仿宋" w:cs="仿宋"/>
                    </w:rPr>
                    <w:t>条至第</w:t>
                  </w:r>
                  <w:r>
                    <w:rPr>
                      <w:rFonts w:ascii="仿宋" w:hAnsi="仿宋" w:eastAsia="仿宋" w:cs="仿宋"/>
                    </w:rPr>
                    <w:t xml:space="preserve"> 76 </w:t>
                  </w:r>
                  <w:r>
                    <w:rPr>
                      <w:rFonts w:hint="eastAsia" w:ascii="仿宋" w:hAnsi="仿宋" w:eastAsia="仿宋" w:cs="仿宋"/>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exact"/>
              </w:trPr>
              <w:tc>
                <w:tcPr>
                  <w:tcW w:w="6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r>
                    <w:rPr>
                      <w:rFonts w:ascii="仿宋" w:hAnsi="仿宋" w:eastAsia="仿宋" w:cs="仿宋"/>
                    </w:rPr>
                    <w:t>8</w:t>
                  </w:r>
                </w:p>
              </w:tc>
              <w:tc>
                <w:tcPr>
                  <w:tcW w:w="42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r>
                    <w:rPr>
                      <w:rFonts w:hint="eastAsia" w:ascii="仿宋" w:hAnsi="仿宋" w:eastAsia="仿宋" w:cs="仿宋"/>
                    </w:rPr>
                    <w:t>物价和后继法律法规的调整价款</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r>
                    <w:rPr>
                      <w:rFonts w:hint="eastAsia" w:ascii="仿宋" w:hAnsi="仿宋" w:eastAsia="仿宋" w:cs="仿宋"/>
                    </w:rPr>
                    <w:t>根据第</w:t>
                  </w:r>
                  <w:r>
                    <w:rPr>
                      <w:rFonts w:ascii="仿宋" w:hAnsi="仿宋" w:eastAsia="仿宋" w:cs="仿宋"/>
                    </w:rPr>
                    <w:t>79</w:t>
                  </w:r>
                  <w:r>
                    <w:rPr>
                      <w:rFonts w:hint="eastAsia" w:ascii="仿宋" w:hAnsi="仿宋" w:eastAsia="仿宋" w:cs="仿宋"/>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trPr>
              <w:tc>
                <w:tcPr>
                  <w:tcW w:w="6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r>
                    <w:rPr>
                      <w:rFonts w:ascii="仿宋" w:hAnsi="仿宋" w:eastAsia="仿宋" w:cs="仿宋"/>
                    </w:rPr>
                    <w:t>9</w:t>
                  </w:r>
                </w:p>
              </w:tc>
              <w:tc>
                <w:tcPr>
                  <w:tcW w:w="42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r>
                    <w:rPr>
                      <w:rFonts w:hint="eastAsia" w:ascii="仿宋" w:hAnsi="仿宋" w:eastAsia="仿宋" w:cs="仿宋"/>
                    </w:rPr>
                    <w:t>本期间应扣除的误期赔偿费</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r>
                    <w:rPr>
                      <w:rFonts w:hint="eastAsia" w:ascii="仿宋" w:hAnsi="仿宋" w:eastAsia="仿宋" w:cs="仿宋"/>
                    </w:rPr>
                    <w:t>根据第</w:t>
                  </w:r>
                  <w:r>
                    <w:rPr>
                      <w:rFonts w:ascii="仿宋" w:hAnsi="仿宋" w:eastAsia="仿宋" w:cs="仿宋"/>
                    </w:rPr>
                    <w:t>80</w:t>
                  </w:r>
                  <w:r>
                    <w:rPr>
                      <w:rFonts w:hint="eastAsia" w:ascii="仿宋" w:hAnsi="仿宋" w:eastAsia="仿宋" w:cs="仿宋"/>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trPr>
              <w:tc>
                <w:tcPr>
                  <w:tcW w:w="6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r>
                    <w:rPr>
                      <w:rFonts w:ascii="仿宋" w:hAnsi="仿宋" w:eastAsia="仿宋" w:cs="仿宋"/>
                    </w:rPr>
                    <w:t>10</w:t>
                  </w:r>
                </w:p>
              </w:tc>
              <w:tc>
                <w:tcPr>
                  <w:tcW w:w="42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r>
                    <w:rPr>
                      <w:rFonts w:hint="eastAsia" w:ascii="仿宋" w:hAnsi="仿宋" w:eastAsia="仿宋" w:cs="仿宋"/>
                    </w:rPr>
                    <w:t>本期间应扣回的预付款</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r>
                    <w:rPr>
                      <w:rFonts w:hint="eastAsia" w:ascii="仿宋" w:hAnsi="仿宋" w:eastAsia="仿宋" w:cs="仿宋"/>
                    </w:rPr>
                    <w:t>根据第</w:t>
                  </w:r>
                  <w:r>
                    <w:rPr>
                      <w:rFonts w:ascii="仿宋" w:hAnsi="仿宋" w:eastAsia="仿宋" w:cs="仿宋"/>
                    </w:rPr>
                    <w:t>84</w:t>
                  </w:r>
                  <w:r>
                    <w:rPr>
                      <w:rFonts w:hint="eastAsia" w:ascii="仿宋" w:hAnsi="仿宋" w:eastAsia="仿宋" w:cs="仿宋"/>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trPr>
              <w:tc>
                <w:tcPr>
                  <w:tcW w:w="6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r>
                    <w:rPr>
                      <w:rFonts w:ascii="仿宋" w:hAnsi="仿宋" w:eastAsia="仿宋" w:cs="仿宋"/>
                    </w:rPr>
                    <w:t>11</w:t>
                  </w:r>
                </w:p>
              </w:tc>
              <w:tc>
                <w:tcPr>
                  <w:tcW w:w="42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r>
                    <w:rPr>
                      <w:rFonts w:hint="eastAsia" w:ascii="仿宋" w:hAnsi="仿宋" w:eastAsia="仿宋" w:cs="仿宋"/>
                    </w:rPr>
                    <w:t>本期间应扣留的质量保证金</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trPr>
              <w:tc>
                <w:tcPr>
                  <w:tcW w:w="6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r>
                    <w:rPr>
                      <w:rFonts w:ascii="仿宋" w:hAnsi="仿宋" w:eastAsia="仿宋" w:cs="仿宋"/>
                    </w:rPr>
                    <w:t>12</w:t>
                  </w:r>
                </w:p>
              </w:tc>
              <w:tc>
                <w:tcPr>
                  <w:tcW w:w="42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r>
                    <w:rPr>
                      <w:rFonts w:hint="eastAsia" w:ascii="仿宋" w:hAnsi="仿宋" w:eastAsia="仿宋" w:cs="仿宋"/>
                    </w:rPr>
                    <w:t>本期间应支付或扣回（留）的其他款项</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6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p>
              </w:tc>
              <w:tc>
                <w:tcPr>
                  <w:tcW w:w="42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p>
              </w:tc>
              <w:tc>
                <w:tcPr>
                  <w:tcW w:w="13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trPr>
              <w:tc>
                <w:tcPr>
                  <w:tcW w:w="6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p>
              </w:tc>
              <w:tc>
                <w:tcPr>
                  <w:tcW w:w="42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r>
                    <w:rPr>
                      <w:rFonts w:hint="eastAsia" w:ascii="仿宋" w:hAnsi="仿宋" w:eastAsia="仿宋" w:cs="仿宋"/>
                    </w:rPr>
                    <w:t>本期间应支付的工程价款</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p>
              </w:tc>
            </w:tr>
          </w:tbl>
          <w:p>
            <w:pPr>
              <w:tabs>
                <w:tab w:val="left" w:pos="6912"/>
              </w:tabs>
              <w:spacing w:line="360" w:lineRule="auto"/>
              <w:rPr>
                <w:rFonts w:ascii="仿宋" w:hAnsi="仿宋" w:eastAsia="仿宋" w:cs="Times New Roman"/>
                <w:sz w:val="24"/>
                <w:szCs w:val="24"/>
              </w:rPr>
            </w:pPr>
            <w:r>
              <w:rPr>
                <w:rFonts w:hint="eastAsia" w:ascii="仿宋" w:hAnsi="仿宋" w:eastAsia="仿宋" w:cs="仿宋"/>
                <w:sz w:val="24"/>
                <w:szCs w:val="24"/>
              </w:rPr>
              <w:t>附：</w:t>
            </w:r>
          </w:p>
          <w:p>
            <w:pPr>
              <w:tabs>
                <w:tab w:val="left" w:pos="6912"/>
              </w:tabs>
              <w:spacing w:line="360" w:lineRule="auto"/>
              <w:ind w:left="480"/>
              <w:rPr>
                <w:rFonts w:ascii="仿宋" w:hAnsi="仿宋" w:eastAsia="仿宋" w:cs="Times New Roman"/>
                <w:sz w:val="24"/>
                <w:szCs w:val="24"/>
              </w:rPr>
            </w:pPr>
            <w:r>
              <w:rPr>
                <w:rFonts w:ascii="仿宋" w:hAnsi="仿宋" w:eastAsia="仿宋" w:cs="仿宋"/>
                <w:sz w:val="24"/>
                <w:szCs w:val="24"/>
              </w:rPr>
              <w:t xml:space="preserve">1. </w:t>
            </w:r>
            <w:r>
              <w:rPr>
                <w:rFonts w:hint="eastAsia" w:ascii="仿宋" w:hAnsi="仿宋" w:eastAsia="仿宋" w:cs="仿宋"/>
                <w:sz w:val="24"/>
                <w:szCs w:val="24"/>
              </w:rPr>
              <w:t>已完工程款额明细审核表</w:t>
            </w:r>
          </w:p>
          <w:p>
            <w:pPr>
              <w:tabs>
                <w:tab w:val="left" w:pos="6912"/>
              </w:tabs>
              <w:spacing w:line="360" w:lineRule="auto"/>
              <w:ind w:left="480"/>
              <w:rPr>
                <w:rFonts w:ascii="仿宋" w:hAnsi="仿宋" w:eastAsia="仿宋" w:cs="Times New Roman"/>
                <w:sz w:val="24"/>
                <w:szCs w:val="24"/>
              </w:rPr>
            </w:pPr>
            <w:r>
              <w:rPr>
                <w:rFonts w:ascii="仿宋" w:hAnsi="仿宋" w:eastAsia="仿宋" w:cs="仿宋"/>
                <w:sz w:val="24"/>
                <w:szCs w:val="24"/>
              </w:rPr>
              <w:t xml:space="preserve">2. </w:t>
            </w:r>
            <w:r>
              <w:rPr>
                <w:rFonts w:hint="eastAsia" w:ascii="仿宋" w:hAnsi="仿宋" w:eastAsia="仿宋" w:cs="仿宋"/>
                <w:sz w:val="24"/>
                <w:szCs w:val="24"/>
              </w:rPr>
              <w:t>相关记录</w:t>
            </w:r>
          </w:p>
          <w:p>
            <w:pPr>
              <w:tabs>
                <w:tab w:val="left" w:pos="6912"/>
              </w:tabs>
              <w:spacing w:line="360" w:lineRule="auto"/>
              <w:ind w:firstLine="6000" w:firstLineChars="2500"/>
              <w:rPr>
                <w:rFonts w:ascii="仿宋" w:hAnsi="仿宋" w:eastAsia="仿宋" w:cs="Times New Roman"/>
                <w:sz w:val="24"/>
                <w:szCs w:val="24"/>
                <w:u w:val="single"/>
              </w:rPr>
            </w:pPr>
            <w:r>
              <w:rPr>
                <w:rFonts w:hint="eastAsia" w:ascii="仿宋" w:hAnsi="仿宋" w:eastAsia="仿宋" w:cs="仿宋"/>
                <w:sz w:val="24"/>
                <w:szCs w:val="24"/>
              </w:rPr>
              <w:t>工程造价咨询人（如有）（章）</w:t>
            </w:r>
            <w:r>
              <w:rPr>
                <w:rFonts w:ascii="仿宋" w:hAnsi="仿宋" w:eastAsia="仿宋" w:cs="仿宋"/>
                <w:sz w:val="24"/>
                <w:szCs w:val="24"/>
              </w:rPr>
              <w:t xml:space="preserve">                </w:t>
            </w:r>
          </w:p>
          <w:p>
            <w:pPr>
              <w:spacing w:line="360" w:lineRule="auto"/>
              <w:ind w:firstLine="6000"/>
              <w:rPr>
                <w:rFonts w:ascii="仿宋" w:hAnsi="仿宋" w:eastAsia="仿宋" w:cs="仿宋"/>
                <w:sz w:val="24"/>
                <w:szCs w:val="24"/>
                <w:u w:val="single"/>
              </w:rPr>
            </w:pPr>
            <w:r>
              <w:rPr>
                <w:rFonts w:hint="eastAsia" w:ascii="仿宋" w:hAnsi="仿宋" w:eastAsia="仿宋" w:cs="仿宋"/>
                <w:sz w:val="24"/>
                <w:szCs w:val="24"/>
              </w:rPr>
              <w:t>造价工程师</w:t>
            </w:r>
            <w:r>
              <w:rPr>
                <w:rFonts w:ascii="仿宋" w:hAnsi="仿宋" w:eastAsia="仿宋" w:cs="仿宋"/>
                <w:sz w:val="24"/>
                <w:szCs w:val="24"/>
                <w:u w:val="single"/>
              </w:rPr>
              <w:t xml:space="preserve">               </w:t>
            </w:r>
          </w:p>
          <w:p>
            <w:pPr>
              <w:tabs>
                <w:tab w:val="left" w:pos="7272"/>
              </w:tabs>
              <w:spacing w:line="360" w:lineRule="auto"/>
              <w:ind w:firstLine="6000"/>
              <w:rPr>
                <w:rFonts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pPr>
        <w:pStyle w:val="2"/>
        <w:adjustRightInd w:val="0"/>
        <w:snapToGrid w:val="0"/>
        <w:ind w:left="659" w:leftChars="114" w:hanging="420" w:hangingChars="200"/>
        <w:rPr>
          <w:rFonts w:ascii="仿宋" w:hAnsi="仿宋" w:eastAsia="仿宋" w:cs="Times New Roman"/>
          <w:sz w:val="24"/>
          <w:szCs w:val="24"/>
        </w:rPr>
      </w:pPr>
      <w:r>
        <w:rPr>
          <w:rFonts w:hint="eastAsia" w:ascii="仿宋" w:hAnsi="仿宋" w:eastAsia="仿宋" w:cs="仿宋"/>
        </w:rPr>
        <w:t>说明：本表一式四份，由造价咨询单位填制，抄送承包人。发包人、监理人、工程造价咨询人（如有）和承包人各存一份</w:t>
      </w:r>
      <w:r>
        <w:rPr>
          <w:rFonts w:hint="eastAsia" w:ascii="仿宋" w:hAnsi="仿宋" w:eastAsia="仿宋" w:cs="仿宋"/>
          <w:sz w:val="24"/>
          <w:szCs w:val="24"/>
        </w:rPr>
        <w:t>。</w:t>
      </w:r>
    </w:p>
    <w:p>
      <w:pPr>
        <w:spacing w:line="360" w:lineRule="auto"/>
        <w:outlineLvl w:val="1"/>
        <w:rPr>
          <w:rFonts w:ascii="仿宋" w:hAnsi="仿宋" w:eastAsia="仿宋" w:cs="仿宋"/>
          <w:b/>
          <w:bCs/>
          <w:color w:val="000000"/>
          <w:kern w:val="0"/>
          <w:sz w:val="24"/>
          <w:szCs w:val="24"/>
        </w:rPr>
      </w:pPr>
      <w:r>
        <w:rPr>
          <w:rFonts w:ascii="仿宋" w:hAnsi="仿宋" w:eastAsia="仿宋" w:cs="Times New Roman"/>
          <w:kern w:val="0"/>
        </w:rPr>
        <w:br w:type="page"/>
      </w:r>
      <w:bookmarkStart w:id="816" w:name="_Toc469384169"/>
      <w:bookmarkStart w:id="817" w:name="_Toc266892955"/>
      <w:bookmarkStart w:id="818" w:name="_Toc10625013"/>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29</w:t>
      </w:r>
      <w:bookmarkEnd w:id="816"/>
      <w:bookmarkEnd w:id="817"/>
      <w:bookmarkEnd w:id="818"/>
    </w:p>
    <w:p>
      <w:pPr>
        <w:spacing w:before="312" w:beforeLines="100" w:after="312" w:afterLines="100"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支付统计表</w:t>
      </w:r>
    </w:p>
    <w:p>
      <w:pPr>
        <w:spacing w:line="360" w:lineRule="auto"/>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 xml:space="preserve">                         </w:t>
      </w:r>
      <w:r>
        <w:rPr>
          <w:rFonts w:hint="eastAsia" w:ascii="仿宋" w:hAnsi="仿宋" w:eastAsia="仿宋" w:cs="仿宋"/>
          <w:sz w:val="24"/>
          <w:szCs w:val="24"/>
        </w:rPr>
        <w:t>编号：</w:t>
      </w:r>
    </w:p>
    <w:tbl>
      <w:tblPr>
        <w:tblStyle w:val="40"/>
        <w:tblW w:w="962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962"/>
        <w:gridCol w:w="962"/>
        <w:gridCol w:w="963"/>
        <w:gridCol w:w="963"/>
        <w:gridCol w:w="963"/>
        <w:gridCol w:w="963"/>
        <w:gridCol w:w="963"/>
        <w:gridCol w:w="963"/>
        <w:gridCol w:w="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trPr>
        <w:tc>
          <w:tcPr>
            <w:tcW w:w="962" w:type="dxa"/>
            <w:vMerge w:val="restart"/>
            <w:vAlign w:val="center"/>
          </w:tcPr>
          <w:p>
            <w:pPr>
              <w:jc w:val="center"/>
              <w:rPr>
                <w:rFonts w:ascii="仿宋" w:hAnsi="仿宋" w:eastAsia="仿宋" w:cs="Times New Roman"/>
              </w:rPr>
            </w:pPr>
            <w:r>
              <w:rPr>
                <w:rFonts w:hint="eastAsia" w:ascii="仿宋" w:hAnsi="仿宋" w:eastAsia="仿宋" w:cs="仿宋"/>
                <w:sz w:val="24"/>
                <w:szCs w:val="24"/>
              </w:rPr>
              <w:t>序号</w:t>
            </w:r>
          </w:p>
        </w:tc>
        <w:tc>
          <w:tcPr>
            <w:tcW w:w="962" w:type="dxa"/>
            <w:vMerge w:val="restart"/>
            <w:vAlign w:val="center"/>
          </w:tcPr>
          <w:p>
            <w:pPr>
              <w:jc w:val="center"/>
              <w:rPr>
                <w:rFonts w:ascii="仿宋" w:hAnsi="仿宋" w:eastAsia="仿宋" w:cs="Times New Roman"/>
              </w:rPr>
            </w:pPr>
            <w:r>
              <w:rPr>
                <w:rFonts w:hint="eastAsia" w:ascii="仿宋" w:hAnsi="仿宋" w:eastAsia="仿宋" w:cs="仿宋"/>
                <w:sz w:val="24"/>
                <w:szCs w:val="24"/>
              </w:rPr>
              <w:t>支付证书编号</w:t>
            </w:r>
          </w:p>
        </w:tc>
        <w:tc>
          <w:tcPr>
            <w:tcW w:w="1925" w:type="dxa"/>
            <w:gridSpan w:val="2"/>
            <w:vAlign w:val="center"/>
          </w:tcPr>
          <w:p>
            <w:pPr>
              <w:jc w:val="center"/>
              <w:rPr>
                <w:rFonts w:ascii="仿宋" w:hAnsi="仿宋" w:eastAsia="仿宋" w:cs="Times New Roman"/>
              </w:rPr>
            </w:pPr>
            <w:r>
              <w:rPr>
                <w:rFonts w:hint="eastAsia" w:ascii="仿宋" w:hAnsi="仿宋" w:eastAsia="仿宋" w:cs="仿宋"/>
                <w:sz w:val="24"/>
                <w:szCs w:val="24"/>
              </w:rPr>
              <w:t>对应支付期间</w:t>
            </w:r>
          </w:p>
        </w:tc>
        <w:tc>
          <w:tcPr>
            <w:tcW w:w="1926" w:type="dxa"/>
            <w:gridSpan w:val="2"/>
            <w:vAlign w:val="center"/>
          </w:tcPr>
          <w:p>
            <w:pPr>
              <w:jc w:val="center"/>
              <w:rPr>
                <w:rFonts w:ascii="仿宋" w:hAnsi="仿宋" w:eastAsia="仿宋" w:cs="Times New Roman"/>
              </w:rPr>
            </w:pPr>
            <w:r>
              <w:rPr>
                <w:rFonts w:hint="eastAsia" w:ascii="仿宋" w:hAnsi="仿宋" w:eastAsia="仿宋" w:cs="仿宋"/>
                <w:sz w:val="24"/>
                <w:szCs w:val="24"/>
              </w:rPr>
              <w:t>期间已完工程</w:t>
            </w:r>
          </w:p>
        </w:tc>
        <w:tc>
          <w:tcPr>
            <w:tcW w:w="1926" w:type="dxa"/>
            <w:gridSpan w:val="2"/>
            <w:vAlign w:val="center"/>
          </w:tcPr>
          <w:p>
            <w:pPr>
              <w:jc w:val="center"/>
              <w:rPr>
                <w:rFonts w:ascii="仿宋" w:hAnsi="仿宋" w:eastAsia="仿宋" w:cs="Times New Roman"/>
              </w:rPr>
            </w:pPr>
            <w:r>
              <w:rPr>
                <w:rFonts w:hint="eastAsia" w:ascii="仿宋" w:hAnsi="仿宋" w:eastAsia="仿宋" w:cs="仿宋"/>
                <w:sz w:val="24"/>
                <w:szCs w:val="24"/>
              </w:rPr>
              <w:t>期间实际支付</w:t>
            </w:r>
          </w:p>
        </w:tc>
        <w:tc>
          <w:tcPr>
            <w:tcW w:w="963" w:type="dxa"/>
            <w:vMerge w:val="restart"/>
            <w:vAlign w:val="center"/>
          </w:tcPr>
          <w:p>
            <w:pPr>
              <w:jc w:val="center"/>
              <w:rPr>
                <w:rFonts w:ascii="仿宋" w:hAnsi="仿宋" w:eastAsia="仿宋" w:cs="Times New Roman"/>
                <w:sz w:val="24"/>
                <w:szCs w:val="24"/>
              </w:rPr>
            </w:pPr>
            <w:r>
              <w:rPr>
                <w:rFonts w:hint="eastAsia" w:ascii="仿宋" w:hAnsi="仿宋" w:eastAsia="仿宋" w:cs="仿宋"/>
                <w:sz w:val="24"/>
                <w:szCs w:val="24"/>
              </w:rPr>
              <w:t>已扣留的</w:t>
            </w:r>
          </w:p>
          <w:p>
            <w:pPr>
              <w:jc w:val="center"/>
              <w:rPr>
                <w:rFonts w:ascii="仿宋" w:hAnsi="仿宋" w:eastAsia="仿宋" w:cs="Times New Roman"/>
              </w:rPr>
            </w:pPr>
            <w:r>
              <w:rPr>
                <w:rFonts w:hint="eastAsia" w:ascii="仿宋" w:hAnsi="仿宋" w:eastAsia="仿宋" w:cs="仿宋"/>
                <w:sz w:val="24"/>
                <w:szCs w:val="24"/>
              </w:rPr>
              <w:t>质量保证金（元）</w:t>
            </w:r>
          </w:p>
        </w:tc>
        <w:tc>
          <w:tcPr>
            <w:tcW w:w="963" w:type="dxa"/>
            <w:vMerge w:val="restart"/>
            <w:vAlign w:val="center"/>
          </w:tcPr>
          <w:p>
            <w:pPr>
              <w:jc w:val="center"/>
              <w:rPr>
                <w:rFonts w:ascii="仿宋" w:hAnsi="仿宋" w:eastAsia="仿宋" w:cs="Times New Roman"/>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trPr>
        <w:tc>
          <w:tcPr>
            <w:tcW w:w="962" w:type="dxa"/>
            <w:vMerge w:val="continue"/>
            <w:vAlign w:val="center"/>
          </w:tcPr>
          <w:p>
            <w:pPr>
              <w:widowControl/>
              <w:jc w:val="left"/>
              <w:rPr>
                <w:rFonts w:ascii="仿宋" w:hAnsi="仿宋" w:eastAsia="仿宋" w:cs="Times New Roman"/>
              </w:rPr>
            </w:pPr>
          </w:p>
        </w:tc>
        <w:tc>
          <w:tcPr>
            <w:tcW w:w="962" w:type="dxa"/>
            <w:vMerge w:val="continue"/>
            <w:vAlign w:val="center"/>
          </w:tcPr>
          <w:p>
            <w:pPr>
              <w:widowControl/>
              <w:jc w:val="left"/>
              <w:rPr>
                <w:rFonts w:ascii="仿宋" w:hAnsi="仿宋" w:eastAsia="仿宋" w:cs="Times New Roman"/>
              </w:rPr>
            </w:pPr>
          </w:p>
        </w:tc>
        <w:tc>
          <w:tcPr>
            <w:tcW w:w="962" w:type="dxa"/>
            <w:vAlign w:val="center"/>
          </w:tcPr>
          <w:p>
            <w:pPr>
              <w:jc w:val="center"/>
              <w:rPr>
                <w:rFonts w:ascii="仿宋" w:hAnsi="仿宋" w:eastAsia="仿宋" w:cs="Times New Roman"/>
              </w:rPr>
            </w:pPr>
            <w:r>
              <w:rPr>
                <w:rFonts w:hint="eastAsia" w:ascii="仿宋" w:hAnsi="仿宋" w:eastAsia="仿宋" w:cs="仿宋"/>
                <w:sz w:val="24"/>
                <w:szCs w:val="24"/>
              </w:rPr>
              <w:t>开始日</w:t>
            </w:r>
          </w:p>
        </w:tc>
        <w:tc>
          <w:tcPr>
            <w:tcW w:w="963" w:type="dxa"/>
            <w:vAlign w:val="center"/>
          </w:tcPr>
          <w:p>
            <w:pPr>
              <w:jc w:val="center"/>
              <w:rPr>
                <w:rFonts w:ascii="仿宋" w:hAnsi="仿宋" w:eastAsia="仿宋" w:cs="Times New Roman"/>
              </w:rPr>
            </w:pPr>
            <w:r>
              <w:rPr>
                <w:rFonts w:hint="eastAsia" w:ascii="仿宋" w:hAnsi="仿宋" w:eastAsia="仿宋" w:cs="仿宋"/>
                <w:sz w:val="24"/>
                <w:szCs w:val="24"/>
              </w:rPr>
              <w:t>截止日</w:t>
            </w:r>
          </w:p>
        </w:tc>
        <w:tc>
          <w:tcPr>
            <w:tcW w:w="963" w:type="dxa"/>
            <w:vAlign w:val="center"/>
          </w:tcPr>
          <w:p>
            <w:pPr>
              <w:jc w:val="center"/>
              <w:rPr>
                <w:rFonts w:ascii="仿宋" w:hAnsi="仿宋" w:eastAsia="仿宋" w:cs="Times New Roman"/>
              </w:rPr>
            </w:pPr>
            <w:r>
              <w:rPr>
                <w:rFonts w:hint="eastAsia" w:ascii="仿宋" w:hAnsi="仿宋" w:eastAsia="仿宋" w:cs="仿宋"/>
                <w:sz w:val="24"/>
                <w:szCs w:val="24"/>
              </w:rPr>
              <w:t>金额（元）</w:t>
            </w:r>
          </w:p>
        </w:tc>
        <w:tc>
          <w:tcPr>
            <w:tcW w:w="963" w:type="dxa"/>
            <w:vAlign w:val="center"/>
          </w:tcPr>
          <w:p>
            <w:pPr>
              <w:jc w:val="center"/>
              <w:rPr>
                <w:rFonts w:ascii="仿宋" w:hAnsi="仿宋" w:eastAsia="仿宋" w:cs="Times New Roman"/>
              </w:rPr>
            </w:pPr>
            <w:r>
              <w:rPr>
                <w:rFonts w:hint="eastAsia" w:ascii="仿宋" w:hAnsi="仿宋" w:eastAsia="仿宋" w:cs="仿宋"/>
                <w:sz w:val="24"/>
                <w:szCs w:val="24"/>
              </w:rPr>
              <w:t>最迟支付时间</w:t>
            </w:r>
          </w:p>
        </w:tc>
        <w:tc>
          <w:tcPr>
            <w:tcW w:w="963" w:type="dxa"/>
            <w:vAlign w:val="center"/>
          </w:tcPr>
          <w:p>
            <w:pPr>
              <w:jc w:val="center"/>
              <w:rPr>
                <w:rFonts w:ascii="仿宋" w:hAnsi="仿宋" w:eastAsia="仿宋" w:cs="Times New Roman"/>
              </w:rPr>
            </w:pPr>
            <w:r>
              <w:rPr>
                <w:rFonts w:hint="eastAsia" w:ascii="仿宋" w:hAnsi="仿宋" w:eastAsia="仿宋" w:cs="仿宋"/>
                <w:sz w:val="24"/>
                <w:szCs w:val="24"/>
              </w:rPr>
              <w:t>金额</w:t>
            </w:r>
            <w:r>
              <w:rPr>
                <w:rFonts w:ascii="仿宋" w:hAnsi="仿宋" w:eastAsia="仿宋" w:cs="仿宋"/>
                <w:sz w:val="24"/>
                <w:szCs w:val="24"/>
              </w:rPr>
              <w:t xml:space="preserve"> </w:t>
            </w:r>
            <w:r>
              <w:rPr>
                <w:rFonts w:hint="eastAsia" w:ascii="仿宋" w:hAnsi="仿宋" w:eastAsia="仿宋" w:cs="仿宋"/>
                <w:sz w:val="24"/>
                <w:szCs w:val="24"/>
              </w:rPr>
              <w:t>（元）</w:t>
            </w:r>
          </w:p>
        </w:tc>
        <w:tc>
          <w:tcPr>
            <w:tcW w:w="963" w:type="dxa"/>
            <w:vAlign w:val="center"/>
          </w:tcPr>
          <w:p>
            <w:pPr>
              <w:jc w:val="center"/>
              <w:rPr>
                <w:rFonts w:ascii="仿宋" w:hAnsi="仿宋" w:eastAsia="仿宋" w:cs="Times New Roman"/>
              </w:rPr>
            </w:pPr>
            <w:r>
              <w:rPr>
                <w:rFonts w:hint="eastAsia" w:ascii="仿宋" w:hAnsi="仿宋" w:eastAsia="仿宋" w:cs="仿宋"/>
                <w:sz w:val="24"/>
                <w:szCs w:val="24"/>
              </w:rPr>
              <w:t>时间</w:t>
            </w:r>
          </w:p>
        </w:tc>
        <w:tc>
          <w:tcPr>
            <w:tcW w:w="963" w:type="dxa"/>
            <w:vMerge w:val="continue"/>
            <w:vAlign w:val="center"/>
          </w:tcPr>
          <w:p>
            <w:pPr>
              <w:widowControl/>
              <w:jc w:val="left"/>
              <w:rPr>
                <w:rFonts w:ascii="仿宋" w:hAnsi="仿宋" w:eastAsia="仿宋" w:cs="Times New Roman"/>
              </w:rPr>
            </w:pPr>
          </w:p>
        </w:tc>
        <w:tc>
          <w:tcPr>
            <w:tcW w:w="963" w:type="dxa"/>
            <w:vMerge w:val="continue"/>
            <w:vAlign w:val="center"/>
          </w:tcPr>
          <w:p>
            <w:pPr>
              <w:widowControl/>
              <w:jc w:val="left"/>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vAlign w:val="top"/>
          </w:tcPr>
          <w:p>
            <w:pPr>
              <w:spacing w:line="360" w:lineRule="auto"/>
              <w:rPr>
                <w:rFonts w:ascii="仿宋" w:hAnsi="仿宋" w:eastAsia="仿宋" w:cs="Times New Roman"/>
              </w:rPr>
            </w:pPr>
          </w:p>
        </w:tc>
        <w:tc>
          <w:tcPr>
            <w:tcW w:w="962" w:type="dxa"/>
            <w:vAlign w:val="top"/>
          </w:tcPr>
          <w:p>
            <w:pPr>
              <w:spacing w:line="360" w:lineRule="auto"/>
              <w:rPr>
                <w:rFonts w:ascii="仿宋" w:hAnsi="仿宋" w:eastAsia="仿宋" w:cs="Times New Roman"/>
              </w:rPr>
            </w:pPr>
          </w:p>
        </w:tc>
        <w:tc>
          <w:tcPr>
            <w:tcW w:w="962"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vAlign w:val="top"/>
          </w:tcPr>
          <w:p>
            <w:pPr>
              <w:spacing w:line="360" w:lineRule="auto"/>
              <w:rPr>
                <w:rFonts w:ascii="仿宋" w:hAnsi="仿宋" w:eastAsia="仿宋" w:cs="Times New Roman"/>
              </w:rPr>
            </w:pPr>
          </w:p>
        </w:tc>
        <w:tc>
          <w:tcPr>
            <w:tcW w:w="962" w:type="dxa"/>
            <w:vAlign w:val="top"/>
          </w:tcPr>
          <w:p>
            <w:pPr>
              <w:spacing w:line="360" w:lineRule="auto"/>
              <w:rPr>
                <w:rFonts w:ascii="仿宋" w:hAnsi="仿宋" w:eastAsia="仿宋" w:cs="Times New Roman"/>
              </w:rPr>
            </w:pPr>
          </w:p>
        </w:tc>
        <w:tc>
          <w:tcPr>
            <w:tcW w:w="962"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vAlign w:val="top"/>
          </w:tcPr>
          <w:p>
            <w:pPr>
              <w:spacing w:line="360" w:lineRule="auto"/>
              <w:rPr>
                <w:rFonts w:ascii="仿宋" w:hAnsi="仿宋" w:eastAsia="仿宋" w:cs="Times New Roman"/>
              </w:rPr>
            </w:pPr>
          </w:p>
        </w:tc>
        <w:tc>
          <w:tcPr>
            <w:tcW w:w="962" w:type="dxa"/>
            <w:vAlign w:val="top"/>
          </w:tcPr>
          <w:p>
            <w:pPr>
              <w:spacing w:line="360" w:lineRule="auto"/>
              <w:rPr>
                <w:rFonts w:ascii="仿宋" w:hAnsi="仿宋" w:eastAsia="仿宋" w:cs="Times New Roman"/>
              </w:rPr>
            </w:pPr>
          </w:p>
        </w:tc>
        <w:tc>
          <w:tcPr>
            <w:tcW w:w="962"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vAlign w:val="top"/>
          </w:tcPr>
          <w:p>
            <w:pPr>
              <w:spacing w:line="360" w:lineRule="auto"/>
              <w:rPr>
                <w:rFonts w:ascii="仿宋" w:hAnsi="仿宋" w:eastAsia="仿宋" w:cs="Times New Roman"/>
              </w:rPr>
            </w:pPr>
          </w:p>
        </w:tc>
        <w:tc>
          <w:tcPr>
            <w:tcW w:w="962" w:type="dxa"/>
            <w:vAlign w:val="top"/>
          </w:tcPr>
          <w:p>
            <w:pPr>
              <w:spacing w:line="360" w:lineRule="auto"/>
              <w:rPr>
                <w:rFonts w:ascii="仿宋" w:hAnsi="仿宋" w:eastAsia="仿宋" w:cs="Times New Roman"/>
              </w:rPr>
            </w:pPr>
          </w:p>
        </w:tc>
        <w:tc>
          <w:tcPr>
            <w:tcW w:w="962"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vAlign w:val="top"/>
          </w:tcPr>
          <w:p>
            <w:pPr>
              <w:spacing w:line="360" w:lineRule="auto"/>
              <w:rPr>
                <w:rFonts w:ascii="仿宋" w:hAnsi="仿宋" w:eastAsia="仿宋" w:cs="Times New Roman"/>
              </w:rPr>
            </w:pPr>
          </w:p>
        </w:tc>
        <w:tc>
          <w:tcPr>
            <w:tcW w:w="962" w:type="dxa"/>
            <w:vAlign w:val="top"/>
          </w:tcPr>
          <w:p>
            <w:pPr>
              <w:spacing w:line="360" w:lineRule="auto"/>
              <w:rPr>
                <w:rFonts w:ascii="仿宋" w:hAnsi="仿宋" w:eastAsia="仿宋" w:cs="Times New Roman"/>
              </w:rPr>
            </w:pPr>
          </w:p>
        </w:tc>
        <w:tc>
          <w:tcPr>
            <w:tcW w:w="962"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vAlign w:val="top"/>
          </w:tcPr>
          <w:p>
            <w:pPr>
              <w:spacing w:line="360" w:lineRule="auto"/>
              <w:rPr>
                <w:rFonts w:ascii="仿宋" w:hAnsi="仿宋" w:eastAsia="仿宋" w:cs="Times New Roman"/>
              </w:rPr>
            </w:pPr>
          </w:p>
        </w:tc>
        <w:tc>
          <w:tcPr>
            <w:tcW w:w="962" w:type="dxa"/>
            <w:vAlign w:val="top"/>
          </w:tcPr>
          <w:p>
            <w:pPr>
              <w:spacing w:line="360" w:lineRule="auto"/>
              <w:rPr>
                <w:rFonts w:ascii="仿宋" w:hAnsi="仿宋" w:eastAsia="仿宋" w:cs="Times New Roman"/>
              </w:rPr>
            </w:pPr>
          </w:p>
        </w:tc>
        <w:tc>
          <w:tcPr>
            <w:tcW w:w="962"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vAlign w:val="top"/>
          </w:tcPr>
          <w:p>
            <w:pPr>
              <w:spacing w:line="360" w:lineRule="auto"/>
              <w:rPr>
                <w:rFonts w:ascii="仿宋" w:hAnsi="仿宋" w:eastAsia="仿宋" w:cs="Times New Roman"/>
              </w:rPr>
            </w:pPr>
          </w:p>
        </w:tc>
        <w:tc>
          <w:tcPr>
            <w:tcW w:w="962" w:type="dxa"/>
            <w:vAlign w:val="top"/>
          </w:tcPr>
          <w:p>
            <w:pPr>
              <w:spacing w:line="360" w:lineRule="auto"/>
              <w:rPr>
                <w:rFonts w:ascii="仿宋" w:hAnsi="仿宋" w:eastAsia="仿宋" w:cs="Times New Roman"/>
              </w:rPr>
            </w:pPr>
          </w:p>
        </w:tc>
        <w:tc>
          <w:tcPr>
            <w:tcW w:w="962"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vAlign w:val="top"/>
          </w:tcPr>
          <w:p>
            <w:pPr>
              <w:spacing w:line="360" w:lineRule="auto"/>
              <w:rPr>
                <w:rFonts w:ascii="仿宋" w:hAnsi="仿宋" w:eastAsia="仿宋" w:cs="Times New Roman"/>
              </w:rPr>
            </w:pPr>
          </w:p>
        </w:tc>
        <w:tc>
          <w:tcPr>
            <w:tcW w:w="962" w:type="dxa"/>
            <w:vAlign w:val="top"/>
          </w:tcPr>
          <w:p>
            <w:pPr>
              <w:spacing w:line="360" w:lineRule="auto"/>
              <w:rPr>
                <w:rFonts w:ascii="仿宋" w:hAnsi="仿宋" w:eastAsia="仿宋" w:cs="Times New Roman"/>
              </w:rPr>
            </w:pPr>
          </w:p>
        </w:tc>
        <w:tc>
          <w:tcPr>
            <w:tcW w:w="962"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vAlign w:val="top"/>
          </w:tcPr>
          <w:p>
            <w:pPr>
              <w:spacing w:line="360" w:lineRule="auto"/>
              <w:rPr>
                <w:rFonts w:ascii="仿宋" w:hAnsi="仿宋" w:eastAsia="仿宋" w:cs="Times New Roman"/>
              </w:rPr>
            </w:pPr>
          </w:p>
        </w:tc>
        <w:tc>
          <w:tcPr>
            <w:tcW w:w="962" w:type="dxa"/>
            <w:vAlign w:val="center"/>
          </w:tcPr>
          <w:p>
            <w:pPr>
              <w:spacing w:line="360" w:lineRule="auto"/>
              <w:jc w:val="center"/>
              <w:rPr>
                <w:rFonts w:ascii="仿宋" w:hAnsi="仿宋" w:eastAsia="仿宋" w:cs="Times New Roman"/>
              </w:rPr>
            </w:pPr>
            <w:r>
              <w:rPr>
                <w:rFonts w:hint="eastAsia" w:ascii="仿宋" w:hAnsi="仿宋" w:eastAsia="仿宋" w:cs="仿宋"/>
              </w:rPr>
              <w:t>累计</w:t>
            </w:r>
          </w:p>
        </w:tc>
        <w:tc>
          <w:tcPr>
            <w:tcW w:w="962"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r>
    </w:tbl>
    <w:p>
      <w:pPr>
        <w:spacing w:line="360" w:lineRule="auto"/>
        <w:rPr>
          <w:rFonts w:ascii="仿宋" w:hAnsi="仿宋" w:eastAsia="仿宋" w:cs="仿宋"/>
          <w:sz w:val="24"/>
          <w:szCs w:val="24"/>
        </w:rPr>
      </w:pPr>
      <w:r>
        <w:rPr>
          <w:rFonts w:hint="eastAsia" w:ascii="仿宋" w:hAnsi="仿宋" w:eastAsia="仿宋" w:cs="仿宋"/>
          <w:sz w:val="24"/>
          <w:szCs w:val="24"/>
        </w:rPr>
        <w:t>编制：</w:t>
      </w:r>
      <w:r>
        <w:rPr>
          <w:rFonts w:ascii="仿宋" w:hAnsi="仿宋" w:eastAsia="仿宋" w:cs="仿宋"/>
          <w:sz w:val="24"/>
          <w:szCs w:val="24"/>
        </w:rPr>
        <w:t xml:space="preserve">                       </w:t>
      </w:r>
      <w:r>
        <w:rPr>
          <w:rFonts w:hint="eastAsia" w:ascii="仿宋" w:hAnsi="仿宋" w:eastAsia="仿宋" w:cs="仿宋"/>
          <w:sz w:val="24"/>
          <w:szCs w:val="24"/>
        </w:rPr>
        <w:t>复核：</w:t>
      </w:r>
      <w:r>
        <w:rPr>
          <w:rFonts w:ascii="仿宋" w:hAnsi="仿宋" w:eastAsia="仿宋" w:cs="仿宋"/>
          <w:sz w:val="24"/>
          <w:szCs w:val="24"/>
        </w:rPr>
        <w:t xml:space="preserve">                          </w:t>
      </w:r>
      <w:r>
        <w:rPr>
          <w:rFonts w:hint="eastAsia" w:ascii="仿宋" w:hAnsi="仿宋" w:eastAsia="仿宋" w:cs="仿宋"/>
          <w:sz w:val="24"/>
          <w:szCs w:val="24"/>
        </w:rPr>
        <w:t>编制日期：</w:t>
      </w:r>
      <w:r>
        <w:rPr>
          <w:rFonts w:ascii="仿宋" w:hAnsi="仿宋" w:eastAsia="仿宋" w:cs="仿宋"/>
          <w:sz w:val="24"/>
          <w:szCs w:val="24"/>
        </w:rPr>
        <w:t xml:space="preserve">  </w:t>
      </w:r>
      <w:r>
        <w:rPr>
          <w:rFonts w:hint="eastAsia" w:ascii="仿宋" w:hAnsi="仿宋" w:eastAsia="仿宋" w:cs="仿宋"/>
          <w:sz w:val="24"/>
          <w:szCs w:val="24"/>
        </w:rPr>
        <w:t>　</w:t>
      </w:r>
      <w:r>
        <w:rPr>
          <w:rFonts w:ascii="仿宋" w:hAnsi="仿宋" w:eastAsia="仿宋" w:cs="仿宋"/>
          <w:sz w:val="24"/>
          <w:szCs w:val="24"/>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　月　</w:t>
      </w:r>
      <w:r>
        <w:rPr>
          <w:rFonts w:ascii="仿宋" w:hAnsi="仿宋" w:eastAsia="仿宋" w:cs="仿宋"/>
          <w:sz w:val="24"/>
          <w:szCs w:val="24"/>
        </w:rPr>
        <w:t xml:space="preserve"> </w:t>
      </w:r>
      <w:r>
        <w:rPr>
          <w:rFonts w:hint="eastAsia" w:ascii="仿宋" w:hAnsi="仿宋" w:eastAsia="仿宋" w:cs="仿宋"/>
          <w:sz w:val="24"/>
          <w:szCs w:val="24"/>
        </w:rPr>
        <w:t>日</w:t>
      </w:r>
      <w:r>
        <w:rPr>
          <w:rFonts w:ascii="仿宋" w:hAnsi="仿宋" w:eastAsia="仿宋" w:cs="仿宋"/>
          <w:sz w:val="24"/>
          <w:szCs w:val="24"/>
        </w:rPr>
        <w:t xml:space="preserve">                                                             </w:t>
      </w:r>
    </w:p>
    <w:p>
      <w:pPr>
        <w:spacing w:line="360" w:lineRule="auto"/>
        <w:rPr>
          <w:rFonts w:ascii="仿宋" w:hAnsi="仿宋" w:eastAsia="仿宋" w:cs="Times New Roman"/>
        </w:rPr>
      </w:pPr>
      <w:r>
        <w:rPr>
          <w:rFonts w:hint="eastAsia" w:ascii="仿宋" w:hAnsi="仿宋" w:eastAsia="仿宋" w:cs="仿宋"/>
          <w:sz w:val="24"/>
          <w:szCs w:val="24"/>
        </w:rPr>
        <w:t>说明：本表用于承包人、发包人的工程款额支付凭证统计和内部管理。</w:t>
      </w:r>
    </w:p>
    <w:p>
      <w:pPr>
        <w:rPr>
          <w:rFonts w:ascii="仿宋" w:hAnsi="仿宋" w:eastAsia="仿宋" w:cs="Times New Roman"/>
        </w:rPr>
      </w:pPr>
    </w:p>
    <w:p>
      <w:pPr>
        <w:pStyle w:val="13"/>
        <w:rPr>
          <w:rFonts w:ascii="仿宋" w:hAnsi="仿宋" w:eastAsia="仿宋" w:cs="仿宋"/>
          <w:color w:val="auto"/>
          <w:highlight w:val="none"/>
        </w:rPr>
      </w:pPr>
    </w:p>
    <w:sectPr>
      <w:footerReference r:id="rId5" w:type="default"/>
      <w:pgSz w:w="11906" w:h="16838"/>
      <w:pgMar w:top="1440" w:right="1304" w:bottom="1440" w:left="119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algun Gothic">
    <w:panose1 w:val="020B0503020000020004"/>
    <w:charset w:val="81"/>
    <w:family w:val="auto"/>
    <w:pitch w:val="default"/>
    <w:sig w:usb0="9000002F" w:usb1="29D77CFB" w:usb2="00000012" w:usb3="00000000" w:csb0="00080001"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rFonts w:cs="Times New Roman"/>
      </w:rPr>
    </w:pPr>
  </w:p>
  <w:p>
    <w:pPr>
      <w:pStyle w:val="27"/>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rFonts w:cs="Times New Roman"/>
      </w:rPr>
    </w:pPr>
    <w:r>
      <w:fldChar w:fldCharType="begin"/>
    </w:r>
    <w:r>
      <w:instrText xml:space="preserve"> PAGE   \* MERGEFORMAT </w:instrText>
    </w:r>
    <w:r>
      <w:fldChar w:fldCharType="separate"/>
    </w:r>
    <w:r>
      <w:rPr>
        <w:lang w:val="zh-CN"/>
      </w:rPr>
      <w:t>6</w:t>
    </w:r>
    <w:r>
      <w:fldChar w:fldCharType="end"/>
    </w:r>
  </w:p>
  <w:p>
    <w:pPr>
      <w:pStyle w:val="27"/>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rFonts w:cs="Times New Roman"/>
      </w:rPr>
    </w:pPr>
    <w:r>
      <w:fldChar w:fldCharType="begin"/>
    </w:r>
    <w:r>
      <w:instrText xml:space="preserve"> PAGE   \* MERGEFORMAT </w:instrText>
    </w:r>
    <w:r>
      <w:fldChar w:fldCharType="separate"/>
    </w:r>
    <w:r>
      <w:rPr>
        <w:lang w:val="zh-CN"/>
      </w:rPr>
      <w:t>172</w:t>
    </w:r>
    <w:r>
      <w:fldChar w:fldCharType="end"/>
    </w:r>
  </w:p>
  <w:p>
    <w:pPr>
      <w:pStyle w:val="27"/>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lvlText w:val=""/>
      <w:lvlJc w:val="left"/>
      <w:pPr>
        <w:tabs>
          <w:tab w:val="left" w:pos="360"/>
        </w:tabs>
        <w:ind w:left="360" w:hanging="360"/>
      </w:pPr>
      <w:rPr>
        <w:rFonts w:hint="default" w:ascii="Wingdings" w:hAnsi="Wingdings" w:cs="Wingdings"/>
      </w:rPr>
    </w:lvl>
  </w:abstractNum>
  <w:abstractNum w:abstractNumId="1">
    <w:nsid w:val="05A65CA1"/>
    <w:multiLevelType w:val="multilevel"/>
    <w:tmpl w:val="05A65CA1"/>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7C82ACA"/>
    <w:multiLevelType w:val="multilevel"/>
    <w:tmpl w:val="07C82ACA"/>
    <w:lvl w:ilvl="0" w:tentative="0">
      <w:start w:val="1"/>
      <w:numFmt w:val="decimal"/>
      <w:lvlText w:val="（%1）"/>
      <w:lvlJc w:val="left"/>
      <w:pPr>
        <w:tabs>
          <w:tab w:val="left" w:pos="2339"/>
        </w:tabs>
        <w:ind w:left="2339" w:hanging="720"/>
      </w:pPr>
    </w:lvl>
    <w:lvl w:ilvl="1" w:tentative="0">
      <w:start w:val="1"/>
      <w:numFmt w:val="lowerLetter"/>
      <w:lvlText w:val="%2)"/>
      <w:lvlJc w:val="left"/>
      <w:pPr>
        <w:tabs>
          <w:tab w:val="left" w:pos="2459"/>
        </w:tabs>
        <w:ind w:left="2459"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C1C34D2"/>
    <w:multiLevelType w:val="multilevel"/>
    <w:tmpl w:val="0C1C34D2"/>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620"/>
        </w:tabs>
        <w:ind w:left="1620" w:hanging="7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EF61F1C"/>
    <w:multiLevelType w:val="multilevel"/>
    <w:tmpl w:val="0EF61F1C"/>
    <w:lvl w:ilvl="0" w:tentative="0">
      <w:start w:val="1"/>
      <w:numFmt w:val="decimal"/>
      <w:lvlText w:val="（%1）"/>
      <w:lvlJc w:val="left"/>
      <w:pPr>
        <w:tabs>
          <w:tab w:val="left" w:pos="960"/>
        </w:tabs>
        <w:ind w:left="96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1E153F58"/>
    <w:multiLevelType w:val="multilevel"/>
    <w:tmpl w:val="1E153F58"/>
    <w:lvl w:ilvl="0" w:tentative="0">
      <w:start w:val="1"/>
      <w:numFmt w:val="decimal"/>
      <w:lvlText w:val="（%1）"/>
      <w:lvlJc w:val="left"/>
      <w:pPr>
        <w:tabs>
          <w:tab w:val="left" w:pos="2609"/>
        </w:tabs>
        <w:ind w:left="2609"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253A68C1"/>
    <w:multiLevelType w:val="multilevel"/>
    <w:tmpl w:val="253A68C1"/>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266F2840"/>
    <w:multiLevelType w:val="multilevel"/>
    <w:tmpl w:val="266F2840"/>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32C43DC6"/>
    <w:multiLevelType w:val="multilevel"/>
    <w:tmpl w:val="32C43DC6"/>
    <w:lvl w:ilvl="0" w:tentative="0">
      <w:start w:val="1"/>
      <w:numFmt w:val="decimal"/>
      <w:lvlText w:val="(%1)"/>
      <w:lvlJc w:val="left"/>
      <w:pPr>
        <w:tabs>
          <w:tab w:val="left" w:pos="1560"/>
        </w:tabs>
        <w:ind w:left="156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36B74DA9"/>
    <w:multiLevelType w:val="multilevel"/>
    <w:tmpl w:val="36B74DA9"/>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3B2E0A0E"/>
    <w:multiLevelType w:val="multilevel"/>
    <w:tmpl w:val="3B2E0A0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620"/>
        </w:tabs>
        <w:ind w:left="1620" w:hanging="720"/>
      </w:pPr>
      <w:rPr>
        <w:rFonts w:ascii="宋体"/>
        <w:color w:val="auto"/>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3E0758DE"/>
    <w:multiLevelType w:val="multilevel"/>
    <w:tmpl w:val="3E0758D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42D478CF"/>
    <w:multiLevelType w:val="multilevel"/>
    <w:tmpl w:val="42D478CF"/>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46D47E00"/>
    <w:multiLevelType w:val="multilevel"/>
    <w:tmpl w:val="46D47E00"/>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4BE837E6"/>
    <w:multiLevelType w:val="multilevel"/>
    <w:tmpl w:val="4BE837E6"/>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4D5A4498"/>
    <w:multiLevelType w:val="multilevel"/>
    <w:tmpl w:val="4D5A4498"/>
    <w:lvl w:ilvl="0" w:tentative="0">
      <w:start w:val="1"/>
      <w:numFmt w:val="decimal"/>
      <w:lvlText w:val="%1．"/>
      <w:lvlJc w:val="left"/>
      <w:pPr>
        <w:tabs>
          <w:tab w:val="left" w:pos="840"/>
        </w:tabs>
        <w:ind w:left="840" w:hanging="360"/>
      </w:pPr>
    </w:lvl>
    <w:lvl w:ilvl="1" w:tentative="0">
      <w:start w:val="1"/>
      <w:numFmt w:val="lowerLetter"/>
      <w:lvlText w:val="%2)"/>
      <w:lvlJc w:val="left"/>
      <w:pPr>
        <w:tabs>
          <w:tab w:val="left" w:pos="1320"/>
        </w:tabs>
        <w:ind w:left="1320"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51880536"/>
    <w:multiLevelType w:val="multilevel"/>
    <w:tmpl w:val="51880536"/>
    <w:lvl w:ilvl="0" w:tentative="0">
      <w:start w:val="1"/>
      <w:numFmt w:val="decimal"/>
      <w:lvlText w:val="（%1）"/>
      <w:lvlJc w:val="left"/>
      <w:pPr>
        <w:tabs>
          <w:tab w:val="left" w:pos="840"/>
        </w:tabs>
        <w:ind w:left="84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55CC2CEE"/>
    <w:multiLevelType w:val="multilevel"/>
    <w:tmpl w:val="55CC2CEE"/>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57D559DE"/>
    <w:multiLevelType w:val="multilevel"/>
    <w:tmpl w:val="57D559D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5B691D0A"/>
    <w:multiLevelType w:val="multilevel"/>
    <w:tmpl w:val="5B691D0A"/>
    <w:lvl w:ilvl="0" w:tentative="0">
      <w:start w:val="1"/>
      <w:numFmt w:val="decimal"/>
      <w:lvlText w:val="(%1)"/>
      <w:lvlJc w:val="left"/>
      <w:pPr>
        <w:tabs>
          <w:tab w:val="left" w:pos="1560"/>
        </w:tabs>
        <w:ind w:left="1560" w:hanging="1080"/>
      </w:pPr>
    </w:lvl>
    <w:lvl w:ilvl="1" w:tentative="0">
      <w:start w:val="4"/>
      <w:numFmt w:val="decimal"/>
      <w:lvlText w:val="(%2)"/>
      <w:lvlJc w:val="left"/>
      <w:pPr>
        <w:tabs>
          <w:tab w:val="left" w:pos="1410"/>
        </w:tabs>
        <w:ind w:left="1410" w:hanging="51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5EEA705D"/>
    <w:multiLevelType w:val="multilevel"/>
    <w:tmpl w:val="5EEA705D"/>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62256771"/>
    <w:multiLevelType w:val="multilevel"/>
    <w:tmpl w:val="62256771"/>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980"/>
        </w:tabs>
        <w:ind w:left="1980" w:hanging="108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69774DF0"/>
    <w:multiLevelType w:val="multilevel"/>
    <w:tmpl w:val="69774DF0"/>
    <w:lvl w:ilvl="0" w:tentative="0">
      <w:start w:val="1"/>
      <w:numFmt w:val="decimal"/>
      <w:lvlText w:val="(%1)"/>
      <w:lvlJc w:val="left"/>
      <w:pPr>
        <w:tabs>
          <w:tab w:val="left" w:pos="1350"/>
        </w:tabs>
        <w:ind w:left="1350" w:hanging="870"/>
      </w:pPr>
    </w:lvl>
    <w:lvl w:ilvl="1" w:tentative="0">
      <w:start w:val="1"/>
      <w:numFmt w:val="decimal"/>
      <w:lvlText w:val="%2."/>
      <w:lvlJc w:val="left"/>
      <w:pPr>
        <w:tabs>
          <w:tab w:val="left" w:pos="1260"/>
        </w:tabs>
        <w:ind w:left="126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6B1548AB"/>
    <w:multiLevelType w:val="multilevel"/>
    <w:tmpl w:val="6B1548AB"/>
    <w:lvl w:ilvl="0" w:tentative="0">
      <w:start w:val="1"/>
      <w:numFmt w:val="decimal"/>
      <w:lvlText w:val="(%1)"/>
      <w:lvlJc w:val="left"/>
      <w:pPr>
        <w:tabs>
          <w:tab w:val="left" w:pos="990"/>
        </w:tabs>
        <w:ind w:left="990" w:hanging="99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6C1074F8"/>
    <w:multiLevelType w:val="multilevel"/>
    <w:tmpl w:val="6C1074F8"/>
    <w:lvl w:ilvl="0" w:tentative="0">
      <w:start w:val="1"/>
      <w:numFmt w:val="decimal"/>
      <w:lvlText w:val="(%1)"/>
      <w:lvlJc w:val="left"/>
      <w:pPr>
        <w:tabs>
          <w:tab w:val="left" w:pos="1110"/>
        </w:tabs>
        <w:ind w:left="1110" w:hanging="510"/>
      </w:pPr>
      <w:rPr>
        <w:color w:val="auto"/>
      </w:rPr>
    </w:lvl>
    <w:lvl w:ilvl="1" w:tentative="0">
      <w:start w:val="1"/>
      <w:numFmt w:val="decimal"/>
      <w:lvlText w:val="(%2)"/>
      <w:lvlJc w:val="left"/>
      <w:pPr>
        <w:tabs>
          <w:tab w:val="left" w:pos="1410"/>
        </w:tabs>
        <w:ind w:left="1410" w:hanging="390"/>
      </w:pPr>
    </w:lvl>
    <w:lvl w:ilvl="2" w:tentative="0">
      <w:start w:val="1"/>
      <w:numFmt w:val="decimal"/>
      <w:lvlText w:val="%3."/>
      <w:lvlJc w:val="left"/>
      <w:pPr>
        <w:tabs>
          <w:tab w:val="left" w:pos="2280"/>
        </w:tabs>
        <w:ind w:left="2280" w:hanging="360"/>
      </w:pPr>
    </w:lvl>
    <w:lvl w:ilvl="3" w:tentative="0">
      <w:start w:val="1"/>
      <w:numFmt w:val="decimal"/>
      <w:lvlText w:val="%4."/>
      <w:lvlJc w:val="left"/>
      <w:pPr>
        <w:tabs>
          <w:tab w:val="left" w:pos="3000"/>
        </w:tabs>
        <w:ind w:left="3000" w:hanging="360"/>
      </w:pPr>
    </w:lvl>
    <w:lvl w:ilvl="4" w:tentative="0">
      <w:start w:val="1"/>
      <w:numFmt w:val="decimal"/>
      <w:lvlText w:val="%5."/>
      <w:lvlJc w:val="left"/>
      <w:pPr>
        <w:tabs>
          <w:tab w:val="left" w:pos="3720"/>
        </w:tabs>
        <w:ind w:left="3720" w:hanging="360"/>
      </w:pPr>
    </w:lvl>
    <w:lvl w:ilvl="5" w:tentative="0">
      <w:start w:val="1"/>
      <w:numFmt w:val="decimal"/>
      <w:lvlText w:val="%6."/>
      <w:lvlJc w:val="left"/>
      <w:pPr>
        <w:tabs>
          <w:tab w:val="left" w:pos="4440"/>
        </w:tabs>
        <w:ind w:left="4440" w:hanging="360"/>
      </w:pPr>
    </w:lvl>
    <w:lvl w:ilvl="6" w:tentative="0">
      <w:start w:val="1"/>
      <w:numFmt w:val="decimal"/>
      <w:lvlText w:val="%7."/>
      <w:lvlJc w:val="left"/>
      <w:pPr>
        <w:tabs>
          <w:tab w:val="left" w:pos="5160"/>
        </w:tabs>
        <w:ind w:left="5160" w:hanging="360"/>
      </w:pPr>
    </w:lvl>
    <w:lvl w:ilvl="7" w:tentative="0">
      <w:start w:val="1"/>
      <w:numFmt w:val="decimal"/>
      <w:lvlText w:val="%8."/>
      <w:lvlJc w:val="left"/>
      <w:pPr>
        <w:tabs>
          <w:tab w:val="left" w:pos="5880"/>
        </w:tabs>
        <w:ind w:left="5880" w:hanging="360"/>
      </w:pPr>
    </w:lvl>
    <w:lvl w:ilvl="8" w:tentative="0">
      <w:start w:val="1"/>
      <w:numFmt w:val="decimal"/>
      <w:lvlText w:val="%9."/>
      <w:lvlJc w:val="left"/>
      <w:pPr>
        <w:tabs>
          <w:tab w:val="left" w:pos="6600"/>
        </w:tabs>
        <w:ind w:left="6600" w:hanging="360"/>
      </w:pPr>
    </w:lvl>
  </w:abstractNum>
  <w:abstractNum w:abstractNumId="25">
    <w:nsid w:val="6CBA5776"/>
    <w:multiLevelType w:val="multilevel"/>
    <w:tmpl w:val="6CBA5776"/>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6">
    <w:nsid w:val="6D180A00"/>
    <w:multiLevelType w:val="multilevel"/>
    <w:tmpl w:val="6D180A00"/>
    <w:lvl w:ilvl="0" w:tentative="0">
      <w:start w:val="5"/>
      <w:numFmt w:val="decimal"/>
      <w:lvlText w:val="%1"/>
      <w:lvlJc w:val="left"/>
      <w:pPr>
        <w:tabs>
          <w:tab w:val="left" w:pos="840"/>
        </w:tabs>
        <w:ind w:left="84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706D58B7"/>
    <w:multiLevelType w:val="multilevel"/>
    <w:tmpl w:val="706D58B7"/>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8">
    <w:nsid w:val="774C6470"/>
    <w:multiLevelType w:val="multilevel"/>
    <w:tmpl w:val="774C6470"/>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9">
    <w:nsid w:val="7BE858F9"/>
    <w:multiLevelType w:val="multilevel"/>
    <w:tmpl w:val="7BE858F9"/>
    <w:lvl w:ilvl="0" w:tentative="0">
      <w:start w:val="1"/>
      <w:numFmt w:val="decimal"/>
      <w:lvlText w:val="（%1）"/>
      <w:lvlJc w:val="left"/>
      <w:pPr>
        <w:ind w:left="2340" w:hanging="720"/>
      </w:pPr>
      <w:rPr>
        <w:rFonts w:hint="default" w:cs="仿宋"/>
      </w:rPr>
    </w:lvl>
    <w:lvl w:ilvl="1" w:tentative="0">
      <w:start w:val="1"/>
      <w:numFmt w:val="lowerLetter"/>
      <w:lvlText w:val="%2)"/>
      <w:lvlJc w:val="left"/>
      <w:pPr>
        <w:ind w:left="2460" w:hanging="420"/>
      </w:pPr>
    </w:lvl>
    <w:lvl w:ilvl="2" w:tentative="0">
      <w:start w:val="1"/>
      <w:numFmt w:val="lowerRoman"/>
      <w:lvlText w:val="%3."/>
      <w:lvlJc w:val="right"/>
      <w:pPr>
        <w:ind w:left="2880" w:hanging="420"/>
      </w:pPr>
    </w:lvl>
    <w:lvl w:ilvl="3" w:tentative="0">
      <w:start w:val="1"/>
      <w:numFmt w:val="decimal"/>
      <w:lvlText w:val="%4."/>
      <w:lvlJc w:val="left"/>
      <w:pPr>
        <w:ind w:left="3300" w:hanging="420"/>
      </w:pPr>
    </w:lvl>
    <w:lvl w:ilvl="4" w:tentative="0">
      <w:start w:val="1"/>
      <w:numFmt w:val="lowerLetter"/>
      <w:lvlText w:val="%5)"/>
      <w:lvlJc w:val="left"/>
      <w:pPr>
        <w:ind w:left="3720" w:hanging="420"/>
      </w:pPr>
    </w:lvl>
    <w:lvl w:ilvl="5" w:tentative="0">
      <w:start w:val="1"/>
      <w:numFmt w:val="lowerRoman"/>
      <w:lvlText w:val="%6."/>
      <w:lvlJc w:val="right"/>
      <w:pPr>
        <w:ind w:left="4140" w:hanging="420"/>
      </w:pPr>
    </w:lvl>
    <w:lvl w:ilvl="6" w:tentative="0">
      <w:start w:val="1"/>
      <w:numFmt w:val="decimal"/>
      <w:lvlText w:val="%7."/>
      <w:lvlJc w:val="left"/>
      <w:pPr>
        <w:ind w:left="4560" w:hanging="420"/>
      </w:pPr>
    </w:lvl>
    <w:lvl w:ilvl="7" w:tentative="0">
      <w:start w:val="1"/>
      <w:numFmt w:val="lowerLetter"/>
      <w:lvlText w:val="%8)"/>
      <w:lvlJc w:val="left"/>
      <w:pPr>
        <w:ind w:left="4980" w:hanging="420"/>
      </w:pPr>
    </w:lvl>
    <w:lvl w:ilvl="8" w:tentative="0">
      <w:start w:val="1"/>
      <w:numFmt w:val="lowerRoman"/>
      <w:lvlText w:val="%9."/>
      <w:lvlJc w:val="right"/>
      <w:pPr>
        <w:ind w:left="5400" w:hanging="420"/>
      </w:pPr>
    </w:lvl>
  </w:abstractNum>
  <w:abstractNum w:abstractNumId="30">
    <w:nsid w:val="7E9C6F08"/>
    <w:multiLevelType w:val="multilevel"/>
    <w:tmpl w:val="7E9C6F08"/>
    <w:lvl w:ilvl="0" w:tentative="0">
      <w:start w:val="1"/>
      <w:numFmt w:val="decimal"/>
      <w:lvlText w:val="(%1)"/>
      <w:lvlJc w:val="left"/>
      <w:pPr>
        <w:tabs>
          <w:tab w:val="left" w:pos="1200"/>
        </w:tabs>
        <w:ind w:left="120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1">
    <w:nsid w:val="7EAB2762"/>
    <w:multiLevelType w:val="multilevel"/>
    <w:tmpl w:val="7EAB2762"/>
    <w:lvl w:ilvl="0" w:tentative="0">
      <w:start w:val="3"/>
      <w:numFmt w:val="bullet"/>
      <w:lvlText w:val="□"/>
      <w:lvlJc w:val="left"/>
      <w:pPr>
        <w:ind w:left="541" w:hanging="360"/>
      </w:pPr>
      <w:rPr>
        <w:rFonts w:hint="eastAsia" w:ascii="仿宋" w:hAnsi="仿宋" w:eastAsia="仿宋" w:cs="仿宋"/>
        <w:u w:val="none"/>
      </w:rPr>
    </w:lvl>
    <w:lvl w:ilvl="1" w:tentative="0">
      <w:start w:val="1"/>
      <w:numFmt w:val="bullet"/>
      <w:lvlText w:val=""/>
      <w:lvlJc w:val="left"/>
      <w:pPr>
        <w:ind w:left="1021" w:hanging="420"/>
      </w:pPr>
      <w:rPr>
        <w:rFonts w:hint="default" w:ascii="Wingdings" w:hAnsi="Wingdings"/>
      </w:rPr>
    </w:lvl>
    <w:lvl w:ilvl="2" w:tentative="0">
      <w:start w:val="1"/>
      <w:numFmt w:val="bullet"/>
      <w:lvlText w:val=""/>
      <w:lvlJc w:val="left"/>
      <w:pPr>
        <w:ind w:left="1441" w:hanging="420"/>
      </w:pPr>
      <w:rPr>
        <w:rFonts w:hint="default" w:ascii="Wingdings" w:hAnsi="Wingdings"/>
      </w:rPr>
    </w:lvl>
    <w:lvl w:ilvl="3" w:tentative="0">
      <w:start w:val="1"/>
      <w:numFmt w:val="bullet"/>
      <w:lvlText w:val=""/>
      <w:lvlJc w:val="left"/>
      <w:pPr>
        <w:ind w:left="1861" w:hanging="420"/>
      </w:pPr>
      <w:rPr>
        <w:rFonts w:hint="default" w:ascii="Wingdings" w:hAnsi="Wingdings"/>
      </w:rPr>
    </w:lvl>
    <w:lvl w:ilvl="4" w:tentative="0">
      <w:start w:val="1"/>
      <w:numFmt w:val="bullet"/>
      <w:lvlText w:val=""/>
      <w:lvlJc w:val="left"/>
      <w:pPr>
        <w:ind w:left="2281" w:hanging="420"/>
      </w:pPr>
      <w:rPr>
        <w:rFonts w:hint="default" w:ascii="Wingdings" w:hAnsi="Wingdings"/>
      </w:rPr>
    </w:lvl>
    <w:lvl w:ilvl="5" w:tentative="0">
      <w:start w:val="1"/>
      <w:numFmt w:val="bullet"/>
      <w:lvlText w:val=""/>
      <w:lvlJc w:val="left"/>
      <w:pPr>
        <w:ind w:left="2701" w:hanging="420"/>
      </w:pPr>
      <w:rPr>
        <w:rFonts w:hint="default" w:ascii="Wingdings" w:hAnsi="Wingdings"/>
      </w:rPr>
    </w:lvl>
    <w:lvl w:ilvl="6" w:tentative="0">
      <w:start w:val="1"/>
      <w:numFmt w:val="bullet"/>
      <w:lvlText w:val=""/>
      <w:lvlJc w:val="left"/>
      <w:pPr>
        <w:ind w:left="3121" w:hanging="420"/>
      </w:pPr>
      <w:rPr>
        <w:rFonts w:hint="default" w:ascii="Wingdings" w:hAnsi="Wingdings"/>
      </w:rPr>
    </w:lvl>
    <w:lvl w:ilvl="7" w:tentative="0">
      <w:start w:val="1"/>
      <w:numFmt w:val="bullet"/>
      <w:lvlText w:val=""/>
      <w:lvlJc w:val="left"/>
      <w:pPr>
        <w:ind w:left="3541" w:hanging="420"/>
      </w:pPr>
      <w:rPr>
        <w:rFonts w:hint="default" w:ascii="Wingdings" w:hAnsi="Wingdings"/>
      </w:rPr>
    </w:lvl>
    <w:lvl w:ilvl="8" w:tentative="0">
      <w:start w:val="1"/>
      <w:numFmt w:val="bullet"/>
      <w:lvlText w:val=""/>
      <w:lvlJc w:val="left"/>
      <w:pPr>
        <w:ind w:left="3961" w:hanging="420"/>
      </w:pPr>
      <w:rPr>
        <w:rFonts w:hint="default" w:ascii="Wingdings" w:hAnsi="Wingdings"/>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hideGrammaticalErrors/>
  <w:doNotTrackMoves/>
  <w:documentProtection w:edit="trackedChanges" w:enforcement="0"/>
  <w:defaultTabStop w:val="420"/>
  <w:doNotHyphenateCaps/>
  <w:drawingGridHorizontalSpacing w:val="105"/>
  <w:drawingGridVerticalSpacing w:val="156"/>
  <w:noPunctuationKerning w:val="1"/>
  <w:characterSpacingControl w:val="compressPunctuation"/>
  <w:doNotValidateAgainstSchema/>
  <w:doNotDemarcateInvalidXml/>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mMzgwMTQ3ZGUxYzJhNDcwZDJiZjVlMDA1ZDk2ZDIifQ=="/>
  </w:docVars>
  <w:rsids>
    <w:rsidRoot w:val="00172A27"/>
    <w:rsid w:val="000013B6"/>
    <w:rsid w:val="00004CBF"/>
    <w:rsid w:val="0000503E"/>
    <w:rsid w:val="000055DE"/>
    <w:rsid w:val="00005A7F"/>
    <w:rsid w:val="00005FD6"/>
    <w:rsid w:val="0000751E"/>
    <w:rsid w:val="00011A06"/>
    <w:rsid w:val="0001388A"/>
    <w:rsid w:val="000143EB"/>
    <w:rsid w:val="000238EE"/>
    <w:rsid w:val="00030106"/>
    <w:rsid w:val="00031FE3"/>
    <w:rsid w:val="000342C9"/>
    <w:rsid w:val="00034916"/>
    <w:rsid w:val="000369ED"/>
    <w:rsid w:val="00037269"/>
    <w:rsid w:val="00043242"/>
    <w:rsid w:val="00043292"/>
    <w:rsid w:val="000435BA"/>
    <w:rsid w:val="00044E36"/>
    <w:rsid w:val="00045847"/>
    <w:rsid w:val="00045CD0"/>
    <w:rsid w:val="00050049"/>
    <w:rsid w:val="0005122D"/>
    <w:rsid w:val="000513FB"/>
    <w:rsid w:val="000529E7"/>
    <w:rsid w:val="00053590"/>
    <w:rsid w:val="00056002"/>
    <w:rsid w:val="000567B5"/>
    <w:rsid w:val="00056EDA"/>
    <w:rsid w:val="00062043"/>
    <w:rsid w:val="000621B6"/>
    <w:rsid w:val="00066031"/>
    <w:rsid w:val="000672CD"/>
    <w:rsid w:val="000746C0"/>
    <w:rsid w:val="00077A21"/>
    <w:rsid w:val="000845C1"/>
    <w:rsid w:val="000901B6"/>
    <w:rsid w:val="000913DC"/>
    <w:rsid w:val="00094A88"/>
    <w:rsid w:val="00094C4B"/>
    <w:rsid w:val="00097425"/>
    <w:rsid w:val="000A6DA0"/>
    <w:rsid w:val="000A7319"/>
    <w:rsid w:val="000B3BBB"/>
    <w:rsid w:val="000B50DF"/>
    <w:rsid w:val="000B7190"/>
    <w:rsid w:val="000B74FE"/>
    <w:rsid w:val="000C6591"/>
    <w:rsid w:val="000D2E73"/>
    <w:rsid w:val="000E0C6E"/>
    <w:rsid w:val="000F02EE"/>
    <w:rsid w:val="000F0DFF"/>
    <w:rsid w:val="000F4A0F"/>
    <w:rsid w:val="000F70C7"/>
    <w:rsid w:val="000F7B35"/>
    <w:rsid w:val="00101D72"/>
    <w:rsid w:val="001028F5"/>
    <w:rsid w:val="00112571"/>
    <w:rsid w:val="00112690"/>
    <w:rsid w:val="00117A8E"/>
    <w:rsid w:val="00122D14"/>
    <w:rsid w:val="00130F08"/>
    <w:rsid w:val="00132F91"/>
    <w:rsid w:val="00133A6F"/>
    <w:rsid w:val="00134D46"/>
    <w:rsid w:val="00136A50"/>
    <w:rsid w:val="00136F45"/>
    <w:rsid w:val="00140C56"/>
    <w:rsid w:val="00142E59"/>
    <w:rsid w:val="00143295"/>
    <w:rsid w:val="00147AAC"/>
    <w:rsid w:val="00147E68"/>
    <w:rsid w:val="00150BFA"/>
    <w:rsid w:val="00151402"/>
    <w:rsid w:val="001525B3"/>
    <w:rsid w:val="001533D1"/>
    <w:rsid w:val="001536AB"/>
    <w:rsid w:val="001607D3"/>
    <w:rsid w:val="00160AD7"/>
    <w:rsid w:val="001631EE"/>
    <w:rsid w:val="00166025"/>
    <w:rsid w:val="0017050C"/>
    <w:rsid w:val="00172A27"/>
    <w:rsid w:val="001754CD"/>
    <w:rsid w:val="00175D78"/>
    <w:rsid w:val="00176DB5"/>
    <w:rsid w:val="0018020A"/>
    <w:rsid w:val="001816B3"/>
    <w:rsid w:val="00181B1F"/>
    <w:rsid w:val="00183317"/>
    <w:rsid w:val="00183C79"/>
    <w:rsid w:val="00187A89"/>
    <w:rsid w:val="00191FAE"/>
    <w:rsid w:val="001939BA"/>
    <w:rsid w:val="00194B95"/>
    <w:rsid w:val="001A17A9"/>
    <w:rsid w:val="001A7E6E"/>
    <w:rsid w:val="001B174B"/>
    <w:rsid w:val="001B1ECC"/>
    <w:rsid w:val="001B6C71"/>
    <w:rsid w:val="001C79F8"/>
    <w:rsid w:val="001D0C1D"/>
    <w:rsid w:val="001D1AAC"/>
    <w:rsid w:val="001D3460"/>
    <w:rsid w:val="001D39BE"/>
    <w:rsid w:val="001D3DED"/>
    <w:rsid w:val="001D6332"/>
    <w:rsid w:val="001E0F9C"/>
    <w:rsid w:val="001E62B5"/>
    <w:rsid w:val="001E72BC"/>
    <w:rsid w:val="001F2FE8"/>
    <w:rsid w:val="002008FA"/>
    <w:rsid w:val="00200C5A"/>
    <w:rsid w:val="0020139B"/>
    <w:rsid w:val="00202A2E"/>
    <w:rsid w:val="002033CB"/>
    <w:rsid w:val="00204E2F"/>
    <w:rsid w:val="0021310F"/>
    <w:rsid w:val="0021332D"/>
    <w:rsid w:val="0022197F"/>
    <w:rsid w:val="00221B87"/>
    <w:rsid w:val="00221DFE"/>
    <w:rsid w:val="00222716"/>
    <w:rsid w:val="002242D7"/>
    <w:rsid w:val="00227C2A"/>
    <w:rsid w:val="00230FA9"/>
    <w:rsid w:val="00234B1C"/>
    <w:rsid w:val="0023727F"/>
    <w:rsid w:val="00240136"/>
    <w:rsid w:val="002509E5"/>
    <w:rsid w:val="0025257E"/>
    <w:rsid w:val="0025354C"/>
    <w:rsid w:val="0025531A"/>
    <w:rsid w:val="00257DDC"/>
    <w:rsid w:val="00265205"/>
    <w:rsid w:val="002726CD"/>
    <w:rsid w:val="002740B0"/>
    <w:rsid w:val="002753BE"/>
    <w:rsid w:val="00275E23"/>
    <w:rsid w:val="00276B16"/>
    <w:rsid w:val="002776B8"/>
    <w:rsid w:val="00277BE2"/>
    <w:rsid w:val="002800AD"/>
    <w:rsid w:val="00283CFF"/>
    <w:rsid w:val="00284729"/>
    <w:rsid w:val="002870F0"/>
    <w:rsid w:val="00287EFD"/>
    <w:rsid w:val="0029161C"/>
    <w:rsid w:val="00295CDC"/>
    <w:rsid w:val="002A2DF1"/>
    <w:rsid w:val="002A3481"/>
    <w:rsid w:val="002A437B"/>
    <w:rsid w:val="002A5E08"/>
    <w:rsid w:val="002B26F1"/>
    <w:rsid w:val="002B37C8"/>
    <w:rsid w:val="002B4CE7"/>
    <w:rsid w:val="002B6694"/>
    <w:rsid w:val="002B6779"/>
    <w:rsid w:val="002B7C68"/>
    <w:rsid w:val="002C04D2"/>
    <w:rsid w:val="002C0C5C"/>
    <w:rsid w:val="002C33F1"/>
    <w:rsid w:val="002D37AE"/>
    <w:rsid w:val="002E1AE7"/>
    <w:rsid w:val="002E37CC"/>
    <w:rsid w:val="002E4DD5"/>
    <w:rsid w:val="002E5A9B"/>
    <w:rsid w:val="002E72D1"/>
    <w:rsid w:val="002F10C0"/>
    <w:rsid w:val="002F1CB3"/>
    <w:rsid w:val="002F4E78"/>
    <w:rsid w:val="002F7652"/>
    <w:rsid w:val="00300B41"/>
    <w:rsid w:val="00313A7D"/>
    <w:rsid w:val="00314252"/>
    <w:rsid w:val="00315F1D"/>
    <w:rsid w:val="00321BC7"/>
    <w:rsid w:val="00321DFA"/>
    <w:rsid w:val="00326339"/>
    <w:rsid w:val="00333EAE"/>
    <w:rsid w:val="00334E8C"/>
    <w:rsid w:val="003406AD"/>
    <w:rsid w:val="00340F8C"/>
    <w:rsid w:val="0034163D"/>
    <w:rsid w:val="00345545"/>
    <w:rsid w:val="00350949"/>
    <w:rsid w:val="0035415F"/>
    <w:rsid w:val="00354F8F"/>
    <w:rsid w:val="00364449"/>
    <w:rsid w:val="00370903"/>
    <w:rsid w:val="00374799"/>
    <w:rsid w:val="00374A23"/>
    <w:rsid w:val="003763B3"/>
    <w:rsid w:val="0038005A"/>
    <w:rsid w:val="00382E5E"/>
    <w:rsid w:val="00383116"/>
    <w:rsid w:val="003857C3"/>
    <w:rsid w:val="00392D94"/>
    <w:rsid w:val="00396115"/>
    <w:rsid w:val="003A3673"/>
    <w:rsid w:val="003A4F4E"/>
    <w:rsid w:val="003B2B85"/>
    <w:rsid w:val="003B70B5"/>
    <w:rsid w:val="003C0B16"/>
    <w:rsid w:val="003C1D0B"/>
    <w:rsid w:val="003C63D5"/>
    <w:rsid w:val="003D0337"/>
    <w:rsid w:val="003D3E6B"/>
    <w:rsid w:val="003D47AB"/>
    <w:rsid w:val="003D530F"/>
    <w:rsid w:val="003D5971"/>
    <w:rsid w:val="003E157B"/>
    <w:rsid w:val="003E275F"/>
    <w:rsid w:val="003E461E"/>
    <w:rsid w:val="003E6870"/>
    <w:rsid w:val="003F689B"/>
    <w:rsid w:val="004107CC"/>
    <w:rsid w:val="00410D96"/>
    <w:rsid w:val="00413507"/>
    <w:rsid w:val="00414741"/>
    <w:rsid w:val="00420AFE"/>
    <w:rsid w:val="0042274B"/>
    <w:rsid w:val="004228AA"/>
    <w:rsid w:val="00426CD4"/>
    <w:rsid w:val="00435077"/>
    <w:rsid w:val="00437973"/>
    <w:rsid w:val="00442586"/>
    <w:rsid w:val="00443D32"/>
    <w:rsid w:val="0044692E"/>
    <w:rsid w:val="00447AC4"/>
    <w:rsid w:val="0045109C"/>
    <w:rsid w:val="00456398"/>
    <w:rsid w:val="00456AB6"/>
    <w:rsid w:val="00460506"/>
    <w:rsid w:val="00462991"/>
    <w:rsid w:val="004642FB"/>
    <w:rsid w:val="00465FED"/>
    <w:rsid w:val="00470BD7"/>
    <w:rsid w:val="00471981"/>
    <w:rsid w:val="00485A53"/>
    <w:rsid w:val="004A547D"/>
    <w:rsid w:val="004A69A1"/>
    <w:rsid w:val="004A7CCF"/>
    <w:rsid w:val="004B11D3"/>
    <w:rsid w:val="004B362C"/>
    <w:rsid w:val="004B51BA"/>
    <w:rsid w:val="004C6121"/>
    <w:rsid w:val="004D0C4F"/>
    <w:rsid w:val="004D4C9B"/>
    <w:rsid w:val="004E0726"/>
    <w:rsid w:val="004E13E3"/>
    <w:rsid w:val="004E2BA3"/>
    <w:rsid w:val="004E63D6"/>
    <w:rsid w:val="004E647E"/>
    <w:rsid w:val="004F1720"/>
    <w:rsid w:val="004F2F74"/>
    <w:rsid w:val="004F583C"/>
    <w:rsid w:val="004F6D9A"/>
    <w:rsid w:val="004F7447"/>
    <w:rsid w:val="004F780F"/>
    <w:rsid w:val="004F7A7E"/>
    <w:rsid w:val="00500BB2"/>
    <w:rsid w:val="00501B38"/>
    <w:rsid w:val="00510AC6"/>
    <w:rsid w:val="00510B56"/>
    <w:rsid w:val="005113F5"/>
    <w:rsid w:val="00512080"/>
    <w:rsid w:val="0051391E"/>
    <w:rsid w:val="005162C5"/>
    <w:rsid w:val="0051704B"/>
    <w:rsid w:val="005175DD"/>
    <w:rsid w:val="00517B4A"/>
    <w:rsid w:val="00521018"/>
    <w:rsid w:val="005234BC"/>
    <w:rsid w:val="005234F6"/>
    <w:rsid w:val="00526FB0"/>
    <w:rsid w:val="00535C0D"/>
    <w:rsid w:val="005370B2"/>
    <w:rsid w:val="00537B59"/>
    <w:rsid w:val="00545345"/>
    <w:rsid w:val="0054780E"/>
    <w:rsid w:val="005500B2"/>
    <w:rsid w:val="005509AF"/>
    <w:rsid w:val="00550F98"/>
    <w:rsid w:val="00553593"/>
    <w:rsid w:val="00553935"/>
    <w:rsid w:val="005540D6"/>
    <w:rsid w:val="00554FFE"/>
    <w:rsid w:val="00560853"/>
    <w:rsid w:val="005617BB"/>
    <w:rsid w:val="00563E67"/>
    <w:rsid w:val="00570F2E"/>
    <w:rsid w:val="00571E91"/>
    <w:rsid w:val="0057383D"/>
    <w:rsid w:val="00575F60"/>
    <w:rsid w:val="0057759F"/>
    <w:rsid w:val="00577FA9"/>
    <w:rsid w:val="005825A2"/>
    <w:rsid w:val="00584922"/>
    <w:rsid w:val="00591D6E"/>
    <w:rsid w:val="005923A8"/>
    <w:rsid w:val="00592DE6"/>
    <w:rsid w:val="0059350C"/>
    <w:rsid w:val="00593F5A"/>
    <w:rsid w:val="00594210"/>
    <w:rsid w:val="005952E2"/>
    <w:rsid w:val="00595A54"/>
    <w:rsid w:val="005A0CFD"/>
    <w:rsid w:val="005A2705"/>
    <w:rsid w:val="005A65ED"/>
    <w:rsid w:val="005A7132"/>
    <w:rsid w:val="005A72D2"/>
    <w:rsid w:val="005B1F63"/>
    <w:rsid w:val="005B483E"/>
    <w:rsid w:val="005B590E"/>
    <w:rsid w:val="005C4DD9"/>
    <w:rsid w:val="005C5757"/>
    <w:rsid w:val="005C6B9B"/>
    <w:rsid w:val="005C6C8F"/>
    <w:rsid w:val="005C7F94"/>
    <w:rsid w:val="005D0512"/>
    <w:rsid w:val="005D2501"/>
    <w:rsid w:val="005D4A6D"/>
    <w:rsid w:val="005D5990"/>
    <w:rsid w:val="005E1DB0"/>
    <w:rsid w:val="005E2237"/>
    <w:rsid w:val="005E661F"/>
    <w:rsid w:val="005E6717"/>
    <w:rsid w:val="005E68DA"/>
    <w:rsid w:val="005F1379"/>
    <w:rsid w:val="005F3D7D"/>
    <w:rsid w:val="005F4919"/>
    <w:rsid w:val="005F50A5"/>
    <w:rsid w:val="006006B5"/>
    <w:rsid w:val="00600E04"/>
    <w:rsid w:val="006041B4"/>
    <w:rsid w:val="00605E35"/>
    <w:rsid w:val="00611B11"/>
    <w:rsid w:val="006139AC"/>
    <w:rsid w:val="006158AE"/>
    <w:rsid w:val="006178C2"/>
    <w:rsid w:val="00621BA1"/>
    <w:rsid w:val="0062605F"/>
    <w:rsid w:val="00634A5E"/>
    <w:rsid w:val="00634FB1"/>
    <w:rsid w:val="00640233"/>
    <w:rsid w:val="00641643"/>
    <w:rsid w:val="00642B79"/>
    <w:rsid w:val="00657B53"/>
    <w:rsid w:val="00657CF2"/>
    <w:rsid w:val="0066243D"/>
    <w:rsid w:val="00662828"/>
    <w:rsid w:val="00665F44"/>
    <w:rsid w:val="00667391"/>
    <w:rsid w:val="0067221C"/>
    <w:rsid w:val="0067359C"/>
    <w:rsid w:val="00676332"/>
    <w:rsid w:val="00681ECB"/>
    <w:rsid w:val="006828F0"/>
    <w:rsid w:val="00682962"/>
    <w:rsid w:val="006957D4"/>
    <w:rsid w:val="006A24F4"/>
    <w:rsid w:val="006A2604"/>
    <w:rsid w:val="006B04EB"/>
    <w:rsid w:val="006B1401"/>
    <w:rsid w:val="006B358C"/>
    <w:rsid w:val="006B5F75"/>
    <w:rsid w:val="006C072E"/>
    <w:rsid w:val="006C399C"/>
    <w:rsid w:val="006C435E"/>
    <w:rsid w:val="006C5EA9"/>
    <w:rsid w:val="006D4A47"/>
    <w:rsid w:val="006D5BCB"/>
    <w:rsid w:val="006D6AAF"/>
    <w:rsid w:val="006D7AFA"/>
    <w:rsid w:val="006E598E"/>
    <w:rsid w:val="006F2F10"/>
    <w:rsid w:val="006F6032"/>
    <w:rsid w:val="006F6F59"/>
    <w:rsid w:val="0071224C"/>
    <w:rsid w:val="00725104"/>
    <w:rsid w:val="0072582C"/>
    <w:rsid w:val="007350C4"/>
    <w:rsid w:val="0074124E"/>
    <w:rsid w:val="00742A04"/>
    <w:rsid w:val="007506BB"/>
    <w:rsid w:val="00753397"/>
    <w:rsid w:val="00756397"/>
    <w:rsid w:val="00756DAB"/>
    <w:rsid w:val="00761084"/>
    <w:rsid w:val="007613F0"/>
    <w:rsid w:val="00762B16"/>
    <w:rsid w:val="0076650E"/>
    <w:rsid w:val="00772920"/>
    <w:rsid w:val="00776109"/>
    <w:rsid w:val="007802BA"/>
    <w:rsid w:val="00780510"/>
    <w:rsid w:val="0078102F"/>
    <w:rsid w:val="00781AA6"/>
    <w:rsid w:val="007826F8"/>
    <w:rsid w:val="00790E92"/>
    <w:rsid w:val="007930B0"/>
    <w:rsid w:val="007947AC"/>
    <w:rsid w:val="00795A5B"/>
    <w:rsid w:val="007A041B"/>
    <w:rsid w:val="007A4882"/>
    <w:rsid w:val="007B20CF"/>
    <w:rsid w:val="007B37A6"/>
    <w:rsid w:val="007B7B54"/>
    <w:rsid w:val="007C2EE9"/>
    <w:rsid w:val="007C4725"/>
    <w:rsid w:val="007C4A64"/>
    <w:rsid w:val="007D0937"/>
    <w:rsid w:val="007D0B18"/>
    <w:rsid w:val="007D18CA"/>
    <w:rsid w:val="007D4978"/>
    <w:rsid w:val="007E010C"/>
    <w:rsid w:val="007E04C8"/>
    <w:rsid w:val="007E36AF"/>
    <w:rsid w:val="007E6509"/>
    <w:rsid w:val="007F154F"/>
    <w:rsid w:val="007F1971"/>
    <w:rsid w:val="007F210D"/>
    <w:rsid w:val="007F797A"/>
    <w:rsid w:val="008064E9"/>
    <w:rsid w:val="008065BF"/>
    <w:rsid w:val="00806E24"/>
    <w:rsid w:val="00807BEA"/>
    <w:rsid w:val="008114B0"/>
    <w:rsid w:val="008119F9"/>
    <w:rsid w:val="00812D6C"/>
    <w:rsid w:val="008167B3"/>
    <w:rsid w:val="0082189B"/>
    <w:rsid w:val="00823C23"/>
    <w:rsid w:val="00823E82"/>
    <w:rsid w:val="00824468"/>
    <w:rsid w:val="00824858"/>
    <w:rsid w:val="00825791"/>
    <w:rsid w:val="008311BA"/>
    <w:rsid w:val="008346A9"/>
    <w:rsid w:val="00834B05"/>
    <w:rsid w:val="0084188C"/>
    <w:rsid w:val="0084331D"/>
    <w:rsid w:val="008442AB"/>
    <w:rsid w:val="008453D9"/>
    <w:rsid w:val="00847E8D"/>
    <w:rsid w:val="008518A0"/>
    <w:rsid w:val="008619D8"/>
    <w:rsid w:val="00862774"/>
    <w:rsid w:val="00863856"/>
    <w:rsid w:val="00865F2D"/>
    <w:rsid w:val="00873818"/>
    <w:rsid w:val="00874D91"/>
    <w:rsid w:val="008816E6"/>
    <w:rsid w:val="00881A57"/>
    <w:rsid w:val="00882E81"/>
    <w:rsid w:val="00886522"/>
    <w:rsid w:val="0088754D"/>
    <w:rsid w:val="008A2FBA"/>
    <w:rsid w:val="008A4B1D"/>
    <w:rsid w:val="008A5866"/>
    <w:rsid w:val="008A5FC7"/>
    <w:rsid w:val="008A70FA"/>
    <w:rsid w:val="008B3662"/>
    <w:rsid w:val="008B6AA4"/>
    <w:rsid w:val="008C1788"/>
    <w:rsid w:val="008C180F"/>
    <w:rsid w:val="008C4325"/>
    <w:rsid w:val="008D242F"/>
    <w:rsid w:val="008D6DCB"/>
    <w:rsid w:val="008E1D06"/>
    <w:rsid w:val="008E7B1E"/>
    <w:rsid w:val="008F2A3F"/>
    <w:rsid w:val="008F7119"/>
    <w:rsid w:val="00900966"/>
    <w:rsid w:val="00903106"/>
    <w:rsid w:val="00903CB9"/>
    <w:rsid w:val="00903EB8"/>
    <w:rsid w:val="00912E77"/>
    <w:rsid w:val="00920750"/>
    <w:rsid w:val="00923960"/>
    <w:rsid w:val="00924167"/>
    <w:rsid w:val="009267FF"/>
    <w:rsid w:val="009320F1"/>
    <w:rsid w:val="00932FC4"/>
    <w:rsid w:val="00933A30"/>
    <w:rsid w:val="00943BDF"/>
    <w:rsid w:val="0094625D"/>
    <w:rsid w:val="00946C0E"/>
    <w:rsid w:val="0095179C"/>
    <w:rsid w:val="00951D25"/>
    <w:rsid w:val="00952569"/>
    <w:rsid w:val="00952E06"/>
    <w:rsid w:val="00954603"/>
    <w:rsid w:val="00955192"/>
    <w:rsid w:val="00955D95"/>
    <w:rsid w:val="00961348"/>
    <w:rsid w:val="009621FF"/>
    <w:rsid w:val="0096688D"/>
    <w:rsid w:val="0096701D"/>
    <w:rsid w:val="00971CB3"/>
    <w:rsid w:val="009778BD"/>
    <w:rsid w:val="0098180D"/>
    <w:rsid w:val="00992D8D"/>
    <w:rsid w:val="009964B3"/>
    <w:rsid w:val="009A62BB"/>
    <w:rsid w:val="009A741B"/>
    <w:rsid w:val="009B4931"/>
    <w:rsid w:val="009B4A8B"/>
    <w:rsid w:val="009C5DC3"/>
    <w:rsid w:val="009C6428"/>
    <w:rsid w:val="009C6A51"/>
    <w:rsid w:val="009D2B22"/>
    <w:rsid w:val="009D5399"/>
    <w:rsid w:val="009E07E5"/>
    <w:rsid w:val="009E0A85"/>
    <w:rsid w:val="009E44F5"/>
    <w:rsid w:val="009E7725"/>
    <w:rsid w:val="009F4BF0"/>
    <w:rsid w:val="009F7844"/>
    <w:rsid w:val="00A01090"/>
    <w:rsid w:val="00A01381"/>
    <w:rsid w:val="00A038F1"/>
    <w:rsid w:val="00A03BF6"/>
    <w:rsid w:val="00A04966"/>
    <w:rsid w:val="00A05B57"/>
    <w:rsid w:val="00A10705"/>
    <w:rsid w:val="00A10A12"/>
    <w:rsid w:val="00A12155"/>
    <w:rsid w:val="00A135C2"/>
    <w:rsid w:val="00A161BB"/>
    <w:rsid w:val="00A23289"/>
    <w:rsid w:val="00A2513D"/>
    <w:rsid w:val="00A2713C"/>
    <w:rsid w:val="00A37581"/>
    <w:rsid w:val="00A37886"/>
    <w:rsid w:val="00A410C9"/>
    <w:rsid w:val="00A42DE3"/>
    <w:rsid w:val="00A440B1"/>
    <w:rsid w:val="00A50847"/>
    <w:rsid w:val="00A50E06"/>
    <w:rsid w:val="00A513B3"/>
    <w:rsid w:val="00A54ADA"/>
    <w:rsid w:val="00A54E27"/>
    <w:rsid w:val="00A56761"/>
    <w:rsid w:val="00A57759"/>
    <w:rsid w:val="00A73576"/>
    <w:rsid w:val="00A73E7E"/>
    <w:rsid w:val="00A746C1"/>
    <w:rsid w:val="00A7476A"/>
    <w:rsid w:val="00A7734A"/>
    <w:rsid w:val="00A8201C"/>
    <w:rsid w:val="00A91DF9"/>
    <w:rsid w:val="00A937DE"/>
    <w:rsid w:val="00A93948"/>
    <w:rsid w:val="00A94731"/>
    <w:rsid w:val="00A961A8"/>
    <w:rsid w:val="00A97783"/>
    <w:rsid w:val="00A97C01"/>
    <w:rsid w:val="00AA16EB"/>
    <w:rsid w:val="00AA1ED5"/>
    <w:rsid w:val="00AA26C2"/>
    <w:rsid w:val="00AA363A"/>
    <w:rsid w:val="00AB097D"/>
    <w:rsid w:val="00AB36FA"/>
    <w:rsid w:val="00AC2330"/>
    <w:rsid w:val="00AC23DC"/>
    <w:rsid w:val="00AC381F"/>
    <w:rsid w:val="00AD0DBA"/>
    <w:rsid w:val="00AD52A8"/>
    <w:rsid w:val="00AD54CE"/>
    <w:rsid w:val="00AE33D9"/>
    <w:rsid w:val="00AE65B4"/>
    <w:rsid w:val="00AF17EB"/>
    <w:rsid w:val="00AF1B7C"/>
    <w:rsid w:val="00AF1FF5"/>
    <w:rsid w:val="00AF5A20"/>
    <w:rsid w:val="00AF66F0"/>
    <w:rsid w:val="00B000FF"/>
    <w:rsid w:val="00B021F0"/>
    <w:rsid w:val="00B06B18"/>
    <w:rsid w:val="00B152E0"/>
    <w:rsid w:val="00B1662E"/>
    <w:rsid w:val="00B172B4"/>
    <w:rsid w:val="00B228BB"/>
    <w:rsid w:val="00B30499"/>
    <w:rsid w:val="00B32917"/>
    <w:rsid w:val="00B35A62"/>
    <w:rsid w:val="00B407A6"/>
    <w:rsid w:val="00B40D3B"/>
    <w:rsid w:val="00B42F9F"/>
    <w:rsid w:val="00B46546"/>
    <w:rsid w:val="00B467FE"/>
    <w:rsid w:val="00B47D8E"/>
    <w:rsid w:val="00B50444"/>
    <w:rsid w:val="00B50E5E"/>
    <w:rsid w:val="00B52BE6"/>
    <w:rsid w:val="00B600F5"/>
    <w:rsid w:val="00B65533"/>
    <w:rsid w:val="00B73A0A"/>
    <w:rsid w:val="00B75D82"/>
    <w:rsid w:val="00B7683A"/>
    <w:rsid w:val="00B76C2C"/>
    <w:rsid w:val="00B8095A"/>
    <w:rsid w:val="00B851B6"/>
    <w:rsid w:val="00B86D44"/>
    <w:rsid w:val="00B87B50"/>
    <w:rsid w:val="00B95660"/>
    <w:rsid w:val="00B95BB5"/>
    <w:rsid w:val="00BA4E0C"/>
    <w:rsid w:val="00BA79C5"/>
    <w:rsid w:val="00BB3F53"/>
    <w:rsid w:val="00BC009B"/>
    <w:rsid w:val="00BC0AAE"/>
    <w:rsid w:val="00BC2248"/>
    <w:rsid w:val="00BC2BA7"/>
    <w:rsid w:val="00BC4349"/>
    <w:rsid w:val="00BC5503"/>
    <w:rsid w:val="00BD2E5C"/>
    <w:rsid w:val="00BD4720"/>
    <w:rsid w:val="00BD7F14"/>
    <w:rsid w:val="00BE1385"/>
    <w:rsid w:val="00BE1BF1"/>
    <w:rsid w:val="00BE48CA"/>
    <w:rsid w:val="00BE6757"/>
    <w:rsid w:val="00BE7F1C"/>
    <w:rsid w:val="00BF3DE4"/>
    <w:rsid w:val="00BF674A"/>
    <w:rsid w:val="00BF68F3"/>
    <w:rsid w:val="00C0146C"/>
    <w:rsid w:val="00C02220"/>
    <w:rsid w:val="00C0362D"/>
    <w:rsid w:val="00C061DC"/>
    <w:rsid w:val="00C069BF"/>
    <w:rsid w:val="00C06FE5"/>
    <w:rsid w:val="00C116C9"/>
    <w:rsid w:val="00C11D31"/>
    <w:rsid w:val="00C126C8"/>
    <w:rsid w:val="00C12929"/>
    <w:rsid w:val="00C13DB7"/>
    <w:rsid w:val="00C14DE6"/>
    <w:rsid w:val="00C237ED"/>
    <w:rsid w:val="00C23B9D"/>
    <w:rsid w:val="00C32990"/>
    <w:rsid w:val="00C32AD7"/>
    <w:rsid w:val="00C35867"/>
    <w:rsid w:val="00C36D93"/>
    <w:rsid w:val="00C41F89"/>
    <w:rsid w:val="00C43E8B"/>
    <w:rsid w:val="00C45467"/>
    <w:rsid w:val="00C472ED"/>
    <w:rsid w:val="00C517C4"/>
    <w:rsid w:val="00C53072"/>
    <w:rsid w:val="00C55FCE"/>
    <w:rsid w:val="00C57613"/>
    <w:rsid w:val="00C618A2"/>
    <w:rsid w:val="00C64FBA"/>
    <w:rsid w:val="00C65537"/>
    <w:rsid w:val="00C66A50"/>
    <w:rsid w:val="00C73BB7"/>
    <w:rsid w:val="00C74033"/>
    <w:rsid w:val="00C85B0C"/>
    <w:rsid w:val="00C86C30"/>
    <w:rsid w:val="00C87643"/>
    <w:rsid w:val="00C9559D"/>
    <w:rsid w:val="00CA0505"/>
    <w:rsid w:val="00CA13D3"/>
    <w:rsid w:val="00CA73F2"/>
    <w:rsid w:val="00CB023A"/>
    <w:rsid w:val="00CC1B99"/>
    <w:rsid w:val="00CC5876"/>
    <w:rsid w:val="00CC693E"/>
    <w:rsid w:val="00CD1B8E"/>
    <w:rsid w:val="00CD3850"/>
    <w:rsid w:val="00CD5E47"/>
    <w:rsid w:val="00CD6861"/>
    <w:rsid w:val="00CE07E2"/>
    <w:rsid w:val="00CE19AB"/>
    <w:rsid w:val="00CE2D61"/>
    <w:rsid w:val="00CE73A0"/>
    <w:rsid w:val="00CF1292"/>
    <w:rsid w:val="00CF3987"/>
    <w:rsid w:val="00CF5806"/>
    <w:rsid w:val="00D010A0"/>
    <w:rsid w:val="00D11500"/>
    <w:rsid w:val="00D15174"/>
    <w:rsid w:val="00D17418"/>
    <w:rsid w:val="00D20332"/>
    <w:rsid w:val="00D21AE1"/>
    <w:rsid w:val="00D27940"/>
    <w:rsid w:val="00D3039D"/>
    <w:rsid w:val="00D34225"/>
    <w:rsid w:val="00D36BC4"/>
    <w:rsid w:val="00D40FAA"/>
    <w:rsid w:val="00D43FD2"/>
    <w:rsid w:val="00D45769"/>
    <w:rsid w:val="00D46C5B"/>
    <w:rsid w:val="00D50820"/>
    <w:rsid w:val="00D51F40"/>
    <w:rsid w:val="00D547E2"/>
    <w:rsid w:val="00D55D77"/>
    <w:rsid w:val="00D6060F"/>
    <w:rsid w:val="00D60FB7"/>
    <w:rsid w:val="00D62235"/>
    <w:rsid w:val="00D701CB"/>
    <w:rsid w:val="00D715C5"/>
    <w:rsid w:val="00D72945"/>
    <w:rsid w:val="00D82027"/>
    <w:rsid w:val="00D84ABD"/>
    <w:rsid w:val="00D85041"/>
    <w:rsid w:val="00D878B5"/>
    <w:rsid w:val="00D92067"/>
    <w:rsid w:val="00D92D71"/>
    <w:rsid w:val="00D961FB"/>
    <w:rsid w:val="00D96A32"/>
    <w:rsid w:val="00DA626F"/>
    <w:rsid w:val="00DA69BC"/>
    <w:rsid w:val="00DA7139"/>
    <w:rsid w:val="00DA76E3"/>
    <w:rsid w:val="00DB21E9"/>
    <w:rsid w:val="00DB335C"/>
    <w:rsid w:val="00DB3722"/>
    <w:rsid w:val="00DB5016"/>
    <w:rsid w:val="00DB6BB8"/>
    <w:rsid w:val="00DB7D47"/>
    <w:rsid w:val="00DC5FB4"/>
    <w:rsid w:val="00DC69E9"/>
    <w:rsid w:val="00DC7B20"/>
    <w:rsid w:val="00DC7F75"/>
    <w:rsid w:val="00DD6919"/>
    <w:rsid w:val="00DD6EDB"/>
    <w:rsid w:val="00DD7B4E"/>
    <w:rsid w:val="00DE1013"/>
    <w:rsid w:val="00DE5B9D"/>
    <w:rsid w:val="00DE5F2A"/>
    <w:rsid w:val="00DE6321"/>
    <w:rsid w:val="00DF20D0"/>
    <w:rsid w:val="00DF75E7"/>
    <w:rsid w:val="00E02865"/>
    <w:rsid w:val="00E0335B"/>
    <w:rsid w:val="00E04E9D"/>
    <w:rsid w:val="00E10831"/>
    <w:rsid w:val="00E12431"/>
    <w:rsid w:val="00E14617"/>
    <w:rsid w:val="00E14EF2"/>
    <w:rsid w:val="00E15218"/>
    <w:rsid w:val="00E16C74"/>
    <w:rsid w:val="00E1782B"/>
    <w:rsid w:val="00E21D1B"/>
    <w:rsid w:val="00E27E0A"/>
    <w:rsid w:val="00E32B80"/>
    <w:rsid w:val="00E36663"/>
    <w:rsid w:val="00E41C1E"/>
    <w:rsid w:val="00E41EFA"/>
    <w:rsid w:val="00E42460"/>
    <w:rsid w:val="00E4777D"/>
    <w:rsid w:val="00E549E3"/>
    <w:rsid w:val="00E61430"/>
    <w:rsid w:val="00E62AD5"/>
    <w:rsid w:val="00E73DD4"/>
    <w:rsid w:val="00E84C4C"/>
    <w:rsid w:val="00E86001"/>
    <w:rsid w:val="00E86D3D"/>
    <w:rsid w:val="00E94F5C"/>
    <w:rsid w:val="00E96FC2"/>
    <w:rsid w:val="00E97A15"/>
    <w:rsid w:val="00EA233A"/>
    <w:rsid w:val="00EA271E"/>
    <w:rsid w:val="00EA3B5D"/>
    <w:rsid w:val="00EA7137"/>
    <w:rsid w:val="00EB000C"/>
    <w:rsid w:val="00EB080C"/>
    <w:rsid w:val="00EB1770"/>
    <w:rsid w:val="00EB45EB"/>
    <w:rsid w:val="00EB71F4"/>
    <w:rsid w:val="00EC78CA"/>
    <w:rsid w:val="00ED4C5C"/>
    <w:rsid w:val="00ED6542"/>
    <w:rsid w:val="00ED6A9C"/>
    <w:rsid w:val="00EE11AF"/>
    <w:rsid w:val="00EF7AB1"/>
    <w:rsid w:val="00F001CD"/>
    <w:rsid w:val="00F016A9"/>
    <w:rsid w:val="00F03BCA"/>
    <w:rsid w:val="00F05E49"/>
    <w:rsid w:val="00F07CFF"/>
    <w:rsid w:val="00F1003D"/>
    <w:rsid w:val="00F1030A"/>
    <w:rsid w:val="00F152EB"/>
    <w:rsid w:val="00F15977"/>
    <w:rsid w:val="00F250AE"/>
    <w:rsid w:val="00F26232"/>
    <w:rsid w:val="00F3662F"/>
    <w:rsid w:val="00F36E84"/>
    <w:rsid w:val="00F41F7A"/>
    <w:rsid w:val="00F44907"/>
    <w:rsid w:val="00F44B13"/>
    <w:rsid w:val="00F473E3"/>
    <w:rsid w:val="00F47DB7"/>
    <w:rsid w:val="00F504DB"/>
    <w:rsid w:val="00F524BA"/>
    <w:rsid w:val="00F528E6"/>
    <w:rsid w:val="00F529F3"/>
    <w:rsid w:val="00F56545"/>
    <w:rsid w:val="00F56F5E"/>
    <w:rsid w:val="00F574A6"/>
    <w:rsid w:val="00F60EC1"/>
    <w:rsid w:val="00F614ED"/>
    <w:rsid w:val="00F61885"/>
    <w:rsid w:val="00F63FF4"/>
    <w:rsid w:val="00F652CF"/>
    <w:rsid w:val="00F766C1"/>
    <w:rsid w:val="00F84100"/>
    <w:rsid w:val="00F94282"/>
    <w:rsid w:val="00F96377"/>
    <w:rsid w:val="00FA1E64"/>
    <w:rsid w:val="00FA1EA1"/>
    <w:rsid w:val="00FA400D"/>
    <w:rsid w:val="00FA6920"/>
    <w:rsid w:val="00FB030F"/>
    <w:rsid w:val="00FB4337"/>
    <w:rsid w:val="00FB663D"/>
    <w:rsid w:val="00FB70E7"/>
    <w:rsid w:val="00FC394E"/>
    <w:rsid w:val="00FC4E7C"/>
    <w:rsid w:val="00FC53CD"/>
    <w:rsid w:val="00FC5D3B"/>
    <w:rsid w:val="00FE0EC2"/>
    <w:rsid w:val="00FE5B22"/>
    <w:rsid w:val="00FE60AE"/>
    <w:rsid w:val="00FE61CC"/>
    <w:rsid w:val="00FE70DB"/>
    <w:rsid w:val="00FE7BC3"/>
    <w:rsid w:val="00FF2032"/>
    <w:rsid w:val="00FF2913"/>
    <w:rsid w:val="00FF4780"/>
    <w:rsid w:val="00FF56A7"/>
    <w:rsid w:val="00FF738E"/>
    <w:rsid w:val="01311400"/>
    <w:rsid w:val="01A30265"/>
    <w:rsid w:val="01B21D93"/>
    <w:rsid w:val="01EB19B4"/>
    <w:rsid w:val="01FB3740"/>
    <w:rsid w:val="0225254D"/>
    <w:rsid w:val="0360639E"/>
    <w:rsid w:val="036B7036"/>
    <w:rsid w:val="03C724E7"/>
    <w:rsid w:val="03C8192F"/>
    <w:rsid w:val="051A2849"/>
    <w:rsid w:val="056C264C"/>
    <w:rsid w:val="05DC5E02"/>
    <w:rsid w:val="060C7E51"/>
    <w:rsid w:val="06166334"/>
    <w:rsid w:val="08731D98"/>
    <w:rsid w:val="08F2411D"/>
    <w:rsid w:val="0A4A36F7"/>
    <w:rsid w:val="0A842A29"/>
    <w:rsid w:val="0B2E545F"/>
    <w:rsid w:val="0B714B45"/>
    <w:rsid w:val="0B883382"/>
    <w:rsid w:val="0B90614A"/>
    <w:rsid w:val="0BB9041D"/>
    <w:rsid w:val="0BBD36A5"/>
    <w:rsid w:val="0C182DAA"/>
    <w:rsid w:val="0C2F7233"/>
    <w:rsid w:val="0CDB4858"/>
    <w:rsid w:val="0CEE12A5"/>
    <w:rsid w:val="0D2A2270"/>
    <w:rsid w:val="0D4D6185"/>
    <w:rsid w:val="0D5B0AE6"/>
    <w:rsid w:val="0E3571A4"/>
    <w:rsid w:val="0EF37454"/>
    <w:rsid w:val="0F104927"/>
    <w:rsid w:val="0F495B75"/>
    <w:rsid w:val="103417CE"/>
    <w:rsid w:val="107740CA"/>
    <w:rsid w:val="11254259"/>
    <w:rsid w:val="113D64B6"/>
    <w:rsid w:val="116E6670"/>
    <w:rsid w:val="11FE2376"/>
    <w:rsid w:val="12BF16D5"/>
    <w:rsid w:val="12E65BE8"/>
    <w:rsid w:val="13733813"/>
    <w:rsid w:val="139454AD"/>
    <w:rsid w:val="14891053"/>
    <w:rsid w:val="14BB5EB3"/>
    <w:rsid w:val="15527763"/>
    <w:rsid w:val="15D86BFC"/>
    <w:rsid w:val="166A350D"/>
    <w:rsid w:val="16893778"/>
    <w:rsid w:val="16A45CD0"/>
    <w:rsid w:val="170B670F"/>
    <w:rsid w:val="17382344"/>
    <w:rsid w:val="17723A03"/>
    <w:rsid w:val="17B54FFE"/>
    <w:rsid w:val="18061F2F"/>
    <w:rsid w:val="184B5557"/>
    <w:rsid w:val="18D36CF8"/>
    <w:rsid w:val="18D63158"/>
    <w:rsid w:val="18DB546D"/>
    <w:rsid w:val="19104066"/>
    <w:rsid w:val="1B207562"/>
    <w:rsid w:val="1BF73232"/>
    <w:rsid w:val="1C7C7887"/>
    <w:rsid w:val="1C830ED6"/>
    <w:rsid w:val="1CF61317"/>
    <w:rsid w:val="1D192D69"/>
    <w:rsid w:val="1DD4476D"/>
    <w:rsid w:val="1E08385C"/>
    <w:rsid w:val="1E1823CB"/>
    <w:rsid w:val="1E4651F7"/>
    <w:rsid w:val="1F300BF5"/>
    <w:rsid w:val="1FFC73DA"/>
    <w:rsid w:val="208416FB"/>
    <w:rsid w:val="20A7426A"/>
    <w:rsid w:val="20DB5138"/>
    <w:rsid w:val="21723F5A"/>
    <w:rsid w:val="22580BFE"/>
    <w:rsid w:val="2331459A"/>
    <w:rsid w:val="23B47FCE"/>
    <w:rsid w:val="23E02E8A"/>
    <w:rsid w:val="23F534DC"/>
    <w:rsid w:val="2440020A"/>
    <w:rsid w:val="244E29ED"/>
    <w:rsid w:val="24C34ACD"/>
    <w:rsid w:val="25296F57"/>
    <w:rsid w:val="257077CF"/>
    <w:rsid w:val="258E5DC5"/>
    <w:rsid w:val="26AF37AB"/>
    <w:rsid w:val="27280225"/>
    <w:rsid w:val="28872521"/>
    <w:rsid w:val="29BF0DC6"/>
    <w:rsid w:val="29C16373"/>
    <w:rsid w:val="2A227FF4"/>
    <w:rsid w:val="2A802EA9"/>
    <w:rsid w:val="2AA44085"/>
    <w:rsid w:val="2AC7102A"/>
    <w:rsid w:val="2B1D3B97"/>
    <w:rsid w:val="2B245B62"/>
    <w:rsid w:val="2BC625A2"/>
    <w:rsid w:val="2C57393F"/>
    <w:rsid w:val="2C83505C"/>
    <w:rsid w:val="2D003229"/>
    <w:rsid w:val="2DE955A4"/>
    <w:rsid w:val="2E8B5DE2"/>
    <w:rsid w:val="2F1538AD"/>
    <w:rsid w:val="2F216E9F"/>
    <w:rsid w:val="2F8731E9"/>
    <w:rsid w:val="2F8E4BCC"/>
    <w:rsid w:val="2F9B467C"/>
    <w:rsid w:val="2FE9288F"/>
    <w:rsid w:val="3044415F"/>
    <w:rsid w:val="3111125D"/>
    <w:rsid w:val="31D84B34"/>
    <w:rsid w:val="32C66878"/>
    <w:rsid w:val="3386732F"/>
    <w:rsid w:val="33DE187F"/>
    <w:rsid w:val="34250207"/>
    <w:rsid w:val="34302AE6"/>
    <w:rsid w:val="34426EA5"/>
    <w:rsid w:val="34742D5B"/>
    <w:rsid w:val="35187C67"/>
    <w:rsid w:val="35794C83"/>
    <w:rsid w:val="35E15BCC"/>
    <w:rsid w:val="362A1A27"/>
    <w:rsid w:val="367F7948"/>
    <w:rsid w:val="36813FFA"/>
    <w:rsid w:val="36CC6E63"/>
    <w:rsid w:val="384422C2"/>
    <w:rsid w:val="3AC11ECB"/>
    <w:rsid w:val="3ACE7FFB"/>
    <w:rsid w:val="3B584C03"/>
    <w:rsid w:val="3B874300"/>
    <w:rsid w:val="3BBD5CD1"/>
    <w:rsid w:val="3CB038E7"/>
    <w:rsid w:val="3D2F1537"/>
    <w:rsid w:val="3D6A13E5"/>
    <w:rsid w:val="3DCF1FE9"/>
    <w:rsid w:val="3DF03EEC"/>
    <w:rsid w:val="3F5D6B3A"/>
    <w:rsid w:val="3F811D1C"/>
    <w:rsid w:val="405A40DF"/>
    <w:rsid w:val="408431D3"/>
    <w:rsid w:val="410F3CEC"/>
    <w:rsid w:val="41476521"/>
    <w:rsid w:val="414B6446"/>
    <w:rsid w:val="426F1F4B"/>
    <w:rsid w:val="435D033F"/>
    <w:rsid w:val="436110A5"/>
    <w:rsid w:val="438D1BEA"/>
    <w:rsid w:val="43FA2CF6"/>
    <w:rsid w:val="441501B4"/>
    <w:rsid w:val="44BE3E1E"/>
    <w:rsid w:val="44D07D9C"/>
    <w:rsid w:val="45AE0A2D"/>
    <w:rsid w:val="45D3187D"/>
    <w:rsid w:val="45ED647B"/>
    <w:rsid w:val="468E4D60"/>
    <w:rsid w:val="46EC2020"/>
    <w:rsid w:val="471C6E91"/>
    <w:rsid w:val="478634F5"/>
    <w:rsid w:val="47A63A2D"/>
    <w:rsid w:val="48787F10"/>
    <w:rsid w:val="48B46CEE"/>
    <w:rsid w:val="49B72B37"/>
    <w:rsid w:val="4A9F3D8B"/>
    <w:rsid w:val="4AA47270"/>
    <w:rsid w:val="4ADA2B6F"/>
    <w:rsid w:val="4BBA08B1"/>
    <w:rsid w:val="4CF3615A"/>
    <w:rsid w:val="4DD860A8"/>
    <w:rsid w:val="4E96072B"/>
    <w:rsid w:val="4ED57C57"/>
    <w:rsid w:val="4F315CFC"/>
    <w:rsid w:val="509F13B7"/>
    <w:rsid w:val="50CB73CE"/>
    <w:rsid w:val="51366478"/>
    <w:rsid w:val="513B761B"/>
    <w:rsid w:val="519863B5"/>
    <w:rsid w:val="519B3C80"/>
    <w:rsid w:val="520A0B6E"/>
    <w:rsid w:val="52E033D9"/>
    <w:rsid w:val="52E75C77"/>
    <w:rsid w:val="52F67C97"/>
    <w:rsid w:val="533169E5"/>
    <w:rsid w:val="53D65339"/>
    <w:rsid w:val="5440790C"/>
    <w:rsid w:val="54882B71"/>
    <w:rsid w:val="54A84D7B"/>
    <w:rsid w:val="554458FD"/>
    <w:rsid w:val="55AF3CAA"/>
    <w:rsid w:val="55D03174"/>
    <w:rsid w:val="56293394"/>
    <w:rsid w:val="562B7C58"/>
    <w:rsid w:val="56B64597"/>
    <w:rsid w:val="56C2490C"/>
    <w:rsid w:val="576176AA"/>
    <w:rsid w:val="58167888"/>
    <w:rsid w:val="58B76D45"/>
    <w:rsid w:val="592C2690"/>
    <w:rsid w:val="594B016E"/>
    <w:rsid w:val="59B80998"/>
    <w:rsid w:val="59EA0F5C"/>
    <w:rsid w:val="5ABA688F"/>
    <w:rsid w:val="5AC84FC6"/>
    <w:rsid w:val="5AF566EA"/>
    <w:rsid w:val="5C920257"/>
    <w:rsid w:val="5D210C96"/>
    <w:rsid w:val="5D211424"/>
    <w:rsid w:val="5D6765AA"/>
    <w:rsid w:val="5ECF08BB"/>
    <w:rsid w:val="5F1D4AAF"/>
    <w:rsid w:val="5F563BD4"/>
    <w:rsid w:val="5FEF65C9"/>
    <w:rsid w:val="60121317"/>
    <w:rsid w:val="60D029CA"/>
    <w:rsid w:val="6154426B"/>
    <w:rsid w:val="621A1584"/>
    <w:rsid w:val="62B135EA"/>
    <w:rsid w:val="62F027E9"/>
    <w:rsid w:val="63624ED5"/>
    <w:rsid w:val="63FF6E04"/>
    <w:rsid w:val="64B46A8F"/>
    <w:rsid w:val="64E060B2"/>
    <w:rsid w:val="64F45C45"/>
    <w:rsid w:val="662E7DA2"/>
    <w:rsid w:val="673A6D06"/>
    <w:rsid w:val="67DB37BB"/>
    <w:rsid w:val="681E64C6"/>
    <w:rsid w:val="68487778"/>
    <w:rsid w:val="69EB5AF3"/>
    <w:rsid w:val="6A197F80"/>
    <w:rsid w:val="6B4740B3"/>
    <w:rsid w:val="6B505D85"/>
    <w:rsid w:val="6BEC5C84"/>
    <w:rsid w:val="6CB449CD"/>
    <w:rsid w:val="6CD66BAF"/>
    <w:rsid w:val="6CEB7CE9"/>
    <w:rsid w:val="6E5C6858"/>
    <w:rsid w:val="6EAE0FCF"/>
    <w:rsid w:val="6F405237"/>
    <w:rsid w:val="6FC91685"/>
    <w:rsid w:val="70194DCD"/>
    <w:rsid w:val="701B025A"/>
    <w:rsid w:val="703E5175"/>
    <w:rsid w:val="707A2CDA"/>
    <w:rsid w:val="709371D9"/>
    <w:rsid w:val="70A023C7"/>
    <w:rsid w:val="70CD20B5"/>
    <w:rsid w:val="71135941"/>
    <w:rsid w:val="715D3729"/>
    <w:rsid w:val="71CA1293"/>
    <w:rsid w:val="71F47A9F"/>
    <w:rsid w:val="72020FE6"/>
    <w:rsid w:val="72464FF5"/>
    <w:rsid w:val="72976F13"/>
    <w:rsid w:val="72AB651B"/>
    <w:rsid w:val="73A829D2"/>
    <w:rsid w:val="73BA4D7F"/>
    <w:rsid w:val="73C87B98"/>
    <w:rsid w:val="742C0DAA"/>
    <w:rsid w:val="74D03328"/>
    <w:rsid w:val="75022074"/>
    <w:rsid w:val="750A2F2D"/>
    <w:rsid w:val="759739E8"/>
    <w:rsid w:val="760A1474"/>
    <w:rsid w:val="761B7EB1"/>
    <w:rsid w:val="76341698"/>
    <w:rsid w:val="775438B2"/>
    <w:rsid w:val="787A4051"/>
    <w:rsid w:val="787D10EA"/>
    <w:rsid w:val="78A054C2"/>
    <w:rsid w:val="792405D6"/>
    <w:rsid w:val="79623C62"/>
    <w:rsid w:val="7A432F5A"/>
    <w:rsid w:val="7A55195D"/>
    <w:rsid w:val="7A5E36FA"/>
    <w:rsid w:val="7A931DC6"/>
    <w:rsid w:val="7A9C1BDC"/>
    <w:rsid w:val="7A9C58C9"/>
    <w:rsid w:val="7AC04E78"/>
    <w:rsid w:val="7AE03820"/>
    <w:rsid w:val="7B7772E6"/>
    <w:rsid w:val="7BAA4275"/>
    <w:rsid w:val="7BAB2837"/>
    <w:rsid w:val="7C2D759E"/>
    <w:rsid w:val="7C34017C"/>
    <w:rsid w:val="7C5B616A"/>
    <w:rsid w:val="7C5E5DE2"/>
    <w:rsid w:val="7C893C19"/>
    <w:rsid w:val="7D6E4D56"/>
    <w:rsid w:val="7D6E5F16"/>
    <w:rsid w:val="7D7D43B7"/>
    <w:rsid w:val="7DF00B66"/>
    <w:rsid w:val="7DFC72ED"/>
    <w:rsid w:val="7E4B683A"/>
    <w:rsid w:val="7E794EE9"/>
    <w:rsid w:val="7EEA7E01"/>
    <w:rsid w:val="7F022778"/>
    <w:rsid w:val="7FD60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99" w:name="List Bullet"/>
    <w:lsdException w:uiPriority="99" w:name="List Number"/>
    <w:lsdException w:uiPriority="99" w:name="List 2"/>
    <w:lsdException w:uiPriority="99" w:name="List 3"/>
    <w:lsdException w:uiPriority="99" w:name="List 4"/>
    <w:lsdException w:uiPriority="99" w:name="List 5"/>
    <w:lsdException w:qFormat="1" w:unhideWhenUsed="0"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99" w:name="Date"/>
    <w:lsdException w:qFormat="1" w:unhideWhenUsed="0" w:uiPriority="0" w:semiHidden="0" w:name="Body Text First Indent"/>
    <w:lsdException w:uiPriority="99" w:name="Body Text First Indent 2"/>
    <w:lsdException w:uiPriority="99" w:name="Note Heading"/>
    <w:lsdException w:qFormat="1" w:unhideWhenUsed="0" w:uiPriority="99" w:name="Body Text 2"/>
    <w:lsdException w:qFormat="1" w:unhideWhenUsed="0" w:uiPriority="99" w:semiHidden="0" w:name="Body Text 3"/>
    <w:lsdException w:qFormat="1" w:unhideWhenUsed="0" w:uiPriority="99" w:name="Body Text Indent 2"/>
    <w:lsdException w:qFormat="1" w:unhideWhenUsed="0" w:uiPriority="99" w:name="Body Text Indent 3"/>
    <w:lsdException w:uiPriority="99" w:name="Block Text"/>
    <w:lsdException w:qFormat="1" w:unhideWhenUsed="0" w:uiPriority="99" w:semiHidden="0"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53"/>
    <w:qFormat/>
    <w:uiPriority w:val="99"/>
    <w:pPr>
      <w:keepNext/>
      <w:keepLines/>
      <w:widowControl/>
      <w:tabs>
        <w:tab w:val="left" w:pos="432"/>
      </w:tabs>
      <w:spacing w:before="340" w:after="330"/>
      <w:ind w:left="432" w:hanging="432"/>
      <w:jc w:val="left"/>
      <w:outlineLvl w:val="0"/>
    </w:pPr>
    <w:rPr>
      <w:rFonts w:ascii="宋体" w:hAnsi="Times New Roman" w:cs="宋体"/>
      <w:kern w:val="0"/>
      <w:sz w:val="28"/>
      <w:szCs w:val="28"/>
    </w:rPr>
  </w:style>
  <w:style w:type="paragraph" w:styleId="4">
    <w:name w:val="heading 2"/>
    <w:basedOn w:val="1"/>
    <w:next w:val="1"/>
    <w:link w:val="48"/>
    <w:qFormat/>
    <w:uiPriority w:val="99"/>
    <w:pPr>
      <w:numPr>
        <w:ilvl w:val="1"/>
        <w:numId w:val="1"/>
      </w:numPr>
      <w:tabs>
        <w:tab w:val="left" w:pos="360"/>
        <w:tab w:val="left" w:pos="576"/>
      </w:tabs>
      <w:spacing w:before="260"/>
      <w:ind w:left="576" w:hanging="576"/>
      <w:jc w:val="left"/>
      <w:outlineLvl w:val="1"/>
    </w:pPr>
    <w:rPr>
      <w:rFonts w:ascii="宋体" w:hAnsi="Arial" w:cs="宋体"/>
      <w:kern w:val="0"/>
      <w:sz w:val="28"/>
      <w:szCs w:val="28"/>
    </w:rPr>
  </w:style>
  <w:style w:type="paragraph" w:styleId="5">
    <w:name w:val="heading 3"/>
    <w:basedOn w:val="1"/>
    <w:next w:val="1"/>
    <w:link w:val="51"/>
    <w:qFormat/>
    <w:uiPriority w:val="99"/>
    <w:pPr>
      <w:keepNext/>
      <w:keepLines/>
      <w:widowControl/>
      <w:numPr>
        <w:ilvl w:val="2"/>
        <w:numId w:val="1"/>
      </w:numPr>
      <w:tabs>
        <w:tab w:val="left" w:pos="360"/>
        <w:tab w:val="left" w:pos="1287"/>
      </w:tabs>
      <w:spacing w:before="260" w:after="260" w:line="415" w:lineRule="auto"/>
      <w:ind w:left="1287" w:hanging="720"/>
      <w:jc w:val="left"/>
      <w:outlineLvl w:val="2"/>
    </w:pPr>
    <w:rPr>
      <w:rFonts w:ascii="Times New Roman" w:hAnsi="Times New Roman" w:cs="Times New Roman"/>
      <w:b/>
      <w:bCs/>
      <w:kern w:val="0"/>
      <w:sz w:val="32"/>
      <w:szCs w:val="32"/>
    </w:rPr>
  </w:style>
  <w:style w:type="paragraph" w:styleId="6">
    <w:name w:val="heading 4"/>
    <w:basedOn w:val="1"/>
    <w:next w:val="1"/>
    <w:link w:val="69"/>
    <w:qFormat/>
    <w:uiPriority w:val="99"/>
    <w:pPr>
      <w:keepNext/>
      <w:keepLines/>
      <w:widowControl/>
      <w:numPr>
        <w:ilvl w:val="3"/>
        <w:numId w:val="1"/>
      </w:numPr>
      <w:tabs>
        <w:tab w:val="left" w:pos="360"/>
        <w:tab w:val="left" w:pos="864"/>
      </w:tabs>
      <w:spacing w:before="280" w:after="290" w:line="374" w:lineRule="auto"/>
      <w:ind w:left="864" w:hanging="864"/>
      <w:jc w:val="left"/>
      <w:outlineLvl w:val="3"/>
    </w:pPr>
    <w:rPr>
      <w:rFonts w:ascii="Arial" w:hAnsi="Arial" w:eastAsia="黑体" w:cs="Arial"/>
      <w:b/>
      <w:bCs/>
      <w:kern w:val="0"/>
      <w:sz w:val="28"/>
      <w:szCs w:val="28"/>
    </w:rPr>
  </w:style>
  <w:style w:type="paragraph" w:styleId="7">
    <w:name w:val="heading 5"/>
    <w:basedOn w:val="1"/>
    <w:next w:val="1"/>
    <w:link w:val="74"/>
    <w:qFormat/>
    <w:uiPriority w:val="99"/>
    <w:pPr>
      <w:keepNext/>
      <w:keepLines/>
      <w:widowControl/>
      <w:numPr>
        <w:ilvl w:val="4"/>
        <w:numId w:val="1"/>
      </w:numPr>
      <w:tabs>
        <w:tab w:val="left" w:pos="360"/>
        <w:tab w:val="left" w:pos="1008"/>
      </w:tabs>
      <w:spacing w:before="280" w:after="290" w:line="374" w:lineRule="auto"/>
      <w:ind w:left="1008" w:hanging="1008"/>
      <w:jc w:val="left"/>
      <w:outlineLvl w:val="4"/>
    </w:pPr>
    <w:rPr>
      <w:rFonts w:ascii="Times New Roman" w:hAnsi="Times New Roman" w:cs="Times New Roman"/>
      <w:b/>
      <w:bCs/>
      <w:kern w:val="0"/>
      <w:sz w:val="28"/>
      <w:szCs w:val="28"/>
    </w:rPr>
  </w:style>
  <w:style w:type="paragraph" w:styleId="8">
    <w:name w:val="heading 6"/>
    <w:basedOn w:val="1"/>
    <w:next w:val="1"/>
    <w:link w:val="63"/>
    <w:qFormat/>
    <w:uiPriority w:val="99"/>
    <w:pPr>
      <w:keepNext/>
      <w:keepLines/>
      <w:widowControl/>
      <w:numPr>
        <w:ilvl w:val="5"/>
        <w:numId w:val="1"/>
      </w:numPr>
      <w:tabs>
        <w:tab w:val="left" w:pos="360"/>
        <w:tab w:val="left" w:pos="1152"/>
      </w:tabs>
      <w:spacing w:before="240" w:after="64" w:line="319" w:lineRule="auto"/>
      <w:ind w:left="1152" w:hanging="1152"/>
      <w:jc w:val="left"/>
      <w:outlineLvl w:val="5"/>
    </w:pPr>
    <w:rPr>
      <w:rFonts w:ascii="Arial" w:hAnsi="Arial" w:eastAsia="黑体" w:cs="Arial"/>
      <w:b/>
      <w:bCs/>
      <w:kern w:val="0"/>
      <w:sz w:val="24"/>
      <w:szCs w:val="24"/>
    </w:rPr>
  </w:style>
  <w:style w:type="paragraph" w:styleId="9">
    <w:name w:val="heading 7"/>
    <w:basedOn w:val="1"/>
    <w:next w:val="1"/>
    <w:link w:val="71"/>
    <w:qFormat/>
    <w:uiPriority w:val="99"/>
    <w:pPr>
      <w:keepNext/>
      <w:keepLines/>
      <w:widowControl/>
      <w:numPr>
        <w:ilvl w:val="6"/>
        <w:numId w:val="1"/>
      </w:numPr>
      <w:tabs>
        <w:tab w:val="left" w:pos="360"/>
        <w:tab w:val="left" w:pos="1296"/>
      </w:tabs>
      <w:spacing w:before="240" w:after="64" w:line="319" w:lineRule="auto"/>
      <w:ind w:left="1296" w:hanging="1296"/>
      <w:jc w:val="left"/>
      <w:outlineLvl w:val="6"/>
    </w:pPr>
    <w:rPr>
      <w:rFonts w:ascii="Times New Roman" w:hAnsi="Times New Roman" w:cs="Times New Roman"/>
      <w:b/>
      <w:bCs/>
      <w:kern w:val="0"/>
      <w:sz w:val="24"/>
      <w:szCs w:val="24"/>
    </w:rPr>
  </w:style>
  <w:style w:type="paragraph" w:styleId="10">
    <w:name w:val="heading 8"/>
    <w:basedOn w:val="1"/>
    <w:next w:val="1"/>
    <w:link w:val="52"/>
    <w:qFormat/>
    <w:uiPriority w:val="99"/>
    <w:pPr>
      <w:keepNext/>
      <w:keepLines/>
      <w:widowControl/>
      <w:numPr>
        <w:ilvl w:val="7"/>
        <w:numId w:val="1"/>
      </w:numPr>
      <w:tabs>
        <w:tab w:val="left" w:pos="360"/>
        <w:tab w:val="left" w:pos="1440"/>
      </w:tabs>
      <w:spacing w:before="240" w:after="64" w:line="319" w:lineRule="auto"/>
      <w:ind w:left="1440" w:hanging="1440"/>
      <w:jc w:val="left"/>
      <w:outlineLvl w:val="7"/>
    </w:pPr>
    <w:rPr>
      <w:rFonts w:ascii="Arial" w:hAnsi="Arial" w:eastAsia="黑体" w:cs="Arial"/>
      <w:kern w:val="0"/>
      <w:sz w:val="24"/>
      <w:szCs w:val="24"/>
    </w:rPr>
  </w:style>
  <w:style w:type="paragraph" w:styleId="11">
    <w:name w:val="heading 9"/>
    <w:basedOn w:val="1"/>
    <w:next w:val="1"/>
    <w:link w:val="59"/>
    <w:qFormat/>
    <w:uiPriority w:val="99"/>
    <w:pPr>
      <w:keepNext/>
      <w:keepLines/>
      <w:widowControl/>
      <w:numPr>
        <w:ilvl w:val="8"/>
        <w:numId w:val="1"/>
      </w:numPr>
      <w:tabs>
        <w:tab w:val="left" w:pos="360"/>
        <w:tab w:val="left" w:pos="1584"/>
      </w:tabs>
      <w:spacing w:before="240" w:after="64" w:line="319" w:lineRule="auto"/>
      <w:ind w:left="1584" w:hanging="1584"/>
      <w:jc w:val="left"/>
      <w:outlineLvl w:val="8"/>
    </w:pPr>
    <w:rPr>
      <w:rFonts w:ascii="Arial" w:hAnsi="Arial" w:eastAsia="黑体" w:cs="Arial"/>
      <w:kern w:val="0"/>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68"/>
    <w:qFormat/>
    <w:uiPriority w:val="99"/>
    <w:rPr>
      <w:rFonts w:ascii="宋体" w:hAnsi="Courier New" w:cs="宋体"/>
    </w:rPr>
  </w:style>
  <w:style w:type="paragraph" w:styleId="12">
    <w:name w:val="toc 7"/>
    <w:basedOn w:val="1"/>
    <w:next w:val="1"/>
    <w:qFormat/>
    <w:uiPriority w:val="39"/>
    <w:pPr>
      <w:ind w:left="1260"/>
      <w:jc w:val="left"/>
    </w:pPr>
    <w:rPr>
      <w:sz w:val="18"/>
      <w:szCs w:val="18"/>
    </w:rPr>
  </w:style>
  <w:style w:type="paragraph" w:styleId="13">
    <w:name w:val="Normal Indent"/>
    <w:basedOn w:val="1"/>
    <w:next w:val="1"/>
    <w:semiHidden/>
    <w:qFormat/>
    <w:uiPriority w:val="99"/>
    <w:pPr>
      <w:ind w:firstLine="420"/>
    </w:pPr>
    <w:rPr>
      <w:rFonts w:ascii="Times New Roman" w:hAnsi="Times New Roman" w:cs="Times New Roman"/>
    </w:rPr>
  </w:style>
  <w:style w:type="paragraph" w:styleId="14">
    <w:name w:val="List Bullet"/>
    <w:basedOn w:val="1"/>
    <w:next w:val="1"/>
    <w:semiHidden/>
    <w:qFormat/>
    <w:uiPriority w:val="99"/>
    <w:pPr>
      <w:tabs>
        <w:tab w:val="left" w:pos="360"/>
      </w:tabs>
      <w:ind w:left="360" w:hanging="360" w:hangingChars="200"/>
    </w:pPr>
    <w:rPr>
      <w:rFonts w:ascii="Times New Roman" w:hAnsi="Times New Roman" w:cs="Times New Roman"/>
    </w:rPr>
  </w:style>
  <w:style w:type="paragraph" w:styleId="15">
    <w:name w:val="Document Map"/>
    <w:basedOn w:val="1"/>
    <w:next w:val="1"/>
    <w:link w:val="79"/>
    <w:semiHidden/>
    <w:qFormat/>
    <w:uiPriority w:val="99"/>
    <w:pPr>
      <w:shd w:val="clear" w:color="auto" w:fill="000080"/>
    </w:pPr>
    <w:rPr>
      <w:rFonts w:ascii="Times New Roman" w:hAnsi="Times New Roman" w:cs="Times New Roman"/>
    </w:rPr>
  </w:style>
  <w:style w:type="paragraph" w:styleId="16">
    <w:name w:val="annotation text"/>
    <w:basedOn w:val="1"/>
    <w:next w:val="1"/>
    <w:link w:val="62"/>
    <w:semiHidden/>
    <w:qFormat/>
    <w:uiPriority w:val="99"/>
    <w:pPr>
      <w:jc w:val="left"/>
    </w:pPr>
    <w:rPr>
      <w:rFonts w:ascii="Times New Roman" w:hAnsi="Times New Roman" w:cs="Times New Roman"/>
    </w:rPr>
  </w:style>
  <w:style w:type="paragraph" w:styleId="17">
    <w:name w:val="Body Text 3"/>
    <w:basedOn w:val="1"/>
    <w:next w:val="1"/>
    <w:link w:val="82"/>
    <w:qFormat/>
    <w:uiPriority w:val="99"/>
    <w:pPr>
      <w:spacing w:after="120"/>
    </w:pPr>
    <w:rPr>
      <w:rFonts w:ascii="Times New Roman" w:hAnsi="Times New Roman" w:cs="Times New Roman"/>
      <w:sz w:val="16"/>
      <w:szCs w:val="16"/>
    </w:rPr>
  </w:style>
  <w:style w:type="paragraph" w:styleId="18">
    <w:name w:val="Body Text"/>
    <w:basedOn w:val="1"/>
    <w:next w:val="1"/>
    <w:link w:val="80"/>
    <w:semiHidden/>
    <w:qFormat/>
    <w:uiPriority w:val="99"/>
    <w:pPr>
      <w:spacing w:after="120"/>
    </w:pPr>
    <w:rPr>
      <w:rFonts w:ascii="Times New Roman" w:hAnsi="Times New Roman" w:cs="Times New Roman"/>
    </w:rPr>
  </w:style>
  <w:style w:type="paragraph" w:styleId="19">
    <w:name w:val="Body Text Indent"/>
    <w:basedOn w:val="1"/>
    <w:next w:val="1"/>
    <w:link w:val="78"/>
    <w:qFormat/>
    <w:uiPriority w:val="99"/>
    <w:pPr>
      <w:ind w:firstLine="630"/>
    </w:pPr>
    <w:rPr>
      <w:rFonts w:ascii="宋体" w:hAnsi="Times New Roman" w:cs="宋体"/>
      <w:sz w:val="32"/>
      <w:szCs w:val="32"/>
    </w:rPr>
  </w:style>
  <w:style w:type="paragraph" w:styleId="20">
    <w:name w:val="List Bullet 2"/>
    <w:basedOn w:val="14"/>
    <w:next w:val="1"/>
    <w:semiHidden/>
    <w:qFormat/>
    <w:uiPriority w:val="99"/>
    <w:pPr>
      <w:widowControl/>
      <w:tabs>
        <w:tab w:val="left" w:pos="432"/>
        <w:tab w:val="clear" w:pos="360"/>
      </w:tabs>
      <w:spacing w:after="220" w:line="220" w:lineRule="atLeast"/>
      <w:ind w:left="2160" w:right="720" w:hanging="432" w:firstLineChars="0"/>
      <w:jc w:val="left"/>
    </w:pPr>
    <w:rPr>
      <w:kern w:val="0"/>
    </w:rPr>
  </w:style>
  <w:style w:type="paragraph" w:styleId="21">
    <w:name w:val="toc 5"/>
    <w:basedOn w:val="1"/>
    <w:next w:val="1"/>
    <w:qFormat/>
    <w:uiPriority w:val="39"/>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toc 8"/>
    <w:basedOn w:val="1"/>
    <w:next w:val="1"/>
    <w:qFormat/>
    <w:uiPriority w:val="39"/>
    <w:pPr>
      <w:ind w:left="1470"/>
      <w:jc w:val="left"/>
    </w:pPr>
    <w:rPr>
      <w:sz w:val="18"/>
      <w:szCs w:val="18"/>
    </w:rPr>
  </w:style>
  <w:style w:type="paragraph" w:styleId="24">
    <w:name w:val="Date"/>
    <w:basedOn w:val="1"/>
    <w:next w:val="1"/>
    <w:link w:val="50"/>
    <w:semiHidden/>
    <w:qFormat/>
    <w:uiPriority w:val="99"/>
    <w:pPr>
      <w:ind w:left="100" w:leftChars="2500"/>
    </w:pPr>
    <w:rPr>
      <w:rFonts w:ascii="仿宋_GB2312" w:hAnsi="Times New Roman" w:eastAsia="仿宋_GB2312" w:cs="仿宋_GB2312"/>
      <w:b/>
      <w:bCs/>
      <w:sz w:val="28"/>
      <w:szCs w:val="28"/>
    </w:rPr>
  </w:style>
  <w:style w:type="paragraph" w:styleId="25">
    <w:name w:val="Body Text Indent 2"/>
    <w:basedOn w:val="1"/>
    <w:next w:val="1"/>
    <w:link w:val="70"/>
    <w:semiHidden/>
    <w:qFormat/>
    <w:uiPriority w:val="99"/>
    <w:pPr>
      <w:tabs>
        <w:tab w:val="left" w:pos="4970"/>
      </w:tabs>
      <w:spacing w:line="360" w:lineRule="auto"/>
      <w:ind w:firstLine="480" w:firstLineChars="200"/>
    </w:pPr>
    <w:rPr>
      <w:rFonts w:ascii="Times New Roman" w:hAnsi="Times New Roman" w:cs="Times New Roman"/>
      <w:sz w:val="24"/>
      <w:szCs w:val="24"/>
    </w:rPr>
  </w:style>
  <w:style w:type="paragraph" w:styleId="26">
    <w:name w:val="Balloon Text"/>
    <w:basedOn w:val="1"/>
    <w:next w:val="1"/>
    <w:link w:val="57"/>
    <w:semiHidden/>
    <w:qFormat/>
    <w:uiPriority w:val="99"/>
    <w:rPr>
      <w:rFonts w:ascii="Times New Roman" w:hAnsi="Times New Roman" w:cs="Times New Roman"/>
      <w:sz w:val="18"/>
      <w:szCs w:val="18"/>
    </w:rPr>
  </w:style>
  <w:style w:type="paragraph" w:styleId="27">
    <w:name w:val="footer"/>
    <w:basedOn w:val="1"/>
    <w:link w:val="55"/>
    <w:qFormat/>
    <w:uiPriority w:val="99"/>
    <w:pPr>
      <w:tabs>
        <w:tab w:val="center" w:pos="4153"/>
        <w:tab w:val="right" w:pos="8306"/>
      </w:tabs>
      <w:snapToGrid w:val="0"/>
      <w:jc w:val="left"/>
    </w:pPr>
    <w:rPr>
      <w:sz w:val="18"/>
      <w:szCs w:val="18"/>
    </w:rPr>
  </w:style>
  <w:style w:type="paragraph" w:styleId="28">
    <w:name w:val="header"/>
    <w:basedOn w:val="1"/>
    <w:link w:val="81"/>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jc w:val="left"/>
    </w:pPr>
    <w:rPr>
      <w:b/>
      <w:bCs/>
      <w:caps/>
      <w:sz w:val="20"/>
      <w:szCs w:val="20"/>
    </w:rPr>
  </w:style>
  <w:style w:type="paragraph" w:styleId="30">
    <w:name w:val="toc 4"/>
    <w:basedOn w:val="1"/>
    <w:next w:val="1"/>
    <w:qFormat/>
    <w:uiPriority w:val="39"/>
    <w:pPr>
      <w:ind w:left="630"/>
      <w:jc w:val="left"/>
    </w:pPr>
    <w:rPr>
      <w:sz w:val="18"/>
      <w:szCs w:val="18"/>
    </w:rPr>
  </w:style>
  <w:style w:type="paragraph" w:styleId="31">
    <w:name w:val="Subtitle"/>
    <w:basedOn w:val="1"/>
    <w:next w:val="1"/>
    <w:link w:val="56"/>
    <w:qFormat/>
    <w:uiPriority w:val="99"/>
    <w:pPr>
      <w:widowControl/>
      <w:spacing w:before="240" w:after="60" w:line="312" w:lineRule="auto"/>
      <w:jc w:val="center"/>
      <w:outlineLvl w:val="1"/>
    </w:pPr>
    <w:rPr>
      <w:rFonts w:ascii="Calibri Light" w:hAnsi="Calibri Light" w:cs="Calibri Light"/>
      <w:b/>
      <w:bCs/>
      <w:kern w:val="28"/>
      <w:sz w:val="32"/>
      <w:szCs w:val="32"/>
    </w:rPr>
  </w:style>
  <w:style w:type="paragraph" w:styleId="32">
    <w:name w:val="toc 6"/>
    <w:basedOn w:val="1"/>
    <w:next w:val="1"/>
    <w:qFormat/>
    <w:uiPriority w:val="39"/>
    <w:pPr>
      <w:ind w:left="1050"/>
      <w:jc w:val="left"/>
    </w:pPr>
    <w:rPr>
      <w:sz w:val="18"/>
      <w:szCs w:val="18"/>
    </w:rPr>
  </w:style>
  <w:style w:type="paragraph" w:styleId="33">
    <w:name w:val="Body Text Indent 3"/>
    <w:basedOn w:val="1"/>
    <w:next w:val="1"/>
    <w:link w:val="67"/>
    <w:semiHidden/>
    <w:qFormat/>
    <w:uiPriority w:val="99"/>
    <w:pPr>
      <w:spacing w:line="360" w:lineRule="auto"/>
      <w:ind w:left="1978" w:leftChars="942"/>
    </w:pPr>
    <w:rPr>
      <w:rFonts w:ascii="Times New Roman" w:hAnsi="宋体" w:cs="Times New Roman"/>
      <w:sz w:val="24"/>
      <w:szCs w:val="24"/>
    </w:rPr>
  </w:style>
  <w:style w:type="paragraph" w:styleId="34">
    <w:name w:val="toc 2"/>
    <w:basedOn w:val="1"/>
    <w:next w:val="1"/>
    <w:qFormat/>
    <w:uiPriority w:val="39"/>
    <w:pPr>
      <w:ind w:left="210"/>
      <w:jc w:val="left"/>
    </w:pPr>
    <w:rPr>
      <w:smallCaps/>
      <w:sz w:val="20"/>
      <w:szCs w:val="20"/>
    </w:rPr>
  </w:style>
  <w:style w:type="paragraph" w:styleId="35">
    <w:name w:val="toc 9"/>
    <w:basedOn w:val="1"/>
    <w:next w:val="1"/>
    <w:qFormat/>
    <w:uiPriority w:val="39"/>
    <w:pPr>
      <w:ind w:left="1680"/>
      <w:jc w:val="left"/>
    </w:pPr>
    <w:rPr>
      <w:sz w:val="18"/>
      <w:szCs w:val="18"/>
    </w:rPr>
  </w:style>
  <w:style w:type="paragraph" w:styleId="36">
    <w:name w:val="Body Text 2"/>
    <w:basedOn w:val="1"/>
    <w:next w:val="1"/>
    <w:link w:val="60"/>
    <w:semiHidden/>
    <w:qFormat/>
    <w:uiPriority w:val="99"/>
    <w:rPr>
      <w:rFonts w:ascii="Times New Roman" w:hAnsi="Times New Roman" w:eastAsia="楷体_GB2312" w:cs="Times New Roman"/>
      <w:b/>
      <w:bCs/>
    </w:rPr>
  </w:style>
  <w:style w:type="paragraph" w:styleId="37">
    <w:name w:val="Normal (Web)"/>
    <w:basedOn w:val="1"/>
    <w:next w:val="1"/>
    <w:qFormat/>
    <w:uiPriority w:val="99"/>
    <w:pPr>
      <w:widowControl/>
      <w:spacing w:before="100" w:beforeAutospacing="1" w:after="100" w:afterAutospacing="1"/>
      <w:jc w:val="left"/>
    </w:pPr>
    <w:rPr>
      <w:rFonts w:ascii="宋体" w:hAnsi="宋体" w:cs="宋体"/>
      <w:kern w:val="0"/>
      <w:sz w:val="24"/>
      <w:szCs w:val="24"/>
    </w:rPr>
  </w:style>
  <w:style w:type="paragraph" w:styleId="38">
    <w:name w:val="Title"/>
    <w:basedOn w:val="1"/>
    <w:next w:val="1"/>
    <w:link w:val="77"/>
    <w:qFormat/>
    <w:uiPriority w:val="99"/>
    <w:pPr>
      <w:widowControl/>
      <w:spacing w:before="60" w:after="60"/>
      <w:jc w:val="center"/>
      <w:outlineLvl w:val="0"/>
    </w:pPr>
    <w:rPr>
      <w:rFonts w:ascii="Cambria" w:hAnsi="Cambria" w:cs="Cambria"/>
      <w:b/>
      <w:bCs/>
      <w:kern w:val="0"/>
      <w:sz w:val="32"/>
      <w:szCs w:val="32"/>
    </w:rPr>
  </w:style>
  <w:style w:type="paragraph" w:styleId="39">
    <w:name w:val="annotation subject"/>
    <w:basedOn w:val="16"/>
    <w:next w:val="16"/>
    <w:link w:val="66"/>
    <w:semiHidden/>
    <w:qFormat/>
    <w:uiPriority w:val="99"/>
    <w:rPr>
      <w:b/>
      <w:bCs/>
    </w:rPr>
  </w:style>
  <w:style w:type="table" w:styleId="41">
    <w:name w:val="Table Grid"/>
    <w:basedOn w:val="4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basedOn w:val="42"/>
    <w:qFormat/>
    <w:locked/>
    <w:uiPriority w:val="0"/>
    <w:rPr>
      <w:b/>
    </w:rPr>
  </w:style>
  <w:style w:type="character" w:styleId="44">
    <w:name w:val="page number"/>
    <w:semiHidden/>
    <w:qFormat/>
    <w:uiPriority w:val="99"/>
    <w:rPr>
      <w:rFonts w:ascii="Times New Roman" w:hAnsi="Times New Roman" w:cs="Times New Roman"/>
    </w:rPr>
  </w:style>
  <w:style w:type="character" w:styleId="45">
    <w:name w:val="FollowedHyperlink"/>
    <w:semiHidden/>
    <w:qFormat/>
    <w:uiPriority w:val="99"/>
    <w:rPr>
      <w:color w:val="800080"/>
      <w:u w:val="single"/>
    </w:rPr>
  </w:style>
  <w:style w:type="character" w:styleId="46">
    <w:name w:val="Hyperlink"/>
    <w:qFormat/>
    <w:uiPriority w:val="99"/>
    <w:rPr>
      <w:color w:val="0000FF"/>
      <w:u w:val="single"/>
    </w:rPr>
  </w:style>
  <w:style w:type="character" w:styleId="47">
    <w:name w:val="annotation reference"/>
    <w:semiHidden/>
    <w:qFormat/>
    <w:uiPriority w:val="99"/>
    <w:rPr>
      <w:rFonts w:ascii="Times New Roman" w:hAnsi="Times New Roman" w:cs="Times New Roman"/>
      <w:sz w:val="21"/>
      <w:szCs w:val="21"/>
    </w:rPr>
  </w:style>
  <w:style w:type="character" w:customStyle="1" w:styleId="48">
    <w:name w:val="标题 2 Char"/>
    <w:link w:val="4"/>
    <w:qFormat/>
    <w:locked/>
    <w:uiPriority w:val="99"/>
    <w:rPr>
      <w:rFonts w:ascii="宋体" w:hAnsi="Arial" w:eastAsia="宋体" w:cs="宋体"/>
      <w:sz w:val="32"/>
      <w:szCs w:val="32"/>
      <w:lang w:val="en-US" w:eastAsia="zh-CN"/>
    </w:rPr>
  </w:style>
  <w:style w:type="character" w:customStyle="1" w:styleId="49">
    <w:name w:val="textcontents1"/>
    <w:qFormat/>
    <w:uiPriority w:val="99"/>
    <w:rPr>
      <w:color w:val="000000"/>
      <w:sz w:val="22"/>
      <w:szCs w:val="22"/>
    </w:rPr>
  </w:style>
  <w:style w:type="character" w:customStyle="1" w:styleId="50">
    <w:name w:val="日期 Char"/>
    <w:link w:val="24"/>
    <w:semiHidden/>
    <w:qFormat/>
    <w:locked/>
    <w:uiPriority w:val="99"/>
    <w:rPr>
      <w:rFonts w:ascii="仿宋_GB2312" w:hAnsi="Times New Roman" w:eastAsia="仿宋_GB2312" w:cs="仿宋_GB2312"/>
      <w:b/>
      <w:bCs/>
      <w:sz w:val="24"/>
      <w:szCs w:val="24"/>
    </w:rPr>
  </w:style>
  <w:style w:type="character" w:customStyle="1" w:styleId="51">
    <w:name w:val="标题 3 Char"/>
    <w:link w:val="5"/>
    <w:semiHidden/>
    <w:qFormat/>
    <w:locked/>
    <w:uiPriority w:val="99"/>
    <w:rPr>
      <w:rFonts w:eastAsia="宋体"/>
      <w:b/>
      <w:bCs/>
      <w:sz w:val="32"/>
      <w:szCs w:val="32"/>
      <w:lang w:val="en-US" w:eastAsia="zh-CN"/>
    </w:rPr>
  </w:style>
  <w:style w:type="character" w:customStyle="1" w:styleId="52">
    <w:name w:val="标题 8 Char"/>
    <w:link w:val="10"/>
    <w:semiHidden/>
    <w:qFormat/>
    <w:locked/>
    <w:uiPriority w:val="99"/>
    <w:rPr>
      <w:rFonts w:ascii="Arial" w:hAnsi="Arial" w:eastAsia="黑体" w:cs="Arial"/>
      <w:sz w:val="24"/>
      <w:szCs w:val="24"/>
      <w:lang w:val="en-US" w:eastAsia="zh-CN"/>
    </w:rPr>
  </w:style>
  <w:style w:type="character" w:customStyle="1" w:styleId="53">
    <w:name w:val="标题 1 Char"/>
    <w:link w:val="3"/>
    <w:qFormat/>
    <w:locked/>
    <w:uiPriority w:val="99"/>
    <w:rPr>
      <w:rFonts w:ascii="宋体" w:hAnsi="Times New Roman" w:cs="宋体"/>
      <w:sz w:val="28"/>
      <w:szCs w:val="28"/>
    </w:rPr>
  </w:style>
  <w:style w:type="character" w:customStyle="1" w:styleId="54">
    <w:name w:val="apple-style-span"/>
    <w:basedOn w:val="42"/>
    <w:qFormat/>
    <w:uiPriority w:val="99"/>
  </w:style>
  <w:style w:type="character" w:customStyle="1" w:styleId="55">
    <w:name w:val="页脚 Char"/>
    <w:link w:val="27"/>
    <w:qFormat/>
    <w:locked/>
    <w:uiPriority w:val="99"/>
    <w:rPr>
      <w:sz w:val="18"/>
      <w:szCs w:val="18"/>
    </w:rPr>
  </w:style>
  <w:style w:type="character" w:customStyle="1" w:styleId="56">
    <w:name w:val="副标题 Char"/>
    <w:link w:val="31"/>
    <w:qFormat/>
    <w:locked/>
    <w:uiPriority w:val="99"/>
    <w:rPr>
      <w:rFonts w:ascii="Calibri Light" w:hAnsi="Calibri Light" w:eastAsia="宋体" w:cs="Calibri Light"/>
      <w:b/>
      <w:bCs/>
      <w:kern w:val="28"/>
      <w:sz w:val="20"/>
      <w:szCs w:val="20"/>
    </w:rPr>
  </w:style>
  <w:style w:type="character" w:customStyle="1" w:styleId="57">
    <w:name w:val="批注框文本 Char"/>
    <w:link w:val="26"/>
    <w:semiHidden/>
    <w:qFormat/>
    <w:locked/>
    <w:uiPriority w:val="99"/>
    <w:rPr>
      <w:rFonts w:ascii="Times New Roman" w:hAnsi="Times New Roman" w:eastAsia="宋体" w:cs="Times New Roman"/>
      <w:sz w:val="18"/>
      <w:szCs w:val="18"/>
    </w:rPr>
  </w:style>
  <w:style w:type="character" w:customStyle="1" w:styleId="58">
    <w:name w:val="Char Char10"/>
    <w:qFormat/>
    <w:uiPriority w:val="99"/>
    <w:rPr>
      <w:rFonts w:ascii="宋体" w:hAnsi="Courier New" w:eastAsia="宋体" w:cs="宋体"/>
      <w:kern w:val="2"/>
      <w:sz w:val="24"/>
      <w:szCs w:val="24"/>
      <w:lang w:val="en-US" w:eastAsia="zh-CN"/>
    </w:rPr>
  </w:style>
  <w:style w:type="character" w:customStyle="1" w:styleId="59">
    <w:name w:val="标题 9 Char"/>
    <w:link w:val="11"/>
    <w:semiHidden/>
    <w:qFormat/>
    <w:locked/>
    <w:uiPriority w:val="99"/>
    <w:rPr>
      <w:rFonts w:ascii="Arial" w:hAnsi="Arial" w:eastAsia="黑体" w:cs="Arial"/>
      <w:sz w:val="21"/>
      <w:szCs w:val="21"/>
      <w:lang w:val="en-US" w:eastAsia="zh-CN"/>
    </w:rPr>
  </w:style>
  <w:style w:type="character" w:customStyle="1" w:styleId="60">
    <w:name w:val="正文文本 2 Char"/>
    <w:link w:val="36"/>
    <w:semiHidden/>
    <w:qFormat/>
    <w:locked/>
    <w:uiPriority w:val="99"/>
    <w:rPr>
      <w:rFonts w:ascii="Times New Roman" w:hAnsi="Times New Roman" w:eastAsia="楷体_GB2312" w:cs="Times New Roman"/>
      <w:b/>
      <w:bCs/>
      <w:sz w:val="24"/>
      <w:szCs w:val="24"/>
    </w:rPr>
  </w:style>
  <w:style w:type="character" w:customStyle="1" w:styleId="61">
    <w:name w:val="填空正文"/>
    <w:qFormat/>
    <w:uiPriority w:val="0"/>
    <w:rPr>
      <w:rFonts w:ascii="宋体" w:eastAsia="宋体"/>
      <w:sz w:val="24"/>
      <w:u w:val="single"/>
    </w:rPr>
  </w:style>
  <w:style w:type="character" w:customStyle="1" w:styleId="62">
    <w:name w:val="批注文字 Char"/>
    <w:link w:val="16"/>
    <w:semiHidden/>
    <w:qFormat/>
    <w:locked/>
    <w:uiPriority w:val="99"/>
    <w:rPr>
      <w:rFonts w:ascii="Times New Roman" w:hAnsi="Times New Roman" w:eastAsia="宋体" w:cs="Times New Roman"/>
      <w:sz w:val="24"/>
      <w:szCs w:val="24"/>
    </w:rPr>
  </w:style>
  <w:style w:type="character" w:customStyle="1" w:styleId="63">
    <w:name w:val="标题 6 Char"/>
    <w:link w:val="8"/>
    <w:semiHidden/>
    <w:qFormat/>
    <w:locked/>
    <w:uiPriority w:val="99"/>
    <w:rPr>
      <w:rFonts w:ascii="Arial" w:hAnsi="Arial" w:eastAsia="黑体" w:cs="Arial"/>
      <w:b/>
      <w:bCs/>
      <w:sz w:val="24"/>
      <w:szCs w:val="24"/>
      <w:lang w:val="en-US" w:eastAsia="zh-CN"/>
    </w:rPr>
  </w:style>
  <w:style w:type="character" w:customStyle="1" w:styleId="64">
    <w:name w:val="p0 Char Char"/>
    <w:link w:val="65"/>
    <w:qFormat/>
    <w:locked/>
    <w:uiPriority w:val="99"/>
    <w:rPr>
      <w:rFonts w:ascii="Times New Roman" w:hAnsi="Times New Roman" w:eastAsia="宋体" w:cs="Times New Roman"/>
      <w:kern w:val="0"/>
      <w:sz w:val="21"/>
      <w:szCs w:val="21"/>
    </w:rPr>
  </w:style>
  <w:style w:type="paragraph" w:customStyle="1" w:styleId="65">
    <w:name w:val="p0"/>
    <w:basedOn w:val="1"/>
    <w:next w:val="1"/>
    <w:link w:val="64"/>
    <w:qFormat/>
    <w:uiPriority w:val="99"/>
    <w:pPr>
      <w:widowControl/>
    </w:pPr>
    <w:rPr>
      <w:rFonts w:ascii="Times New Roman" w:hAnsi="Times New Roman" w:cs="Times New Roman"/>
      <w:kern w:val="0"/>
    </w:rPr>
  </w:style>
  <w:style w:type="character" w:customStyle="1" w:styleId="66">
    <w:name w:val="批注主题 Char"/>
    <w:link w:val="39"/>
    <w:semiHidden/>
    <w:qFormat/>
    <w:locked/>
    <w:uiPriority w:val="99"/>
    <w:rPr>
      <w:rFonts w:ascii="Times New Roman" w:hAnsi="Times New Roman" w:eastAsia="宋体" w:cs="Times New Roman"/>
      <w:b/>
      <w:bCs/>
      <w:sz w:val="24"/>
      <w:szCs w:val="24"/>
    </w:rPr>
  </w:style>
  <w:style w:type="character" w:customStyle="1" w:styleId="67">
    <w:name w:val="正文文本缩进 3 Char"/>
    <w:link w:val="33"/>
    <w:semiHidden/>
    <w:qFormat/>
    <w:locked/>
    <w:uiPriority w:val="99"/>
    <w:rPr>
      <w:rFonts w:ascii="Times New Roman" w:hAnsi="宋体" w:eastAsia="宋体" w:cs="Times New Roman"/>
      <w:sz w:val="24"/>
      <w:szCs w:val="24"/>
    </w:rPr>
  </w:style>
  <w:style w:type="character" w:customStyle="1" w:styleId="68">
    <w:name w:val="纯文本 Char"/>
    <w:link w:val="2"/>
    <w:qFormat/>
    <w:locked/>
    <w:uiPriority w:val="99"/>
    <w:rPr>
      <w:rFonts w:ascii="宋体" w:hAnsi="Courier New" w:eastAsia="宋体" w:cs="宋体"/>
      <w:sz w:val="20"/>
      <w:szCs w:val="20"/>
    </w:rPr>
  </w:style>
  <w:style w:type="character" w:customStyle="1" w:styleId="69">
    <w:name w:val="标题 4 Char"/>
    <w:link w:val="6"/>
    <w:semiHidden/>
    <w:qFormat/>
    <w:locked/>
    <w:uiPriority w:val="99"/>
    <w:rPr>
      <w:rFonts w:ascii="Arial" w:hAnsi="Arial" w:eastAsia="黑体" w:cs="Arial"/>
      <w:b/>
      <w:bCs/>
      <w:sz w:val="28"/>
      <w:szCs w:val="28"/>
      <w:lang w:val="en-US" w:eastAsia="zh-CN"/>
    </w:rPr>
  </w:style>
  <w:style w:type="character" w:customStyle="1" w:styleId="70">
    <w:name w:val="正文文本缩进 2 Char"/>
    <w:link w:val="25"/>
    <w:semiHidden/>
    <w:qFormat/>
    <w:locked/>
    <w:uiPriority w:val="99"/>
    <w:rPr>
      <w:rFonts w:ascii="Times New Roman" w:hAnsi="Times New Roman" w:eastAsia="宋体" w:cs="Times New Roman"/>
      <w:sz w:val="24"/>
      <w:szCs w:val="24"/>
    </w:rPr>
  </w:style>
  <w:style w:type="character" w:customStyle="1" w:styleId="71">
    <w:name w:val="标题 7 Char"/>
    <w:link w:val="9"/>
    <w:semiHidden/>
    <w:qFormat/>
    <w:locked/>
    <w:uiPriority w:val="99"/>
    <w:rPr>
      <w:rFonts w:eastAsia="宋体"/>
      <w:b/>
      <w:bCs/>
      <w:sz w:val="24"/>
      <w:szCs w:val="24"/>
      <w:lang w:val="en-US" w:eastAsia="zh-CN"/>
    </w:rPr>
  </w:style>
  <w:style w:type="character" w:customStyle="1" w:styleId="72">
    <w:name w:val="textcontents"/>
    <w:basedOn w:val="42"/>
    <w:qFormat/>
    <w:uiPriority w:val="99"/>
  </w:style>
  <w:style w:type="character" w:customStyle="1" w:styleId="73">
    <w:name w:val="Char Char3"/>
    <w:qFormat/>
    <w:uiPriority w:val="99"/>
    <w:rPr>
      <w:rFonts w:ascii="宋体" w:hAnsi="宋体" w:eastAsia="宋体" w:cs="宋体"/>
      <w:sz w:val="18"/>
      <w:szCs w:val="18"/>
      <w:lang w:val="en-US" w:eastAsia="zh-CN"/>
    </w:rPr>
  </w:style>
  <w:style w:type="character" w:customStyle="1" w:styleId="74">
    <w:name w:val="标题 5 Char"/>
    <w:link w:val="7"/>
    <w:semiHidden/>
    <w:qFormat/>
    <w:locked/>
    <w:uiPriority w:val="99"/>
    <w:rPr>
      <w:rFonts w:eastAsia="宋体"/>
      <w:b/>
      <w:bCs/>
      <w:sz w:val="28"/>
      <w:szCs w:val="28"/>
      <w:lang w:val="en-US" w:eastAsia="zh-CN"/>
    </w:rPr>
  </w:style>
  <w:style w:type="character" w:customStyle="1" w:styleId="75">
    <w:name w:val="Intense Quote Char"/>
    <w:link w:val="76"/>
    <w:qFormat/>
    <w:locked/>
    <w:uiPriority w:val="99"/>
    <w:rPr>
      <w:b/>
      <w:bCs/>
      <w:i/>
      <w:iCs/>
      <w:color w:val="4F81BD"/>
      <w:sz w:val="22"/>
      <w:szCs w:val="22"/>
    </w:rPr>
  </w:style>
  <w:style w:type="paragraph" w:customStyle="1" w:styleId="76">
    <w:name w:val="明显引用1"/>
    <w:basedOn w:val="1"/>
    <w:next w:val="1"/>
    <w:link w:val="75"/>
    <w:qFormat/>
    <w:uiPriority w:val="99"/>
    <w:pPr>
      <w:pBdr>
        <w:bottom w:val="single" w:color="4F81BD" w:sz="4" w:space="4"/>
      </w:pBdr>
      <w:spacing w:before="200" w:after="280"/>
      <w:ind w:left="936" w:right="936"/>
    </w:pPr>
    <w:rPr>
      <w:rFonts w:cs="Times New Roman"/>
      <w:b/>
      <w:bCs/>
      <w:i/>
      <w:iCs/>
      <w:color w:val="4F81BD"/>
      <w:kern w:val="0"/>
      <w:sz w:val="22"/>
      <w:szCs w:val="22"/>
    </w:rPr>
  </w:style>
  <w:style w:type="character" w:customStyle="1" w:styleId="77">
    <w:name w:val="标题 Char"/>
    <w:link w:val="38"/>
    <w:qFormat/>
    <w:locked/>
    <w:uiPriority w:val="99"/>
    <w:rPr>
      <w:rFonts w:ascii="Cambria" w:hAnsi="Cambria" w:eastAsia="宋体" w:cs="Cambria"/>
      <w:b/>
      <w:bCs/>
      <w:kern w:val="0"/>
      <w:sz w:val="20"/>
      <w:szCs w:val="20"/>
    </w:rPr>
  </w:style>
  <w:style w:type="character" w:customStyle="1" w:styleId="78">
    <w:name w:val="正文文本缩进 Char"/>
    <w:link w:val="19"/>
    <w:qFormat/>
    <w:locked/>
    <w:uiPriority w:val="99"/>
    <w:rPr>
      <w:rFonts w:ascii="宋体" w:hAnsi="Times New Roman" w:eastAsia="宋体" w:cs="宋体"/>
      <w:sz w:val="20"/>
      <w:szCs w:val="20"/>
    </w:rPr>
  </w:style>
  <w:style w:type="character" w:customStyle="1" w:styleId="79">
    <w:name w:val="文档结构图 Char"/>
    <w:link w:val="15"/>
    <w:semiHidden/>
    <w:qFormat/>
    <w:locked/>
    <w:uiPriority w:val="99"/>
    <w:rPr>
      <w:rFonts w:ascii="Times New Roman" w:hAnsi="Times New Roman" w:eastAsia="宋体" w:cs="Times New Roman"/>
      <w:sz w:val="24"/>
      <w:szCs w:val="24"/>
      <w:shd w:val="clear" w:color="auto" w:fill="000080"/>
    </w:rPr>
  </w:style>
  <w:style w:type="character" w:customStyle="1" w:styleId="80">
    <w:name w:val="正文文本 Char"/>
    <w:link w:val="18"/>
    <w:semiHidden/>
    <w:qFormat/>
    <w:locked/>
    <w:uiPriority w:val="99"/>
    <w:rPr>
      <w:rFonts w:ascii="Times New Roman" w:hAnsi="Times New Roman" w:eastAsia="宋体" w:cs="Times New Roman"/>
      <w:sz w:val="24"/>
      <w:szCs w:val="24"/>
    </w:rPr>
  </w:style>
  <w:style w:type="character" w:customStyle="1" w:styleId="81">
    <w:name w:val="页眉 Char"/>
    <w:link w:val="28"/>
    <w:qFormat/>
    <w:locked/>
    <w:uiPriority w:val="99"/>
    <w:rPr>
      <w:sz w:val="18"/>
      <w:szCs w:val="18"/>
    </w:rPr>
  </w:style>
  <w:style w:type="character" w:customStyle="1" w:styleId="82">
    <w:name w:val="正文文本 3 Char"/>
    <w:link w:val="17"/>
    <w:qFormat/>
    <w:locked/>
    <w:uiPriority w:val="99"/>
    <w:rPr>
      <w:rFonts w:ascii="Times New Roman" w:hAnsi="Times New Roman" w:eastAsia="宋体" w:cs="Times New Roman"/>
      <w:sz w:val="16"/>
      <w:szCs w:val="16"/>
    </w:rPr>
  </w:style>
  <w:style w:type="character" w:customStyle="1" w:styleId="83">
    <w:name w:val="15"/>
    <w:qFormat/>
    <w:uiPriority w:val="99"/>
    <w:rPr>
      <w:rFonts w:ascii="Times New Roman" w:hAnsi="Times New Roman" w:cs="Times New Roman"/>
      <w:color w:val="auto"/>
      <w:u w:val="none"/>
    </w:rPr>
  </w:style>
  <w:style w:type="paragraph" w:customStyle="1" w:styleId="84">
    <w:name w:val="Default"/>
    <w:next w:val="1"/>
    <w:qFormat/>
    <w:uiPriority w:val="99"/>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85">
    <w:name w:val="Normal_0"/>
    <w:next w:val="1"/>
    <w:qFormat/>
    <w:uiPriority w:val="99"/>
    <w:pPr>
      <w:spacing w:before="120" w:after="240"/>
      <w:jc w:val="both"/>
    </w:pPr>
    <w:rPr>
      <w:rFonts w:ascii="Calibri" w:hAnsi="Calibri" w:eastAsia="宋体" w:cs="Calibri"/>
      <w:sz w:val="22"/>
      <w:szCs w:val="22"/>
      <w:lang w:val="ru-RU" w:eastAsia="en-US" w:bidi="ar-SA"/>
    </w:rPr>
  </w:style>
  <w:style w:type="paragraph" w:customStyle="1" w:styleId="86">
    <w:name w:val="CM5"/>
    <w:basedOn w:val="84"/>
    <w:next w:val="84"/>
    <w:qFormat/>
    <w:uiPriority w:val="99"/>
    <w:pPr>
      <w:spacing w:line="428" w:lineRule="atLeast"/>
    </w:pPr>
    <w:rPr>
      <w:color w:val="auto"/>
    </w:rPr>
  </w:style>
  <w:style w:type="paragraph" w:customStyle="1" w:styleId="87">
    <w:name w:val="列出段落1"/>
    <w:basedOn w:val="1"/>
    <w:qFormat/>
    <w:uiPriority w:val="99"/>
    <w:pPr>
      <w:ind w:firstLine="420" w:firstLineChars="200"/>
    </w:pPr>
  </w:style>
  <w:style w:type="paragraph" w:customStyle="1" w:styleId="88">
    <w:name w:val="CM6"/>
    <w:basedOn w:val="84"/>
    <w:next w:val="84"/>
    <w:qFormat/>
    <w:uiPriority w:val="99"/>
    <w:pPr>
      <w:spacing w:line="428" w:lineRule="atLeast"/>
    </w:pPr>
    <w:rPr>
      <w:color w:val="auto"/>
    </w:rPr>
  </w:style>
  <w:style w:type="paragraph" w:customStyle="1" w:styleId="89">
    <w:name w:val="文一"/>
    <w:basedOn w:val="1"/>
    <w:next w:val="1"/>
    <w:qFormat/>
    <w:uiPriority w:val="99"/>
    <w:pPr>
      <w:topLinePunct/>
      <w:adjustRightInd w:val="0"/>
      <w:snapToGrid w:val="0"/>
      <w:spacing w:line="360" w:lineRule="auto"/>
      <w:ind w:firstLine="200" w:firstLineChars="200"/>
    </w:pPr>
    <w:rPr>
      <w:rFonts w:ascii="Times New Roman" w:hAnsi="Times New Roman" w:cs="Times New Roman"/>
      <w:spacing w:val="4"/>
      <w:kern w:val="0"/>
      <w:sz w:val="24"/>
      <w:szCs w:val="24"/>
    </w:rPr>
  </w:style>
  <w:style w:type="paragraph" w:customStyle="1" w:styleId="90">
    <w:name w:val="TOC 标题1"/>
    <w:basedOn w:val="3"/>
    <w:next w:val="1"/>
    <w:qFormat/>
    <w:uiPriority w:val="99"/>
    <w:pPr>
      <w:spacing w:before="480" w:after="0" w:line="276" w:lineRule="auto"/>
      <w:ind w:left="0" w:firstLine="0"/>
      <w:outlineLvl w:val="9"/>
    </w:pPr>
    <w:rPr>
      <w:rFonts w:ascii="Cambria" w:hAnsi="Cambria" w:cs="Cambria"/>
      <w:b/>
      <w:bCs/>
      <w:color w:val="365F91"/>
    </w:rPr>
  </w:style>
  <w:style w:type="paragraph" w:customStyle="1" w:styleId="91">
    <w:name w:val="CM35"/>
    <w:basedOn w:val="84"/>
    <w:next w:val="84"/>
    <w:qFormat/>
    <w:uiPriority w:val="99"/>
    <w:rPr>
      <w:color w:val="auto"/>
    </w:rPr>
  </w:style>
  <w:style w:type="paragraph" w:customStyle="1" w:styleId="92">
    <w:name w:val="Char Char Char Char Char Char Char"/>
    <w:basedOn w:val="1"/>
    <w:next w:val="1"/>
    <w:qFormat/>
    <w:uiPriority w:val="99"/>
    <w:pPr>
      <w:widowControl/>
      <w:spacing w:after="160" w:line="240" w:lineRule="exact"/>
      <w:jc w:val="left"/>
    </w:pPr>
    <w:rPr>
      <w:rFonts w:ascii="Arial" w:hAnsi="Arial" w:cs="Arial"/>
      <w:b/>
      <w:bCs/>
      <w:kern w:val="0"/>
      <w:sz w:val="24"/>
      <w:szCs w:val="24"/>
      <w:lang w:eastAsia="en-US"/>
    </w:rPr>
  </w:style>
  <w:style w:type="paragraph" w:customStyle="1" w:styleId="93">
    <w:name w:val="CM39"/>
    <w:basedOn w:val="84"/>
    <w:next w:val="84"/>
    <w:qFormat/>
    <w:uiPriority w:val="99"/>
    <w:rPr>
      <w:color w:val="auto"/>
    </w:rPr>
  </w:style>
  <w:style w:type="paragraph" w:customStyle="1" w:styleId="94">
    <w:name w:val="Char"/>
    <w:basedOn w:val="1"/>
    <w:next w:val="1"/>
    <w:qFormat/>
    <w:uiPriority w:val="99"/>
    <w:rPr>
      <w:rFonts w:ascii="Times New Roman" w:hAnsi="Times New Roman" w:cs="Times New Roman"/>
    </w:rPr>
  </w:style>
  <w:style w:type="paragraph" w:customStyle="1" w:styleId="95">
    <w:name w:val="CM25"/>
    <w:basedOn w:val="84"/>
    <w:next w:val="84"/>
    <w:qFormat/>
    <w:uiPriority w:val="99"/>
    <w:pPr>
      <w:spacing w:line="426" w:lineRule="atLeast"/>
    </w:pPr>
    <w:rPr>
      <w:color w:val="auto"/>
    </w:rPr>
  </w:style>
  <w:style w:type="paragraph" w:customStyle="1" w:styleId="96">
    <w:name w:val="x_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7">
    <w:name w:val="zhang"/>
    <w:basedOn w:val="1"/>
    <w:next w:val="1"/>
    <w:qFormat/>
    <w:uiPriority w:val="99"/>
    <w:pPr>
      <w:widowControl/>
      <w:spacing w:before="100" w:beforeAutospacing="1" w:after="100" w:afterAutospacing="1"/>
      <w:jc w:val="left"/>
    </w:pPr>
    <w:rPr>
      <w:rFonts w:ascii="宋体" w:hAnsi="宋体" w:cs="宋体"/>
      <w:b/>
      <w:bCs/>
      <w:smallCaps/>
      <w:color w:val="000000"/>
      <w:kern w:val="0"/>
      <w:sz w:val="20"/>
      <w:szCs w:val="20"/>
    </w:rPr>
  </w:style>
  <w:style w:type="paragraph" w:customStyle="1" w:styleId="98">
    <w:name w:val="xl26"/>
    <w:basedOn w:val="1"/>
    <w:next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9">
    <w:name w:val="_Style 4"/>
    <w:basedOn w:val="3"/>
    <w:next w:val="1"/>
    <w:qFormat/>
    <w:uiPriority w:val="99"/>
    <w:pPr>
      <w:widowControl w:val="0"/>
      <w:spacing w:line="576" w:lineRule="auto"/>
      <w:ind w:left="0" w:firstLine="0"/>
      <w:jc w:val="both"/>
      <w:outlineLvl w:val="9"/>
    </w:pPr>
    <w:rPr>
      <w:rFonts w:ascii="Calibri" w:hAnsi="Calibri" w:cs="Calibri"/>
      <w:b/>
      <w:bCs/>
      <w:kern w:val="44"/>
      <w:sz w:val="44"/>
      <w:szCs w:val="44"/>
    </w:rPr>
  </w:style>
  <w:style w:type="paragraph" w:customStyle="1" w:styleId="100">
    <w:name w:val="CM31"/>
    <w:basedOn w:val="84"/>
    <w:next w:val="84"/>
    <w:qFormat/>
    <w:uiPriority w:val="99"/>
    <w:pPr>
      <w:spacing w:line="426" w:lineRule="atLeast"/>
    </w:pPr>
    <w:rPr>
      <w:color w:val="auto"/>
    </w:rPr>
  </w:style>
  <w:style w:type="paragraph" w:customStyle="1" w:styleId="101">
    <w:name w:val="font0"/>
    <w:basedOn w:val="1"/>
    <w:next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2">
    <w:name w:val="WPSOffice手动目录 1"/>
    <w:qFormat/>
    <w:uiPriority w:val="0"/>
    <w:rPr>
      <w:rFonts w:ascii="Times New Roman" w:hAnsi="Times New Roman" w:eastAsia="宋体" w:cs="Times New Roman"/>
      <w:lang w:val="en-US" w:eastAsia="zh-CN" w:bidi="ar-SA"/>
    </w:rPr>
  </w:style>
  <w:style w:type="paragraph" w:customStyle="1" w:styleId="10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04">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05">
    <w:name w:val="纯文本1"/>
    <w:basedOn w:val="1"/>
    <w:qFormat/>
    <w:uiPriority w:val="0"/>
    <w:rPr>
      <w:rFonts w:ascii="宋体" w:hAnsi="Courier New" w:cs="Courier New"/>
    </w:rPr>
  </w:style>
  <w:style w:type="character" w:customStyle="1" w:styleId="106">
    <w:name w:val="font11"/>
    <w:basedOn w:val="42"/>
    <w:qFormat/>
    <w:uiPriority w:val="0"/>
    <w:rPr>
      <w:rFonts w:hint="eastAsia" w:ascii="宋体" w:hAnsi="宋体" w:eastAsia="宋体" w:cs="宋体"/>
      <w:color w:val="000000"/>
      <w:sz w:val="18"/>
      <w:szCs w:val="18"/>
      <w:u w:val="none"/>
    </w:rPr>
  </w:style>
  <w:style w:type="character" w:customStyle="1" w:styleId="107">
    <w:name w:val="font101"/>
    <w:basedOn w:val="42"/>
    <w:qFormat/>
    <w:uiPriority w:val="0"/>
    <w:rPr>
      <w:rFonts w:ascii="Malgun Gothic" w:hAnsi="Malgun Gothic" w:eastAsia="Malgun Gothic" w:cs="Malgun Gothic"/>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215</Pages>
  <Words>28976</Words>
  <Characters>165165</Characters>
  <Lines>1376</Lines>
  <Paragraphs>387</Paragraphs>
  <TotalTime>11</TotalTime>
  <ScaleCrop>false</ScaleCrop>
  <LinksUpToDate>false</LinksUpToDate>
  <CharactersWithSpaces>193754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2021-11-09T03:33:00Z</dcterms:created>
  <dc:creator>aa</dc:creator>
  <cp:lastModifiedBy>杨文哲</cp:lastModifiedBy>
  <cp:lastPrinted>2019-06-26T07:22:00Z</cp:lastPrinted>
  <dcterms:modified xsi:type="dcterms:W3CDTF">2023-08-17T08:07:48Z</dcterms:modified>
  <dc:title>SF-2019-0204</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466560A449A04F3FA845914A64E2635E</vt:lpwstr>
  </property>
</Properties>
</file>