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b/>
          <w:color w:val="auto"/>
          <w:sz w:val="32"/>
          <w:szCs w:val="32"/>
        </w:rPr>
      </w:pPr>
      <w:r>
        <w:rPr>
          <w:rFonts w:hint="eastAsia"/>
          <w:b/>
          <w:color w:val="auto"/>
          <w:sz w:val="32"/>
          <w:szCs w:val="32"/>
          <w:u w:val="single"/>
        </w:rPr>
        <w:t>中国航油集团南方总部（科创）基地项目电梯采购、安装及相关服务</w:t>
      </w:r>
    </w:p>
    <w:p>
      <w:pPr>
        <w:pStyle w:val="14"/>
        <w:jc w:val="center"/>
        <w:rPr>
          <w:b/>
          <w:color w:val="auto"/>
          <w:sz w:val="32"/>
          <w:szCs w:val="32"/>
        </w:rPr>
      </w:pPr>
      <w:r>
        <w:rPr>
          <w:rFonts w:hint="eastAsia"/>
          <w:b/>
          <w:color w:val="auto"/>
          <w:sz w:val="32"/>
          <w:szCs w:val="32"/>
        </w:rPr>
        <w:t>招标公告</w:t>
      </w:r>
    </w:p>
    <w:p>
      <w:pPr>
        <w:pStyle w:val="2"/>
        <w:spacing w:line="240" w:lineRule="auto"/>
        <w:rPr>
          <w:rFonts w:ascii="Times New Roman" w:hAnsi="Times New Roman"/>
          <w:color w:val="auto"/>
        </w:rPr>
      </w:pPr>
      <w:bookmarkStart w:id="0" w:name="_Toc491883077"/>
      <w:r>
        <w:rPr>
          <w:rFonts w:ascii="Times New Roman" w:hAnsi="Times New Roman"/>
          <w:color w:val="auto"/>
        </w:rPr>
        <w:t>1. 招标条件</w:t>
      </w:r>
      <w:bookmarkEnd w:id="0"/>
    </w:p>
    <w:p>
      <w:pPr>
        <w:pStyle w:val="8"/>
        <w:tabs>
          <w:tab w:val="left" w:pos="2388"/>
          <w:tab w:val="left" w:pos="2832"/>
          <w:tab w:val="left" w:pos="3472"/>
          <w:tab w:val="left" w:pos="6667"/>
          <w:tab w:val="left" w:pos="7270"/>
        </w:tabs>
        <w:kinsoku w:val="0"/>
        <w:overflowPunct w:val="0"/>
        <w:spacing w:line="348" w:lineRule="auto"/>
        <w:ind w:right="153" w:firstLine="419"/>
        <w:rPr>
          <w:rFonts w:hint="default"/>
          <w:color w:val="auto"/>
          <w:szCs w:val="21"/>
        </w:rPr>
      </w:pPr>
      <w:r>
        <w:rPr>
          <w:color w:val="auto"/>
          <w:szCs w:val="21"/>
        </w:rPr>
        <w:t>本招标项目</w:t>
      </w:r>
      <w:r>
        <w:rPr>
          <w:color w:val="auto"/>
          <w:szCs w:val="21"/>
          <w:u w:val="single"/>
        </w:rPr>
        <w:t>中国航油集团南方总部（科创）基地项目电梯采购、安装及相关服务</w:t>
      </w:r>
      <w:r>
        <w:rPr>
          <w:color w:val="auto"/>
          <w:sz w:val="24"/>
          <w:szCs w:val="22"/>
          <w:u w:val="single"/>
        </w:rPr>
        <w:t>,</w:t>
      </w:r>
      <w:r>
        <w:rPr>
          <w:color w:val="auto"/>
          <w:szCs w:val="21"/>
        </w:rPr>
        <w:t>招标人为</w:t>
      </w:r>
      <w:r>
        <w:rPr>
          <w:color w:val="auto"/>
          <w:sz w:val="24"/>
          <w:szCs w:val="22"/>
          <w:u w:val="single"/>
        </w:rPr>
        <w:t>汕</w:t>
      </w:r>
      <w:r>
        <w:rPr>
          <w:color w:val="auto"/>
          <w:szCs w:val="21"/>
          <w:u w:val="single"/>
        </w:rPr>
        <w:t>头市建安（集团）有限公司</w:t>
      </w:r>
      <w:r>
        <w:rPr>
          <w:color w:val="auto"/>
          <w:szCs w:val="21"/>
        </w:rPr>
        <w:t>，招标项目资金来自</w:t>
      </w:r>
      <w:r>
        <w:rPr>
          <w:color w:val="auto"/>
          <w:szCs w:val="21"/>
          <w:u w:val="single"/>
        </w:rPr>
        <w:t>企业自筹资金</w:t>
      </w:r>
      <w:r>
        <w:rPr>
          <w:color w:val="auto"/>
          <w:szCs w:val="21"/>
        </w:rPr>
        <w:t>，出资比例为</w:t>
      </w:r>
      <w:r>
        <w:rPr>
          <w:color w:val="auto"/>
          <w:szCs w:val="21"/>
          <w:u w:val="single"/>
        </w:rPr>
        <w:t>100%</w:t>
      </w:r>
      <w:r>
        <w:rPr>
          <w:color w:val="auto"/>
          <w:szCs w:val="21"/>
        </w:rPr>
        <w:t>。该项目已具备招标条件，现对</w:t>
      </w:r>
      <w:r>
        <w:rPr>
          <w:color w:val="auto"/>
          <w:szCs w:val="21"/>
          <w:u w:val="single"/>
        </w:rPr>
        <w:t xml:space="preserve">电梯采购、安装及相关服务  </w:t>
      </w:r>
      <w:r>
        <w:rPr>
          <w:color w:val="auto"/>
          <w:szCs w:val="21"/>
        </w:rPr>
        <w:t>进行公开招标。</w:t>
      </w:r>
    </w:p>
    <w:p>
      <w:pPr>
        <w:pStyle w:val="2"/>
        <w:spacing w:line="240" w:lineRule="auto"/>
        <w:rPr>
          <w:rFonts w:ascii="Times New Roman" w:hAnsi="Times New Roman"/>
          <w:color w:val="auto"/>
        </w:rPr>
      </w:pPr>
      <w:bookmarkStart w:id="1" w:name="_Toc491883078"/>
      <w:r>
        <w:rPr>
          <w:rFonts w:ascii="Times New Roman" w:hAnsi="Times New Roman"/>
          <w:color w:val="auto"/>
        </w:rPr>
        <w:t>2. 项目概况与</w:t>
      </w:r>
      <w:r>
        <w:rPr>
          <w:rFonts w:hint="eastAsia" w:ascii="Times New Roman" w:hAnsi="Times New Roman"/>
          <w:color w:val="auto"/>
        </w:rPr>
        <w:t>招标范围</w:t>
      </w:r>
      <w:bookmarkEnd w:id="1"/>
    </w:p>
    <w:p>
      <w:pPr>
        <w:spacing w:line="400" w:lineRule="exact"/>
        <w:ind w:firstLine="420" w:firstLineChars="200"/>
        <w:rPr>
          <w:rFonts w:ascii="宋体" w:hAnsi="宋体"/>
          <w:color w:val="auto"/>
          <w:szCs w:val="21"/>
          <w:u w:val="single"/>
        </w:rPr>
      </w:pPr>
      <w:r>
        <w:rPr>
          <w:rFonts w:hint="eastAsia" w:ascii="宋体" w:hAnsi="宋体"/>
          <w:color w:val="auto"/>
          <w:szCs w:val="21"/>
        </w:rPr>
        <w:t>2.1招标项目名称：</w:t>
      </w:r>
      <w:r>
        <w:rPr>
          <w:rFonts w:hint="eastAsia" w:ascii="宋体" w:hAnsi="宋体" w:cs="宋体"/>
          <w:color w:val="auto"/>
          <w:szCs w:val="21"/>
          <w:u w:val="single"/>
        </w:rPr>
        <w:t>中国航油集团南方总部（科创）基地项目电梯采购、安装及相关服务</w:t>
      </w:r>
    </w:p>
    <w:p>
      <w:pPr>
        <w:spacing w:line="400" w:lineRule="exact"/>
        <w:ind w:firstLine="840" w:firstLineChars="400"/>
        <w:rPr>
          <w:rFonts w:ascii="宋体" w:hAnsi="宋体"/>
          <w:color w:val="auto"/>
          <w:szCs w:val="21"/>
        </w:rPr>
      </w:pPr>
      <w:r>
        <w:rPr>
          <w:rFonts w:hint="eastAsia" w:ascii="宋体"/>
          <w:color w:val="auto"/>
          <w:szCs w:val="21"/>
        </w:rPr>
        <w:t>项目代码：</w:t>
      </w:r>
      <w:r>
        <w:rPr>
          <w:rFonts w:hint="eastAsia" w:ascii="宋体" w:hAnsi="宋体" w:cs="宋体"/>
          <w:color w:val="auto"/>
          <w:szCs w:val="21"/>
          <w:u w:val="single"/>
        </w:rPr>
        <w:t>2017-440111-72-03-004046</w:t>
      </w:r>
      <w:r>
        <w:rPr>
          <w:rFonts w:hint="eastAsia" w:ascii="宋体"/>
          <w:color w:val="auto"/>
          <w:szCs w:val="21"/>
          <w:u w:val="single"/>
        </w:rPr>
        <w:t xml:space="preserve"> </w:t>
      </w:r>
    </w:p>
    <w:p>
      <w:pPr>
        <w:spacing w:line="400" w:lineRule="exact"/>
        <w:ind w:firstLine="420" w:firstLineChars="200"/>
        <w:rPr>
          <w:rFonts w:ascii="宋体" w:hAnsi="宋体"/>
          <w:color w:val="auto"/>
          <w:szCs w:val="21"/>
          <w:u w:val="single"/>
        </w:rPr>
      </w:pPr>
      <w:r>
        <w:rPr>
          <w:rFonts w:hint="eastAsia" w:ascii="宋体" w:hAnsi="宋体"/>
          <w:color w:val="auto"/>
          <w:szCs w:val="21"/>
        </w:rPr>
        <w:t>2.2项目概况：</w:t>
      </w:r>
      <w:r>
        <w:rPr>
          <w:rFonts w:hint="eastAsia" w:ascii="宋体" w:hAnsi="宋体" w:cs="宋体"/>
          <w:color w:val="auto"/>
          <w:spacing w:val="-2"/>
          <w:szCs w:val="21"/>
          <w:u w:val="single"/>
        </w:rPr>
        <w:t>项目规划用地面积31724㎡，总建筑面积约176</w:t>
      </w:r>
      <w:r>
        <w:rPr>
          <w:rFonts w:ascii="宋体" w:hAnsi="宋体" w:cs="宋体"/>
          <w:color w:val="auto"/>
          <w:spacing w:val="-2"/>
          <w:szCs w:val="21"/>
          <w:u w:val="single"/>
        </w:rPr>
        <w:t>868.5</w:t>
      </w:r>
      <w:r>
        <w:rPr>
          <w:rFonts w:hint="eastAsia" w:ascii="宋体" w:hAnsi="宋体" w:cs="宋体"/>
          <w:color w:val="auto"/>
          <w:spacing w:val="-2"/>
          <w:szCs w:val="21"/>
          <w:u w:val="single"/>
        </w:rPr>
        <w:t>㎡，其中地上总建筑面积约95</w:t>
      </w:r>
      <w:r>
        <w:rPr>
          <w:rFonts w:ascii="宋体" w:hAnsi="宋体" w:cs="宋体"/>
          <w:color w:val="auto"/>
          <w:spacing w:val="-2"/>
          <w:szCs w:val="21"/>
          <w:u w:val="single"/>
        </w:rPr>
        <w:t>608</w:t>
      </w:r>
      <w:r>
        <w:rPr>
          <w:rFonts w:hint="eastAsia" w:ascii="宋体" w:hAnsi="宋体" w:cs="宋体"/>
          <w:color w:val="auto"/>
          <w:spacing w:val="-2"/>
          <w:szCs w:val="21"/>
          <w:u w:val="single"/>
        </w:rPr>
        <w:t>.</w:t>
      </w:r>
      <w:r>
        <w:rPr>
          <w:rFonts w:ascii="宋体" w:hAnsi="宋体" w:cs="宋体"/>
          <w:color w:val="auto"/>
          <w:spacing w:val="-2"/>
          <w:szCs w:val="21"/>
          <w:u w:val="single"/>
        </w:rPr>
        <w:t>8</w:t>
      </w:r>
      <w:r>
        <w:rPr>
          <w:rFonts w:hint="eastAsia" w:ascii="宋体" w:hAnsi="宋体" w:cs="宋体"/>
          <w:color w:val="auto"/>
          <w:spacing w:val="-2"/>
          <w:szCs w:val="21"/>
          <w:u w:val="single"/>
        </w:rPr>
        <w:t>㎡，地下总建筑面积约81</w:t>
      </w:r>
      <w:r>
        <w:rPr>
          <w:rFonts w:ascii="宋体" w:hAnsi="宋体" w:cs="宋体"/>
          <w:color w:val="auto"/>
          <w:spacing w:val="-2"/>
          <w:szCs w:val="21"/>
          <w:u w:val="single"/>
        </w:rPr>
        <w:t>259.7</w:t>
      </w:r>
      <w:r>
        <w:rPr>
          <w:rFonts w:hint="eastAsia" w:ascii="宋体" w:hAnsi="宋体" w:cs="宋体"/>
          <w:color w:val="auto"/>
          <w:spacing w:val="-2"/>
          <w:szCs w:val="21"/>
          <w:u w:val="single"/>
        </w:rPr>
        <w:t>㎡（含地下室计容建筑面积4</w:t>
      </w:r>
      <w:r>
        <w:rPr>
          <w:rFonts w:ascii="宋体" w:hAnsi="宋体" w:cs="宋体"/>
          <w:color w:val="auto"/>
          <w:spacing w:val="-2"/>
          <w:szCs w:val="21"/>
          <w:u w:val="single"/>
        </w:rPr>
        <w:t>26.2</w:t>
      </w:r>
      <w:r>
        <w:rPr>
          <w:rFonts w:hint="eastAsia" w:ascii="宋体" w:hAnsi="宋体" w:cs="宋体"/>
          <w:color w:val="auto"/>
          <w:spacing w:val="-2"/>
          <w:szCs w:val="21"/>
          <w:u w:val="single"/>
        </w:rPr>
        <w:t>㎡）</w:t>
      </w:r>
      <w:r>
        <w:rPr>
          <w:rFonts w:hint="eastAsia" w:ascii="宋体" w:hAnsi="宋体"/>
          <w:color w:val="auto"/>
          <w:szCs w:val="21"/>
          <w:u w:val="single"/>
        </w:rPr>
        <w:t>。</w:t>
      </w:r>
    </w:p>
    <w:p>
      <w:pPr>
        <w:pStyle w:val="8"/>
        <w:tabs>
          <w:tab w:val="left" w:pos="2388"/>
          <w:tab w:val="left" w:pos="2832"/>
          <w:tab w:val="left" w:pos="3472"/>
          <w:tab w:val="left" w:pos="6667"/>
          <w:tab w:val="left" w:pos="7270"/>
        </w:tabs>
        <w:kinsoku w:val="0"/>
        <w:overflowPunct w:val="0"/>
        <w:spacing w:line="348" w:lineRule="auto"/>
        <w:ind w:right="153" w:firstLine="419"/>
        <w:rPr>
          <w:rFonts w:hint="default"/>
          <w:color w:val="auto"/>
          <w:szCs w:val="21"/>
        </w:rPr>
      </w:pPr>
      <w:r>
        <w:rPr>
          <w:color w:val="auto"/>
          <w:szCs w:val="21"/>
        </w:rPr>
        <w:t>2.3项目地点：</w:t>
      </w:r>
      <w:r>
        <w:rPr>
          <w:rFonts w:cs="宋体"/>
          <w:color w:val="auto"/>
          <w:spacing w:val="-2"/>
          <w:szCs w:val="21"/>
          <w:u w:val="single"/>
        </w:rPr>
        <w:t>广州市白云区白云新城AB2909046 地块，云城西路西侧、白云一线南侧</w:t>
      </w:r>
      <w:r>
        <w:rPr>
          <w:color w:val="auto"/>
          <w:sz w:val="24"/>
          <w:szCs w:val="22"/>
          <w:u w:val="single"/>
        </w:rPr>
        <w:t>。</w:t>
      </w:r>
    </w:p>
    <w:p>
      <w:pPr>
        <w:spacing w:line="360" w:lineRule="auto"/>
        <w:ind w:firstLine="420" w:firstLineChars="200"/>
        <w:rPr>
          <w:rFonts w:ascii="宋体" w:hAnsi="宋体"/>
          <w:color w:val="auto"/>
          <w:szCs w:val="21"/>
          <w:u w:val="single"/>
        </w:rPr>
      </w:pPr>
      <w:r>
        <w:rPr>
          <w:rFonts w:hint="eastAsia" w:ascii="宋体" w:hAnsi="宋体"/>
          <w:color w:val="auto"/>
          <w:szCs w:val="21"/>
        </w:rPr>
        <w:t xml:space="preserve"> 2.4招标采购设备名称、数量及技术规格：</w:t>
      </w:r>
      <w:r>
        <w:rPr>
          <w:rFonts w:hint="eastAsia" w:ascii="宋体" w:hAnsi="宋体"/>
          <w:color w:val="auto"/>
          <w:szCs w:val="21"/>
          <w:u w:val="single"/>
        </w:rPr>
        <w:t>垂直电梯30台（其中2台无机房）,扶梯2台，共32台。</w:t>
      </w:r>
    </w:p>
    <w:p>
      <w:pPr>
        <w:spacing w:line="360" w:lineRule="auto"/>
        <w:ind w:firstLine="420" w:firstLineChars="200"/>
        <w:rPr>
          <w:rFonts w:ascii="宋体" w:hAnsi="宋体"/>
          <w:color w:val="auto"/>
          <w:szCs w:val="21"/>
        </w:rPr>
      </w:pPr>
      <w:r>
        <w:rPr>
          <w:rFonts w:hint="eastAsia" w:ascii="宋体" w:hAnsi="宋体"/>
          <w:color w:val="auto"/>
          <w:szCs w:val="21"/>
        </w:rPr>
        <w:t>1）自动扶梯主要技术参数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520"/>
        <w:gridCol w:w="900"/>
        <w:gridCol w:w="4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jc w:val="center"/>
              <w:rPr>
                <w:rFonts w:ascii="宋体" w:hAnsi="宋体"/>
                <w:b/>
                <w:bCs/>
                <w:color w:val="auto"/>
                <w:szCs w:val="21"/>
              </w:rPr>
            </w:pPr>
            <w:r>
              <w:rPr>
                <w:rFonts w:hint="eastAsia" w:ascii="宋体" w:hAnsi="宋体"/>
                <w:b/>
                <w:bCs/>
                <w:color w:val="auto"/>
                <w:szCs w:val="21"/>
              </w:rPr>
              <w:t>序号</w:t>
            </w:r>
          </w:p>
        </w:tc>
        <w:tc>
          <w:tcPr>
            <w:tcW w:w="2520" w:type="dxa"/>
            <w:vAlign w:val="center"/>
          </w:tcPr>
          <w:p>
            <w:pPr>
              <w:jc w:val="center"/>
              <w:rPr>
                <w:rFonts w:ascii="宋体" w:hAnsi="宋体"/>
                <w:b/>
                <w:bCs/>
                <w:color w:val="auto"/>
                <w:szCs w:val="21"/>
              </w:rPr>
            </w:pPr>
            <w:r>
              <w:rPr>
                <w:rFonts w:hint="eastAsia" w:ascii="宋体" w:hAnsi="宋体"/>
                <w:b/>
                <w:bCs/>
                <w:color w:val="auto"/>
                <w:szCs w:val="21"/>
              </w:rPr>
              <w:t>项目</w:t>
            </w:r>
          </w:p>
        </w:tc>
        <w:tc>
          <w:tcPr>
            <w:tcW w:w="900" w:type="dxa"/>
            <w:vAlign w:val="center"/>
          </w:tcPr>
          <w:p>
            <w:pPr>
              <w:jc w:val="center"/>
              <w:rPr>
                <w:rFonts w:ascii="宋体" w:hAnsi="宋体"/>
                <w:b/>
                <w:bCs/>
                <w:color w:val="auto"/>
                <w:szCs w:val="21"/>
              </w:rPr>
            </w:pPr>
            <w:r>
              <w:rPr>
                <w:rFonts w:hint="eastAsia" w:ascii="宋体" w:hAnsi="宋体"/>
                <w:b/>
                <w:bCs/>
                <w:color w:val="auto"/>
                <w:szCs w:val="21"/>
              </w:rPr>
              <w:t>单位</w:t>
            </w:r>
          </w:p>
        </w:tc>
        <w:tc>
          <w:tcPr>
            <w:tcW w:w="4752" w:type="dxa"/>
            <w:vAlign w:val="center"/>
          </w:tcPr>
          <w:p>
            <w:pPr>
              <w:jc w:val="center"/>
              <w:rPr>
                <w:rFonts w:ascii="宋体" w:hAnsi="宋体"/>
                <w:b/>
                <w:bCs/>
                <w:color w:val="auto"/>
                <w:szCs w:val="21"/>
              </w:rPr>
            </w:pPr>
            <w:r>
              <w:rPr>
                <w:rFonts w:hint="eastAsia" w:ascii="宋体" w:hAnsi="宋体"/>
                <w:b/>
                <w:bCs/>
                <w:color w:val="auto"/>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jc w:val="center"/>
              <w:rPr>
                <w:rFonts w:ascii="宋体" w:hAnsi="宋体"/>
                <w:color w:val="auto"/>
                <w:szCs w:val="21"/>
              </w:rPr>
            </w:pPr>
            <w:r>
              <w:rPr>
                <w:rFonts w:hint="eastAsia" w:ascii="宋体" w:hAnsi="宋体"/>
                <w:color w:val="auto"/>
                <w:szCs w:val="21"/>
              </w:rPr>
              <w:t>1</w:t>
            </w:r>
          </w:p>
        </w:tc>
        <w:tc>
          <w:tcPr>
            <w:tcW w:w="2520" w:type="dxa"/>
            <w:vAlign w:val="center"/>
          </w:tcPr>
          <w:p>
            <w:pPr>
              <w:jc w:val="center"/>
              <w:rPr>
                <w:rFonts w:ascii="宋体" w:hAnsi="宋体"/>
                <w:color w:val="auto"/>
                <w:szCs w:val="21"/>
              </w:rPr>
            </w:pPr>
            <w:r>
              <w:rPr>
                <w:rFonts w:hint="eastAsia" w:ascii="宋体" w:hAnsi="宋体"/>
                <w:color w:val="auto"/>
                <w:szCs w:val="21"/>
              </w:rPr>
              <w:t>提升高度</w:t>
            </w:r>
          </w:p>
        </w:tc>
        <w:tc>
          <w:tcPr>
            <w:tcW w:w="900" w:type="dxa"/>
            <w:vAlign w:val="center"/>
          </w:tcPr>
          <w:p>
            <w:pPr>
              <w:jc w:val="center"/>
              <w:rPr>
                <w:rFonts w:ascii="宋体" w:hAnsi="宋体"/>
                <w:color w:val="auto"/>
                <w:szCs w:val="21"/>
              </w:rPr>
            </w:pPr>
            <w:r>
              <w:rPr>
                <w:rFonts w:hint="eastAsia" w:ascii="宋体" w:hAnsi="宋体"/>
                <w:color w:val="auto"/>
                <w:szCs w:val="21"/>
              </w:rPr>
              <w:t>毫米</w:t>
            </w:r>
          </w:p>
        </w:tc>
        <w:tc>
          <w:tcPr>
            <w:tcW w:w="4752" w:type="dxa"/>
            <w:vAlign w:val="center"/>
          </w:tcPr>
          <w:p>
            <w:pPr>
              <w:jc w:val="center"/>
              <w:rPr>
                <w:rFonts w:ascii="宋体" w:hAnsi="宋体"/>
                <w:color w:val="auto"/>
                <w:szCs w:val="21"/>
              </w:rPr>
            </w:pPr>
            <w:r>
              <w:rPr>
                <w:rFonts w:hint="eastAsia" w:ascii="宋体" w:hAnsi="宋体"/>
                <w:color w:val="auto"/>
                <w:szCs w:val="21"/>
              </w:rPr>
              <w:t>5450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jc w:val="center"/>
              <w:rPr>
                <w:rFonts w:ascii="宋体" w:hAnsi="宋体"/>
                <w:color w:val="auto"/>
                <w:szCs w:val="21"/>
              </w:rPr>
            </w:pPr>
            <w:r>
              <w:rPr>
                <w:rFonts w:hint="eastAsia" w:ascii="宋体" w:hAnsi="宋体"/>
                <w:color w:val="auto"/>
                <w:szCs w:val="21"/>
              </w:rPr>
              <w:t>2</w:t>
            </w:r>
          </w:p>
        </w:tc>
        <w:tc>
          <w:tcPr>
            <w:tcW w:w="2520" w:type="dxa"/>
            <w:vAlign w:val="center"/>
          </w:tcPr>
          <w:p>
            <w:pPr>
              <w:jc w:val="center"/>
              <w:rPr>
                <w:rFonts w:ascii="宋体" w:hAnsi="宋体"/>
                <w:color w:val="auto"/>
                <w:szCs w:val="21"/>
              </w:rPr>
            </w:pPr>
            <w:r>
              <w:rPr>
                <w:rFonts w:hint="eastAsia" w:ascii="宋体" w:hAnsi="宋体"/>
                <w:color w:val="auto"/>
                <w:szCs w:val="21"/>
              </w:rPr>
              <w:t>速度</w:t>
            </w:r>
          </w:p>
        </w:tc>
        <w:tc>
          <w:tcPr>
            <w:tcW w:w="900" w:type="dxa"/>
            <w:vAlign w:val="center"/>
          </w:tcPr>
          <w:p>
            <w:pPr>
              <w:jc w:val="center"/>
              <w:rPr>
                <w:rFonts w:ascii="宋体" w:hAnsi="宋体"/>
                <w:color w:val="auto"/>
                <w:szCs w:val="21"/>
              </w:rPr>
            </w:pPr>
            <w:r>
              <w:rPr>
                <w:rFonts w:hint="eastAsia" w:ascii="宋体" w:hAnsi="宋体"/>
                <w:color w:val="auto"/>
                <w:szCs w:val="21"/>
              </w:rPr>
              <w:t>米/秒</w:t>
            </w:r>
          </w:p>
        </w:tc>
        <w:tc>
          <w:tcPr>
            <w:tcW w:w="4752" w:type="dxa"/>
            <w:vAlign w:val="center"/>
          </w:tcPr>
          <w:p>
            <w:pPr>
              <w:jc w:val="center"/>
              <w:rPr>
                <w:rFonts w:ascii="宋体" w:hAnsi="宋体"/>
                <w:color w:val="auto"/>
                <w:szCs w:val="21"/>
              </w:rPr>
            </w:pPr>
            <w:r>
              <w:rPr>
                <w:rFonts w:hint="eastAsia" w:ascii="宋体" w:hAnsi="宋体"/>
                <w:color w:val="auto"/>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jc w:val="center"/>
              <w:rPr>
                <w:rFonts w:ascii="宋体" w:hAnsi="宋体"/>
                <w:color w:val="auto"/>
                <w:szCs w:val="21"/>
              </w:rPr>
            </w:pPr>
            <w:r>
              <w:rPr>
                <w:rFonts w:hint="eastAsia" w:ascii="宋体" w:hAnsi="宋体"/>
                <w:color w:val="auto"/>
                <w:szCs w:val="21"/>
              </w:rPr>
              <w:t>3</w:t>
            </w:r>
          </w:p>
        </w:tc>
        <w:tc>
          <w:tcPr>
            <w:tcW w:w="2520" w:type="dxa"/>
            <w:vAlign w:val="center"/>
          </w:tcPr>
          <w:p>
            <w:pPr>
              <w:jc w:val="center"/>
              <w:rPr>
                <w:rFonts w:ascii="宋体" w:hAnsi="宋体"/>
                <w:color w:val="auto"/>
                <w:szCs w:val="21"/>
              </w:rPr>
            </w:pPr>
            <w:r>
              <w:rPr>
                <w:rFonts w:hint="eastAsia" w:ascii="宋体" w:hAnsi="宋体"/>
                <w:color w:val="auto"/>
                <w:szCs w:val="21"/>
              </w:rPr>
              <w:t>扶梯总宽度</w:t>
            </w:r>
          </w:p>
        </w:tc>
        <w:tc>
          <w:tcPr>
            <w:tcW w:w="900" w:type="dxa"/>
            <w:vAlign w:val="center"/>
          </w:tcPr>
          <w:p>
            <w:pPr>
              <w:jc w:val="center"/>
              <w:rPr>
                <w:rFonts w:ascii="宋体" w:hAnsi="宋体"/>
                <w:color w:val="auto"/>
                <w:szCs w:val="21"/>
              </w:rPr>
            </w:pPr>
            <w:r>
              <w:rPr>
                <w:rFonts w:hint="eastAsia" w:ascii="宋体" w:hAnsi="宋体"/>
                <w:color w:val="auto"/>
                <w:szCs w:val="21"/>
              </w:rPr>
              <w:t>毫米</w:t>
            </w:r>
          </w:p>
        </w:tc>
        <w:tc>
          <w:tcPr>
            <w:tcW w:w="4752" w:type="dxa"/>
            <w:vAlign w:val="center"/>
          </w:tcPr>
          <w:p>
            <w:pPr>
              <w:jc w:val="center"/>
              <w:rPr>
                <w:rFonts w:ascii="宋体" w:hAnsi="宋体"/>
                <w:color w:val="auto"/>
                <w:szCs w:val="21"/>
              </w:rPr>
            </w:pPr>
            <w:r>
              <w:rPr>
                <w:rFonts w:hint="eastAsia" w:ascii="宋体" w:hAnsi="宋体"/>
                <w:color w:val="auto"/>
                <w:szCs w:val="21"/>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jc w:val="center"/>
              <w:rPr>
                <w:rFonts w:ascii="宋体" w:hAnsi="宋体"/>
                <w:color w:val="auto"/>
                <w:szCs w:val="21"/>
              </w:rPr>
            </w:pPr>
            <w:r>
              <w:rPr>
                <w:rFonts w:hint="eastAsia" w:ascii="宋体" w:hAnsi="宋体"/>
                <w:color w:val="auto"/>
                <w:szCs w:val="21"/>
              </w:rPr>
              <w:t>4</w:t>
            </w:r>
          </w:p>
        </w:tc>
        <w:tc>
          <w:tcPr>
            <w:tcW w:w="2520" w:type="dxa"/>
            <w:vAlign w:val="center"/>
          </w:tcPr>
          <w:p>
            <w:pPr>
              <w:jc w:val="center"/>
              <w:rPr>
                <w:rFonts w:ascii="宋体" w:hAnsi="宋体"/>
                <w:color w:val="auto"/>
                <w:szCs w:val="21"/>
              </w:rPr>
            </w:pPr>
            <w:r>
              <w:rPr>
                <w:rFonts w:hint="eastAsia" w:ascii="宋体" w:hAnsi="宋体"/>
                <w:color w:val="auto"/>
                <w:szCs w:val="21"/>
              </w:rPr>
              <w:t>倾斜角度</w:t>
            </w:r>
          </w:p>
        </w:tc>
        <w:tc>
          <w:tcPr>
            <w:tcW w:w="900" w:type="dxa"/>
            <w:vAlign w:val="center"/>
          </w:tcPr>
          <w:p>
            <w:pPr>
              <w:jc w:val="center"/>
              <w:rPr>
                <w:rFonts w:ascii="宋体" w:hAnsi="宋体"/>
                <w:color w:val="auto"/>
                <w:szCs w:val="21"/>
              </w:rPr>
            </w:pPr>
            <w:r>
              <w:rPr>
                <w:rFonts w:hint="eastAsia" w:ascii="宋体" w:hAnsi="宋体"/>
                <w:color w:val="auto"/>
                <w:szCs w:val="21"/>
              </w:rPr>
              <w:t>度</w:t>
            </w:r>
          </w:p>
        </w:tc>
        <w:tc>
          <w:tcPr>
            <w:tcW w:w="4752" w:type="dxa"/>
            <w:vAlign w:val="center"/>
          </w:tcPr>
          <w:p>
            <w:pPr>
              <w:jc w:val="center"/>
              <w:rPr>
                <w:rFonts w:ascii="宋体" w:hAnsi="宋体"/>
                <w:color w:val="auto"/>
                <w:szCs w:val="21"/>
              </w:rPr>
            </w:pPr>
            <w:r>
              <w:rPr>
                <w:rFonts w:hint="eastAsia" w:ascii="宋体" w:hAnsi="宋体"/>
                <w:color w:val="auto"/>
                <w:szCs w:val="21"/>
              </w:rPr>
              <w:t xml:space="preserve"> 30°</w:t>
            </w:r>
          </w:p>
        </w:tc>
      </w:tr>
    </w:tbl>
    <w:p>
      <w:pPr>
        <w:spacing w:line="360" w:lineRule="auto"/>
        <w:ind w:firstLine="470" w:firstLineChars="224"/>
        <w:rPr>
          <w:rFonts w:ascii="宋体" w:hAnsi="宋体"/>
          <w:color w:val="auto"/>
          <w:szCs w:val="21"/>
          <w:highlight w:val="none"/>
        </w:rPr>
      </w:pPr>
      <w:r>
        <w:rPr>
          <w:rFonts w:hint="eastAsia" w:ascii="宋体" w:hAnsi="宋体"/>
          <w:color w:val="auto"/>
          <w:szCs w:val="21"/>
        </w:rPr>
        <w:t>2）垂直电梯主要技术参数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427"/>
        <w:gridCol w:w="833"/>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Align w:val="center"/>
          </w:tcPr>
          <w:p>
            <w:pPr>
              <w:jc w:val="center"/>
              <w:rPr>
                <w:rFonts w:ascii="宋体" w:hAnsi="宋体"/>
                <w:b/>
                <w:bCs/>
                <w:color w:val="auto"/>
                <w:szCs w:val="21"/>
                <w:highlight w:val="none"/>
              </w:rPr>
            </w:pPr>
            <w:r>
              <w:rPr>
                <w:rFonts w:hint="eastAsia" w:ascii="宋体" w:hAnsi="宋体"/>
                <w:b/>
                <w:bCs/>
                <w:color w:val="auto"/>
                <w:szCs w:val="21"/>
                <w:highlight w:val="none"/>
              </w:rPr>
              <w:t>序号</w:t>
            </w:r>
          </w:p>
        </w:tc>
        <w:tc>
          <w:tcPr>
            <w:tcW w:w="2427" w:type="dxa"/>
            <w:vAlign w:val="center"/>
          </w:tcPr>
          <w:p>
            <w:pPr>
              <w:jc w:val="center"/>
              <w:rPr>
                <w:rFonts w:ascii="宋体" w:hAnsi="宋体"/>
                <w:b/>
                <w:bCs/>
                <w:color w:val="auto"/>
                <w:szCs w:val="21"/>
                <w:highlight w:val="none"/>
              </w:rPr>
            </w:pPr>
            <w:r>
              <w:rPr>
                <w:rFonts w:hint="eastAsia" w:ascii="宋体" w:hAnsi="宋体"/>
                <w:b/>
                <w:bCs/>
                <w:color w:val="auto"/>
                <w:szCs w:val="21"/>
                <w:highlight w:val="none"/>
              </w:rPr>
              <w:t>项目</w:t>
            </w:r>
          </w:p>
        </w:tc>
        <w:tc>
          <w:tcPr>
            <w:tcW w:w="833" w:type="dxa"/>
            <w:vAlign w:val="center"/>
          </w:tcPr>
          <w:p>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4581" w:type="dxa"/>
            <w:vAlign w:val="center"/>
          </w:tcPr>
          <w:p>
            <w:pPr>
              <w:jc w:val="center"/>
              <w:rPr>
                <w:rFonts w:ascii="宋体" w:hAnsi="宋体"/>
                <w:b/>
                <w:bCs/>
                <w:color w:val="auto"/>
                <w:szCs w:val="21"/>
                <w:highlight w:val="none"/>
              </w:rPr>
            </w:pPr>
            <w:r>
              <w:rPr>
                <w:rFonts w:hint="eastAsia" w:ascii="宋体" w:hAnsi="宋体"/>
                <w:b/>
                <w:bCs/>
                <w:color w:val="auto"/>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2427" w:type="dxa"/>
            <w:vAlign w:val="center"/>
          </w:tcPr>
          <w:p>
            <w:pPr>
              <w:jc w:val="center"/>
              <w:rPr>
                <w:rFonts w:ascii="宋体" w:hAnsi="宋体"/>
                <w:color w:val="auto"/>
                <w:szCs w:val="21"/>
                <w:highlight w:val="none"/>
              </w:rPr>
            </w:pPr>
            <w:r>
              <w:rPr>
                <w:rFonts w:hint="eastAsia" w:ascii="宋体" w:hAnsi="宋体"/>
                <w:color w:val="auto"/>
                <w:szCs w:val="21"/>
                <w:highlight w:val="none"/>
              </w:rPr>
              <w:t>电梯类型</w:t>
            </w:r>
          </w:p>
        </w:tc>
        <w:tc>
          <w:tcPr>
            <w:tcW w:w="833" w:type="dxa"/>
            <w:vAlign w:val="center"/>
          </w:tcPr>
          <w:p>
            <w:pPr>
              <w:jc w:val="center"/>
              <w:rPr>
                <w:rFonts w:ascii="宋体" w:hAnsi="宋体"/>
                <w:color w:val="auto"/>
                <w:szCs w:val="21"/>
                <w:highlight w:val="none"/>
              </w:rPr>
            </w:pPr>
          </w:p>
        </w:tc>
        <w:tc>
          <w:tcPr>
            <w:tcW w:w="4581" w:type="dxa"/>
            <w:vAlign w:val="center"/>
          </w:tcPr>
          <w:p>
            <w:pPr>
              <w:jc w:val="center"/>
              <w:rPr>
                <w:rFonts w:ascii="宋体" w:hAnsi="宋体"/>
                <w:color w:val="auto"/>
                <w:szCs w:val="21"/>
                <w:highlight w:val="none"/>
              </w:rPr>
            </w:pPr>
            <w:r>
              <w:rPr>
                <w:rFonts w:hint="eastAsia" w:ascii="宋体" w:hAnsi="宋体"/>
                <w:color w:val="auto"/>
                <w:szCs w:val="21"/>
                <w:highlight w:val="none"/>
              </w:rPr>
              <w:t>曳引式客梯、曳引式消防梯、无机房消防梯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2427" w:type="dxa"/>
            <w:vAlign w:val="center"/>
          </w:tcPr>
          <w:p>
            <w:pPr>
              <w:jc w:val="center"/>
              <w:rPr>
                <w:rFonts w:ascii="宋体" w:hAnsi="宋体"/>
                <w:color w:val="auto"/>
                <w:szCs w:val="21"/>
                <w:highlight w:val="none"/>
              </w:rPr>
            </w:pPr>
            <w:r>
              <w:rPr>
                <w:rFonts w:hint="eastAsia" w:ascii="宋体" w:hAnsi="宋体"/>
                <w:color w:val="auto"/>
                <w:szCs w:val="21"/>
                <w:highlight w:val="none"/>
              </w:rPr>
              <w:t>额定载重量</w:t>
            </w:r>
          </w:p>
        </w:tc>
        <w:tc>
          <w:tcPr>
            <w:tcW w:w="833" w:type="dxa"/>
            <w:vAlign w:val="center"/>
          </w:tcPr>
          <w:p>
            <w:pPr>
              <w:jc w:val="center"/>
              <w:rPr>
                <w:rFonts w:ascii="宋体" w:hAnsi="宋体"/>
                <w:color w:val="auto"/>
                <w:szCs w:val="21"/>
                <w:highlight w:val="none"/>
              </w:rPr>
            </w:pPr>
            <w:r>
              <w:rPr>
                <w:rFonts w:hint="eastAsia" w:ascii="宋体" w:hAnsi="宋体"/>
                <w:color w:val="auto"/>
                <w:szCs w:val="21"/>
                <w:highlight w:val="none"/>
              </w:rPr>
              <w:t>千克</w:t>
            </w:r>
          </w:p>
        </w:tc>
        <w:tc>
          <w:tcPr>
            <w:tcW w:w="4581" w:type="dxa"/>
            <w:vAlign w:val="center"/>
          </w:tcPr>
          <w:p>
            <w:pPr>
              <w:jc w:val="center"/>
              <w:rPr>
                <w:rFonts w:ascii="宋体" w:hAnsi="宋体"/>
                <w:color w:val="auto"/>
                <w:szCs w:val="21"/>
                <w:highlight w:val="none"/>
              </w:rPr>
            </w:pPr>
            <w:r>
              <w:rPr>
                <w:rFonts w:hint="eastAsia" w:ascii="宋体" w:hAnsi="宋体"/>
                <w:color w:val="auto"/>
                <w:szCs w:val="21"/>
                <w:highlight w:val="none"/>
              </w:rPr>
              <w:t>A、B、C栋电梯最大额定载重1600kg；D、E、F、G栋电梯最大额定载重1050Kg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2427" w:type="dxa"/>
            <w:vAlign w:val="center"/>
          </w:tcPr>
          <w:p>
            <w:pPr>
              <w:jc w:val="center"/>
              <w:rPr>
                <w:rFonts w:ascii="宋体" w:hAnsi="宋体"/>
                <w:color w:val="auto"/>
                <w:szCs w:val="21"/>
                <w:highlight w:val="none"/>
              </w:rPr>
            </w:pPr>
            <w:r>
              <w:rPr>
                <w:rFonts w:hint="eastAsia" w:ascii="宋体" w:hAnsi="宋体"/>
                <w:color w:val="auto"/>
                <w:szCs w:val="21"/>
                <w:highlight w:val="none"/>
              </w:rPr>
              <w:t>客梯额定速度（最大）</w:t>
            </w:r>
          </w:p>
        </w:tc>
        <w:tc>
          <w:tcPr>
            <w:tcW w:w="833" w:type="dxa"/>
            <w:vAlign w:val="center"/>
          </w:tcPr>
          <w:p>
            <w:pPr>
              <w:jc w:val="center"/>
              <w:rPr>
                <w:rFonts w:ascii="宋体" w:hAnsi="宋体"/>
                <w:color w:val="auto"/>
                <w:szCs w:val="21"/>
                <w:highlight w:val="none"/>
              </w:rPr>
            </w:pPr>
            <w:r>
              <w:rPr>
                <w:rFonts w:hint="eastAsia" w:ascii="宋体" w:hAnsi="宋体"/>
                <w:color w:val="auto"/>
                <w:szCs w:val="21"/>
                <w:highlight w:val="none"/>
              </w:rPr>
              <w:t>米/秒</w:t>
            </w:r>
          </w:p>
        </w:tc>
        <w:tc>
          <w:tcPr>
            <w:tcW w:w="4581" w:type="dxa"/>
            <w:vAlign w:val="center"/>
          </w:tcPr>
          <w:p>
            <w:pPr>
              <w:jc w:val="center"/>
              <w:rPr>
                <w:rFonts w:ascii="宋体" w:hAnsi="宋体"/>
                <w:color w:val="auto"/>
                <w:szCs w:val="21"/>
                <w:highlight w:val="none"/>
              </w:rPr>
            </w:pPr>
            <w:r>
              <w:rPr>
                <w:rFonts w:hint="eastAsia" w:ascii="宋体" w:hAnsi="宋体"/>
                <w:color w:val="auto"/>
                <w:szCs w:val="21"/>
                <w:highlight w:val="none"/>
              </w:rPr>
              <w:t>1.75</w:t>
            </w:r>
          </w:p>
        </w:tc>
      </w:tr>
    </w:tbl>
    <w:p>
      <w:pPr>
        <w:spacing w:line="276" w:lineRule="auto"/>
        <w:jc w:val="left"/>
        <w:rPr>
          <w:rFonts w:ascii="宋体" w:hAnsi="宋体"/>
          <w:color w:val="auto"/>
          <w:szCs w:val="21"/>
          <w:highlight w:val="none"/>
          <w:u w:val="single"/>
        </w:rPr>
      </w:pPr>
    </w:p>
    <w:p>
      <w:pPr>
        <w:spacing w:line="276" w:lineRule="auto"/>
        <w:jc w:val="left"/>
        <w:rPr>
          <w:rFonts w:ascii="宋体" w:hAnsi="宋体"/>
          <w:color w:val="auto"/>
          <w:szCs w:val="21"/>
          <w:highlight w:val="none"/>
          <w:u w:val="single"/>
        </w:rPr>
      </w:pPr>
      <w:r>
        <w:rPr>
          <w:rFonts w:hint="eastAsia" w:ascii="宋体" w:hAnsi="宋体"/>
          <w:color w:val="auto"/>
          <w:szCs w:val="21"/>
          <w:highlight w:val="none"/>
          <w:u w:val="single"/>
        </w:rPr>
        <w:t>技术规格详见招标文件第五章的《用户需求书》。</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2.5招标范围：</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2.5.1标段划分：</w:t>
      </w:r>
      <w:r>
        <w:rPr>
          <w:rFonts w:hint="eastAsia" w:ascii="宋体" w:hAnsi="宋体"/>
          <w:color w:val="auto"/>
          <w:szCs w:val="21"/>
          <w:highlight w:val="none"/>
          <w:u w:val="single"/>
        </w:rPr>
        <w:t>本项目划分1个标段。</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2.5.2招标内容：包括但不限于以下内容，具体详见招标文件第四章合同条款；</w:t>
      </w:r>
    </w:p>
    <w:p>
      <w:pPr>
        <w:pStyle w:val="16"/>
        <w:spacing w:line="400" w:lineRule="exact"/>
        <w:ind w:left="0" w:leftChars="0"/>
        <w:rPr>
          <w:color w:val="auto"/>
          <w:sz w:val="21"/>
          <w:szCs w:val="21"/>
          <w:highlight w:val="none"/>
          <w:u w:val="single"/>
        </w:rPr>
      </w:pPr>
      <w:r>
        <w:rPr>
          <w:rFonts w:hint="eastAsia"/>
          <w:color w:val="auto"/>
          <w:sz w:val="21"/>
          <w:szCs w:val="21"/>
          <w:highlight w:val="none"/>
          <w:u w:val="single"/>
        </w:rPr>
        <w:t>2.5.2.1全部全新电梯设备、轿厢内信息显示系统、随机件、零部件、备品备件及专用工具等的设计、供应、进口报批（如需）、运输、保管、协助安装调试及检测（包括国家及地方法定检测部门的检测、合同规定的其他检测等）、协助报装报验、申领并保证获发检验合格报告书、安全检验合格证及电梯设备使用登记证、培训、保修期服务、技术文件交付等工作和服务。</w:t>
      </w:r>
    </w:p>
    <w:p>
      <w:pPr>
        <w:pStyle w:val="16"/>
        <w:spacing w:line="400" w:lineRule="exact"/>
        <w:ind w:left="0" w:leftChars="0"/>
        <w:rPr>
          <w:color w:val="auto"/>
          <w:sz w:val="21"/>
          <w:szCs w:val="21"/>
          <w:highlight w:val="none"/>
          <w:u w:val="single"/>
        </w:rPr>
      </w:pPr>
      <w:r>
        <w:rPr>
          <w:rFonts w:hint="eastAsia"/>
          <w:color w:val="auto"/>
          <w:sz w:val="21"/>
          <w:szCs w:val="21"/>
          <w:highlight w:val="none"/>
          <w:u w:val="single"/>
        </w:rPr>
        <w:t>2.5.2.2负责上述所有电梯设备的报装、安装、调试、辅助、验收等全部工作和服务。</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2.5.3主要技术参数：</w:t>
      </w:r>
      <w:r>
        <w:rPr>
          <w:rFonts w:hint="eastAsia" w:ascii="宋体" w:hAnsi="宋体"/>
          <w:color w:val="auto"/>
          <w:szCs w:val="21"/>
          <w:highlight w:val="none"/>
          <w:u w:val="single"/>
        </w:rPr>
        <w:t>具体详见招标文件第五章《用户需求书》。</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2.5.4交货期：</w:t>
      </w:r>
      <w:r>
        <w:rPr>
          <w:rFonts w:hint="eastAsia" w:ascii="宋体" w:hAnsi="宋体"/>
          <w:color w:val="auto"/>
          <w:szCs w:val="21"/>
          <w:highlight w:val="none"/>
          <w:u w:val="single"/>
        </w:rPr>
        <w:t>本项目电梯安装依照工程实际进度，按合同规定的时间配合工程要求供货、安装、调试，具体详见招标文件第四章《合同条款及格式》及第五章《用户需求书》</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2.5.5交货地点：</w:t>
      </w:r>
      <w:r>
        <w:rPr>
          <w:rFonts w:hint="eastAsia" w:ascii="宋体" w:hAnsi="宋体"/>
          <w:color w:val="auto"/>
          <w:szCs w:val="21"/>
          <w:highlight w:val="none"/>
          <w:u w:val="single"/>
        </w:rPr>
        <w:t xml:space="preserve"> 招标人指定地点</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2.5.6最高投标限价：人民币 </w:t>
      </w:r>
      <w:r>
        <w:rPr>
          <w:rFonts w:hint="eastAsia" w:ascii="宋体" w:hAnsi="宋体"/>
          <w:color w:val="auto"/>
          <w:szCs w:val="21"/>
          <w:highlight w:val="none"/>
          <w:u w:val="single"/>
          <w:lang w:val="en-US" w:eastAsia="zh-CN"/>
        </w:rPr>
        <w:t>1978万</w:t>
      </w:r>
      <w:r>
        <w:rPr>
          <w:rFonts w:hint="eastAsia" w:ascii="宋体" w:hAnsi="宋体"/>
          <w:color w:val="auto"/>
          <w:szCs w:val="21"/>
          <w:highlight w:val="none"/>
          <w:u w:val="single"/>
        </w:rPr>
        <w:t>元</w:t>
      </w:r>
      <w:r>
        <w:rPr>
          <w:rFonts w:hint="eastAsia" w:ascii="宋体" w:hAnsi="宋体"/>
          <w:color w:val="auto"/>
          <w:szCs w:val="21"/>
          <w:highlight w:val="none"/>
          <w:u w:val="single"/>
          <w:lang w:val="en-US" w:eastAsia="zh-CN"/>
        </w:rPr>
        <w:t>整</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含税</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，其中： 电梯供货的最高投标限价为</w:t>
      </w:r>
      <w:r>
        <w:rPr>
          <w:rFonts w:hint="eastAsia" w:ascii="宋体" w:hAnsi="宋体"/>
          <w:color w:val="auto"/>
          <w:szCs w:val="21"/>
          <w:highlight w:val="none"/>
          <w:u w:val="single"/>
          <w:lang w:val="en-US" w:eastAsia="zh-CN"/>
        </w:rPr>
        <w:t>1578万</w:t>
      </w:r>
      <w:r>
        <w:rPr>
          <w:rFonts w:hint="eastAsia" w:ascii="宋体" w:hAnsi="宋体"/>
          <w:color w:val="auto"/>
          <w:szCs w:val="21"/>
          <w:highlight w:val="none"/>
          <w:u w:val="single"/>
        </w:rPr>
        <w:t>元</w:t>
      </w:r>
      <w:r>
        <w:rPr>
          <w:rFonts w:hint="eastAsia" w:ascii="宋体" w:hAnsi="宋体"/>
          <w:color w:val="auto"/>
          <w:szCs w:val="21"/>
          <w:highlight w:val="none"/>
          <w:u w:val="single"/>
          <w:lang w:val="en-US" w:eastAsia="zh-CN"/>
        </w:rPr>
        <w:t>整</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含增值税税率13%</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电梯安装服务(含临时用梯费)的最高投标限价为</w:t>
      </w:r>
      <w:r>
        <w:rPr>
          <w:rFonts w:hint="eastAsia" w:ascii="宋体" w:hAnsi="宋体"/>
          <w:color w:val="auto"/>
          <w:szCs w:val="21"/>
          <w:highlight w:val="none"/>
          <w:u w:val="single"/>
          <w:lang w:val="en-US" w:eastAsia="zh-CN"/>
        </w:rPr>
        <w:t>400万</w:t>
      </w:r>
      <w:r>
        <w:rPr>
          <w:rFonts w:hint="eastAsia" w:ascii="宋体" w:hAnsi="宋体"/>
          <w:color w:val="auto"/>
          <w:szCs w:val="21"/>
          <w:highlight w:val="none"/>
          <w:u w:val="single"/>
        </w:rPr>
        <w:t>元</w:t>
      </w:r>
      <w:r>
        <w:rPr>
          <w:rFonts w:hint="eastAsia" w:ascii="宋体" w:hAnsi="宋体"/>
          <w:color w:val="auto"/>
          <w:szCs w:val="21"/>
          <w:highlight w:val="none"/>
          <w:u w:val="single"/>
          <w:lang w:val="en-US" w:eastAsia="zh-CN"/>
        </w:rPr>
        <w:t>整</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含增值税税率9%</w:t>
      </w:r>
      <w:r>
        <w:rPr>
          <w:rFonts w:hint="eastAsia" w:ascii="宋体" w:hAnsi="宋体"/>
          <w:color w:val="auto"/>
          <w:szCs w:val="21"/>
          <w:highlight w:val="none"/>
          <w:u w:val="single"/>
          <w:lang w:eastAsia="zh-CN"/>
        </w:rPr>
        <w:t>）</w:t>
      </w:r>
      <w:r>
        <w:rPr>
          <w:rFonts w:hint="eastAsia" w:ascii="宋体" w:hAnsi="宋体"/>
          <w:color w:val="auto"/>
          <w:szCs w:val="21"/>
          <w:highlight w:val="none"/>
        </w:rPr>
        <w:t>。</w:t>
      </w:r>
      <w:r>
        <w:rPr>
          <w:rFonts w:ascii="宋体" w:hAnsi="宋体"/>
          <w:color w:val="auto"/>
          <w:szCs w:val="21"/>
          <w:highlight w:val="none"/>
        </w:rPr>
        <w:t xml:space="preserve"> </w:t>
      </w:r>
    </w:p>
    <w:p>
      <w:pPr>
        <w:pStyle w:val="2"/>
        <w:spacing w:line="240" w:lineRule="auto"/>
        <w:rPr>
          <w:rFonts w:ascii="Times New Roman" w:hAnsi="Times New Roman"/>
          <w:color w:val="auto"/>
          <w:highlight w:val="none"/>
        </w:rPr>
      </w:pPr>
      <w:bookmarkStart w:id="2" w:name="_Toc491883079"/>
      <w:r>
        <w:rPr>
          <w:rFonts w:ascii="Times New Roman" w:hAnsi="Times New Roman"/>
          <w:color w:val="auto"/>
          <w:highlight w:val="none"/>
        </w:rPr>
        <w:t>3. 投标人资格要求</w:t>
      </w:r>
      <w:bookmarkEnd w:id="2"/>
    </w:p>
    <w:p>
      <w:pPr>
        <w:spacing w:line="360" w:lineRule="auto"/>
        <w:ind w:firstLine="470" w:firstLineChars="224"/>
        <w:rPr>
          <w:rFonts w:ascii="宋体" w:hAnsi="宋体"/>
          <w:color w:val="auto"/>
          <w:szCs w:val="21"/>
          <w:highlight w:val="none"/>
        </w:rPr>
      </w:pPr>
      <w:r>
        <w:rPr>
          <w:rFonts w:ascii="宋体" w:hAnsi="宋体"/>
          <w:color w:val="auto"/>
          <w:highlight w:val="none"/>
        </w:rPr>
        <w:t>3.1</w:t>
      </w:r>
      <w:r>
        <w:rPr>
          <w:rFonts w:hint="eastAsia" w:ascii="宋体" w:hAnsi="宋体"/>
          <w:color w:val="auto"/>
          <w:szCs w:val="21"/>
          <w:highlight w:val="none"/>
        </w:rPr>
        <w:t>本次招标要求投标人具备相应的资质，并具有与本招标项目相应的供货能力，具体要求如下：</w:t>
      </w:r>
    </w:p>
    <w:p>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3.1.1资质要求：</w:t>
      </w:r>
    </w:p>
    <w:p>
      <w:pPr>
        <w:spacing w:line="400" w:lineRule="exact"/>
        <w:ind w:firstLine="420" w:firstLineChars="200"/>
        <w:rPr>
          <w:rFonts w:hint="eastAsia" w:ascii="宋体" w:hAnsi="宋体"/>
          <w:color w:val="auto"/>
          <w:szCs w:val="21"/>
          <w:highlight w:val="none"/>
          <w:u w:val="single"/>
        </w:rPr>
      </w:pPr>
      <w:bookmarkStart w:id="3" w:name="_Toc491883080"/>
      <w:r>
        <w:rPr>
          <w:rFonts w:hint="eastAsia" w:ascii="宋体" w:hAnsi="宋体"/>
          <w:color w:val="auto"/>
          <w:szCs w:val="21"/>
          <w:highlight w:val="none"/>
          <w:u w:val="single"/>
        </w:rPr>
        <w:t>投标人须是法人或者其他组织，同时持有工商行政管理部门核发的营业执照，按国家法律经营；法定代表人为同一人的两个及两个以上法人，母公司、全资子公司或存在控股管理关系的不同单位，都不得在同一设备招标中同时投标。</w:t>
      </w:r>
    </w:p>
    <w:p>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3.1.2投标人业绩要求：投标人自2018年1月1日至今具有单个合同金额1200万元（含）及以上的电梯的供货业绩（以合同签订时间为准，提供相关业绩证明资料，显示购买方、金额、货物清单、签订时间等关键页复印件并加盖公章）。</w:t>
      </w:r>
    </w:p>
    <w:p>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3.1.3投标人需满足以下要求之一：</w:t>
      </w:r>
    </w:p>
    <w:p>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①投标人必须取得有效的《中华人民共和国特种设备制造许可证》，需提供含本项目电梯规格的制造许可明细表，其中曳引式客梯C级或以上、曳引式消防梯B级或以上、无机房消防梯B级或以上、自动扶梯B级或上；并取得有效的《中华人民共和国特种设备安装改造维修许可证》电梯B级或以上；</w:t>
      </w:r>
    </w:p>
    <w:p>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②投标人必须取得有效的《中华人民共和国特种设备生产许可证》，许可项目包含电梯制造（含安装、修理、改造），许可子项目包含曳引驱动乘客电梯（含消防员电梯）B级或以上。需提供完全满足本项目电梯规格的《特种设备型式试验证书（电梯）》（电梯规格详见招标公告第2.4款中的额定载重量、额定速度、提升高度</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倾斜角度</w:t>
      </w:r>
      <w:r>
        <w:rPr>
          <w:rFonts w:hint="eastAsia" w:ascii="宋体" w:hAnsi="宋体"/>
          <w:color w:val="auto"/>
          <w:szCs w:val="21"/>
          <w:highlight w:val="none"/>
          <w:u w:val="single"/>
        </w:rPr>
        <w:t>）。</w:t>
      </w:r>
    </w:p>
    <w:p>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3.2投标人按照附件一的内容签署盖章的《投标申请人声明》（格式详见公告附件一格式）。</w:t>
      </w:r>
    </w:p>
    <w:p>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3.3本次招标不接受联合体投标。</w:t>
      </w:r>
    </w:p>
    <w:p>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对存在法定代表人（单位负责人）为同一人或者存在控股、管理关系的投标人，以在广州公共资源交易中心数字交易平台上投标登记时间靠前的确定为正式投标人。</w:t>
      </w:r>
    </w:p>
    <w:p>
      <w:pPr>
        <w:pStyle w:val="2"/>
        <w:spacing w:line="240" w:lineRule="auto"/>
        <w:rPr>
          <w:rFonts w:ascii="Times New Roman" w:hAnsi="Times New Roman"/>
          <w:color w:val="auto"/>
          <w:highlight w:val="none"/>
        </w:rPr>
      </w:pPr>
      <w:r>
        <w:rPr>
          <w:rFonts w:ascii="Times New Roman" w:hAnsi="Times New Roman"/>
          <w:color w:val="auto"/>
          <w:highlight w:val="none"/>
        </w:rPr>
        <w:t xml:space="preserve">4. </w:t>
      </w:r>
      <w:r>
        <w:rPr>
          <w:rFonts w:hint="eastAsia" w:ascii="Times New Roman" w:hAnsi="Times New Roman"/>
          <w:color w:val="auto"/>
          <w:highlight w:val="none"/>
        </w:rPr>
        <w:t>招标文件的获取</w:t>
      </w:r>
      <w:bookmarkEnd w:id="3"/>
      <w:r>
        <w:rPr>
          <w:rFonts w:hint="eastAsia" w:ascii="Times New Roman" w:hAnsi="Times New Roman"/>
          <w:color w:val="auto"/>
          <w:highlight w:val="none"/>
        </w:rPr>
        <w:t>及招标公告发布</w:t>
      </w:r>
    </w:p>
    <w:p>
      <w:pPr>
        <w:tabs>
          <w:tab w:val="left" w:pos="36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4.1凡有意参加投标者，请登录</w:t>
      </w:r>
      <w:r>
        <w:rPr>
          <w:rFonts w:hint="eastAsia" w:ascii="宋体" w:hAnsi="宋体" w:cs="宋体"/>
          <w:color w:val="auto"/>
          <w:szCs w:val="21"/>
          <w:highlight w:val="none"/>
          <w:u w:val="single"/>
        </w:rPr>
        <w:t>广州公共资源交易中心交易平台网站（http//www.gzggzy.cn）</w:t>
      </w:r>
      <w:r>
        <w:rPr>
          <w:rFonts w:hint="eastAsia" w:ascii="宋体" w:hAnsi="宋体" w:cs="宋体"/>
          <w:color w:val="auto"/>
          <w:szCs w:val="21"/>
          <w:highlight w:val="none"/>
        </w:rPr>
        <w:t>下载招标文件。</w:t>
      </w:r>
    </w:p>
    <w:p>
      <w:pPr>
        <w:tabs>
          <w:tab w:val="left" w:pos="360"/>
        </w:tabs>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u w:val="single"/>
        </w:rPr>
        <w:t>4.2本项目采用资格后审方式，满足资格审查合格条件或通过初步评审的投标申请人不足3名时为招标失败。招标人分析招标失败原因，修正招标方案，报有关管理部门核准后，重新组织招标</w:t>
      </w:r>
      <w:r>
        <w:rPr>
          <w:rFonts w:hint="eastAsia" w:ascii="宋体" w:hAnsi="宋体" w:cs="宋体"/>
          <w:color w:val="auto"/>
          <w:szCs w:val="21"/>
          <w:highlight w:val="none"/>
        </w:rPr>
        <w:t>。</w:t>
      </w:r>
    </w:p>
    <w:p>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u w:val="single"/>
        </w:rPr>
        <w:t>4.3招标公告发布时间</w:t>
      </w:r>
    </w:p>
    <w:p>
      <w:pPr>
        <w:spacing w:line="360" w:lineRule="auto"/>
        <w:ind w:firstLine="417" w:firstLineChars="199"/>
        <w:rPr>
          <w:rFonts w:ascii="宋体" w:hAnsi="宋体" w:cs="宋体"/>
          <w:color w:val="auto"/>
          <w:szCs w:val="21"/>
          <w:highlight w:val="none"/>
        </w:rPr>
      </w:pPr>
      <w:r>
        <w:rPr>
          <w:rFonts w:hint="eastAsia" w:ascii="宋体" w:hAnsi="宋体" w:cs="宋体"/>
          <w:color w:val="auto"/>
          <w:szCs w:val="21"/>
          <w:highlight w:val="none"/>
        </w:rPr>
        <w:t>发布招标公告时间（含本日）为：</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spacing w:line="360" w:lineRule="auto"/>
        <w:ind w:firstLine="210" w:firstLineChars="100"/>
        <w:rPr>
          <w:rFonts w:ascii="宋体" w:hAnsi="宋体" w:cs="宋体"/>
          <w:color w:val="auto"/>
          <w:szCs w:val="21"/>
          <w:highlight w:val="none"/>
          <w:u w:val="single"/>
        </w:rPr>
      </w:pPr>
      <w:r>
        <w:rPr>
          <w:rFonts w:hint="eastAsia" w:ascii="宋体" w:hAnsi="宋体" w:cs="宋体"/>
          <w:color w:val="auto"/>
          <w:szCs w:val="21"/>
          <w:highlight w:val="none"/>
          <w:u w:val="single"/>
        </w:rPr>
        <w:t>注：（1）发布招标公告的时间为招标公告发出之日起至递交投标文件截止时间止。</w:t>
      </w:r>
    </w:p>
    <w:p>
      <w:pPr>
        <w:widowControl/>
        <w:snapToGrid w:val="0"/>
        <w:spacing w:line="360" w:lineRule="auto"/>
        <w:ind w:firstLine="642" w:firstLineChars="306"/>
        <w:rPr>
          <w:rFonts w:ascii="宋体" w:hAnsi="宋体" w:cs="宋体"/>
          <w:color w:val="auto"/>
          <w:szCs w:val="21"/>
          <w:highlight w:val="none"/>
          <w:u w:val="single"/>
        </w:rPr>
      </w:pPr>
      <w:r>
        <w:rPr>
          <w:rFonts w:hint="eastAsia" w:ascii="宋体" w:hAnsi="宋体" w:cs="宋体"/>
          <w:color w:val="auto"/>
          <w:szCs w:val="21"/>
          <w:highlight w:val="none"/>
          <w:u w:val="single"/>
        </w:rPr>
        <w:t>（2）本公告发布之日起发布招标文件，并从招标公告发布之日起开始计算备标时间。</w:t>
      </w:r>
    </w:p>
    <w:p>
      <w:pPr>
        <w:widowControl/>
        <w:snapToGrid w:val="0"/>
        <w:spacing w:line="360" w:lineRule="auto"/>
        <w:ind w:firstLine="642" w:firstLineChars="306"/>
        <w:rPr>
          <w:rFonts w:ascii="宋体" w:hAnsi="宋体"/>
          <w:color w:val="auto"/>
          <w:szCs w:val="21"/>
          <w:highlight w:val="none"/>
          <w:u w:val="single"/>
        </w:rPr>
      </w:pPr>
      <w:r>
        <w:rPr>
          <w:rFonts w:hint="eastAsia" w:ascii="宋体" w:hAnsi="宋体"/>
          <w:color w:val="auto"/>
          <w:szCs w:val="21"/>
          <w:highlight w:val="none"/>
          <w:u w:val="single"/>
        </w:rPr>
        <w:t>（3）电子招投标操作流程详见广州公共资源交易中心网站发布的《房屋建筑和市政基础设施工程全流程电子化项目专章》。</w:t>
      </w:r>
    </w:p>
    <w:p>
      <w:pPr>
        <w:pStyle w:val="2"/>
        <w:spacing w:line="240" w:lineRule="auto"/>
        <w:rPr>
          <w:rFonts w:ascii="Times New Roman" w:hAnsi="Times New Roman"/>
          <w:color w:val="auto"/>
          <w:highlight w:val="none"/>
        </w:rPr>
      </w:pPr>
      <w:bookmarkStart w:id="4" w:name="_Toc491883081"/>
      <w:r>
        <w:rPr>
          <w:rFonts w:ascii="Times New Roman" w:hAnsi="Times New Roman"/>
          <w:color w:val="auto"/>
          <w:highlight w:val="none"/>
        </w:rPr>
        <w:t xml:space="preserve">5. </w:t>
      </w:r>
      <w:r>
        <w:rPr>
          <w:rFonts w:hint="eastAsia" w:ascii="Times New Roman" w:hAnsi="Times New Roman"/>
          <w:color w:val="auto"/>
          <w:highlight w:val="none"/>
        </w:rPr>
        <w:t>投标文件的递交</w:t>
      </w:r>
      <w:bookmarkEnd w:id="4"/>
    </w:p>
    <w:p>
      <w:pPr>
        <w:tabs>
          <w:tab w:val="left" w:pos="360"/>
        </w:tabs>
        <w:spacing w:line="360" w:lineRule="auto"/>
        <w:ind w:firstLine="420"/>
        <w:rPr>
          <w:rFonts w:ascii="宋体" w:hAnsi="宋体" w:cs="宋体"/>
          <w:color w:val="auto"/>
          <w:szCs w:val="21"/>
          <w:highlight w:val="none"/>
        </w:rPr>
      </w:pPr>
      <w:bookmarkStart w:id="5" w:name="_Toc491883082"/>
      <w:r>
        <w:rPr>
          <w:rFonts w:hint="eastAsia" w:ascii="宋体" w:hAnsi="宋体" w:cs="宋体"/>
          <w:color w:val="auto"/>
          <w:szCs w:val="21"/>
          <w:highlight w:val="none"/>
        </w:rPr>
        <w:t>5.1（B）</w:t>
      </w:r>
    </w:p>
    <w:p>
      <w:pPr>
        <w:tabs>
          <w:tab w:val="left" w:pos="36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5.1.1投标文件递交的截止时间（投标截止时间，下同）为</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分，投标人应在截止时间前通过</w:t>
      </w:r>
      <w:r>
        <w:rPr>
          <w:rFonts w:hint="eastAsia" w:ascii="宋体" w:hAnsi="宋体" w:cs="宋体"/>
          <w:color w:val="auto"/>
          <w:szCs w:val="21"/>
          <w:highlight w:val="none"/>
          <w:u w:val="single"/>
        </w:rPr>
        <w:t>广州公共资源交易中心数字交易平台（http//www.gzggzy.cn）</w:t>
      </w:r>
      <w:r>
        <w:rPr>
          <w:rFonts w:hint="eastAsia" w:ascii="宋体" w:hAnsi="宋体" w:cs="宋体"/>
          <w:color w:val="auto"/>
          <w:szCs w:val="21"/>
          <w:highlight w:val="none"/>
        </w:rPr>
        <w:t>递交电子投标文件。</w:t>
      </w:r>
    </w:p>
    <w:p>
      <w:pPr>
        <w:tabs>
          <w:tab w:val="left" w:pos="36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投标人完成电子投标上传后，电子招标投标交易平台即时向投标人发出递交回执通知。递交时间以递交回执通知载明的传输时间为准。</w:t>
      </w:r>
    </w:p>
    <w:p>
      <w:pPr>
        <w:tabs>
          <w:tab w:val="left" w:pos="36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5.1.2投标文件光盘（备用）递交时间：</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至</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分；地点：</w:t>
      </w:r>
      <w:r>
        <w:rPr>
          <w:rFonts w:hint="eastAsia" w:ascii="宋体" w:hAnsi="宋体" w:cs="宋体"/>
          <w:color w:val="auto"/>
          <w:szCs w:val="21"/>
          <w:highlight w:val="none"/>
          <w:u w:val="single"/>
        </w:rPr>
        <w:t>广州公共资源交易中心第  开标室</w:t>
      </w:r>
      <w:r>
        <w:rPr>
          <w:rFonts w:hint="eastAsia" w:ascii="宋体" w:hAnsi="宋体" w:cs="宋体"/>
          <w:color w:val="auto"/>
          <w:szCs w:val="21"/>
          <w:highlight w:val="none"/>
        </w:rPr>
        <w:t>。（电子光盘需按规定封装。投标人将数据刻录到光盘之后，投标前自行检查文件是否可以读取）。</w:t>
      </w:r>
    </w:p>
    <w:p>
      <w:pPr>
        <w:tabs>
          <w:tab w:val="left" w:pos="36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5.1.3投标文件解密时间为：</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分，投标人应在截止时间后通过</w:t>
      </w:r>
      <w:r>
        <w:rPr>
          <w:rFonts w:hint="eastAsia" w:ascii="宋体" w:hAnsi="宋体" w:cs="宋体"/>
          <w:color w:val="auto"/>
          <w:szCs w:val="21"/>
          <w:highlight w:val="none"/>
          <w:u w:val="single"/>
        </w:rPr>
        <w:t>广州公共资源交易中心数字交易平台（网址：http://www.gzggzy.cn/）</w:t>
      </w:r>
      <w:r>
        <w:rPr>
          <w:rFonts w:hint="eastAsia" w:ascii="宋体" w:hAnsi="宋体" w:cs="宋体"/>
          <w:color w:val="auto"/>
          <w:szCs w:val="21"/>
          <w:highlight w:val="none"/>
        </w:rPr>
        <w:t>对电子投标文件进行投标文件解密。</w:t>
      </w:r>
    </w:p>
    <w:p>
      <w:pPr>
        <w:tabs>
          <w:tab w:val="left" w:pos="360"/>
        </w:tabs>
        <w:spacing w:line="360" w:lineRule="auto"/>
        <w:ind w:right="-210" w:rightChars="-100" w:firstLine="420"/>
        <w:rPr>
          <w:rFonts w:ascii="宋体" w:hAnsi="宋体" w:cs="宋体"/>
          <w:color w:val="auto"/>
          <w:szCs w:val="21"/>
          <w:highlight w:val="none"/>
        </w:rPr>
      </w:pPr>
      <w:r>
        <w:rPr>
          <w:rFonts w:hint="eastAsia" w:ascii="宋体" w:hAnsi="宋体" w:cs="宋体"/>
          <w:color w:val="auto"/>
          <w:szCs w:val="21"/>
          <w:highlight w:val="none"/>
        </w:rPr>
        <w:t>5.1.4递交投标文件截止时间与开标时间是否有变化，请密切留意招标答疑中的相关信息。</w:t>
      </w:r>
    </w:p>
    <w:p>
      <w:pPr>
        <w:tabs>
          <w:tab w:val="left" w:pos="360"/>
        </w:tabs>
        <w:spacing w:line="360" w:lineRule="auto"/>
        <w:ind w:firstLine="420"/>
        <w:rPr>
          <w:rFonts w:ascii="宋体" w:hAnsi="宋体" w:cs="宋体"/>
          <w:color w:val="auto"/>
          <w:szCs w:val="21"/>
          <w:highlight w:val="none"/>
        </w:rPr>
      </w:pPr>
      <w:r>
        <w:rPr>
          <w:rFonts w:hint="eastAsia" w:ascii="宋体" w:hAnsi="宋体" w:cs="宋体"/>
          <w:b/>
          <w:color w:val="auto"/>
          <w:szCs w:val="21"/>
          <w:highlight w:val="none"/>
        </w:rPr>
        <w:t>5.1.5投标人</w:t>
      </w:r>
      <w:r>
        <w:rPr>
          <w:rFonts w:hint="eastAsia" w:ascii="宋体" w:hAnsi="宋体" w:cs="宋体"/>
          <w:b/>
          <w:bCs/>
          <w:color w:val="auto"/>
          <w:szCs w:val="21"/>
          <w:highlight w:val="none"/>
        </w:rPr>
        <w:t>通过</w:t>
      </w:r>
      <w:r>
        <w:rPr>
          <w:rFonts w:hint="eastAsia" w:ascii="宋体" w:hAnsi="宋体" w:cs="宋体"/>
          <w:b/>
          <w:color w:val="auto"/>
          <w:szCs w:val="21"/>
          <w:highlight w:val="none"/>
          <w:u w:val="single"/>
        </w:rPr>
        <w:t>广州公共资源交易中心数字</w:t>
      </w:r>
      <w:r>
        <w:rPr>
          <w:rFonts w:hint="eastAsia" w:ascii="宋体" w:hAnsi="宋体" w:cs="宋体"/>
          <w:b/>
          <w:color w:val="auto"/>
          <w:szCs w:val="21"/>
          <w:highlight w:val="none"/>
        </w:rPr>
        <w:t>交易平台递交电子投标文件。投标人应在递交投标文件截止时间前，登录</w:t>
      </w:r>
      <w:r>
        <w:rPr>
          <w:rFonts w:hint="eastAsia" w:ascii="宋体" w:hAnsi="宋体" w:cs="宋体"/>
          <w:b/>
          <w:color w:val="auto"/>
          <w:szCs w:val="21"/>
          <w:highlight w:val="none"/>
          <w:u w:val="single"/>
        </w:rPr>
        <w:t>广州公共资源交易中心数字</w:t>
      </w:r>
      <w:r>
        <w:rPr>
          <w:rFonts w:hint="eastAsia" w:ascii="宋体" w:hAnsi="宋体" w:cs="宋体"/>
          <w:b/>
          <w:color w:val="auto"/>
          <w:szCs w:val="21"/>
          <w:highlight w:val="none"/>
        </w:rPr>
        <w:t>交易平台网站办理网上投标登记手续。按照广州公共资源交易中心交易平台关于全流程电子化项目的相关指南进行操作。详见：</w:t>
      </w:r>
      <w:r>
        <w:rPr>
          <w:rFonts w:hint="eastAsia" w:ascii="宋体" w:hAnsi="宋体" w:cs="宋体"/>
          <w:b/>
          <w:color w:val="auto"/>
          <w:szCs w:val="21"/>
          <w:highlight w:val="none"/>
          <w:u w:val="single"/>
        </w:rPr>
        <w:t>广州公共资源交易中心网站</w:t>
      </w:r>
      <w:r>
        <w:rPr>
          <w:rFonts w:hint="eastAsia" w:ascii="宋体" w:hAnsi="宋体" w:cs="宋体"/>
          <w:b/>
          <w:color w:val="auto"/>
          <w:szCs w:val="21"/>
          <w:highlight w:val="none"/>
        </w:rPr>
        <w:t>。投标人需在广州公共资源交易中心办理企业信息登记。</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5.2 （B）逾期送达的投标文件，电子招标投标交易平台将予以拒收。</w:t>
      </w:r>
    </w:p>
    <w:p>
      <w:pPr>
        <w:pStyle w:val="2"/>
        <w:spacing w:line="240" w:lineRule="auto"/>
        <w:rPr>
          <w:rFonts w:ascii="Times New Roman" w:hAnsi="Times New Roman"/>
          <w:color w:val="auto"/>
          <w:highlight w:val="none"/>
        </w:rPr>
      </w:pPr>
      <w:r>
        <w:rPr>
          <w:rFonts w:ascii="Times New Roman" w:hAnsi="Times New Roman"/>
          <w:color w:val="auto"/>
          <w:highlight w:val="none"/>
        </w:rPr>
        <w:t xml:space="preserve">6. </w:t>
      </w:r>
      <w:r>
        <w:rPr>
          <w:rFonts w:hint="eastAsia" w:ascii="Times New Roman" w:hAnsi="Times New Roman"/>
          <w:color w:val="auto"/>
          <w:highlight w:val="none"/>
        </w:rPr>
        <w:t>发布公告的媒介</w:t>
      </w:r>
      <w:bookmarkEnd w:id="5"/>
    </w:p>
    <w:p>
      <w:pPr>
        <w:spacing w:line="400" w:lineRule="exact"/>
        <w:ind w:firstLine="420" w:firstLineChars="200"/>
        <w:rPr>
          <w:color w:val="auto"/>
          <w:szCs w:val="21"/>
          <w:highlight w:val="none"/>
        </w:rPr>
      </w:pPr>
      <w:r>
        <w:rPr>
          <w:rFonts w:hint="eastAsia" w:ascii="宋体" w:hAnsi="宋体"/>
          <w:color w:val="auto"/>
          <w:szCs w:val="21"/>
          <w:highlight w:val="none"/>
        </w:rPr>
        <w:t>本次招标公告同时在</w:t>
      </w:r>
      <w:r>
        <w:rPr>
          <w:rFonts w:hint="eastAsia" w:ascii="宋体" w:hAnsi="宋体"/>
          <w:color w:val="auto"/>
          <w:szCs w:val="21"/>
          <w:highlight w:val="none"/>
          <w:u w:val="single"/>
        </w:rPr>
        <w:t>广州公共资源交易中心（网址：http://www.gzggzy.cn）、中国招标投标公共服务平台（网址：http://www.cebpubservice.com/）、广东省招标投标监管网(网址：</w:t>
      </w:r>
      <w:r>
        <w:rPr>
          <w:rFonts w:ascii="宋体" w:hAnsi="宋体"/>
          <w:color w:val="auto"/>
          <w:szCs w:val="21"/>
          <w:highlight w:val="none"/>
          <w:u w:val="single"/>
        </w:rPr>
        <w:t>http://zbtb.gd.gov.cn</w:t>
      </w:r>
      <w:r>
        <w:rPr>
          <w:rFonts w:hint="eastAsia" w:ascii="宋体" w:hAnsi="宋体"/>
          <w:color w:val="auto"/>
          <w:szCs w:val="21"/>
          <w:highlight w:val="none"/>
          <w:u w:val="single"/>
        </w:rPr>
        <w:t>)</w:t>
      </w:r>
      <w:r>
        <w:rPr>
          <w:rFonts w:hint="eastAsia" w:ascii="宋体" w:hAnsi="宋体"/>
          <w:color w:val="auto"/>
          <w:szCs w:val="21"/>
          <w:highlight w:val="none"/>
        </w:rPr>
        <w:t>发布，本公告的修改、补充，在广州公共资源交易中心网站发布。本公告在各媒体发布的文本如有不同之处，以在广州公共资源交易中心网站发布的文本为准。</w:t>
      </w:r>
    </w:p>
    <w:p>
      <w:pPr>
        <w:pStyle w:val="2"/>
        <w:spacing w:line="240" w:lineRule="auto"/>
        <w:rPr>
          <w:rFonts w:ascii="Times New Roman" w:hAnsi="Times New Roman"/>
          <w:color w:val="auto"/>
          <w:highlight w:val="none"/>
        </w:rPr>
      </w:pPr>
      <w:bookmarkStart w:id="6" w:name="_Toc491883083"/>
      <w:r>
        <w:rPr>
          <w:rFonts w:hint="eastAsia" w:ascii="Times New Roman" w:hAnsi="Times New Roman"/>
          <w:color w:val="auto"/>
          <w:highlight w:val="none"/>
        </w:rPr>
        <w:t>7.</w:t>
      </w:r>
      <w:r>
        <w:rPr>
          <w:rFonts w:ascii="Times New Roman" w:hAnsi="Times New Roman"/>
          <w:color w:val="auto"/>
          <w:highlight w:val="none"/>
        </w:rPr>
        <w:t xml:space="preserve"> </w:t>
      </w:r>
      <w:r>
        <w:rPr>
          <w:rFonts w:hint="eastAsia" w:ascii="Times New Roman" w:hAnsi="Times New Roman"/>
          <w:color w:val="auto"/>
          <w:highlight w:val="none"/>
        </w:rPr>
        <w:t>联系方式</w:t>
      </w:r>
      <w:bookmarkEnd w:id="6"/>
    </w:p>
    <w:p>
      <w:pPr>
        <w:spacing w:line="400" w:lineRule="exact"/>
        <w:rPr>
          <w:rFonts w:ascii="宋体" w:hAnsi="宋体" w:cs="宋体"/>
          <w:color w:val="auto"/>
          <w:highlight w:val="none"/>
        </w:rPr>
      </w:pPr>
      <w:bookmarkStart w:id="7" w:name="_Toc247527535"/>
      <w:bookmarkEnd w:id="7"/>
      <w:bookmarkStart w:id="8" w:name="_Toc384308187"/>
      <w:bookmarkEnd w:id="8"/>
      <w:bookmarkStart w:id="9" w:name="_Toc247513934"/>
      <w:bookmarkEnd w:id="9"/>
      <w:bookmarkStart w:id="10" w:name="_Toc369531495"/>
      <w:bookmarkEnd w:id="10"/>
      <w:bookmarkStart w:id="11" w:name="_Toc352691455"/>
      <w:bookmarkEnd w:id="11"/>
      <w:bookmarkStart w:id="12" w:name="_Toc152042289"/>
      <w:bookmarkEnd w:id="12"/>
      <w:bookmarkStart w:id="13" w:name="_Toc369531497"/>
      <w:bookmarkEnd w:id="13"/>
      <w:bookmarkStart w:id="14" w:name="_Toc152042288"/>
      <w:bookmarkEnd w:id="14"/>
      <w:bookmarkStart w:id="15" w:name="_Toc17972"/>
      <w:bookmarkEnd w:id="15"/>
      <w:bookmarkStart w:id="16" w:name="_Toc361508563"/>
      <w:bookmarkEnd w:id="16"/>
      <w:bookmarkStart w:id="17" w:name="_Toc384308185"/>
      <w:bookmarkEnd w:id="17"/>
      <w:bookmarkStart w:id="18" w:name="_Toc247527536"/>
      <w:bookmarkEnd w:id="18"/>
      <w:bookmarkStart w:id="19" w:name="_Toc352691453"/>
      <w:bookmarkEnd w:id="19"/>
      <w:bookmarkStart w:id="20" w:name="_Toc152045512"/>
      <w:bookmarkEnd w:id="20"/>
      <w:bookmarkStart w:id="21" w:name="_Toc361508562"/>
      <w:bookmarkEnd w:id="21"/>
      <w:bookmarkStart w:id="22" w:name="_Toc144974481"/>
      <w:bookmarkEnd w:id="22"/>
      <w:bookmarkStart w:id="23" w:name="_Toc300834927"/>
      <w:bookmarkEnd w:id="23"/>
      <w:bookmarkStart w:id="24" w:name="_Toc247513935"/>
      <w:bookmarkEnd w:id="24"/>
      <w:bookmarkStart w:id="25" w:name="_Toc30817"/>
      <w:bookmarkEnd w:id="25"/>
      <w:bookmarkStart w:id="26" w:name="_Toc152045513"/>
      <w:bookmarkEnd w:id="26"/>
      <w:bookmarkStart w:id="27" w:name="_Toc352691456"/>
      <w:bookmarkEnd w:id="27"/>
      <w:bookmarkStart w:id="28" w:name="_Toc384308188"/>
      <w:bookmarkEnd w:id="28"/>
      <w:bookmarkStart w:id="29" w:name="_Toc300834929"/>
      <w:bookmarkEnd w:id="29"/>
      <w:bookmarkStart w:id="30" w:name="_Toc300834930"/>
      <w:bookmarkEnd w:id="30"/>
      <w:bookmarkStart w:id="31" w:name="_Toc369531498"/>
      <w:bookmarkEnd w:id="31"/>
      <w:bookmarkStart w:id="32" w:name="_Toc361508560"/>
      <w:bookmarkEnd w:id="32"/>
      <w:bookmarkStart w:id="33" w:name="_Toc144974480"/>
      <w:bookmarkEnd w:id="33"/>
      <w:bookmarkStart w:id="34" w:name="_Toc10785"/>
      <w:bookmarkEnd w:id="34"/>
      <w:r>
        <w:rPr>
          <w:rFonts w:hint="eastAsia" w:ascii="宋体" w:hAnsi="宋体" w:cs="宋体"/>
          <w:color w:val="auto"/>
          <w:highlight w:val="none"/>
        </w:rPr>
        <w:t>招  标  人：</w:t>
      </w:r>
      <w:r>
        <w:rPr>
          <w:rFonts w:hint="eastAsia" w:ascii="宋体" w:hAnsi="宋体" w:cs="宋体"/>
          <w:color w:val="auto"/>
          <w:highlight w:val="none"/>
          <w:u w:val="single"/>
        </w:rPr>
        <w:t>汕头市建安（集团）有限公司</w:t>
      </w:r>
    </w:p>
    <w:p>
      <w:pPr>
        <w:spacing w:line="400" w:lineRule="exact"/>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汕头市中山路167号建安大厦</w:t>
      </w:r>
    </w:p>
    <w:p>
      <w:pPr>
        <w:spacing w:line="400" w:lineRule="exact"/>
        <w:rPr>
          <w:rFonts w:ascii="宋体" w:hAnsi="宋体" w:cs="宋体"/>
          <w:color w:val="auto"/>
          <w:highlight w:val="none"/>
        </w:rPr>
      </w:pPr>
      <w:r>
        <w:rPr>
          <w:rFonts w:hint="eastAsia" w:ascii="宋体" w:hAnsi="宋体" w:cs="宋体"/>
          <w:color w:val="auto"/>
          <w:highlight w:val="none"/>
        </w:rPr>
        <w:t>联  系  人：</w:t>
      </w:r>
      <w:r>
        <w:rPr>
          <w:rFonts w:hint="eastAsia" w:ascii="宋体" w:hAnsi="宋体" w:cs="宋体"/>
          <w:color w:val="auto"/>
          <w:highlight w:val="none"/>
          <w:u w:val="single"/>
        </w:rPr>
        <w:t>潘工</w:t>
      </w:r>
    </w:p>
    <w:p>
      <w:pPr>
        <w:spacing w:line="400" w:lineRule="exact"/>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13902720041</w:t>
      </w:r>
    </w:p>
    <w:p>
      <w:pPr>
        <w:snapToGrid w:val="0"/>
        <w:spacing w:line="400" w:lineRule="exact"/>
        <w:rPr>
          <w:rFonts w:hint="eastAsia" w:ascii="宋体" w:hAnsi="宋体"/>
          <w:color w:val="auto"/>
          <w:szCs w:val="21"/>
          <w:highlight w:val="none"/>
        </w:rPr>
      </w:pPr>
    </w:p>
    <w:p>
      <w:pPr>
        <w:snapToGrid w:val="0"/>
        <w:spacing w:line="400" w:lineRule="exact"/>
        <w:rPr>
          <w:rFonts w:ascii="宋体" w:hAnsi="宋体"/>
          <w:color w:val="auto"/>
          <w:szCs w:val="21"/>
          <w:highlight w:val="none"/>
        </w:rPr>
      </w:pPr>
      <w:r>
        <w:rPr>
          <w:rFonts w:hint="eastAsia" w:ascii="宋体" w:hAnsi="宋体"/>
          <w:color w:val="auto"/>
          <w:szCs w:val="21"/>
          <w:highlight w:val="none"/>
        </w:rPr>
        <w:t>招标代理机构：</w:t>
      </w:r>
      <w:r>
        <w:rPr>
          <w:rFonts w:hint="eastAsia" w:ascii="宋体" w:hAnsi="宋体"/>
          <w:color w:val="auto"/>
          <w:highlight w:val="none"/>
          <w:u w:val="single"/>
        </w:rPr>
        <w:t xml:space="preserve">广东汇峰建设管理有限公司 </w:t>
      </w:r>
    </w:p>
    <w:p>
      <w:pPr>
        <w:snapToGrid w:val="0"/>
        <w:spacing w:line="400" w:lineRule="exac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highlight w:val="none"/>
          <w:u w:val="single"/>
        </w:rPr>
        <w:t>广州市荔湾区桥中中路165号7层711室</w:t>
      </w:r>
    </w:p>
    <w:p>
      <w:pPr>
        <w:snapToGrid w:val="0"/>
        <w:spacing w:line="400" w:lineRule="exact"/>
        <w:rPr>
          <w:rFonts w:ascii="宋体" w:hAnsi="宋体"/>
          <w:color w:val="auto"/>
          <w:highlight w:val="none"/>
          <w:u w:val="single"/>
        </w:rPr>
      </w:pPr>
      <w:r>
        <w:rPr>
          <w:rFonts w:hint="eastAsia" w:ascii="宋体" w:hAnsi="宋体"/>
          <w:color w:val="auto"/>
          <w:szCs w:val="21"/>
          <w:highlight w:val="none"/>
        </w:rPr>
        <w:t>邮编：</w:t>
      </w:r>
      <w:r>
        <w:rPr>
          <w:rFonts w:hint="eastAsia" w:ascii="宋体" w:hAnsi="宋体"/>
          <w:color w:val="auto"/>
          <w:highlight w:val="none"/>
          <w:u w:val="single"/>
        </w:rPr>
        <w:t>510000</w:t>
      </w:r>
    </w:p>
    <w:p>
      <w:pPr>
        <w:snapToGrid w:val="0"/>
        <w:spacing w:line="400" w:lineRule="exact"/>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刘工、</w:t>
      </w:r>
      <w:r>
        <w:rPr>
          <w:rFonts w:hint="eastAsia" w:ascii="宋体" w:hAnsi="宋体"/>
          <w:color w:val="auto"/>
          <w:szCs w:val="21"/>
          <w:highlight w:val="none"/>
          <w:u w:val="single"/>
          <w:lang w:eastAsia="zh-CN"/>
        </w:rPr>
        <w:t>黄</w:t>
      </w:r>
      <w:r>
        <w:rPr>
          <w:rFonts w:hint="eastAsia" w:ascii="宋体" w:hAnsi="宋体"/>
          <w:color w:val="auto"/>
          <w:szCs w:val="21"/>
          <w:highlight w:val="none"/>
          <w:u w:val="single"/>
        </w:rPr>
        <w:t>工</w:t>
      </w:r>
      <w:r>
        <w:rPr>
          <w:rFonts w:hint="eastAsia" w:ascii="宋体" w:hAnsi="宋体"/>
          <w:color w:val="auto"/>
          <w:highlight w:val="none"/>
          <w:u w:val="single"/>
        </w:rPr>
        <w:t xml:space="preserve"> </w:t>
      </w:r>
      <w:bookmarkStart w:id="35" w:name="_GoBack"/>
      <w:bookmarkEnd w:id="35"/>
    </w:p>
    <w:p>
      <w:pPr>
        <w:snapToGrid w:val="0"/>
        <w:spacing w:line="400" w:lineRule="exact"/>
        <w:rPr>
          <w:rFonts w:hint="eastAsia" w:ascii="宋体" w:hAnsi="宋体" w:eastAsia="宋体"/>
          <w:color w:val="auto"/>
          <w:highlight w:val="none"/>
          <w:u w:val="single"/>
          <w:lang w:eastAsia="zh-CN"/>
        </w:rPr>
      </w:pPr>
      <w:r>
        <w:rPr>
          <w:rFonts w:hint="eastAsia" w:ascii="宋体" w:hAnsi="宋体"/>
          <w:color w:val="auto"/>
          <w:szCs w:val="21"/>
          <w:highlight w:val="none"/>
        </w:rPr>
        <w:t>联系电话：</w:t>
      </w:r>
      <w:r>
        <w:rPr>
          <w:rFonts w:hint="eastAsia" w:ascii="宋体" w:hAnsi="宋体"/>
          <w:color w:val="auto"/>
          <w:highlight w:val="none"/>
          <w:u w:val="single"/>
          <w:lang w:eastAsia="zh-CN"/>
        </w:rPr>
        <w:t>020-81334054</w:t>
      </w:r>
    </w:p>
    <w:p>
      <w:pPr>
        <w:snapToGrid w:val="0"/>
        <w:spacing w:line="400" w:lineRule="exact"/>
        <w:rPr>
          <w:rFonts w:ascii="宋体" w:hAnsi="宋体"/>
          <w:color w:val="auto"/>
          <w:szCs w:val="21"/>
          <w:highlight w:val="none"/>
          <w:u w:val="single"/>
        </w:rPr>
      </w:pPr>
      <w:r>
        <w:rPr>
          <w:rFonts w:hint="eastAsia" w:ascii="宋体" w:hAnsi="宋体"/>
          <w:color w:val="auto"/>
          <w:szCs w:val="21"/>
          <w:highlight w:val="none"/>
        </w:rPr>
        <w:t>电子邮箱：</w:t>
      </w:r>
      <w:r>
        <w:rPr>
          <w:rFonts w:hint="eastAsia" w:ascii="宋体" w:hAnsi="宋体"/>
          <w:color w:val="auto"/>
          <w:highlight w:val="none"/>
          <w:u w:val="single"/>
        </w:rPr>
        <w:t>561888692@qq.com</w:t>
      </w:r>
    </w:p>
    <w:p>
      <w:pPr>
        <w:topLinePunct/>
        <w:snapToGrid w:val="0"/>
        <w:spacing w:line="400" w:lineRule="exact"/>
        <w:ind w:firstLine="420" w:firstLineChars="200"/>
        <w:rPr>
          <w:rFonts w:ascii="宋体" w:hAnsi="宋体"/>
          <w:color w:val="auto"/>
          <w:szCs w:val="21"/>
          <w:highlight w:val="none"/>
        </w:rPr>
      </w:pPr>
    </w:p>
    <w:p>
      <w:pPr>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p>
    <w:p>
      <w:pPr>
        <w:snapToGrid w:val="0"/>
        <w:spacing w:line="400" w:lineRule="exact"/>
        <w:rPr>
          <w:rFonts w:ascii="宋体" w:hAnsi="宋体" w:cs="宋体"/>
          <w:color w:val="auto"/>
          <w:highlight w:val="none"/>
          <w:u w:val="single"/>
        </w:rPr>
      </w:pPr>
      <w:r>
        <w:rPr>
          <w:rFonts w:hint="eastAsia" w:ascii="宋体" w:hAnsi="宋体"/>
          <w:color w:val="auto"/>
          <w:szCs w:val="21"/>
          <w:highlight w:val="none"/>
          <w:lang w:eastAsia="zh-CN"/>
        </w:rPr>
        <w:t>项目监督单位</w:t>
      </w:r>
      <w:r>
        <w:rPr>
          <w:rFonts w:hint="eastAsia" w:ascii="宋体" w:hAnsi="宋体"/>
          <w:color w:val="auto"/>
          <w:szCs w:val="21"/>
          <w:highlight w:val="none"/>
        </w:rPr>
        <w:t>名称：</w:t>
      </w:r>
      <w:r>
        <w:rPr>
          <w:rFonts w:hint="eastAsia" w:ascii="宋体" w:hAnsi="宋体" w:cs="宋体"/>
          <w:color w:val="auto"/>
          <w:highlight w:val="none"/>
          <w:u w:val="single"/>
        </w:rPr>
        <w:t>广州市白云区建设工程研究和招投标管理中心</w:t>
      </w:r>
    </w:p>
    <w:p>
      <w:pPr>
        <w:snapToGrid w:val="0"/>
        <w:spacing w:line="400" w:lineRule="exact"/>
        <w:rPr>
          <w:rFonts w:ascii="宋体" w:hAnsi="宋体" w:cs="宋体"/>
          <w:color w:val="auto"/>
          <w:highlight w:val="none"/>
          <w:u w:val="single"/>
        </w:rPr>
      </w:pPr>
      <w:r>
        <w:rPr>
          <w:rFonts w:hint="eastAsia" w:ascii="宋体" w:hAnsi="宋体"/>
          <w:color w:val="auto"/>
          <w:szCs w:val="21"/>
          <w:highlight w:val="none"/>
        </w:rPr>
        <w:t>邮政编码、地址：</w:t>
      </w:r>
      <w:r>
        <w:rPr>
          <w:rFonts w:hint="eastAsia" w:ascii="宋体" w:hAnsi="宋体" w:cs="宋体"/>
          <w:color w:val="auto"/>
          <w:highlight w:val="none"/>
          <w:u w:val="single"/>
        </w:rPr>
        <w:t>510405 广州市白云区大金钟路23号白云区住房和建设交通局二楼</w:t>
      </w:r>
    </w:p>
    <w:p>
      <w:pPr>
        <w:snapToGrid w:val="0"/>
        <w:spacing w:line="400" w:lineRule="exact"/>
        <w:rPr>
          <w:rFonts w:ascii="宋体" w:hAnsi="宋体" w:cs="宋体"/>
          <w:color w:val="auto"/>
          <w:highlight w:val="none"/>
          <w:u w:val="single"/>
        </w:rPr>
      </w:pPr>
      <w:r>
        <w:rPr>
          <w:rFonts w:hint="eastAsia" w:ascii="宋体" w:hAnsi="宋体"/>
          <w:color w:val="auto"/>
          <w:szCs w:val="21"/>
          <w:highlight w:val="none"/>
        </w:rPr>
        <w:t>电话号码：</w:t>
      </w:r>
      <w:r>
        <w:rPr>
          <w:rFonts w:hint="eastAsia" w:ascii="宋体" w:hAnsi="宋体" w:cs="宋体"/>
          <w:color w:val="auto"/>
          <w:highlight w:val="none"/>
          <w:u w:val="single"/>
        </w:rPr>
        <w:t>020-86210407、020-86212546</w:t>
      </w:r>
    </w:p>
    <w:p>
      <w:pPr>
        <w:spacing w:line="360" w:lineRule="auto"/>
        <w:rPr>
          <w:rFonts w:ascii="宋体" w:hAnsi="宋体" w:cs="宋体"/>
          <w:color w:val="auto"/>
          <w:szCs w:val="21"/>
          <w:highlight w:val="none"/>
        </w:rPr>
      </w:pPr>
      <w:r>
        <w:rPr>
          <w:rFonts w:hint="eastAsia" w:ascii="宋体" w:hAnsi="宋体"/>
          <w:color w:val="auto"/>
          <w:szCs w:val="21"/>
          <w:highlight w:val="none"/>
          <w:u w:val="single"/>
        </w:rPr>
        <w:br w:type="page"/>
      </w:r>
      <w:r>
        <w:rPr>
          <w:rFonts w:hint="eastAsia" w:ascii="宋体" w:hAnsi="宋体" w:cs="宋体"/>
          <w:color w:val="auto"/>
          <w:szCs w:val="21"/>
          <w:highlight w:val="none"/>
        </w:rPr>
        <w:t>附件一：</w:t>
      </w:r>
    </w:p>
    <w:p>
      <w:pPr>
        <w:jc w:val="center"/>
        <w:rPr>
          <w:b/>
          <w:color w:val="auto"/>
          <w:sz w:val="30"/>
          <w:szCs w:val="30"/>
          <w:highlight w:val="none"/>
        </w:rPr>
      </w:pPr>
      <w:r>
        <w:rPr>
          <w:rFonts w:hint="eastAsia"/>
          <w:b/>
          <w:color w:val="auto"/>
          <w:sz w:val="30"/>
          <w:szCs w:val="30"/>
          <w:highlight w:val="none"/>
        </w:rPr>
        <w:t>投标申请人声明</w:t>
      </w:r>
    </w:p>
    <w:p>
      <w:pPr>
        <w:widowControl/>
        <w:adjustRightInd w:val="0"/>
        <w:snapToGrid w:val="0"/>
        <w:spacing w:before="260" w:after="260" w:line="360" w:lineRule="auto"/>
        <w:ind w:right="384"/>
        <w:jc w:val="left"/>
        <w:rPr>
          <w:rFonts w:ascii="宋体" w:hAnsi="宋体" w:cs="宋体"/>
          <w:color w:val="auto"/>
          <w:sz w:val="24"/>
          <w:highlight w:val="none"/>
        </w:rPr>
      </w:pPr>
      <w:r>
        <w:rPr>
          <w:rFonts w:hint="eastAsia" w:ascii="宋体" w:hAnsi="宋体" w:cs="宋体"/>
          <w:color w:val="auto"/>
          <w:sz w:val="24"/>
          <w:highlight w:val="none"/>
        </w:rPr>
        <w:t>广州市住房和城乡建设局、汕头市建安（集团）有限公司：</w:t>
      </w:r>
    </w:p>
    <w:p>
      <w:pPr>
        <w:widowControl/>
        <w:adjustRightInd w:val="0"/>
        <w:snapToGrid w:val="0"/>
        <w:spacing w:line="360" w:lineRule="auto"/>
        <w:ind w:right="386"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本公司就参加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项目投标工作，作出郑重声明：</w:t>
      </w:r>
    </w:p>
    <w:p>
      <w:pPr>
        <w:widowControl/>
        <w:adjustRightInd w:val="0"/>
        <w:snapToGrid w:val="0"/>
        <w:spacing w:line="360" w:lineRule="auto"/>
        <w:ind w:right="386" w:firstLine="480" w:firstLineChars="200"/>
        <w:jc w:val="left"/>
        <w:rPr>
          <w:rFonts w:ascii="宋体" w:hAnsi="宋体" w:cs="宋体"/>
          <w:color w:val="auto"/>
          <w:sz w:val="24"/>
          <w:highlight w:val="none"/>
        </w:rPr>
      </w:pPr>
      <w:r>
        <w:rPr>
          <w:rFonts w:hint="eastAsia" w:ascii="宋体" w:hAnsi="宋体" w:cs="宋体"/>
          <w:color w:val="auto"/>
          <w:sz w:val="24"/>
          <w:highlight w:val="none"/>
        </w:rPr>
        <w:t>一、本公司保证递交投标文件材料及其后提供的一切材料都是真实的。如我司成为本项目中标候选人，我司同意并授权招标人将我司投标文件商务部分的人员、业绩、奖项等资料进行公开。</w:t>
      </w:r>
    </w:p>
    <w:p>
      <w:pPr>
        <w:widowControl/>
        <w:adjustRightInd w:val="0"/>
        <w:snapToGrid w:val="0"/>
        <w:spacing w:line="360" w:lineRule="auto"/>
        <w:ind w:right="386" w:firstLine="480" w:firstLineChars="200"/>
        <w:jc w:val="left"/>
        <w:rPr>
          <w:rFonts w:ascii="宋体" w:hAnsi="宋体" w:cs="宋体"/>
          <w:color w:val="auto"/>
          <w:sz w:val="24"/>
          <w:highlight w:val="none"/>
        </w:rPr>
      </w:pPr>
      <w:r>
        <w:rPr>
          <w:rFonts w:hint="eastAsia" w:ascii="宋体" w:hAnsi="宋体" w:cs="宋体"/>
          <w:color w:val="auto"/>
          <w:sz w:val="24"/>
          <w:highlight w:val="none"/>
        </w:rPr>
        <w:t>二、本公司保证不与其他单位围标、串标，不出让投标资格，不向招标人或评标委员会成员行贿。</w:t>
      </w:r>
    </w:p>
    <w:p>
      <w:pPr>
        <w:widowControl/>
        <w:adjustRightInd w:val="0"/>
        <w:snapToGrid w:val="0"/>
        <w:spacing w:line="360" w:lineRule="auto"/>
        <w:ind w:right="386" w:firstLine="480" w:firstLineChars="200"/>
        <w:jc w:val="left"/>
        <w:rPr>
          <w:rFonts w:ascii="宋体" w:hAnsi="宋体" w:cs="宋体"/>
          <w:color w:val="auto"/>
          <w:sz w:val="24"/>
          <w:highlight w:val="none"/>
        </w:rPr>
      </w:pPr>
      <w:r>
        <w:rPr>
          <w:rFonts w:hint="eastAsia" w:ascii="宋体" w:hAnsi="宋体" w:cs="宋体"/>
          <w:color w:val="auto"/>
          <w:sz w:val="24"/>
          <w:highlight w:val="none"/>
        </w:rPr>
        <w:t>三、本公司不存在招标文件第二章投标人须知第1.4.3项所规定的任何一种情形。</w:t>
      </w:r>
    </w:p>
    <w:p>
      <w:pPr>
        <w:widowControl/>
        <w:adjustRightInd w:val="0"/>
        <w:snapToGrid w:val="0"/>
        <w:spacing w:line="360" w:lineRule="auto"/>
        <w:ind w:right="386" w:firstLine="480" w:firstLineChars="200"/>
        <w:jc w:val="left"/>
        <w:rPr>
          <w:rFonts w:ascii="宋体" w:hAnsi="宋体" w:cs="宋体"/>
          <w:color w:val="auto"/>
          <w:sz w:val="24"/>
          <w:highlight w:val="none"/>
        </w:rPr>
      </w:pPr>
      <w:r>
        <w:rPr>
          <w:rFonts w:hint="eastAsia" w:ascii="宋体" w:hAnsi="宋体" w:cs="宋体"/>
          <w:color w:val="auto"/>
          <w:sz w:val="24"/>
          <w:highlight w:val="none"/>
        </w:rPr>
        <w:t>四、本公司及其有隶属关系的机构，没有参加本项目招标文件的编写工作；本公司与本次招标的招标代理机构没有隶属关系或其他利害关系。没有参加本项目的设计、前期工作、招标文件编写及监理工作；本公司与承担本招标项目监理、检测业务的单位没有隶属关系或其他利害关系。</w:t>
      </w:r>
    </w:p>
    <w:p>
      <w:pPr>
        <w:widowControl/>
        <w:adjustRightInd w:val="0"/>
        <w:snapToGrid w:val="0"/>
        <w:spacing w:line="360" w:lineRule="auto"/>
        <w:ind w:right="386" w:firstLine="480" w:firstLineChars="200"/>
        <w:jc w:val="left"/>
        <w:rPr>
          <w:rFonts w:ascii="宋体" w:hAnsi="宋体" w:cs="宋体"/>
          <w:color w:val="auto"/>
          <w:sz w:val="24"/>
          <w:highlight w:val="none"/>
        </w:rPr>
      </w:pPr>
      <w:r>
        <w:rPr>
          <w:rFonts w:hint="eastAsia" w:ascii="宋体" w:hAnsi="宋体" w:cs="宋体"/>
          <w:color w:val="auto"/>
          <w:sz w:val="24"/>
          <w:highlight w:val="none"/>
        </w:rPr>
        <w:t>五、本公司承诺，中标后严格执行安全生产相关管理规定。</w:t>
      </w:r>
    </w:p>
    <w:p>
      <w:pPr>
        <w:widowControl/>
        <w:adjustRightInd w:val="0"/>
        <w:snapToGrid w:val="0"/>
        <w:spacing w:line="360" w:lineRule="auto"/>
        <w:ind w:right="386" w:firstLine="480" w:firstLineChars="200"/>
        <w:jc w:val="left"/>
        <w:rPr>
          <w:rFonts w:ascii="宋体" w:hAnsi="宋体" w:cs="宋体"/>
          <w:color w:val="auto"/>
          <w:sz w:val="24"/>
          <w:highlight w:val="none"/>
        </w:rPr>
      </w:pPr>
      <w:r>
        <w:rPr>
          <w:rFonts w:hint="eastAsia" w:ascii="宋体" w:hAnsi="宋体" w:cs="宋体"/>
          <w:color w:val="auto"/>
          <w:sz w:val="24"/>
          <w:highlight w:val="none"/>
        </w:rPr>
        <w:t>本公司违反上述保证，或本声明陈述与事实不符，经查实，本公司愿意接受公开通报，承担由此带来的法律后果，并自愿停止参加广州市行政辖区内的招标投标活动三个月。</w:t>
      </w:r>
    </w:p>
    <w:p>
      <w:pPr>
        <w:widowControl/>
        <w:adjustRightInd w:val="0"/>
        <w:snapToGrid w:val="0"/>
        <w:spacing w:before="260" w:after="260" w:line="360" w:lineRule="auto"/>
        <w:ind w:right="384" w:firstLine="480" w:firstLineChars="200"/>
        <w:jc w:val="left"/>
        <w:rPr>
          <w:rFonts w:ascii="宋体" w:hAnsi="宋体" w:cs="宋体"/>
          <w:color w:val="auto"/>
          <w:sz w:val="24"/>
          <w:highlight w:val="none"/>
        </w:rPr>
      </w:pPr>
      <w:r>
        <w:rPr>
          <w:rFonts w:hint="eastAsia" w:ascii="宋体" w:hAnsi="宋体" w:cs="宋体"/>
          <w:color w:val="auto"/>
          <w:sz w:val="24"/>
          <w:highlight w:val="none"/>
        </w:rPr>
        <w:t>特此声明。</w:t>
      </w:r>
    </w:p>
    <w:p>
      <w:pPr>
        <w:widowControl/>
        <w:adjustRightInd w:val="0"/>
        <w:snapToGrid w:val="0"/>
        <w:spacing w:line="360" w:lineRule="auto"/>
        <w:ind w:right="384"/>
        <w:jc w:val="center"/>
        <w:rPr>
          <w:rFonts w:ascii="宋体" w:hAnsi="宋体" w:cs="宋体"/>
          <w:color w:val="auto"/>
          <w:sz w:val="24"/>
          <w:highlight w:val="none"/>
        </w:rPr>
      </w:pPr>
      <w:r>
        <w:rPr>
          <w:rFonts w:hint="eastAsia" w:ascii="宋体" w:hAnsi="宋体" w:cs="宋体"/>
          <w:color w:val="auto"/>
          <w:sz w:val="24"/>
          <w:highlight w:val="none"/>
        </w:rPr>
        <w:t>投标单位（盖公章）：</w:t>
      </w:r>
    </w:p>
    <w:p>
      <w:pPr>
        <w:widowControl/>
        <w:adjustRightInd w:val="0"/>
        <w:snapToGrid w:val="0"/>
        <w:spacing w:line="360" w:lineRule="auto"/>
        <w:ind w:right="384" w:firstLine="960" w:firstLineChars="400"/>
        <w:rPr>
          <w:rFonts w:ascii="宋体" w:hAnsi="宋体" w:cs="宋体"/>
          <w:color w:val="auto"/>
          <w:sz w:val="24"/>
          <w:highlight w:val="none"/>
        </w:rPr>
      </w:pPr>
      <w:r>
        <w:rPr>
          <w:rFonts w:hint="eastAsia" w:ascii="宋体" w:hAnsi="宋体" w:cs="宋体"/>
          <w:color w:val="auto"/>
          <w:sz w:val="24"/>
          <w:highlight w:val="none"/>
        </w:rPr>
        <w:t>法定代表人或授权委托人（签名或盖章）：</w:t>
      </w:r>
    </w:p>
    <w:p>
      <w:pPr>
        <w:widowControl/>
        <w:adjustRightInd w:val="0"/>
        <w:snapToGrid w:val="0"/>
        <w:spacing w:line="360" w:lineRule="auto"/>
        <w:ind w:left="283" w:leftChars="135" w:right="480" w:rightChars="229" w:firstLine="426"/>
        <w:jc w:val="center"/>
        <w:rPr>
          <w:rFonts w:ascii="宋体" w:hAnsi="宋体" w:cs="宋体"/>
          <w:color w:val="auto"/>
          <w:sz w:val="24"/>
          <w:highlight w:val="none"/>
        </w:rPr>
      </w:pPr>
      <w:r>
        <w:rPr>
          <w:rFonts w:hint="eastAsia" w:ascii="宋体" w:hAnsi="宋体" w:cs="宋体"/>
          <w:color w:val="auto"/>
          <w:sz w:val="24"/>
          <w:highlight w:val="none"/>
        </w:rPr>
        <w:t>日期：     年   月   日</w:t>
      </w:r>
    </w:p>
    <w:p>
      <w:pPr>
        <w:pStyle w:val="16"/>
        <w:ind w:firstLine="560"/>
        <w:rPr>
          <w:color w:val="auto"/>
          <w:highlight w:val="none"/>
        </w:rPr>
      </w:pPr>
    </w:p>
    <w:sectPr>
      <w:footerReference r:id="rId4" w:type="first"/>
      <w:footerReference r:id="rId3" w:type="default"/>
      <w:type w:val="continuous"/>
      <w:pgSz w:w="11906" w:h="16838"/>
      <w:pgMar w:top="1276" w:right="1417" w:bottom="1440" w:left="1559" w:header="851" w:footer="992" w:gutter="0"/>
      <w:cols w:space="720" w:num="1"/>
      <w:titlePg/>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6</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4"/>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9"/>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MmQ0Zjc2OTM4ZjJlMDI4ZjA2NzAwNGRiOWE1ODQifQ=="/>
  </w:docVars>
  <w:rsids>
    <w:rsidRoot w:val="00172A27"/>
    <w:rsid w:val="00006E00"/>
    <w:rsid w:val="00014F7A"/>
    <w:rsid w:val="00025E16"/>
    <w:rsid w:val="0004444E"/>
    <w:rsid w:val="0005665E"/>
    <w:rsid w:val="000576E0"/>
    <w:rsid w:val="00061F1D"/>
    <w:rsid w:val="00077881"/>
    <w:rsid w:val="000A18F6"/>
    <w:rsid w:val="000A472F"/>
    <w:rsid w:val="000A5690"/>
    <w:rsid w:val="000B75DE"/>
    <w:rsid w:val="000B7D8E"/>
    <w:rsid w:val="000D44AA"/>
    <w:rsid w:val="000D76CF"/>
    <w:rsid w:val="000E0F78"/>
    <w:rsid w:val="000E4EE1"/>
    <w:rsid w:val="000F4700"/>
    <w:rsid w:val="0010288F"/>
    <w:rsid w:val="00136BB9"/>
    <w:rsid w:val="00150DCC"/>
    <w:rsid w:val="001563D7"/>
    <w:rsid w:val="00172A27"/>
    <w:rsid w:val="001766B3"/>
    <w:rsid w:val="001B5CAB"/>
    <w:rsid w:val="001D292E"/>
    <w:rsid w:val="001D7172"/>
    <w:rsid w:val="001E23BF"/>
    <w:rsid w:val="0021149F"/>
    <w:rsid w:val="002125D3"/>
    <w:rsid w:val="00214DCE"/>
    <w:rsid w:val="002207CA"/>
    <w:rsid w:val="0023028A"/>
    <w:rsid w:val="00233A8B"/>
    <w:rsid w:val="00241472"/>
    <w:rsid w:val="00242AED"/>
    <w:rsid w:val="00247D43"/>
    <w:rsid w:val="00267227"/>
    <w:rsid w:val="0027273B"/>
    <w:rsid w:val="00286910"/>
    <w:rsid w:val="0029679E"/>
    <w:rsid w:val="002A3345"/>
    <w:rsid w:val="002B7BA2"/>
    <w:rsid w:val="002C4F96"/>
    <w:rsid w:val="002E2859"/>
    <w:rsid w:val="002E3364"/>
    <w:rsid w:val="002F3D3C"/>
    <w:rsid w:val="00302C78"/>
    <w:rsid w:val="00316278"/>
    <w:rsid w:val="003211F5"/>
    <w:rsid w:val="00330F68"/>
    <w:rsid w:val="00341718"/>
    <w:rsid w:val="00346D29"/>
    <w:rsid w:val="00363616"/>
    <w:rsid w:val="00375A79"/>
    <w:rsid w:val="00386604"/>
    <w:rsid w:val="00397D60"/>
    <w:rsid w:val="003A1A4E"/>
    <w:rsid w:val="003B1193"/>
    <w:rsid w:val="003B2D2B"/>
    <w:rsid w:val="003B547E"/>
    <w:rsid w:val="003C51EC"/>
    <w:rsid w:val="003D597B"/>
    <w:rsid w:val="00404D09"/>
    <w:rsid w:val="004204DD"/>
    <w:rsid w:val="004340F8"/>
    <w:rsid w:val="00436B0B"/>
    <w:rsid w:val="00436CAF"/>
    <w:rsid w:val="00443B74"/>
    <w:rsid w:val="004541F1"/>
    <w:rsid w:val="00454B85"/>
    <w:rsid w:val="00454CC9"/>
    <w:rsid w:val="0046462A"/>
    <w:rsid w:val="00464BC0"/>
    <w:rsid w:val="0047369D"/>
    <w:rsid w:val="004801CC"/>
    <w:rsid w:val="004805FF"/>
    <w:rsid w:val="004B5C6F"/>
    <w:rsid w:val="004F192A"/>
    <w:rsid w:val="004F2C1C"/>
    <w:rsid w:val="004F3427"/>
    <w:rsid w:val="004F6686"/>
    <w:rsid w:val="00515F72"/>
    <w:rsid w:val="00520D9E"/>
    <w:rsid w:val="0053345C"/>
    <w:rsid w:val="0053391F"/>
    <w:rsid w:val="005404C2"/>
    <w:rsid w:val="00543C8C"/>
    <w:rsid w:val="00576BF2"/>
    <w:rsid w:val="00592D5D"/>
    <w:rsid w:val="005942FD"/>
    <w:rsid w:val="005A1B18"/>
    <w:rsid w:val="005C155A"/>
    <w:rsid w:val="005C363E"/>
    <w:rsid w:val="005C5A46"/>
    <w:rsid w:val="005E5370"/>
    <w:rsid w:val="006052A7"/>
    <w:rsid w:val="006229C8"/>
    <w:rsid w:val="00625A27"/>
    <w:rsid w:val="006668BE"/>
    <w:rsid w:val="006818E2"/>
    <w:rsid w:val="006A33BC"/>
    <w:rsid w:val="006B6B57"/>
    <w:rsid w:val="006E0E3D"/>
    <w:rsid w:val="0070294C"/>
    <w:rsid w:val="007169E2"/>
    <w:rsid w:val="00751094"/>
    <w:rsid w:val="00760DDD"/>
    <w:rsid w:val="007613D6"/>
    <w:rsid w:val="00761CA9"/>
    <w:rsid w:val="00762D98"/>
    <w:rsid w:val="007A63FF"/>
    <w:rsid w:val="007C4CA0"/>
    <w:rsid w:val="007C561D"/>
    <w:rsid w:val="007E2B11"/>
    <w:rsid w:val="007F5E66"/>
    <w:rsid w:val="00803060"/>
    <w:rsid w:val="00803654"/>
    <w:rsid w:val="0080769B"/>
    <w:rsid w:val="00827995"/>
    <w:rsid w:val="00857A4D"/>
    <w:rsid w:val="0088060A"/>
    <w:rsid w:val="008B19B5"/>
    <w:rsid w:val="008C3C07"/>
    <w:rsid w:val="008E35C0"/>
    <w:rsid w:val="008E4FD7"/>
    <w:rsid w:val="008F209E"/>
    <w:rsid w:val="008F58DB"/>
    <w:rsid w:val="0090619E"/>
    <w:rsid w:val="009108A4"/>
    <w:rsid w:val="0091569A"/>
    <w:rsid w:val="00927CE0"/>
    <w:rsid w:val="00941076"/>
    <w:rsid w:val="00943E52"/>
    <w:rsid w:val="00943FB9"/>
    <w:rsid w:val="00953B2B"/>
    <w:rsid w:val="0096097E"/>
    <w:rsid w:val="00963A36"/>
    <w:rsid w:val="00966C97"/>
    <w:rsid w:val="009703CF"/>
    <w:rsid w:val="00985BE1"/>
    <w:rsid w:val="009A7F2F"/>
    <w:rsid w:val="009D7AD8"/>
    <w:rsid w:val="009F14C7"/>
    <w:rsid w:val="00A05B5F"/>
    <w:rsid w:val="00A258C0"/>
    <w:rsid w:val="00A44FBC"/>
    <w:rsid w:val="00A45B54"/>
    <w:rsid w:val="00A5169B"/>
    <w:rsid w:val="00A761FB"/>
    <w:rsid w:val="00A96894"/>
    <w:rsid w:val="00B02704"/>
    <w:rsid w:val="00B21660"/>
    <w:rsid w:val="00B34CE3"/>
    <w:rsid w:val="00B35AF4"/>
    <w:rsid w:val="00B37291"/>
    <w:rsid w:val="00B45BFC"/>
    <w:rsid w:val="00B5321A"/>
    <w:rsid w:val="00B562F0"/>
    <w:rsid w:val="00B60B75"/>
    <w:rsid w:val="00B62A69"/>
    <w:rsid w:val="00B65FBB"/>
    <w:rsid w:val="00B70C9D"/>
    <w:rsid w:val="00B82B67"/>
    <w:rsid w:val="00BA1EB5"/>
    <w:rsid w:val="00BB4878"/>
    <w:rsid w:val="00BB7B87"/>
    <w:rsid w:val="00BD096E"/>
    <w:rsid w:val="00BE0801"/>
    <w:rsid w:val="00BE1AE2"/>
    <w:rsid w:val="00BF7471"/>
    <w:rsid w:val="00C12199"/>
    <w:rsid w:val="00C25D8E"/>
    <w:rsid w:val="00C513DF"/>
    <w:rsid w:val="00C55106"/>
    <w:rsid w:val="00C63A4C"/>
    <w:rsid w:val="00C71AB1"/>
    <w:rsid w:val="00C71B0B"/>
    <w:rsid w:val="00C85A7E"/>
    <w:rsid w:val="00C92BF6"/>
    <w:rsid w:val="00CA7DD8"/>
    <w:rsid w:val="00CB0E77"/>
    <w:rsid w:val="00CC6E3C"/>
    <w:rsid w:val="00CC770E"/>
    <w:rsid w:val="00CE3676"/>
    <w:rsid w:val="00CE4B66"/>
    <w:rsid w:val="00CF12E4"/>
    <w:rsid w:val="00D01616"/>
    <w:rsid w:val="00D05393"/>
    <w:rsid w:val="00D053F7"/>
    <w:rsid w:val="00D171DF"/>
    <w:rsid w:val="00D23EF0"/>
    <w:rsid w:val="00D428E0"/>
    <w:rsid w:val="00D6776F"/>
    <w:rsid w:val="00D821FD"/>
    <w:rsid w:val="00D929FD"/>
    <w:rsid w:val="00D941EB"/>
    <w:rsid w:val="00D96128"/>
    <w:rsid w:val="00DB1C7B"/>
    <w:rsid w:val="00DC0C9E"/>
    <w:rsid w:val="00DC20EB"/>
    <w:rsid w:val="00DC5EEC"/>
    <w:rsid w:val="00DD4A29"/>
    <w:rsid w:val="00DE1E57"/>
    <w:rsid w:val="00E0529F"/>
    <w:rsid w:val="00E349EE"/>
    <w:rsid w:val="00E6661A"/>
    <w:rsid w:val="00E770B3"/>
    <w:rsid w:val="00E87EF4"/>
    <w:rsid w:val="00E87F72"/>
    <w:rsid w:val="00EB579D"/>
    <w:rsid w:val="00EC52DB"/>
    <w:rsid w:val="00EF03CA"/>
    <w:rsid w:val="00F00E54"/>
    <w:rsid w:val="00F16149"/>
    <w:rsid w:val="00F36D45"/>
    <w:rsid w:val="00F47147"/>
    <w:rsid w:val="00F532C4"/>
    <w:rsid w:val="00F7314D"/>
    <w:rsid w:val="00F926CB"/>
    <w:rsid w:val="00FA3CB1"/>
    <w:rsid w:val="00FB0DE4"/>
    <w:rsid w:val="00FB69BC"/>
    <w:rsid w:val="00FC02F7"/>
    <w:rsid w:val="00FE21B2"/>
    <w:rsid w:val="00FE37F4"/>
    <w:rsid w:val="00FF6C4D"/>
    <w:rsid w:val="01145609"/>
    <w:rsid w:val="013712F7"/>
    <w:rsid w:val="016E2F6B"/>
    <w:rsid w:val="01A664FF"/>
    <w:rsid w:val="01D90247"/>
    <w:rsid w:val="02753E85"/>
    <w:rsid w:val="028E3199"/>
    <w:rsid w:val="03CF3A69"/>
    <w:rsid w:val="04812FB5"/>
    <w:rsid w:val="04A06991"/>
    <w:rsid w:val="04A479A5"/>
    <w:rsid w:val="04EA63B9"/>
    <w:rsid w:val="0523406D"/>
    <w:rsid w:val="063127B9"/>
    <w:rsid w:val="069F7723"/>
    <w:rsid w:val="06BC6527"/>
    <w:rsid w:val="074455B7"/>
    <w:rsid w:val="077D7508"/>
    <w:rsid w:val="07EC4BEA"/>
    <w:rsid w:val="08196BB2"/>
    <w:rsid w:val="08CB2A51"/>
    <w:rsid w:val="08D5163E"/>
    <w:rsid w:val="0966277A"/>
    <w:rsid w:val="098F7F23"/>
    <w:rsid w:val="09C37BCC"/>
    <w:rsid w:val="09F54E33"/>
    <w:rsid w:val="0A4D7496"/>
    <w:rsid w:val="0A636CB9"/>
    <w:rsid w:val="0A71587A"/>
    <w:rsid w:val="0B41524D"/>
    <w:rsid w:val="0C344DB1"/>
    <w:rsid w:val="0C4D7C21"/>
    <w:rsid w:val="0C6C62F9"/>
    <w:rsid w:val="0E5D49AC"/>
    <w:rsid w:val="0EAD49A7"/>
    <w:rsid w:val="0EC75A69"/>
    <w:rsid w:val="0ED939EE"/>
    <w:rsid w:val="0F327E23"/>
    <w:rsid w:val="0F706100"/>
    <w:rsid w:val="0FEB1C2B"/>
    <w:rsid w:val="10394744"/>
    <w:rsid w:val="103B157F"/>
    <w:rsid w:val="107439CE"/>
    <w:rsid w:val="10C83D1A"/>
    <w:rsid w:val="11A16DAA"/>
    <w:rsid w:val="12AF5192"/>
    <w:rsid w:val="12B10F0A"/>
    <w:rsid w:val="12BC78AF"/>
    <w:rsid w:val="13623FB2"/>
    <w:rsid w:val="13652C44"/>
    <w:rsid w:val="13FC4407"/>
    <w:rsid w:val="145450CB"/>
    <w:rsid w:val="14677E97"/>
    <w:rsid w:val="14740A1B"/>
    <w:rsid w:val="14926B19"/>
    <w:rsid w:val="15095C93"/>
    <w:rsid w:val="15C7278E"/>
    <w:rsid w:val="1628227E"/>
    <w:rsid w:val="166E0EC0"/>
    <w:rsid w:val="16CA259A"/>
    <w:rsid w:val="17285F09"/>
    <w:rsid w:val="175D340E"/>
    <w:rsid w:val="176F4EEF"/>
    <w:rsid w:val="17B277B1"/>
    <w:rsid w:val="17D55554"/>
    <w:rsid w:val="17EF6030"/>
    <w:rsid w:val="18137F71"/>
    <w:rsid w:val="183D0B4A"/>
    <w:rsid w:val="18534811"/>
    <w:rsid w:val="18842C1C"/>
    <w:rsid w:val="18DA6CE0"/>
    <w:rsid w:val="18DC4807"/>
    <w:rsid w:val="193463F1"/>
    <w:rsid w:val="1B1E1106"/>
    <w:rsid w:val="1BEF65FF"/>
    <w:rsid w:val="1C13053F"/>
    <w:rsid w:val="1C3F4120"/>
    <w:rsid w:val="1CC23D13"/>
    <w:rsid w:val="1CD35F20"/>
    <w:rsid w:val="1CE95744"/>
    <w:rsid w:val="1D1A3B4F"/>
    <w:rsid w:val="1D2F2137"/>
    <w:rsid w:val="1D3E783E"/>
    <w:rsid w:val="1D6D3C7F"/>
    <w:rsid w:val="1D9E02DC"/>
    <w:rsid w:val="1DE55F0B"/>
    <w:rsid w:val="1E8F0A9D"/>
    <w:rsid w:val="1F182311"/>
    <w:rsid w:val="1F8B4890"/>
    <w:rsid w:val="1FAD508A"/>
    <w:rsid w:val="1FF57F5C"/>
    <w:rsid w:val="2008755B"/>
    <w:rsid w:val="20541126"/>
    <w:rsid w:val="20670E5A"/>
    <w:rsid w:val="20825C93"/>
    <w:rsid w:val="20FA3A7C"/>
    <w:rsid w:val="215533A8"/>
    <w:rsid w:val="21A75B1B"/>
    <w:rsid w:val="21BF6A73"/>
    <w:rsid w:val="21DC13D3"/>
    <w:rsid w:val="227B47E9"/>
    <w:rsid w:val="229C3803"/>
    <w:rsid w:val="23256DAA"/>
    <w:rsid w:val="236553F8"/>
    <w:rsid w:val="237044C9"/>
    <w:rsid w:val="239D5014"/>
    <w:rsid w:val="23DF48C1"/>
    <w:rsid w:val="24D04A1F"/>
    <w:rsid w:val="2521351A"/>
    <w:rsid w:val="27005B64"/>
    <w:rsid w:val="270A69E3"/>
    <w:rsid w:val="27473793"/>
    <w:rsid w:val="275861A1"/>
    <w:rsid w:val="2769195B"/>
    <w:rsid w:val="27710511"/>
    <w:rsid w:val="27A372B8"/>
    <w:rsid w:val="27DB3EDB"/>
    <w:rsid w:val="292F0982"/>
    <w:rsid w:val="29B50E88"/>
    <w:rsid w:val="29D05CC2"/>
    <w:rsid w:val="29F319B0"/>
    <w:rsid w:val="2A153119"/>
    <w:rsid w:val="2AD326D2"/>
    <w:rsid w:val="2B117A63"/>
    <w:rsid w:val="2B5841C1"/>
    <w:rsid w:val="2B9B2F24"/>
    <w:rsid w:val="2BCE7FDF"/>
    <w:rsid w:val="2BE45A54"/>
    <w:rsid w:val="2CBE2B48"/>
    <w:rsid w:val="2CD77367"/>
    <w:rsid w:val="2D145EC5"/>
    <w:rsid w:val="2D5704A8"/>
    <w:rsid w:val="2E813A2E"/>
    <w:rsid w:val="2E933762"/>
    <w:rsid w:val="2E9C2616"/>
    <w:rsid w:val="2F034443"/>
    <w:rsid w:val="2F0B779C"/>
    <w:rsid w:val="2F4607D4"/>
    <w:rsid w:val="2FC82F97"/>
    <w:rsid w:val="2FD8767E"/>
    <w:rsid w:val="2FEA73B1"/>
    <w:rsid w:val="302723B3"/>
    <w:rsid w:val="303D581D"/>
    <w:rsid w:val="30FC025D"/>
    <w:rsid w:val="312608BD"/>
    <w:rsid w:val="315076E8"/>
    <w:rsid w:val="31B23EFF"/>
    <w:rsid w:val="31C3435E"/>
    <w:rsid w:val="31CF699A"/>
    <w:rsid w:val="33114C55"/>
    <w:rsid w:val="334E5EA9"/>
    <w:rsid w:val="33C148CD"/>
    <w:rsid w:val="33DB598F"/>
    <w:rsid w:val="34022105"/>
    <w:rsid w:val="344824D2"/>
    <w:rsid w:val="34C957E7"/>
    <w:rsid w:val="34DA3E98"/>
    <w:rsid w:val="34F950F2"/>
    <w:rsid w:val="35C83CF1"/>
    <w:rsid w:val="360C62D3"/>
    <w:rsid w:val="365B4B65"/>
    <w:rsid w:val="371B2546"/>
    <w:rsid w:val="373158C6"/>
    <w:rsid w:val="37A12A4B"/>
    <w:rsid w:val="37ED1BC0"/>
    <w:rsid w:val="38434AA9"/>
    <w:rsid w:val="38A10829"/>
    <w:rsid w:val="38A41314"/>
    <w:rsid w:val="39627FB8"/>
    <w:rsid w:val="39904B26"/>
    <w:rsid w:val="39DC420F"/>
    <w:rsid w:val="3AEC222F"/>
    <w:rsid w:val="3AEE10B4"/>
    <w:rsid w:val="3BFC000E"/>
    <w:rsid w:val="3C0B0CA5"/>
    <w:rsid w:val="3C135179"/>
    <w:rsid w:val="3CE755AC"/>
    <w:rsid w:val="3D2C1009"/>
    <w:rsid w:val="3D3A1978"/>
    <w:rsid w:val="3D7F382F"/>
    <w:rsid w:val="3D8A6899"/>
    <w:rsid w:val="3DA5093C"/>
    <w:rsid w:val="3DCA461D"/>
    <w:rsid w:val="3E3A7756"/>
    <w:rsid w:val="3E747931"/>
    <w:rsid w:val="3EBA43F3"/>
    <w:rsid w:val="3F0B46C8"/>
    <w:rsid w:val="3F7177CA"/>
    <w:rsid w:val="3F84512C"/>
    <w:rsid w:val="40375A6E"/>
    <w:rsid w:val="403E177F"/>
    <w:rsid w:val="405F16F6"/>
    <w:rsid w:val="406D5982"/>
    <w:rsid w:val="40D55514"/>
    <w:rsid w:val="40E340D5"/>
    <w:rsid w:val="411B49B1"/>
    <w:rsid w:val="41232723"/>
    <w:rsid w:val="41434B73"/>
    <w:rsid w:val="419E624E"/>
    <w:rsid w:val="4205007B"/>
    <w:rsid w:val="42122D4C"/>
    <w:rsid w:val="42772D26"/>
    <w:rsid w:val="42F56341"/>
    <w:rsid w:val="430B16C1"/>
    <w:rsid w:val="430F11B1"/>
    <w:rsid w:val="43305242"/>
    <w:rsid w:val="433B4D1A"/>
    <w:rsid w:val="43D41BB6"/>
    <w:rsid w:val="43F726EA"/>
    <w:rsid w:val="4404683C"/>
    <w:rsid w:val="44613C8E"/>
    <w:rsid w:val="45210281"/>
    <w:rsid w:val="456652D4"/>
    <w:rsid w:val="45C02C36"/>
    <w:rsid w:val="46242FCD"/>
    <w:rsid w:val="468A3AA9"/>
    <w:rsid w:val="46AF19FF"/>
    <w:rsid w:val="471F1BDF"/>
    <w:rsid w:val="473C453F"/>
    <w:rsid w:val="476F5E9C"/>
    <w:rsid w:val="477607B2"/>
    <w:rsid w:val="47797541"/>
    <w:rsid w:val="47C84024"/>
    <w:rsid w:val="480A1F47"/>
    <w:rsid w:val="48A71E8C"/>
    <w:rsid w:val="48BC1FA2"/>
    <w:rsid w:val="48DD2480"/>
    <w:rsid w:val="490D6193"/>
    <w:rsid w:val="49325BF9"/>
    <w:rsid w:val="49EA2030"/>
    <w:rsid w:val="49EB4704"/>
    <w:rsid w:val="49F17862"/>
    <w:rsid w:val="4A767D68"/>
    <w:rsid w:val="4B991F60"/>
    <w:rsid w:val="4BB46D99"/>
    <w:rsid w:val="4C276BC0"/>
    <w:rsid w:val="4C7C18A1"/>
    <w:rsid w:val="4CB86F02"/>
    <w:rsid w:val="4D13090B"/>
    <w:rsid w:val="4DC518BB"/>
    <w:rsid w:val="4DD360F3"/>
    <w:rsid w:val="4E0F1D12"/>
    <w:rsid w:val="4E2B70BB"/>
    <w:rsid w:val="4E3952B8"/>
    <w:rsid w:val="4E9625DB"/>
    <w:rsid w:val="4EB470B0"/>
    <w:rsid w:val="4F5A73FC"/>
    <w:rsid w:val="501E0C85"/>
    <w:rsid w:val="507F282E"/>
    <w:rsid w:val="50A0169A"/>
    <w:rsid w:val="51114346"/>
    <w:rsid w:val="51B15B29"/>
    <w:rsid w:val="51C551F6"/>
    <w:rsid w:val="51C734FE"/>
    <w:rsid w:val="5248023B"/>
    <w:rsid w:val="52741030"/>
    <w:rsid w:val="52927709"/>
    <w:rsid w:val="532A0929"/>
    <w:rsid w:val="532A7941"/>
    <w:rsid w:val="53876B42"/>
    <w:rsid w:val="540663D1"/>
    <w:rsid w:val="56396CD7"/>
    <w:rsid w:val="568D446F"/>
    <w:rsid w:val="5697353F"/>
    <w:rsid w:val="56B91708"/>
    <w:rsid w:val="56E60023"/>
    <w:rsid w:val="57087AB8"/>
    <w:rsid w:val="572E147B"/>
    <w:rsid w:val="57CF0BBC"/>
    <w:rsid w:val="581B1F4E"/>
    <w:rsid w:val="58461A08"/>
    <w:rsid w:val="59170968"/>
    <w:rsid w:val="595027E8"/>
    <w:rsid w:val="597C6A1D"/>
    <w:rsid w:val="59E52814"/>
    <w:rsid w:val="5AA62521"/>
    <w:rsid w:val="5AF32D0E"/>
    <w:rsid w:val="5B002B52"/>
    <w:rsid w:val="5B6D486F"/>
    <w:rsid w:val="5BC16969"/>
    <w:rsid w:val="5BE400B6"/>
    <w:rsid w:val="5C8E0798"/>
    <w:rsid w:val="5C8E2CEF"/>
    <w:rsid w:val="5CA50E5C"/>
    <w:rsid w:val="5CAE3391"/>
    <w:rsid w:val="5CB5289B"/>
    <w:rsid w:val="5D6D6DA8"/>
    <w:rsid w:val="5DF84276"/>
    <w:rsid w:val="5E0A212E"/>
    <w:rsid w:val="5E897C12"/>
    <w:rsid w:val="5F0665B0"/>
    <w:rsid w:val="5F64242D"/>
    <w:rsid w:val="5FAA42E4"/>
    <w:rsid w:val="5FE33352"/>
    <w:rsid w:val="5FEA46E0"/>
    <w:rsid w:val="5FF50B72"/>
    <w:rsid w:val="5FF9099C"/>
    <w:rsid w:val="60261490"/>
    <w:rsid w:val="60395667"/>
    <w:rsid w:val="605B3CE8"/>
    <w:rsid w:val="608A75C0"/>
    <w:rsid w:val="60936FDE"/>
    <w:rsid w:val="60FD469B"/>
    <w:rsid w:val="61D513C0"/>
    <w:rsid w:val="61DC274E"/>
    <w:rsid w:val="622C5484"/>
    <w:rsid w:val="627F660D"/>
    <w:rsid w:val="62B15989"/>
    <w:rsid w:val="62DF24F6"/>
    <w:rsid w:val="63AE1EC8"/>
    <w:rsid w:val="6401649C"/>
    <w:rsid w:val="64682077"/>
    <w:rsid w:val="65E43DFC"/>
    <w:rsid w:val="65ED4F2A"/>
    <w:rsid w:val="667967BE"/>
    <w:rsid w:val="66A001EE"/>
    <w:rsid w:val="66E225B5"/>
    <w:rsid w:val="67A4786A"/>
    <w:rsid w:val="688B7B52"/>
    <w:rsid w:val="68AF296B"/>
    <w:rsid w:val="69366BE8"/>
    <w:rsid w:val="695E7EED"/>
    <w:rsid w:val="69D63F27"/>
    <w:rsid w:val="6A3A3DBE"/>
    <w:rsid w:val="6AA51DD9"/>
    <w:rsid w:val="6AAB53B4"/>
    <w:rsid w:val="6B1E5B86"/>
    <w:rsid w:val="6B293971"/>
    <w:rsid w:val="6C725840"/>
    <w:rsid w:val="6C7812C6"/>
    <w:rsid w:val="6C9205D9"/>
    <w:rsid w:val="6D257FB6"/>
    <w:rsid w:val="6D45564C"/>
    <w:rsid w:val="6D8F68C7"/>
    <w:rsid w:val="6D9E4D5C"/>
    <w:rsid w:val="6DCE5641"/>
    <w:rsid w:val="6E4562E4"/>
    <w:rsid w:val="6E865F1C"/>
    <w:rsid w:val="6EDD18B4"/>
    <w:rsid w:val="6F9539FD"/>
    <w:rsid w:val="6FC043DB"/>
    <w:rsid w:val="6FF43359"/>
    <w:rsid w:val="70B825D8"/>
    <w:rsid w:val="70CB5E68"/>
    <w:rsid w:val="70D07922"/>
    <w:rsid w:val="70EF675D"/>
    <w:rsid w:val="712B2DAA"/>
    <w:rsid w:val="718D264E"/>
    <w:rsid w:val="72361F67"/>
    <w:rsid w:val="723C6B96"/>
    <w:rsid w:val="725B76BF"/>
    <w:rsid w:val="7295497F"/>
    <w:rsid w:val="741803D0"/>
    <w:rsid w:val="74363F40"/>
    <w:rsid w:val="74940C67"/>
    <w:rsid w:val="74E110D3"/>
    <w:rsid w:val="75147790"/>
    <w:rsid w:val="752E7603"/>
    <w:rsid w:val="753E19F6"/>
    <w:rsid w:val="757271FA"/>
    <w:rsid w:val="7601776E"/>
    <w:rsid w:val="760C31AA"/>
    <w:rsid w:val="76D33CC8"/>
    <w:rsid w:val="76F3033D"/>
    <w:rsid w:val="76F44B9D"/>
    <w:rsid w:val="76FD35AD"/>
    <w:rsid w:val="776D557E"/>
    <w:rsid w:val="777234E1"/>
    <w:rsid w:val="77A462BC"/>
    <w:rsid w:val="7864712D"/>
    <w:rsid w:val="790C1713"/>
    <w:rsid w:val="797C03ED"/>
    <w:rsid w:val="7A326F58"/>
    <w:rsid w:val="7A4562A9"/>
    <w:rsid w:val="7A480529"/>
    <w:rsid w:val="7A7E03EF"/>
    <w:rsid w:val="7A8C48BA"/>
    <w:rsid w:val="7A9C2623"/>
    <w:rsid w:val="7B041E25"/>
    <w:rsid w:val="7B98728E"/>
    <w:rsid w:val="7C1903CF"/>
    <w:rsid w:val="7C232FFC"/>
    <w:rsid w:val="7C321491"/>
    <w:rsid w:val="7C466CEA"/>
    <w:rsid w:val="7C4734A2"/>
    <w:rsid w:val="7C7E7A52"/>
    <w:rsid w:val="7CA40E8A"/>
    <w:rsid w:val="7CC0078D"/>
    <w:rsid w:val="7D1943FF"/>
    <w:rsid w:val="7DA4016C"/>
    <w:rsid w:val="7DB97C6C"/>
    <w:rsid w:val="7E437985"/>
    <w:rsid w:val="7E7D256A"/>
    <w:rsid w:val="7E851D4C"/>
    <w:rsid w:val="7EA5419C"/>
    <w:rsid w:val="7F3E1EFB"/>
    <w:rsid w:val="7F427C3D"/>
    <w:rsid w:val="7F71407E"/>
    <w:rsid w:val="7F9B10FB"/>
    <w:rsid w:val="7FA1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25"/>
    <w:qFormat/>
    <w:uiPriority w:val="9"/>
    <w:pPr>
      <w:keepNext/>
      <w:keepLines/>
      <w:spacing w:before="260" w:after="260" w:line="416" w:lineRule="auto"/>
      <w:outlineLvl w:val="2"/>
    </w:pPr>
    <w:rPr>
      <w:b/>
      <w:bCs/>
      <w:sz w:val="32"/>
      <w:szCs w:val="32"/>
    </w:rPr>
  </w:style>
  <w:style w:type="paragraph" w:styleId="4">
    <w:name w:val="heading 4"/>
    <w:basedOn w:val="3"/>
    <w:next w:val="5"/>
    <w:link w:val="26"/>
    <w:qFormat/>
    <w:uiPriority w:val="0"/>
    <w:pPr>
      <w:numPr>
        <w:ilvl w:val="3"/>
        <w:numId w:val="1"/>
      </w:numPr>
      <w:spacing w:before="156" w:beforeLines="50" w:after="156" w:afterLines="50" w:line="360" w:lineRule="auto"/>
      <w:jc w:val="center"/>
      <w:outlineLvl w:val="3"/>
    </w:pPr>
    <w:rPr>
      <w:rFonts w:ascii="Arial" w:hAnsi="Arial"/>
      <w:b w:val="0"/>
      <w:bCs w:val="0"/>
      <w:color w:val="000000"/>
      <w:sz w:val="24"/>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Document Map"/>
    <w:basedOn w:val="1"/>
    <w:link w:val="27"/>
    <w:unhideWhenUsed/>
    <w:qFormat/>
    <w:uiPriority w:val="99"/>
    <w:rPr>
      <w:rFonts w:ascii="宋体"/>
      <w:sz w:val="18"/>
      <w:szCs w:val="18"/>
    </w:rPr>
  </w:style>
  <w:style w:type="paragraph" w:styleId="7">
    <w:name w:val="annotation text"/>
    <w:basedOn w:val="1"/>
    <w:link w:val="28"/>
    <w:qFormat/>
    <w:uiPriority w:val="99"/>
    <w:pPr>
      <w:jc w:val="left"/>
    </w:pPr>
  </w:style>
  <w:style w:type="paragraph" w:styleId="8">
    <w:name w:val="Body Text"/>
    <w:basedOn w:val="1"/>
    <w:unhideWhenUsed/>
    <w:qFormat/>
    <w:uiPriority w:val="0"/>
    <w:pPr>
      <w:ind w:left="100"/>
    </w:pPr>
    <w:rPr>
      <w:rFonts w:hint="eastAsia" w:ascii="宋体" w:hAnsi="宋体"/>
    </w:rPr>
  </w:style>
  <w:style w:type="paragraph" w:styleId="9">
    <w:name w:val="Body Text Indent"/>
    <w:basedOn w:val="1"/>
    <w:qFormat/>
    <w:uiPriority w:val="0"/>
    <w:pPr>
      <w:ind w:left="420" w:leftChars="200" w:firstLine="1686" w:firstLineChars="602"/>
    </w:pPr>
    <w:rPr>
      <w:rFonts w:ascii="宋体" w:hAnsi="宋体"/>
      <w:sz w:val="28"/>
      <w:szCs w:val="28"/>
    </w:rPr>
  </w:style>
  <w:style w:type="paragraph" w:styleId="10">
    <w:name w:val="Date"/>
    <w:basedOn w:val="1"/>
    <w:next w:val="1"/>
    <w:link w:val="29"/>
    <w:unhideWhenUsed/>
    <w:qFormat/>
    <w:uiPriority w:val="99"/>
    <w:pPr>
      <w:ind w:left="100" w:leftChars="2500"/>
    </w:pPr>
  </w:style>
  <w:style w:type="paragraph" w:styleId="11">
    <w:name w:val="Balloon Text"/>
    <w:basedOn w:val="1"/>
    <w:semiHidden/>
    <w:qFormat/>
    <w:uiPriority w:val="0"/>
    <w:rPr>
      <w:sz w:val="18"/>
      <w:szCs w:val="18"/>
    </w:rPr>
  </w:style>
  <w:style w:type="paragraph" w:styleId="12">
    <w:name w:val="footer"/>
    <w:basedOn w:val="1"/>
    <w:link w:val="30"/>
    <w:unhideWhenUsed/>
    <w:qFormat/>
    <w:uiPriority w:val="99"/>
    <w:pPr>
      <w:tabs>
        <w:tab w:val="center" w:pos="4153"/>
        <w:tab w:val="right" w:pos="8306"/>
      </w:tabs>
      <w:snapToGrid w:val="0"/>
      <w:jc w:val="left"/>
    </w:pPr>
    <w:rPr>
      <w:kern w:val="0"/>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Body Text 2"/>
    <w:basedOn w:val="1"/>
    <w:link w:val="32"/>
    <w:qFormat/>
    <w:uiPriority w:val="0"/>
    <w:pPr>
      <w:spacing w:after="120" w:line="480" w:lineRule="auto"/>
    </w:pPr>
    <w:rPr>
      <w:kern w:val="0"/>
      <w:sz w:val="20"/>
    </w:rPr>
  </w:style>
  <w:style w:type="paragraph" w:styleId="15">
    <w:name w:val="annotation subject"/>
    <w:basedOn w:val="7"/>
    <w:next w:val="7"/>
    <w:semiHidden/>
    <w:qFormat/>
    <w:uiPriority w:val="0"/>
    <w:rPr>
      <w:b/>
      <w:bCs/>
    </w:rPr>
  </w:style>
  <w:style w:type="paragraph" w:styleId="16">
    <w:name w:val="Body Text First Indent 2"/>
    <w:basedOn w:val="9"/>
    <w:qFormat/>
    <w:uiPriority w:val="99"/>
    <w:pPr>
      <w:ind w:firstLine="420" w:firstLineChars="200"/>
    </w:pPr>
  </w:style>
  <w:style w:type="character" w:styleId="19">
    <w:name w:val="page number"/>
    <w:qFormat/>
    <w:uiPriority w:val="0"/>
  </w:style>
  <w:style w:type="character" w:styleId="20">
    <w:name w:val="FollowedHyperlink"/>
    <w:unhideWhenUsed/>
    <w:qFormat/>
    <w:uiPriority w:val="99"/>
    <w:rPr>
      <w:color w:val="000000"/>
      <w:u w:val="none"/>
    </w:rPr>
  </w:style>
  <w:style w:type="character" w:styleId="21">
    <w:name w:val="Hyperlink"/>
    <w:unhideWhenUsed/>
    <w:qFormat/>
    <w:uiPriority w:val="99"/>
    <w:rPr>
      <w:color w:val="000000"/>
      <w:u w:val="none"/>
    </w:rPr>
  </w:style>
  <w:style w:type="character" w:styleId="22">
    <w:name w:val="annotation reference"/>
    <w:qFormat/>
    <w:uiPriority w:val="99"/>
    <w:rPr>
      <w:sz w:val="21"/>
      <w:szCs w:val="21"/>
    </w:rPr>
  </w:style>
  <w:style w:type="paragraph" w:customStyle="1" w:styleId="23">
    <w:name w:val="样式 宋体 四号 首行缩进:  2 字符"/>
    <w:basedOn w:val="1"/>
    <w:qFormat/>
    <w:uiPriority w:val="0"/>
    <w:pPr>
      <w:widowControl/>
    </w:pPr>
    <w:rPr>
      <w:rFonts w:cs="宋体"/>
      <w:color w:val="000000"/>
      <w:kern w:val="0"/>
      <w:szCs w:val="20"/>
    </w:rPr>
  </w:style>
  <w:style w:type="character" w:customStyle="1" w:styleId="24">
    <w:name w:val="标题 2 字符"/>
    <w:link w:val="2"/>
    <w:qFormat/>
    <w:uiPriority w:val="9"/>
    <w:rPr>
      <w:rFonts w:ascii="Cambria" w:hAnsi="Cambria" w:eastAsia="宋体" w:cs="Times New Roman"/>
      <w:b/>
      <w:bCs/>
      <w:kern w:val="2"/>
      <w:sz w:val="32"/>
      <w:szCs w:val="32"/>
    </w:rPr>
  </w:style>
  <w:style w:type="character" w:customStyle="1" w:styleId="25">
    <w:name w:val="标题 3 字符"/>
    <w:link w:val="3"/>
    <w:semiHidden/>
    <w:qFormat/>
    <w:uiPriority w:val="9"/>
    <w:rPr>
      <w:b/>
      <w:bCs/>
      <w:kern w:val="2"/>
      <w:sz w:val="32"/>
      <w:szCs w:val="32"/>
    </w:rPr>
  </w:style>
  <w:style w:type="character" w:customStyle="1" w:styleId="26">
    <w:name w:val="标题 4 字符"/>
    <w:link w:val="4"/>
    <w:qFormat/>
    <w:uiPriority w:val="0"/>
    <w:rPr>
      <w:rFonts w:ascii="Arial" w:hAnsi="Arial"/>
      <w:color w:val="000000"/>
      <w:kern w:val="2"/>
      <w:sz w:val="24"/>
      <w:szCs w:val="24"/>
    </w:rPr>
  </w:style>
  <w:style w:type="character" w:customStyle="1" w:styleId="27">
    <w:name w:val="文档结构图 字符"/>
    <w:link w:val="6"/>
    <w:semiHidden/>
    <w:qFormat/>
    <w:uiPriority w:val="99"/>
    <w:rPr>
      <w:rFonts w:ascii="宋体"/>
      <w:kern w:val="2"/>
      <w:sz w:val="18"/>
      <w:szCs w:val="18"/>
    </w:rPr>
  </w:style>
  <w:style w:type="character" w:customStyle="1" w:styleId="28">
    <w:name w:val="批注文字 字符"/>
    <w:link w:val="7"/>
    <w:qFormat/>
    <w:uiPriority w:val="0"/>
    <w:rPr>
      <w:kern w:val="2"/>
      <w:sz w:val="21"/>
      <w:szCs w:val="24"/>
    </w:rPr>
  </w:style>
  <w:style w:type="character" w:customStyle="1" w:styleId="29">
    <w:name w:val="日期 字符"/>
    <w:link w:val="10"/>
    <w:semiHidden/>
    <w:qFormat/>
    <w:uiPriority w:val="99"/>
    <w:rPr>
      <w:kern w:val="2"/>
      <w:sz w:val="21"/>
      <w:szCs w:val="24"/>
    </w:rPr>
  </w:style>
  <w:style w:type="character" w:customStyle="1" w:styleId="30">
    <w:name w:val="页脚 字符"/>
    <w:link w:val="12"/>
    <w:qFormat/>
    <w:uiPriority w:val="99"/>
    <w:rPr>
      <w:rFonts w:ascii="Times New Roman" w:hAnsi="Times New Roman" w:eastAsia="宋体" w:cs="Times New Roman"/>
      <w:sz w:val="18"/>
      <w:szCs w:val="18"/>
    </w:rPr>
  </w:style>
  <w:style w:type="character" w:customStyle="1" w:styleId="31">
    <w:name w:val="页眉 字符"/>
    <w:link w:val="13"/>
    <w:qFormat/>
    <w:uiPriority w:val="99"/>
    <w:rPr>
      <w:rFonts w:ascii="Times New Roman" w:hAnsi="Times New Roman" w:eastAsia="宋体" w:cs="Times New Roman"/>
      <w:sz w:val="18"/>
      <w:szCs w:val="18"/>
    </w:rPr>
  </w:style>
  <w:style w:type="character" w:customStyle="1" w:styleId="32">
    <w:name w:val="正文文本 2 字符"/>
    <w:link w:val="14"/>
    <w:qFormat/>
    <w:uiPriority w:val="0"/>
    <w:rPr>
      <w:rFonts w:ascii="Times New Roman" w:hAnsi="Times New Roman" w:eastAsia="宋体" w:cs="Times New Roman"/>
      <w:szCs w:val="24"/>
    </w:rPr>
  </w:style>
  <w:style w:type="character" w:customStyle="1" w:styleId="33">
    <w:name w:val="hover42"/>
    <w:qFormat/>
    <w:uiPriority w:val="0"/>
  </w:style>
  <w:style w:type="character" w:customStyle="1" w:styleId="34">
    <w:name w:val="font11"/>
    <w:qFormat/>
    <w:uiPriority w:val="0"/>
    <w:rPr>
      <w:rFonts w:ascii="Calibri" w:hAnsi="Calibri" w:cs="Calibri"/>
      <w:color w:val="000000"/>
      <w:sz w:val="21"/>
      <w:szCs w:val="21"/>
      <w:u w:val="none"/>
    </w:rPr>
  </w:style>
  <w:style w:type="character" w:customStyle="1" w:styleId="35">
    <w:name w:val="times"/>
    <w:qFormat/>
    <w:uiPriority w:val="0"/>
    <w:rPr>
      <w:color w:val="3399FF"/>
      <w:bdr w:val="single" w:color="D1EDF8" w:sz="6" w:space="0"/>
      <w:shd w:val="clear" w:color="auto" w:fill="EAF9FF"/>
    </w:rPr>
  </w:style>
  <w:style w:type="character" w:customStyle="1" w:styleId="36">
    <w:name w:val="times1"/>
    <w:qFormat/>
    <w:uiPriority w:val="0"/>
    <w:rPr>
      <w:color w:val="CDCDCD"/>
      <w:bdr w:val="single" w:color="CDCDCD" w:sz="6" w:space="0"/>
      <w:shd w:val="clear" w:color="auto" w:fill="EFEFEF"/>
    </w:rPr>
  </w:style>
  <w:style w:type="character" w:customStyle="1" w:styleId="37">
    <w:name w:val="font21"/>
    <w:qFormat/>
    <w:uiPriority w:val="0"/>
    <w:rPr>
      <w:rFonts w:hint="eastAsia" w:ascii="宋体" w:hAnsi="宋体" w:eastAsia="宋体" w:cs="宋体"/>
      <w:color w:val="000000"/>
      <w:sz w:val="21"/>
      <w:szCs w:val="21"/>
      <w:u w:val="none"/>
    </w:rPr>
  </w:style>
  <w:style w:type="paragraph" w:customStyle="1" w:styleId="3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0">
    <w:name w:val="发文落款"/>
    <w:basedOn w:val="39"/>
    <w:qFormat/>
    <w:uiPriority w:val="0"/>
    <w:pPr>
      <w:ind w:left="4094" w:right="607" w:firstLine="0"/>
      <w:jc w:val="center"/>
    </w:pPr>
  </w:style>
  <w:style w:type="character" w:customStyle="1" w:styleId="41">
    <w:name w:val="cf01"/>
    <w:basedOn w:val="18"/>
    <w:qFormat/>
    <w:uiPriority w:val="0"/>
    <w:rPr>
      <w:rFonts w:hint="eastAsia" w:ascii="Microsoft YaHei UI" w:hAnsi="Microsoft YaHei UI" w:eastAsia="Microsoft YaHei UI"/>
      <w:sz w:val="18"/>
      <w:szCs w:val="18"/>
      <w:u w:val="single"/>
    </w:rPr>
  </w:style>
  <w:style w:type="character" w:customStyle="1" w:styleId="42">
    <w:name w:val="批注文字 字符3"/>
    <w:semiHidden/>
    <w:qFormat/>
    <w:uiPriority w:val="99"/>
    <w:rPr>
      <w:kern w:val="2"/>
      <w:sz w:val="21"/>
      <w:szCs w:val="22"/>
    </w:rPr>
  </w:style>
  <w:style w:type="paragraph" w:customStyle="1" w:styleId="4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5049E-B993-496D-BCDF-3DD04F1CB8CC}">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Pages>
  <Words>3495</Words>
  <Characters>3924</Characters>
  <Lines>30</Lines>
  <Paragraphs>8</Paragraphs>
  <TotalTime>24</TotalTime>
  <ScaleCrop>false</ScaleCrop>
  <LinksUpToDate>false</LinksUpToDate>
  <CharactersWithSpaces>4060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2022-12-21T08:39:00Z</dcterms:created>
  <dc:creator>NTKO</dc:creator>
  <cp:lastModifiedBy>WPS_1688972875</cp:lastModifiedBy>
  <cp:lastPrinted>2021-12-20T03:13:00Z</cp:lastPrinted>
  <dcterms:modified xsi:type="dcterms:W3CDTF">2023-08-21T08:41:33Z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10EB02A0F5484209A06832329D490E22_13</vt:lpwstr>
  </property>
</Properties>
</file>