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480" w:lineRule="auto"/>
        <w:jc w:val="center"/>
        <w:rPr>
          <w:b/>
          <w:bCs/>
          <w:color w:val="auto"/>
          <w:sz w:val="32"/>
          <w:szCs w:val="32"/>
          <w:highlight w:val="none"/>
        </w:rPr>
      </w:pPr>
    </w:p>
    <w:p>
      <w:pPr>
        <w:spacing w:line="360" w:lineRule="auto"/>
        <w:jc w:val="center"/>
        <w:rPr>
          <w:rFonts w:ascii="宋体" w:hAnsi="宋体"/>
          <w:b/>
          <w:color w:val="auto"/>
          <w:sz w:val="48"/>
          <w:szCs w:val="48"/>
          <w:highlight w:val="none"/>
        </w:rPr>
      </w:pPr>
    </w:p>
    <w:p>
      <w:pPr>
        <w:spacing w:line="360" w:lineRule="auto"/>
        <w:jc w:val="center"/>
        <w:rPr>
          <w:color w:val="auto"/>
          <w:sz w:val="36"/>
          <w:highlight w:val="none"/>
          <w:u w:val="single"/>
        </w:rPr>
      </w:pPr>
      <w:r>
        <w:rPr>
          <w:rFonts w:hint="eastAsia" w:ascii="宋体" w:hAnsi="宋体"/>
          <w:b/>
          <w:color w:val="auto"/>
          <w:sz w:val="52"/>
          <w:szCs w:val="52"/>
          <w:highlight w:val="none"/>
          <w:lang w:eastAsia="zh-CN"/>
        </w:rPr>
        <w:t>广州市儿童公园续建工程（建筑工程）</w:t>
      </w:r>
      <w:r>
        <w:rPr>
          <w:rFonts w:hint="eastAsia" w:ascii="宋体" w:hAnsi="宋体"/>
          <w:b/>
          <w:color w:val="auto"/>
          <w:sz w:val="52"/>
          <w:szCs w:val="52"/>
          <w:highlight w:val="none"/>
        </w:rPr>
        <w:t>施工总承包</w:t>
      </w: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pStyle w:val="22"/>
        <w:jc w:val="center"/>
        <w:rPr>
          <w:color w:val="auto"/>
          <w:sz w:val="36"/>
          <w:highlight w:val="none"/>
          <w:u w:val="single"/>
        </w:rPr>
      </w:pPr>
    </w:p>
    <w:p>
      <w:pPr>
        <w:pStyle w:val="22"/>
        <w:spacing w:line="360" w:lineRule="auto"/>
        <w:jc w:val="center"/>
        <w:rPr>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96"/>
          <w:szCs w:val="110"/>
          <w:highlight w:val="none"/>
        </w:rPr>
        <w:t>招标文件</w:t>
      </w:r>
    </w:p>
    <w:p>
      <w:pPr>
        <w:spacing w:line="360" w:lineRule="auto"/>
        <w:jc w:val="center"/>
        <w:rPr>
          <w:color w:val="auto"/>
          <w:sz w:val="32"/>
          <w:highlight w:val="none"/>
        </w:rPr>
      </w:pPr>
    </w:p>
    <w:p>
      <w:pPr>
        <w:pStyle w:val="22"/>
        <w:spacing w:line="360" w:lineRule="auto"/>
        <w:jc w:val="center"/>
        <w:rPr>
          <w:color w:val="auto"/>
          <w:highlight w:val="none"/>
        </w:rPr>
      </w:pPr>
    </w:p>
    <w:p>
      <w:pPr>
        <w:spacing w:line="360" w:lineRule="auto"/>
        <w:jc w:val="center"/>
        <w:rPr>
          <w:color w:val="auto"/>
          <w:sz w:val="52"/>
          <w:highlight w:val="none"/>
        </w:rPr>
      </w:pPr>
    </w:p>
    <w:p>
      <w:pPr>
        <w:pStyle w:val="22"/>
        <w:jc w:val="center"/>
        <w:rPr>
          <w:color w:val="auto"/>
          <w:sz w:val="52"/>
          <w:highlight w:val="none"/>
        </w:rPr>
      </w:pPr>
    </w:p>
    <w:p>
      <w:pPr>
        <w:spacing w:line="360" w:lineRule="auto"/>
        <w:jc w:val="center"/>
        <w:rPr>
          <w:color w:val="auto"/>
          <w:sz w:val="52"/>
          <w:highlight w:val="none"/>
        </w:rPr>
      </w:pPr>
    </w:p>
    <w:p>
      <w:pPr>
        <w:spacing w:line="360" w:lineRule="auto"/>
        <w:jc w:val="center"/>
        <w:rPr>
          <w:color w:val="auto"/>
          <w:sz w:val="52"/>
          <w:highlight w:val="none"/>
        </w:rPr>
      </w:pPr>
    </w:p>
    <w:p>
      <w:pPr>
        <w:spacing w:line="360" w:lineRule="auto"/>
        <w:ind w:firstLine="1280" w:firstLineChars="4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招标单位：</w:t>
      </w:r>
      <w:r>
        <w:rPr>
          <w:rFonts w:hint="eastAsia" w:ascii="宋体" w:hAnsi="宋体" w:cs="宋体"/>
          <w:color w:val="auto"/>
          <w:sz w:val="32"/>
          <w:szCs w:val="32"/>
          <w:highlight w:val="none"/>
          <w:u w:val="single"/>
          <w:lang w:eastAsia="zh-CN"/>
        </w:rPr>
        <w:t>广州市林业和园林绿化工程建设中心</w:t>
      </w:r>
    </w:p>
    <w:p>
      <w:pPr>
        <w:spacing w:line="360" w:lineRule="auto"/>
        <w:ind w:firstLine="1280" w:firstLineChars="400"/>
        <w:jc w:val="left"/>
        <w:rPr>
          <w:rFonts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北京中交建设工程咨询有限公司</w:t>
      </w:r>
    </w:p>
    <w:p>
      <w:pPr>
        <w:widowControl/>
        <w:snapToGrid w:val="0"/>
        <w:spacing w:line="480" w:lineRule="auto"/>
        <w:ind w:right="102" w:firstLine="1280" w:firstLineChars="400"/>
        <w:jc w:val="left"/>
        <w:rPr>
          <w:rFonts w:ascii="宋体" w:hAnsi="宋体" w:cs="宋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pgNumType w:start="0"/>
          <w:cols w:space="0" w:num="1"/>
          <w:titlePg/>
          <w:rtlGutter w:val="0"/>
          <w:docGrid w:type="lines" w:linePitch="312" w:charSpace="0"/>
        </w:sect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w:t>
      </w:r>
      <w:r>
        <w:rPr>
          <w:rFonts w:ascii="宋体" w:hAnsi="宋体" w:cs="宋体"/>
          <w:color w:val="auto"/>
          <w:sz w:val="32"/>
          <w:szCs w:val="32"/>
          <w:highlight w:val="none"/>
          <w:u w:val="single"/>
        </w:rPr>
        <w:t>02</w:t>
      </w:r>
      <w:r>
        <w:rPr>
          <w:rFonts w:hint="eastAsia" w:ascii="宋体" w:hAnsi="宋体" w:cs="宋体"/>
          <w:color w:val="auto"/>
          <w:sz w:val="32"/>
          <w:szCs w:val="32"/>
          <w:highlight w:val="none"/>
          <w:u w:val="single"/>
        </w:rPr>
        <w:t>3</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8</w:t>
      </w:r>
      <w:r>
        <w:rPr>
          <w:rFonts w:hint="eastAsia" w:ascii="宋体" w:hAnsi="宋体" w:cs="宋体"/>
          <w:color w:val="auto"/>
          <w:sz w:val="32"/>
          <w:szCs w:val="32"/>
          <w:highlight w:val="none"/>
        </w:rPr>
        <w:t>月</w:t>
      </w:r>
    </w:p>
    <w:p>
      <w:pPr>
        <w:jc w:val="center"/>
        <w:rPr>
          <w:color w:val="auto"/>
          <w:highlight w:val="none"/>
        </w:rPr>
      </w:pPr>
    </w:p>
    <w:p>
      <w:pPr>
        <w:spacing w:line="360" w:lineRule="auto"/>
        <w:jc w:val="center"/>
        <w:rPr>
          <w:rFonts w:hint="eastAsia" w:ascii="宋体" w:hAnsi="宋体" w:eastAsia="宋体" w:cs="宋体"/>
          <w:b/>
          <w:caps/>
          <w:color w:val="auto"/>
          <w:kern w:val="0"/>
          <w:highlight w:val="none"/>
        </w:rPr>
      </w:pPr>
      <w:r>
        <w:rPr>
          <w:rStyle w:val="41"/>
          <w:rFonts w:hint="eastAsia" w:ascii="宋体" w:hAnsi="宋体" w:eastAsia="宋体" w:cs="宋体"/>
          <w:b/>
          <w:bCs/>
          <w:color w:val="auto"/>
          <w:sz w:val="28"/>
          <w:szCs w:val="28"/>
          <w:highlight w:val="none"/>
          <w:u w:val="none"/>
        </w:rPr>
        <w:t>目  录</w:t>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"_Toc21525489"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第一章  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2"/>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"_Toc21525490"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一、投标须知前附表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2"/>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"_Toc21525491"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二、投标须知修改表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2"/>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"_Toc21525492"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三、投标须知通用条款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"_Toc21525498"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2"/>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"_Toc21525499"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一、开标、评标及定标办法修改表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_Toc21525499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2"/>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"_Toc21525500"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二、开标、评标及定标办法通用条款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"_Toc21525511"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"_Toc21525512"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"_Toc21525513"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第五章  技术条件（工程建设标准）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"_Toc21525514"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第六章  图纸及勘察资料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"_Toc21525515"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第七章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"_Toc21525516"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第八章  最高投标限价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_Toc21525516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pacing w:line="360" w:lineRule="auto"/>
        <w:rPr>
          <w:color w:val="auto"/>
          <w:highlight w:val="none"/>
        </w:rPr>
      </w:pPr>
      <w:r>
        <w:rPr>
          <w:rFonts w:hint="eastAsia" w:ascii="宋体" w:hAnsi="宋体" w:eastAsia="宋体" w:cs="宋体"/>
          <w:color w:val="auto"/>
          <w:highlight w:val="none"/>
        </w:rPr>
        <w:fldChar w:fldCharType="end"/>
      </w:r>
      <w:bookmarkStart w:id="0" w:name="_Toc2272545"/>
      <w:bookmarkStart w:id="1" w:name="_Toc21525489"/>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9"/>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4"/>
        <w:tblW w:w="935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6" w:hRule="atLeast"/>
          <w:tblHeader/>
          <w:jc w:val="center"/>
        </w:trPr>
        <w:tc>
          <w:tcPr>
            <w:tcW w:w="702" w:type="dxa"/>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3"/>
              <w:ind w:firstLine="4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招标人（即发包人）：</w:t>
            </w:r>
            <w:r>
              <w:rPr>
                <w:rFonts w:hint="eastAsia" w:ascii="宋体" w:hAnsi="宋体" w:eastAsia="宋体" w:cs="宋体"/>
                <w:color w:val="auto"/>
                <w:sz w:val="21"/>
                <w:szCs w:val="21"/>
                <w:highlight w:val="none"/>
                <w:u w:val="single"/>
                <w:lang w:eastAsia="zh-CN"/>
              </w:rPr>
              <w:t>广州市林业和园林绿化工程建设中心</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w:t>
            </w:r>
            <w:r>
              <w:rPr>
                <w:rFonts w:hint="eastAsia" w:ascii="宋体" w:hAnsi="宋体" w:eastAsia="宋体" w:cs="宋体"/>
                <w:color w:val="auto"/>
                <w:sz w:val="21"/>
                <w:szCs w:val="21"/>
                <w:highlight w:val="none"/>
                <w:u w:val="single"/>
              </w:rPr>
              <w:t>北京中交建设工程咨询有限公司</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设计单位：</w:t>
            </w:r>
            <w:r>
              <w:rPr>
                <w:rFonts w:hint="eastAsia" w:ascii="宋体" w:hAnsi="宋体" w:cs="宋体"/>
                <w:color w:val="auto"/>
                <w:sz w:val="21"/>
                <w:szCs w:val="21"/>
                <w:highlight w:val="none"/>
                <w:u w:val="single"/>
                <w:lang w:eastAsia="zh-CN"/>
              </w:rPr>
              <w:t>广州园林建筑规划设计研究总院有限公司</w:t>
            </w:r>
          </w:p>
          <w:p>
            <w:pP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监理单位：</w:t>
            </w:r>
            <w:r>
              <w:rPr>
                <w:rFonts w:hint="eastAsia" w:ascii="宋体" w:hAnsi="宋体" w:eastAsia="宋体" w:cs="宋体"/>
                <w:color w:val="auto"/>
                <w:sz w:val="21"/>
                <w:szCs w:val="21"/>
                <w:highlight w:val="none"/>
                <w:u w:val="single"/>
                <w:lang w:val="en-US" w:eastAsia="zh-CN"/>
              </w:rPr>
              <w:t>广州建筑工程监理有限公司</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检测机构：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（另行通知）</w:t>
            </w:r>
            <w:r>
              <w:rPr>
                <w:rFonts w:hint="eastAsia" w:ascii="宋体" w:hAnsi="宋体" w:eastAsia="宋体" w:cs="宋体"/>
                <w:color w:val="auto"/>
                <w:sz w:val="21"/>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广州市儿童公园续建工程（建筑工程）</w:t>
            </w:r>
            <w:r>
              <w:rPr>
                <w:rFonts w:hint="eastAsia" w:ascii="宋体" w:hAnsi="宋体" w:eastAsia="宋体" w:cs="宋体"/>
                <w:color w:val="auto"/>
                <w:sz w:val="21"/>
                <w:szCs w:val="21"/>
                <w:highlight w:val="none"/>
                <w:u w:val="single"/>
              </w:rPr>
              <w:t>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shd w:val="clear" w:color="auto" w:fill="FFFFFF"/>
                <w:lang w:bidi="ar"/>
              </w:rPr>
              <w:t>投标人根据招标人的招标文件、施工图纸及工程量清单等规定的范围内的工程内容，结合现场实际情况进行投标报价，由承包人按照合同约定范围和图纸内容实行工程施工总承包，包括但不限于</w:t>
            </w:r>
            <w:r>
              <w:rPr>
                <w:rFonts w:hint="eastAsia" w:ascii="宋体" w:hAnsi="宋体" w:eastAsia="宋体" w:cs="宋体"/>
                <w:color w:val="auto"/>
                <w:sz w:val="21"/>
                <w:szCs w:val="21"/>
                <w:highlight w:val="none"/>
                <w:u w:val="single"/>
              </w:rPr>
              <w:t>包工、包料、包工期、包质量、包安全生产、包文明施工、包验收、包保修</w:t>
            </w:r>
            <w:r>
              <w:rPr>
                <w:rFonts w:hint="eastAsia" w:ascii="宋体" w:hAnsi="宋体" w:eastAsia="宋体" w:cs="宋体"/>
                <w:color w:val="auto"/>
                <w:kern w:val="0"/>
                <w:sz w:val="21"/>
                <w:szCs w:val="21"/>
                <w:highlight w:val="none"/>
                <w:u w:val="single"/>
              </w:rPr>
              <w:t>等</w:t>
            </w:r>
            <w:r>
              <w:rPr>
                <w:rFonts w:hint="eastAsia" w:ascii="宋体" w:hAnsi="宋体" w:eastAsia="宋体" w:cs="宋体"/>
                <w:color w:val="auto"/>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lang w:val="en-US" w:eastAsia="zh-CN"/>
              </w:rPr>
            </w:pPr>
            <w:r>
              <w:rPr>
                <w:rFonts w:hint="eastAsia" w:ascii="宋体" w:hAnsi="宋体" w:cs="宋体"/>
                <w:bCs w:val="0"/>
                <w:snapToGrid/>
                <w:color w:val="auto"/>
                <w:kern w:val="2"/>
                <w:sz w:val="21"/>
                <w:szCs w:val="21"/>
                <w:highlight w:val="none"/>
                <w:u w:val="single"/>
              </w:rPr>
              <w:t>一次验收合格</w:t>
            </w:r>
            <w:r>
              <w:rPr>
                <w:rFonts w:hint="eastAsia" w:ascii="宋体" w:hAnsi="宋体" w:cs="宋体"/>
                <w:b w:val="0"/>
                <w:bCs w:val="0"/>
                <w:snapToGrid/>
                <w:color w:val="auto"/>
                <w:kern w:val="2"/>
                <w:sz w:val="21"/>
                <w:szCs w:val="21"/>
                <w:highlight w:val="none"/>
                <w:u w:val="singl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bCs/>
                <w:snapToGrid w:val="0"/>
                <w:color w:val="auto"/>
                <w:kern w:val="0"/>
                <w:sz w:val="21"/>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rPr>
              <w:t>日计划开工，施工总期：</w:t>
            </w:r>
            <w:r>
              <w:rPr>
                <w:rFonts w:hint="eastAsia" w:ascii="宋体" w:hAnsi="宋体" w:cs="宋体"/>
                <w:color w:val="auto"/>
                <w:sz w:val="21"/>
                <w:szCs w:val="21"/>
                <w:highlight w:val="none"/>
                <w:u w:val="single"/>
                <w:lang w:val="en-US" w:eastAsia="zh-CN"/>
              </w:rPr>
              <w:t>365</w:t>
            </w:r>
            <w:r>
              <w:rPr>
                <w:rFonts w:hint="eastAsia" w:ascii="宋体" w:hAnsi="宋体" w:eastAsia="宋体" w:cs="宋体"/>
                <w:color w:val="auto"/>
                <w:sz w:val="21"/>
                <w:szCs w:val="21"/>
                <w:highlight w:val="none"/>
              </w:rPr>
              <w:t>日历天。（具体开工日期以总监理工程师发出的开工令为准）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市财政资金</w:t>
            </w:r>
            <w:r>
              <w:rPr>
                <w:rFonts w:hint="eastAsia" w:ascii="宋体" w:hAnsi="宋体" w:eastAsia="宋体" w:cs="宋体"/>
                <w:color w:val="auto"/>
                <w:sz w:val="21"/>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120</w:t>
            </w:r>
            <w:r>
              <w:rPr>
                <w:rFonts w:hint="eastAsia" w:ascii="宋体" w:hAnsi="宋体" w:eastAsia="宋体" w:cs="宋体"/>
                <w:color w:val="auto"/>
                <w:sz w:val="21"/>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是否要求投标人递交投标保证金：</w:t>
            </w:r>
          </w:p>
          <w:p>
            <w:p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val="en-US" w:eastAsia="zh-CN"/>
              </w:rPr>
              <w:t>具体要求为：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招标人不集中组织，由投标人自行踏勘。</w:t>
            </w:r>
            <w:r>
              <w:rPr>
                <w:rFonts w:hint="eastAsia" w:ascii="宋体" w:hAnsi="宋体" w:eastAsia="宋体" w:cs="宋体"/>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时前</w:t>
            </w:r>
            <w:r>
              <w:rPr>
                <w:rFonts w:hint="eastAsia" w:ascii="宋体" w:hAnsi="宋体" w:eastAsia="宋体" w:cs="宋体"/>
                <w:color w:val="auto"/>
                <w:sz w:val="21"/>
                <w:szCs w:val="21"/>
                <w:highlight w:val="none"/>
                <w:u w:val="single"/>
              </w:rPr>
              <w:t>(提交投标文件截止时间18天前)</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rPr>
              <w:t>交易平台提交。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具体要求：按照交易平台关于全流程电子化项目的相关指南进行操作，详见：</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（技术标和经济标同时开标）</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1、开标开始时间：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分（与投标截止时间为同一时间），地点：</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
                <w:bCs/>
                <w:color w:val="auto"/>
                <w:kern w:val="0"/>
                <w:sz w:val="21"/>
                <w:szCs w:val="21"/>
                <w:highlight w:val="none"/>
              </w:rPr>
              <w:t>投标人也可选择参加在线开标，具体按照交易平台相关指南进行操作。详见：</w:t>
            </w:r>
            <w:r>
              <w:rPr>
                <w:rFonts w:hint="eastAsia" w:ascii="宋体" w:hAnsi="宋体" w:eastAsia="宋体" w:cs="宋体"/>
                <w:color w:val="auto"/>
                <w:sz w:val="21"/>
                <w:szCs w:val="21"/>
                <w:highlight w:val="none"/>
                <w:u w:val="single"/>
                <w:lang w:bidi="ar"/>
              </w:rPr>
              <w:t>《房屋建筑和市政基础设施工程全流程电子化项目专章》</w:t>
            </w:r>
            <w:r>
              <w:rPr>
                <w:rFonts w:hint="eastAsia" w:ascii="宋体" w:hAnsi="宋体" w:eastAsia="宋体" w:cs="宋体"/>
                <w:b/>
                <w:bCs/>
                <w:color w:val="auto"/>
                <w:kern w:val="0"/>
                <w:sz w:val="21"/>
                <w:szCs w:val="21"/>
                <w:highlight w:val="none"/>
              </w:rPr>
              <w:t>。</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注：投标文件解密问题。投标人只用执行一次解密，招标人执行解密次数根据招标文件开标次数确定。</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2、递交投标文件备用光盘时间：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分至</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   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分；递交地点：</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。(建议安排在投标文件截止时间前15分钟至投标文件截止时间）</w:t>
            </w:r>
          </w:p>
          <w:p>
            <w:pPr>
              <w:widowControl/>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上述时间及地点是否有改变，请密切留意</w:t>
            </w:r>
            <w:r>
              <w:rPr>
                <w:rFonts w:hint="eastAsia" w:ascii="宋体" w:hAnsi="宋体" w:eastAsia="宋体" w:cs="宋体"/>
                <w:b w:val="0"/>
                <w:bCs/>
                <w:color w:val="auto"/>
                <w:kern w:val="0"/>
                <w:sz w:val="21"/>
                <w:szCs w:val="21"/>
                <w:highlight w:val="none"/>
                <w:u w:val="none"/>
              </w:rPr>
              <w:t>补充公告和</w:t>
            </w:r>
            <w:r>
              <w:rPr>
                <w:rFonts w:hint="eastAsia" w:ascii="宋体" w:hAnsi="宋体" w:eastAsia="宋体" w:cs="宋体"/>
                <w:bCs/>
                <w:color w:val="auto"/>
                <w:kern w:val="0"/>
                <w:sz w:val="21"/>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方式一：选取方法</w:t>
            </w:r>
            <w:r>
              <w:rPr>
                <w:rFonts w:hint="eastAsia" w:ascii="宋体" w:hAnsi="宋体" w:eastAsia="宋体" w:cs="宋体"/>
                <w:color w:val="auto"/>
                <w:sz w:val="21"/>
                <w:szCs w:val="21"/>
                <w:highlight w:val="none"/>
                <w:u w:val="none"/>
              </w:rPr>
              <w:t>七（适合综合评分法四，技术标与经济标同时开启）；</w:t>
            </w:r>
          </w:p>
          <w:p>
            <w:pPr>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投标人总得分=技术得分×技术得分权重（20%）＋经济得分×经济得分权重（80%），总得分四舍五入保留两位小数。</w:t>
            </w:r>
          </w:p>
          <w:p>
            <w:pPr>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总得分相同情况下的排序方法：总得分相同的投标文件，以技术分高的排前；技术分均相同的投标文件，以报价低的排前；如仍存在相同情况，则对具有相同情况的投标人，由评标委员会采用记名投票方式，确定投标人的排序。</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注：投票方式确定排序的具体操作步骤为：由评标委员会对出现该情况的投标人进行编号，然后通过记名投票方式依次确定投标人的排序。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7"/>
              <w:spacing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方式一：中标人提供的履约保证金为中标价款的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本项目最高投标限价为人民币</w:t>
            </w:r>
            <w:r>
              <w:rPr>
                <w:rFonts w:hint="eastAsia" w:ascii="宋体" w:hAnsi="宋体" w:eastAsia="宋体" w:cs="宋体"/>
                <w:color w:val="auto"/>
                <w:sz w:val="21"/>
                <w:szCs w:val="21"/>
                <w:highlight w:val="none"/>
                <w:u w:val="single"/>
              </w:rPr>
              <w:t>68</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329</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363.69</w:t>
            </w:r>
            <w:r>
              <w:rPr>
                <w:rFonts w:hint="eastAsia" w:ascii="宋体" w:hAnsi="宋体" w:eastAsia="宋体" w:cs="宋体"/>
                <w:color w:val="auto"/>
                <w:sz w:val="21"/>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本项目绿色施工安全防护措施费为</w:t>
            </w:r>
            <w:r>
              <w:rPr>
                <w:rFonts w:hint="eastAsia" w:ascii="宋体" w:hAnsi="宋体" w:eastAsia="宋体" w:cs="宋体"/>
                <w:color w:val="auto"/>
                <w:sz w:val="21"/>
                <w:szCs w:val="21"/>
                <w:highlight w:val="none"/>
                <w:u w:val="single"/>
              </w:rPr>
              <w:t>4</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436</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450.7</w:t>
            </w:r>
            <w:r>
              <w:rPr>
                <w:rFonts w:hint="eastAsia" w:ascii="宋体" w:hAnsi="宋体" w:eastAsia="宋体" w:cs="宋体"/>
                <w:color w:val="auto"/>
                <w:sz w:val="21"/>
                <w:szCs w:val="21"/>
                <w:highlight w:val="none"/>
              </w:rPr>
              <w:t>元，暂列金额为</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644</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570.67</w:t>
            </w:r>
            <w:r>
              <w:rPr>
                <w:rFonts w:hint="eastAsia" w:ascii="宋体" w:hAnsi="宋体" w:eastAsia="宋体" w:cs="宋体"/>
                <w:color w:val="auto"/>
                <w:sz w:val="21"/>
                <w:szCs w:val="21"/>
                <w:highlight w:val="none"/>
              </w:rPr>
              <w:t>元，暂估价为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工程成本警戒价为</w:t>
            </w:r>
            <w:r>
              <w:rPr>
                <w:rFonts w:hint="eastAsia" w:ascii="宋体" w:hAnsi="宋体" w:cs="宋体"/>
                <w:color w:val="auto"/>
                <w:sz w:val="21"/>
                <w:szCs w:val="21"/>
                <w:highlight w:val="none"/>
                <w:u w:val="single"/>
                <w:lang w:val="en-US" w:eastAsia="zh-CN"/>
              </w:rPr>
              <w:t>61</w:t>
            </w:r>
            <w:r>
              <w:rPr>
                <w:rFonts w:hint="eastAsia" w:ascii="宋体" w:hAnsi="宋体" w:eastAsia="宋体"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496</w:t>
            </w:r>
            <w:r>
              <w:rPr>
                <w:rFonts w:hint="eastAsia" w:ascii="宋体" w:hAnsi="宋体" w:eastAsia="宋体"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427.32</w:t>
            </w:r>
            <w:r>
              <w:rPr>
                <w:rFonts w:hint="eastAsia" w:ascii="宋体" w:hAnsi="宋体" w:eastAsia="宋体" w:cs="宋体"/>
                <w:color w:val="auto"/>
                <w:sz w:val="21"/>
                <w:szCs w:val="21"/>
                <w:highlight w:val="none"/>
              </w:rPr>
              <w:t>元（按招标控制价的90%计取）。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评标委员会共7人，其中招标人代表2人，技术、经济等方面专家5人。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pStyle w:val="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kern w:val="0"/>
                <w:sz w:val="21"/>
                <w:szCs w:val="21"/>
                <w:highlight w:val="none"/>
                <w:lang w:val="zh-CN"/>
              </w:rPr>
            </w:pPr>
            <w:r>
              <w:rPr>
                <w:rFonts w:hint="eastAsia" w:ascii="宋体" w:hAnsi="宋体" w:eastAsia="宋体" w:cs="宋体"/>
                <w:bCs w:val="0"/>
                <w:color w:val="auto"/>
                <w:kern w:val="0"/>
                <w:sz w:val="21"/>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eastAsia="宋体" w:cs="宋体"/>
                <w:color w:val="auto"/>
                <w:kern w:val="0"/>
                <w:sz w:val="21"/>
                <w:szCs w:val="21"/>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□不允许；</w:t>
            </w:r>
          </w:p>
          <w:p>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允许：分包内容要求：</w:t>
            </w:r>
            <w:r>
              <w:rPr>
                <w:rFonts w:hint="eastAsia" w:ascii="宋体" w:hAnsi="宋体" w:eastAsia="宋体" w:cs="宋体"/>
                <w:color w:val="auto"/>
                <w:kern w:val="0"/>
                <w:sz w:val="21"/>
                <w:szCs w:val="21"/>
                <w:highlight w:val="none"/>
                <w:u w:val="single"/>
                <w:lang w:val="zh-CN"/>
              </w:rPr>
              <w:t>非主体、非关键性工程。</w:t>
            </w:r>
          </w:p>
          <w:p>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rPr>
              <w:t xml:space="preserve">        分包金额要求：/</w:t>
            </w:r>
          </w:p>
          <w:p>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对分包人的资质要求：</w:t>
            </w:r>
            <w:r>
              <w:rPr>
                <w:rFonts w:hint="eastAsia" w:ascii="宋体" w:hAnsi="宋体" w:eastAsia="宋体" w:cs="宋体"/>
                <w:color w:val="auto"/>
                <w:kern w:val="0"/>
                <w:sz w:val="21"/>
                <w:szCs w:val="21"/>
                <w:highlight w:val="none"/>
                <w:u w:val="single"/>
                <w:lang w:val="zh-CN"/>
              </w:rPr>
              <w:t>对于非主体、非关键性工程，承包人不具备相应资质的，需经发包人审核批准后分包给具有相应资质和能力的专业单位实施。</w:t>
            </w:r>
          </w:p>
          <w:p>
            <w:pPr>
              <w:ind w:firstLine="840" w:firstLineChars="4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1、按照交易平台关于全流程电子化项目的相关指南进行操作。详见：</w:t>
            </w:r>
            <w:r>
              <w:rPr>
                <w:rFonts w:hint="eastAsia" w:ascii="宋体" w:hAnsi="宋体" w:eastAsia="宋体" w:cs="宋体"/>
                <w:color w:val="auto"/>
                <w:sz w:val="21"/>
                <w:szCs w:val="21"/>
                <w:highlight w:val="none"/>
                <w:u w:val="single"/>
              </w:rPr>
              <w:t>《房屋建筑和市政基础设施工程全流程电子化项目专章》</w:t>
            </w:r>
            <w:r>
              <w:rPr>
                <w:rFonts w:hint="eastAsia" w:ascii="宋体" w:hAnsi="宋体" w:eastAsia="宋体" w:cs="宋体"/>
                <w:color w:val="auto"/>
                <w:sz w:val="21"/>
                <w:szCs w:val="21"/>
                <w:highlight w:val="none"/>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2、提交投标文件光盘备用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3、补救方案</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本项目招标计划发布时的招标项目名称为“广州市儿童公园续建工程（建筑工程）施工”。</w:t>
            </w:r>
          </w:p>
        </w:tc>
      </w:tr>
    </w:tbl>
    <w:p>
      <w:pPr>
        <w:spacing w:line="480" w:lineRule="auto"/>
        <w:rPr>
          <w:rFonts w:ascii="宋体"/>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9"/>
        <w:rPr>
          <w:color w:val="auto"/>
          <w:highlight w:val="none"/>
        </w:rPr>
      </w:pPr>
      <w:r>
        <w:rPr>
          <w:color w:val="auto"/>
          <w:highlight w:val="none"/>
        </w:rPr>
        <w:br w:type="page"/>
      </w:r>
      <w:bookmarkStart w:id="4" w:name="_Toc2272547"/>
      <w:bookmarkStart w:id="5" w:name="_Toc21525491"/>
      <w:r>
        <w:rPr>
          <w:rFonts w:hint="eastAsia"/>
          <w:color w:val="auto"/>
          <w:highlight w:val="none"/>
        </w:rPr>
        <w:t>二、投标须知修改表</w:t>
      </w:r>
      <w:bookmarkEnd w:id="4"/>
      <w:bookmarkEnd w:id="5"/>
    </w:p>
    <w:p>
      <w:pPr>
        <w:pStyle w:val="7"/>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1"/>
          <w:szCs w:val="21"/>
          <w:highlight w:val="none"/>
        </w:rPr>
        <w:t>声明：本投标须知使用GZZB2018-3招标文件范本的投标须知通用条款，与该通用条款不同之处，均在本表中列明，并以现文为准，原文不再有效。请投标人自行到广州市住房和城乡建设局网站（网址：http://zfcj.gz.gov.cn/）下载查阅。</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条款号：5.1           修改类型：修改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5.1</w:t>
      </w:r>
      <w:r>
        <w:rPr>
          <w:rFonts w:hint="eastAsia" w:ascii="宋体" w:hAnsi="宋体" w:eastAsia="宋体" w:cs="宋体"/>
          <w:bCs/>
          <w:color w:val="auto"/>
          <w:sz w:val="24"/>
          <w:szCs w:val="24"/>
          <w:highlight w:val="none"/>
        </w:rPr>
        <w:t>投标人应按本投标须知前附表第15项所述时间和要求对工程现场及周围环境进行踏勘，</w:t>
      </w:r>
      <w:r>
        <w:rPr>
          <w:rFonts w:hint="eastAsia" w:ascii="宋体" w:hAnsi="宋体" w:eastAsia="宋体" w:cs="宋体"/>
          <w:color w:val="auto"/>
          <w:sz w:val="24"/>
          <w:szCs w:val="24"/>
          <w:highlight w:val="none"/>
        </w:rPr>
        <w:t>投标人应充分重视和仔细地进行这种考察，</w:t>
      </w:r>
      <w:r>
        <w:rPr>
          <w:rFonts w:hint="eastAsia" w:ascii="宋体" w:hAnsi="宋体" w:eastAsia="宋体" w:cs="宋体"/>
          <w:bCs/>
          <w:color w:val="auto"/>
          <w:sz w:val="24"/>
          <w:szCs w:val="24"/>
          <w:highlight w:val="none"/>
        </w:rPr>
        <w:t>以便投标人获取</w:t>
      </w:r>
      <w:r>
        <w:rPr>
          <w:rFonts w:hint="eastAsia" w:ascii="宋体" w:hAnsi="宋体" w:eastAsia="宋体" w:cs="宋体"/>
          <w:color w:val="auto"/>
          <w:sz w:val="24"/>
          <w:szCs w:val="24"/>
          <w:highlight w:val="none"/>
        </w:rPr>
        <w:t>那些须投标人自己负责的</w:t>
      </w:r>
      <w:r>
        <w:rPr>
          <w:rFonts w:hint="eastAsia" w:ascii="宋体" w:hAnsi="宋体" w:eastAsia="宋体" w:cs="宋体"/>
          <w:bCs/>
          <w:color w:val="auto"/>
          <w:sz w:val="24"/>
          <w:szCs w:val="24"/>
          <w:highlight w:val="none"/>
        </w:rPr>
        <w:t>有关编制投标文件和签署合同所涉及现场所有的资料。</w:t>
      </w:r>
      <w:r>
        <w:rPr>
          <w:rFonts w:hint="eastAsia" w:ascii="宋体" w:hAnsi="宋体" w:eastAsia="宋体" w:cs="宋体"/>
          <w:color w:val="auto"/>
          <w:sz w:val="24"/>
          <w:szCs w:val="24"/>
          <w:highlight w:val="none"/>
        </w:rPr>
        <w:t>一旦中标，这种考察即被认为其结果已在中标文件中得到充分反映。考察现场的费用由投标人自己承担。</w:t>
      </w:r>
    </w:p>
    <w:p>
      <w:pPr>
        <w:pBdr>
          <w:bottom w:val="single" w:color="auto" w:sz="6" w:space="1"/>
        </w:pBd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5.1</w:t>
      </w:r>
      <w:r>
        <w:rPr>
          <w:rFonts w:hint="eastAsia" w:ascii="宋体" w:hAnsi="宋体" w:eastAsia="宋体" w:cs="宋体"/>
          <w:bCs/>
          <w:color w:val="auto"/>
          <w:sz w:val="24"/>
          <w:szCs w:val="24"/>
          <w:highlight w:val="none"/>
        </w:rPr>
        <w:t>投标人应按本投标须知前附表第15项所述时间和要求对工程现场及周围环境进行踏勘，</w:t>
      </w:r>
      <w:r>
        <w:rPr>
          <w:rFonts w:hint="eastAsia" w:ascii="宋体" w:hAnsi="宋体" w:eastAsia="宋体" w:cs="宋体"/>
          <w:color w:val="auto"/>
          <w:sz w:val="24"/>
          <w:szCs w:val="24"/>
          <w:highlight w:val="none"/>
        </w:rPr>
        <w:t>投标人应充分重视和仔细地进行这种考察，</w:t>
      </w:r>
      <w:r>
        <w:rPr>
          <w:rFonts w:hint="eastAsia" w:ascii="宋体" w:hAnsi="宋体" w:eastAsia="宋体" w:cs="宋体"/>
          <w:bCs/>
          <w:color w:val="auto"/>
          <w:sz w:val="24"/>
          <w:szCs w:val="24"/>
          <w:highlight w:val="none"/>
        </w:rPr>
        <w:t>以便投标人获取</w:t>
      </w:r>
      <w:r>
        <w:rPr>
          <w:rFonts w:hint="eastAsia" w:ascii="宋体" w:hAnsi="宋体" w:eastAsia="宋体" w:cs="宋体"/>
          <w:color w:val="auto"/>
          <w:sz w:val="24"/>
          <w:szCs w:val="24"/>
          <w:highlight w:val="none"/>
        </w:rPr>
        <w:t>那些须投标人自己负责的</w:t>
      </w:r>
      <w:r>
        <w:rPr>
          <w:rFonts w:hint="eastAsia" w:ascii="宋体" w:hAnsi="宋体" w:eastAsia="宋体" w:cs="宋体"/>
          <w:bCs/>
          <w:color w:val="auto"/>
          <w:sz w:val="24"/>
          <w:szCs w:val="24"/>
          <w:highlight w:val="none"/>
        </w:rPr>
        <w:t>有关编制投标文件和签署合同所涉及现场所有的资料。</w:t>
      </w:r>
      <w:r>
        <w:rPr>
          <w:rFonts w:hint="eastAsia" w:ascii="宋体" w:hAnsi="宋体" w:eastAsia="宋体" w:cs="宋体"/>
          <w:color w:val="auto"/>
          <w:sz w:val="24"/>
          <w:szCs w:val="24"/>
          <w:highlight w:val="none"/>
        </w:rPr>
        <w:t>一旦中标，这种考察即被认为其结果已在中标文件中得到充分反映，</w:t>
      </w:r>
      <w:r>
        <w:rPr>
          <w:rFonts w:hint="eastAsia" w:ascii="宋体" w:hAnsi="宋体" w:eastAsia="宋体" w:cs="宋体"/>
          <w:color w:val="auto"/>
          <w:sz w:val="24"/>
          <w:szCs w:val="24"/>
          <w:highlight w:val="none"/>
          <w:u w:val="single"/>
        </w:rPr>
        <w:t>且充分考虑了现场各种因素。招标人不受理因投标人缺乏对现场条件的了解或掌握而提出的任何索赔。</w:t>
      </w:r>
      <w:r>
        <w:rPr>
          <w:rFonts w:hint="eastAsia" w:ascii="宋体" w:hAnsi="宋体" w:eastAsia="宋体" w:cs="宋体"/>
          <w:color w:val="auto"/>
          <w:sz w:val="24"/>
          <w:szCs w:val="24"/>
          <w:highlight w:val="none"/>
        </w:rPr>
        <w:t>考察现场的费用由投标人自己承担。</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条款号：8.1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8.1投标人若对招标文件（包括招标图纸）中有疑问，可以书面形式通过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交易平台提交给招标人或招标代理人，提交形式见本须知前附表第16项。</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8.1投标人若对招标文件（包括招标图纸）中有疑问，可以书面形式通过</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交易平台提交给招标人或招标代理人，提交形式见本须知前附表第16项。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条款号：8.2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 “项目答疑纪要”专区公开发布。答疑纪要一经在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交易平台发布，视作已发放给所有投标人。</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条款号：9.2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交易平台上网发布时间作为送达时间。</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交易平台上网发布时间作为送达时间。</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条款号：9.4            修改类型：修改</w:t>
      </w:r>
    </w:p>
    <w:p>
      <w:pPr>
        <w:pStyle w:val="7"/>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9.4招标文件的澄清或修改在</w:t>
      </w:r>
      <w:r>
        <w:rPr>
          <w:rFonts w:hint="eastAsia" w:ascii="宋体" w:hAnsi="宋体" w:eastAsia="宋体" w:cs="宋体"/>
          <w:color w:val="auto"/>
          <w:sz w:val="24"/>
          <w:szCs w:val="24"/>
          <w:highlight w:val="none"/>
          <w:u w:val="single"/>
        </w:rPr>
        <w:t>广州公共资源交易中心交易平台“项目答疑纪要”专区公开发布。</w:t>
      </w:r>
      <w:r>
        <w:rPr>
          <w:rFonts w:hint="eastAsia" w:ascii="宋体" w:hAnsi="宋体" w:eastAsia="宋体" w:cs="宋体"/>
          <w:color w:val="auto"/>
          <w:sz w:val="24"/>
          <w:szCs w:val="24"/>
          <w:highlight w:val="none"/>
        </w:rPr>
        <w:t>当招标文件的澄清、修改、补充等在同一内容的表述不一致时，</w:t>
      </w:r>
      <w:r>
        <w:rPr>
          <w:rFonts w:hint="eastAsia" w:ascii="宋体" w:hAnsi="宋体" w:eastAsia="宋体" w:cs="宋体"/>
          <w:color w:val="auto"/>
          <w:sz w:val="24"/>
          <w:szCs w:val="24"/>
          <w:highlight w:val="none"/>
          <w:u w:val="single"/>
        </w:rPr>
        <w:t>以最后发出的文件为准</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条款号：11.2           修改类型：修改</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11.2投标文件技术标部分主要包括下列内容:</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技术投标文件(按招标文件的要求填写)；</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（6）项目负责人（按网上投标登记时选择拟投标的项目负责人）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（9）拟委派项目负责人的建造师注册证书（取自平台内上传件）；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（11）专职安全员须具有在有效期内的安全考核合格证书（C类）或建筑施工企业专职安全生产管理人员安全生产考核合格证书（取自平台内上传件）；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11.2.3项目管理机构配备。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（1）投标人应列出该项目工程的施工组织机构构成和画出机构框架图及其负责人；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（3）其他辅助说明资料。</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11.2.4投标人在广州市可使用适合本工程的机械设备（附：机械设备为自有或租赁的说明；及承诺机械设备如属于租赁的，其租赁是不属于重复租赁）。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11.2.5施工组织设计或施工方案。</w:t>
      </w:r>
      <w:r>
        <w:rPr>
          <w:rFonts w:hint="eastAsia" w:ascii="宋体" w:hAnsi="宋体" w:eastAsia="宋体" w:cs="宋体"/>
          <w:b/>
          <w:bCs w:val="0"/>
          <w:color w:val="auto"/>
          <w:sz w:val="24"/>
          <w:szCs w:val="24"/>
          <w:highlight w:val="none"/>
        </w:rPr>
        <w:t>（投标人在编制施工组织设计或施工方案时应按照招标人提出的施工现场建筑垃圾源头减量的具体要求以及建筑垃圾综合利用产品的使用要求提供相应措施。）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11.2.6按照招标文件要求填写的《参与编制技术标投标文件人员名单》。</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11.2投标文件技术标部分主要包括下列内容: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技术投标文件；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资格审查文件：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（1）投标人声明</w:t>
      </w:r>
      <w:r>
        <w:rPr>
          <w:rFonts w:hint="eastAsia" w:ascii="宋体" w:hAnsi="宋体" w:eastAsia="宋体" w:cs="宋体"/>
          <w:color w:val="auto"/>
          <w:sz w:val="24"/>
          <w:szCs w:val="24"/>
          <w:highlight w:val="none"/>
          <w:u w:val="single"/>
        </w:rPr>
        <w:t>（按招标公告附件一的格式及内容提交）</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（2）法定代表人证明书、法定代表人签字或盖章的本投标文件授权委托证明书</w:t>
      </w:r>
      <w:r>
        <w:rPr>
          <w:rFonts w:hint="eastAsia" w:ascii="宋体" w:hAnsi="宋体" w:eastAsia="宋体" w:cs="宋体"/>
          <w:color w:val="auto"/>
          <w:sz w:val="24"/>
          <w:szCs w:val="24"/>
          <w:highlight w:val="none"/>
          <w:u w:val="single"/>
        </w:rPr>
        <w:t>（见本招标文件第四章“技术标投标文件格式”格式五）</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（3）企业营业执照（取自库内上传件）；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（4）企业资质证书（取自库内上传件）；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（5）建筑施工企业安全生产许可证（取自库内上传件）；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（6）项目负责人（按网上投标登记时选择拟投标的项目负责人）；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拟委派技术负责人的职称证书扫描件；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拟委派项目负责人的建造师证书（取自库内上传件）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（11）专职安全员须具有在有效期内的安全考核合格证书（C类）或</w:t>
      </w:r>
      <w:r>
        <w:rPr>
          <w:rFonts w:hint="eastAsia" w:ascii="宋体" w:hAnsi="宋体" w:eastAsia="宋体" w:cs="宋体"/>
          <w:color w:val="auto"/>
          <w:sz w:val="24"/>
          <w:szCs w:val="24"/>
          <w:highlight w:val="none"/>
          <w:u w:val="single"/>
        </w:rPr>
        <w:t>建筑施工企业专职安全生产管理人员安全生产考核合格证书（C3）</w:t>
      </w:r>
      <w:r>
        <w:rPr>
          <w:rFonts w:hint="eastAsia" w:ascii="宋体" w:hAnsi="宋体" w:eastAsia="宋体" w:cs="宋体"/>
          <w:bCs/>
          <w:color w:val="auto"/>
          <w:sz w:val="24"/>
          <w:szCs w:val="24"/>
          <w:highlight w:val="none"/>
        </w:rPr>
        <w:t>（取自平台内上传件），</w:t>
      </w:r>
      <w:r>
        <w:rPr>
          <w:rFonts w:hint="eastAsia" w:ascii="宋体" w:hAnsi="宋体" w:eastAsia="宋体" w:cs="宋体"/>
          <w:b/>
          <w:color w:val="auto"/>
          <w:sz w:val="24"/>
          <w:szCs w:val="24"/>
          <w:highlight w:val="none"/>
          <w:u w:val="single"/>
        </w:rPr>
        <w:t>项目负责人和专职安全员不为同一人</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资格审查前，投标人须在广州市住房和城乡建设局建立企业信用档案，拟担任本工程项目负责人、专职安全员须是本企业信用档案中的在册人员</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）关于联合体投标：</w:t>
      </w:r>
      <w:r>
        <w:rPr>
          <w:rFonts w:hint="eastAsia" w:ascii="宋体" w:hAnsi="宋体" w:eastAsia="宋体" w:cs="宋体"/>
          <w:b/>
          <w:color w:val="auto"/>
          <w:kern w:val="0"/>
          <w:sz w:val="24"/>
          <w:szCs w:val="24"/>
          <w:highlight w:val="none"/>
          <w:u w:val="single"/>
        </w:rPr>
        <w:t>本项目不接受联合体投标。</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w:t>
      </w:r>
      <w:r>
        <w:rPr>
          <w:rFonts w:hint="eastAsia" w:ascii="宋体" w:hAnsi="宋体" w:eastAsia="宋体" w:cs="宋体"/>
          <w:b w:val="0"/>
          <w:bCs w:val="0"/>
          <w:color w:val="auto"/>
          <w:kern w:val="2"/>
          <w:sz w:val="24"/>
          <w:szCs w:val="24"/>
          <w:highlight w:val="none"/>
          <w:u w:val="single"/>
        </w:rPr>
        <w:t>未被列入拖欠农民工工资失信联合惩戒对象名单</w:t>
      </w:r>
      <w:r>
        <w:rPr>
          <w:rFonts w:hint="eastAsia" w:ascii="宋体" w:hAnsi="宋体" w:eastAsia="宋体" w:cs="宋体"/>
          <w:color w:val="auto"/>
          <w:sz w:val="24"/>
          <w:szCs w:val="24"/>
          <w:highlight w:val="none"/>
          <w:u w:val="single"/>
        </w:rPr>
        <w:t>（投标人无需提供资料，按交易系统比对的结果进行评审）。</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）投标人认为应提交的其他资料。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r>
        <w:rPr>
          <w:rFonts w:hint="eastAsia" w:ascii="宋体" w:hAnsi="宋体" w:eastAsia="宋体" w:cs="宋体"/>
          <w:color w:val="auto"/>
          <w:sz w:val="24"/>
          <w:szCs w:val="24"/>
          <w:highlight w:val="none"/>
          <w:u w:val="single"/>
        </w:rPr>
        <w:t>（见本招标文件第四章 “技术标投标文件格式”格式</w:t>
      </w:r>
      <w:r>
        <w:rPr>
          <w:rFonts w:hint="eastAsia" w:ascii="宋体" w:hAnsi="宋体" w:eastAsia="宋体" w:cs="宋体"/>
          <w:color w:val="auto"/>
          <w:sz w:val="24"/>
          <w:szCs w:val="24"/>
          <w:highlight w:val="none"/>
          <w:u w:val="single"/>
          <w:lang w:val="en-US" w:eastAsia="zh-CN"/>
        </w:rPr>
        <w:t>六</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r>
        <w:rPr>
          <w:rFonts w:hint="eastAsia" w:ascii="宋体" w:hAnsi="宋体" w:eastAsia="宋体" w:cs="宋体"/>
          <w:color w:val="auto"/>
          <w:sz w:val="24"/>
          <w:szCs w:val="24"/>
          <w:highlight w:val="none"/>
          <w:u w:val="single"/>
        </w:rPr>
        <w:t>（见本招标文件第四章“技术标投标文件格式”格式</w:t>
      </w:r>
      <w:r>
        <w:rPr>
          <w:rFonts w:hint="eastAsia" w:ascii="宋体" w:hAnsi="宋体" w:eastAsia="宋体" w:cs="宋体"/>
          <w:color w:val="auto"/>
          <w:sz w:val="24"/>
          <w:szCs w:val="24"/>
          <w:highlight w:val="none"/>
          <w:u w:val="single"/>
          <w:lang w:val="en-US" w:eastAsia="zh-CN"/>
        </w:rPr>
        <w:t>七</w:t>
      </w:r>
      <w:r>
        <w:rPr>
          <w:rFonts w:hint="eastAsia" w:ascii="宋体" w:hAnsi="宋体" w:eastAsia="宋体" w:cs="宋体"/>
          <w:color w:val="auto"/>
          <w:sz w:val="24"/>
          <w:szCs w:val="24"/>
          <w:highlight w:val="none"/>
          <w:u w:val="single"/>
        </w:rPr>
        <w:t>《投入主要人员汇总表》和格式</w:t>
      </w:r>
      <w:r>
        <w:rPr>
          <w:rFonts w:hint="eastAsia" w:ascii="宋体" w:hAnsi="宋体" w:eastAsia="宋体" w:cs="宋体"/>
          <w:color w:val="auto"/>
          <w:sz w:val="24"/>
          <w:szCs w:val="24"/>
          <w:highlight w:val="none"/>
          <w:u w:val="single"/>
          <w:lang w:val="en-US" w:eastAsia="zh-CN"/>
        </w:rPr>
        <w:t>八</w:t>
      </w:r>
      <w:r>
        <w:rPr>
          <w:rFonts w:hint="eastAsia" w:ascii="宋体" w:hAnsi="宋体" w:eastAsia="宋体" w:cs="宋体"/>
          <w:color w:val="auto"/>
          <w:sz w:val="24"/>
          <w:szCs w:val="24"/>
          <w:highlight w:val="none"/>
          <w:u w:val="single"/>
        </w:rPr>
        <w:t>《主要人员简历表》填写）</w:t>
      </w:r>
      <w:r>
        <w:rPr>
          <w:rFonts w:hint="eastAsia" w:ascii="宋体" w:hAnsi="宋体" w:eastAsia="宋体" w:cs="宋体"/>
          <w:color w:val="auto"/>
          <w:sz w:val="24"/>
          <w:szCs w:val="24"/>
          <w:highlight w:val="none"/>
        </w:rPr>
        <w:t>；</w:t>
      </w:r>
    </w:p>
    <w:p>
      <w:pPr>
        <w:pBdr>
          <w:bottom w:val="single" w:color="auto" w:sz="6" w:space="1"/>
        </w:pBdr>
        <w:spacing w:line="360" w:lineRule="auto"/>
        <w:ind w:firstLine="600" w:firstLineChars="250"/>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（3）其他辅助说明资料</w:t>
      </w:r>
      <w:r>
        <w:rPr>
          <w:rFonts w:hint="eastAsia" w:ascii="宋体" w:hAnsi="宋体" w:eastAsia="宋体" w:cs="宋体"/>
          <w:color w:val="auto"/>
          <w:sz w:val="24"/>
          <w:szCs w:val="24"/>
          <w:highlight w:val="none"/>
          <w:u w:val="single"/>
        </w:rPr>
        <w:t>（包含并不限于）：需提供投标人在投标登记时，在交易系统中按《施工项目管理团队人员信息表》（详见招标公告附件二）填写的网页截图</w:t>
      </w:r>
      <w:r>
        <w:rPr>
          <w:rFonts w:hint="eastAsia" w:ascii="宋体" w:hAnsi="宋体" w:eastAsia="宋体" w:cs="宋体"/>
          <w:color w:val="auto"/>
          <w:sz w:val="24"/>
          <w:szCs w:val="24"/>
          <w:highlight w:val="none"/>
        </w:rPr>
        <w:t>。</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11.2.4 </w:t>
      </w:r>
      <w:r>
        <w:rPr>
          <w:rFonts w:hint="eastAsia" w:ascii="宋体" w:hAnsi="宋体" w:eastAsia="宋体" w:cs="宋体"/>
          <w:color w:val="auto"/>
          <w:sz w:val="24"/>
          <w:szCs w:val="24"/>
          <w:highlight w:val="none"/>
          <w:u w:val="single"/>
        </w:rPr>
        <w:t>企业相关资料：企业获奖资料、履约证明资料等。</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11.2.5</w:t>
      </w:r>
      <w:r>
        <w:rPr>
          <w:rFonts w:hint="eastAsia" w:ascii="宋体" w:hAnsi="宋体" w:eastAsia="宋体" w:cs="宋体"/>
          <w:color w:val="auto"/>
          <w:sz w:val="24"/>
          <w:szCs w:val="24"/>
          <w:highlight w:val="none"/>
          <w:u w:val="single"/>
          <w:lang w:val="en-US" w:eastAsia="zh-CN"/>
        </w:rPr>
        <w:t>企业</w:t>
      </w:r>
      <w:r>
        <w:rPr>
          <w:rFonts w:hint="eastAsia" w:ascii="宋体" w:hAnsi="宋体" w:eastAsia="宋体" w:cs="宋体"/>
          <w:color w:val="auto"/>
          <w:sz w:val="24"/>
          <w:szCs w:val="24"/>
          <w:highlight w:val="none"/>
          <w:u w:val="single"/>
        </w:rPr>
        <w:t>类似工程业绩（见本招标文件第四章“技术标投标文件格式”）格式</w:t>
      </w:r>
      <w:r>
        <w:rPr>
          <w:rFonts w:hint="eastAsia" w:ascii="宋体" w:hAnsi="宋体" w:eastAsia="宋体" w:cs="宋体"/>
          <w:color w:val="auto"/>
          <w:sz w:val="24"/>
          <w:szCs w:val="24"/>
          <w:highlight w:val="none"/>
          <w:u w:val="single"/>
          <w:lang w:val="en-US" w:eastAsia="zh-CN"/>
        </w:rPr>
        <w:t>九</w:t>
      </w:r>
      <w:r>
        <w:rPr>
          <w:rFonts w:hint="eastAsia" w:ascii="宋体" w:hAnsi="宋体" w:eastAsia="宋体" w:cs="宋体"/>
          <w:color w:val="auto"/>
          <w:sz w:val="24"/>
          <w:szCs w:val="24"/>
          <w:highlight w:val="none"/>
          <w:u w:val="single"/>
        </w:rPr>
        <w:t>：已竣工验收的类似工程业绩表。</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11.2.6《响应招标文件所附施工组织设计要点的承诺书》</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bCs/>
          <w:color w:val="auto"/>
          <w:kern w:val="2"/>
          <w:sz w:val="24"/>
          <w:szCs w:val="24"/>
          <w:highlight w:val="none"/>
          <w:u w:val="single"/>
        </w:rPr>
        <w:t>投标人在编制施工组织设计时应按照招标人提出的施工现场建筑垃圾源头减量的具体要求以及建筑垃圾综合利用产品的使用要求提供相应措施</w:t>
      </w:r>
      <w:r>
        <w:rPr>
          <w:rFonts w:hint="eastAsia" w:ascii="宋体" w:hAnsi="宋体" w:eastAsia="宋体" w:cs="宋体"/>
          <w:b/>
          <w:bCs/>
          <w:color w:val="auto"/>
          <w:kern w:val="2"/>
          <w:sz w:val="24"/>
          <w:szCs w:val="24"/>
          <w:highlight w:val="none"/>
          <w:u w:val="single"/>
          <w:lang w:eastAsia="zh-CN"/>
        </w:rPr>
        <w:t>。）</w:t>
      </w:r>
      <w:r>
        <w:rPr>
          <w:rFonts w:hint="eastAsia" w:ascii="宋体" w:hAnsi="宋体" w:eastAsia="宋体" w:cs="宋体"/>
          <w:color w:val="auto"/>
          <w:sz w:val="24"/>
          <w:szCs w:val="24"/>
          <w:highlight w:val="none"/>
          <w:u w:val="single"/>
        </w:rPr>
        <w:t>（见本招标文件第四章“技术标投标文件格式”格式十）。</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11.2.7</w:t>
      </w:r>
      <w:r>
        <w:rPr>
          <w:rFonts w:hint="eastAsia" w:ascii="宋体" w:hAnsi="宋体" w:eastAsia="宋体" w:cs="宋体"/>
          <w:color w:val="auto"/>
          <w:sz w:val="24"/>
          <w:szCs w:val="24"/>
          <w:highlight w:val="none"/>
          <w:u w:val="single"/>
        </w:rPr>
        <w:t>《承诺书》（见本招标文件第四章“技术标投标文件格式”格式十</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w:t>
      </w:r>
    </w:p>
    <w:p>
      <w:pPr>
        <w:pBdr>
          <w:bottom w:val="single" w:color="auto" w:sz="6" w:space="1"/>
        </w:pBdr>
        <w:shd w:val="clea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11.2.8《投标函》（须按本招标文件第四章“技术标投标文件格式”格式三）。</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u w:val="single"/>
        </w:rPr>
        <w:t>《主要设备的质保和维护维修承诺书》（见本招标文件第四章“技术标投标文件格式”格式十</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u w:val="single"/>
        </w:rPr>
        <w:t>按照招标文件要求填写的《参与编制技术标投标文件人员名单》（见本招标文件第四章“投标文件格式”格式十</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rPr>
        <w:t>按照招标文件要求填写的《危险性较大的分部分项工程清单及超过一定规模的危险性较大的分部分项工程清单》（见本招标文件第四章“投标文件格式”格式十</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投标人认为应该提供的其他资料。</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条款号：11.3.3           修改类型：修改</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11.3.3</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pPr>
        <w:pBdr>
          <w:bottom w:val="single" w:color="auto" w:sz="6" w:space="1"/>
        </w:pBdr>
        <w:spacing w:line="360" w:lineRule="auto"/>
        <w:ind w:firstLine="540" w:firstLineChars="224"/>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11.3.3按</w:t>
      </w:r>
      <w:r>
        <w:rPr>
          <w:rFonts w:hint="eastAsia" w:ascii="宋体" w:hAnsi="宋体" w:eastAsia="宋体" w:cs="宋体"/>
          <w:color w:val="auto"/>
          <w:sz w:val="24"/>
          <w:szCs w:val="24"/>
          <w:highlight w:val="none"/>
        </w:rPr>
        <w:t>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r>
        <w:rPr>
          <w:rFonts w:hint="eastAsia" w:ascii="宋体" w:hAnsi="宋体" w:eastAsia="宋体" w:cs="宋体"/>
          <w:bCs/>
          <w:color w:val="auto"/>
          <w:sz w:val="24"/>
          <w:szCs w:val="24"/>
          <w:highlight w:val="none"/>
          <w:u w:val="single"/>
        </w:rPr>
        <w:t>（须按招标文件第四章 “经济标投标文件格式”格式三）。</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条款号：11.3.5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修改类型：增加</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11.3.5</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对投标文件编制的承诺</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（须按招标文件第四章 “经济标投标文件格式”格式四</w:t>
      </w:r>
      <w:r>
        <w:rPr>
          <w:rFonts w:hint="eastAsia" w:ascii="宋体" w:hAnsi="宋体" w:eastAsia="宋体" w:cs="宋体"/>
          <w:bCs/>
          <w:color w:val="auto"/>
          <w:sz w:val="24"/>
          <w:szCs w:val="24"/>
          <w:highlight w:val="none"/>
        </w:rPr>
        <w:t>）</w:t>
      </w:r>
    </w:p>
    <w:p>
      <w:pPr>
        <w:tabs>
          <w:tab w:val="left" w:pos="1125"/>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条款号：12.1              修改类型：修改</w:t>
      </w:r>
    </w:p>
    <w:p>
      <w:pPr>
        <w:pBdr>
          <w:bottom w:val="single" w:color="auto" w:sz="6" w:space="1"/>
        </w:pBdr>
        <w:tabs>
          <w:tab w:val="left" w:pos="1125"/>
        </w:tabs>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12.1</w:t>
      </w:r>
      <w:r>
        <w:rPr>
          <w:rFonts w:hint="eastAsia" w:ascii="宋体" w:hAnsi="宋体" w:eastAsia="宋体" w:cs="宋体"/>
          <w:color w:val="auto"/>
          <w:sz w:val="24"/>
          <w:szCs w:val="24"/>
          <w:highlight w:val="none"/>
        </w:rPr>
        <w:t>投标文件包括本须知第11条中规定的内容，投标人提交的投标文件应当使用招标文件所提供的投标文件全部格式（表格可以按同样格式扩展）。</w:t>
      </w:r>
    </w:p>
    <w:p>
      <w:pPr>
        <w:pBdr>
          <w:bottom w:val="single" w:color="auto" w:sz="6" w:space="1"/>
        </w:pBdr>
        <w:tabs>
          <w:tab w:val="left" w:pos="1125"/>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12.1</w:t>
      </w:r>
      <w:r>
        <w:rPr>
          <w:rFonts w:hint="eastAsia" w:ascii="宋体" w:hAnsi="宋体" w:eastAsia="宋体" w:cs="宋体"/>
          <w:color w:val="auto"/>
          <w:sz w:val="24"/>
          <w:szCs w:val="24"/>
          <w:highlight w:val="none"/>
        </w:rPr>
        <w:t>投标文件包括本须知第11条中规定的内容</w:t>
      </w:r>
      <w:r>
        <w:rPr>
          <w:rFonts w:hint="eastAsia" w:ascii="宋体" w:hAnsi="宋体" w:eastAsia="宋体" w:cs="宋体"/>
          <w:color w:val="auto"/>
          <w:sz w:val="24"/>
          <w:szCs w:val="24"/>
          <w:highlight w:val="none"/>
          <w:u w:val="single"/>
        </w:rPr>
        <w:t>，投标文件格式按招标文件第四章《投标文件格式》。其中：技术标技术标格式二、格式三、格式十</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、格式十</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、格式十</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和经济标格式二、格式三、格式四必须按招标文件规定的格式进行编制外，其余格式仅供参考。</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 xml:space="preserve">12.2 </w:t>
      </w:r>
      <w:r>
        <w:rPr>
          <w:rFonts w:hint="eastAsia" w:ascii="宋体" w:hAnsi="宋体" w:eastAsia="宋体" w:cs="宋体"/>
          <w:b/>
          <w:color w:val="auto"/>
          <w:sz w:val="24"/>
          <w:szCs w:val="24"/>
          <w:highlight w:val="none"/>
        </w:rPr>
        <w:t xml:space="preserve">             修改类型：修改</w:t>
      </w:r>
    </w:p>
    <w:p>
      <w:pP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原文：</w:t>
      </w:r>
      <w:r>
        <w:rPr>
          <w:rFonts w:hint="eastAsia" w:ascii="宋体" w:hAnsi="宋体" w:eastAsia="宋体" w:cs="宋体"/>
          <w:bCs/>
          <w:color w:val="auto"/>
          <w:kern w:val="0"/>
          <w:sz w:val="24"/>
          <w:szCs w:val="24"/>
          <w:highlight w:val="none"/>
        </w:rPr>
        <w:t>12.2</w:t>
      </w:r>
      <w:r>
        <w:rPr>
          <w:rFonts w:hint="eastAsia" w:ascii="宋体" w:hAnsi="宋体" w:eastAsia="宋体" w:cs="宋体"/>
          <w:bCs/>
          <w:color w:val="auto"/>
          <w:sz w:val="24"/>
          <w:szCs w:val="24"/>
          <w:highlight w:val="none"/>
        </w:rPr>
        <w:t>投</w:t>
      </w:r>
      <w:r>
        <w:rPr>
          <w:rFonts w:hint="eastAsia" w:ascii="宋体" w:hAnsi="宋体" w:eastAsia="宋体" w:cs="宋体"/>
          <w:color w:val="auto"/>
          <w:sz w:val="24"/>
          <w:szCs w:val="24"/>
          <w:highlight w:val="none"/>
        </w:rPr>
        <w:t>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pPr>
        <w:pBdr>
          <w:bottom w:val="single" w:color="auto" w:sz="6" w:space="1"/>
        </w:pBdr>
        <w:spacing w:line="360" w:lineRule="auto"/>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12.2投</w:t>
      </w:r>
      <w:r>
        <w:rPr>
          <w:rFonts w:hint="eastAsia" w:ascii="宋体" w:hAnsi="宋体" w:eastAsia="宋体" w:cs="宋体"/>
          <w:color w:val="auto"/>
          <w:sz w:val="24"/>
          <w:szCs w:val="24"/>
          <w:highlight w:val="none"/>
        </w:rPr>
        <w:t>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《房屋建筑和市政基础设施工程全流程电子化项目专章》。</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条款号：12.3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12.3 投标文件应按照交易平台关于全流程电子化项目的相关指南进行编制，详见：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12.3 投标文件应按照交易平台关于全流程电子化项目的相关指南进行编制，详见：</w:t>
      </w:r>
      <w:r>
        <w:rPr>
          <w:rFonts w:hint="eastAsia" w:ascii="宋体" w:hAnsi="宋体" w:eastAsia="宋体" w:cs="宋体"/>
          <w:color w:val="auto"/>
          <w:sz w:val="24"/>
          <w:szCs w:val="24"/>
          <w:highlight w:val="none"/>
          <w:u w:val="single"/>
        </w:rPr>
        <w:t xml:space="preserve">《房屋建筑和市政基础设施工程全流程电子化项目专章》 </w:t>
      </w:r>
      <w:r>
        <w:rPr>
          <w:rFonts w:hint="eastAsia" w:ascii="宋体" w:hAnsi="宋体" w:eastAsia="宋体" w:cs="宋体"/>
          <w:color w:val="auto"/>
          <w:sz w:val="24"/>
          <w:szCs w:val="24"/>
          <w:highlight w:val="none"/>
        </w:rPr>
        <w:t>。</w:t>
      </w:r>
    </w:p>
    <w:p>
      <w:pPr>
        <w:pBdr>
          <w:top w:val="single" w:color="auto" w:sz="4"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条款号：13.1             修改类型：修改</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13.1 本工程的投标报价采用投标须知前附表第12项所规定的方式。投标报价（含单价及总价）精确到“分”。</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13.1 本工程的投标报价采用投标须知前附表第12项所规定的方式。</w:t>
      </w:r>
      <w:r>
        <w:rPr>
          <w:rFonts w:hint="eastAsia" w:ascii="宋体" w:hAnsi="宋体" w:eastAsia="宋体" w:cs="宋体"/>
          <w:color w:val="auto"/>
          <w:sz w:val="24"/>
          <w:szCs w:val="24"/>
          <w:highlight w:val="none"/>
          <w:u w:val="single"/>
        </w:rPr>
        <w:t>投标文件中的大写金额和小写金额不一致的，以大写金额为准。</w:t>
      </w:r>
      <w:r>
        <w:rPr>
          <w:rFonts w:hint="eastAsia" w:ascii="宋体" w:hAnsi="宋体" w:eastAsia="宋体" w:cs="宋体"/>
          <w:color w:val="auto"/>
          <w:sz w:val="24"/>
          <w:szCs w:val="24"/>
          <w:highlight w:val="none"/>
        </w:rPr>
        <w:t>投标报价（含单价及总价）精确到“分”。</w:t>
      </w:r>
    </w:p>
    <w:p>
      <w:pPr>
        <w:spacing w:line="360" w:lineRule="auto"/>
        <w:ind w:firstLine="470" w:firstLineChars="19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条款号：13.3              修改类型：修改</w:t>
      </w:r>
    </w:p>
    <w:p>
      <w:pPr>
        <w:spacing w:line="360" w:lineRule="auto"/>
        <w:ind w:firstLine="470" w:firstLineChars="19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13.3投</w:t>
      </w:r>
      <w:r>
        <w:rPr>
          <w:rFonts w:hint="eastAsia" w:ascii="宋体" w:hAnsi="宋体" w:eastAsia="宋体" w:cs="宋体"/>
          <w:color w:val="auto"/>
          <w:sz w:val="24"/>
          <w:szCs w:val="24"/>
          <w:highlight w:val="none"/>
        </w:rPr>
        <w:t>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70" w:firstLineChars="19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13.3投</w:t>
      </w:r>
      <w:r>
        <w:rPr>
          <w:rFonts w:hint="eastAsia" w:ascii="宋体" w:hAnsi="宋体" w:eastAsia="宋体" w:cs="宋体"/>
          <w:color w:val="auto"/>
          <w:sz w:val="24"/>
          <w:szCs w:val="24"/>
          <w:highlight w:val="none"/>
        </w:rPr>
        <w:t>标人的投标报价，应是按照投标须知前附表第8项的工期要求，在投标须知前附表第3项的建设地点，完成投标须知前附表第7项的招标范围内已由招标人</w:t>
      </w:r>
      <w:r>
        <w:rPr>
          <w:rFonts w:hint="eastAsia" w:ascii="宋体" w:hAnsi="宋体" w:eastAsia="宋体" w:cs="宋体"/>
          <w:color w:val="auto"/>
          <w:sz w:val="24"/>
          <w:szCs w:val="24"/>
          <w:highlight w:val="none"/>
          <w:u w:val="single"/>
        </w:rPr>
        <w:t>提供的招标图纸（包括有关于本项目招标的相关资料）及</w:t>
      </w:r>
      <w:r>
        <w:rPr>
          <w:rFonts w:hint="eastAsia" w:ascii="宋体" w:hAnsi="宋体" w:eastAsia="宋体" w:cs="宋体"/>
          <w:color w:val="auto"/>
          <w:sz w:val="24"/>
          <w:szCs w:val="24"/>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w:t>
      </w:r>
      <w:r>
        <w:rPr>
          <w:rFonts w:hint="eastAsia" w:ascii="宋体" w:hAnsi="宋体" w:eastAsia="宋体" w:cs="宋体"/>
          <w:color w:val="auto"/>
          <w:sz w:val="24"/>
          <w:szCs w:val="24"/>
          <w:highlight w:val="none"/>
        </w:rPr>
        <w:t>13.4</w:t>
      </w:r>
      <w:r>
        <w:rPr>
          <w:rFonts w:hint="eastAsia" w:ascii="宋体" w:hAnsi="宋体" w:eastAsia="宋体" w:cs="宋体"/>
          <w:b/>
          <w:color w:val="auto"/>
          <w:sz w:val="24"/>
          <w:szCs w:val="24"/>
          <w:highlight w:val="none"/>
        </w:rPr>
        <w:t xml:space="preserve">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eastAsia="宋体" w:cs="宋体"/>
          <w:color w:val="auto"/>
          <w:sz w:val="24"/>
          <w:szCs w:val="24"/>
          <w:highlight w:val="none"/>
          <w:u w:val="single"/>
        </w:rPr>
        <w:t>按合同条款相关约定调整。</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13.5</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13.5.1</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13.5.2</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13.5.3</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13.5.4</w:t>
      </w:r>
      <w:r>
        <w:rPr>
          <w:rFonts w:hint="eastAsia" w:ascii="宋体" w:hAnsi="宋体" w:eastAsia="宋体" w:cs="宋体"/>
          <w:b/>
          <w:color w:val="auto"/>
          <w:sz w:val="24"/>
          <w:szCs w:val="24"/>
          <w:highlight w:val="none"/>
        </w:rPr>
        <w:t xml:space="preserve">          修改类型：修改</w:t>
      </w:r>
    </w:p>
    <w:p>
      <w:pPr>
        <w:pBdr>
          <w:bottom w:val="single" w:color="auto" w:sz="6" w:space="1"/>
        </w:pBd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原文：</w:t>
      </w:r>
      <w:r>
        <w:rPr>
          <w:rFonts w:hint="eastAsia" w:ascii="宋体" w:hAnsi="宋体" w:eastAsia="宋体" w:cs="宋体"/>
          <w:color w:val="auto"/>
          <w:kern w:val="0"/>
          <w:sz w:val="24"/>
          <w:szCs w:val="24"/>
          <w:highlight w:val="none"/>
        </w:rPr>
        <w:t>工程项目实施期间……，中标后双方协商约定。</w:t>
      </w:r>
    </w:p>
    <w:p>
      <w:pPr>
        <w:pBdr>
          <w:bottom w:val="single" w:color="auto" w:sz="6" w:space="1"/>
        </w:pBd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现文：</w:t>
      </w:r>
      <w:r>
        <w:rPr>
          <w:rFonts w:hint="eastAsia" w:ascii="宋体" w:hAnsi="宋体" w:eastAsia="宋体" w:cs="宋体"/>
          <w:color w:val="auto"/>
          <w:kern w:val="0"/>
          <w:sz w:val="24"/>
          <w:szCs w:val="24"/>
          <w:highlight w:val="none"/>
          <w:u w:val="single"/>
        </w:rPr>
        <w:t>变更结算方式按招标文件及施工合同相关规定执行。</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条款号：13.8             修改类型：修改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w:t>
      </w:r>
      <w:r>
        <w:rPr>
          <w:rFonts w:hint="eastAsia" w:ascii="宋体" w:hAnsi="宋体" w:cs="宋体"/>
          <w:b/>
          <w:color w:val="auto"/>
          <w:sz w:val="24"/>
          <w:szCs w:val="24"/>
          <w:highlight w:val="none"/>
          <w:lang w:val="en-US" w:eastAsia="zh-CN"/>
        </w:rPr>
        <w:t>5.2</w:t>
      </w:r>
      <w:r>
        <w:rPr>
          <w:rFonts w:hint="eastAsia" w:ascii="宋体" w:hAnsi="宋体" w:eastAsia="宋体" w:cs="宋体"/>
          <w:b/>
          <w:color w:val="auto"/>
          <w:sz w:val="24"/>
          <w:szCs w:val="24"/>
          <w:highlight w:val="none"/>
        </w:rPr>
        <w:t xml:space="preserve">             修改类型：修改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eastAsia="宋体" w:cs="宋体"/>
          <w:color w:val="auto"/>
          <w:sz w:val="24"/>
          <w:szCs w:val="24"/>
          <w:highlight w:val="none"/>
        </w:rPr>
        <w:t>。</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.投标保证金</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w:t>
      </w:r>
      <w:r>
        <w:rPr>
          <w:rFonts w:hint="eastAsia" w:ascii="宋体" w:hAnsi="宋体" w:cs="宋体"/>
          <w:b/>
          <w:color w:val="auto"/>
          <w:sz w:val="24"/>
          <w:szCs w:val="24"/>
          <w:highlight w:val="none"/>
          <w:lang w:val="en-US" w:eastAsia="zh-CN"/>
        </w:rPr>
        <w:t>删除</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highlight w:val="none"/>
        </w:rPr>
        <w:t>16.1投标人应按投标须知前附表第14项所述金额和时间递交</w:t>
      </w:r>
      <w:r>
        <w:rPr>
          <w:rFonts w:hint="eastAsia" w:ascii="宋体" w:hAnsi="宋体" w:eastAsia="宋体" w:cs="宋体"/>
          <w:bCs/>
          <w:color w:val="auto"/>
          <w:sz w:val="24"/>
          <w:highlight w:val="none"/>
        </w:rPr>
        <w:t>投标保证金</w:t>
      </w:r>
      <w:r>
        <w:rPr>
          <w:rFonts w:hint="eastAsia" w:ascii="宋体" w:hAnsi="宋体" w:eastAsia="宋体" w:cs="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 采用现金或者支票形式提交的，投标保证金须从投标人的银行基本账户转出。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16.3投标保证金应依据法律法规的相关规定退还。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16.4.1因投标人原因造成投标文件未解密的；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16.4.2投标人在投标有效期内撤销投标文件；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16.4.3中标人未能在规定期限内按要求提交履约担保；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16.4.4中标人未能在规定期限内签署合同协议。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16.5.3按招标文件要求免于提供投标保证金的投标人存在16.4条款所列情形的。</w:t>
      </w:r>
    </w:p>
    <w:p>
      <w:pPr>
        <w:pBdr>
          <w:bottom w:val="single" w:color="auto" w:sz="6" w:space="1"/>
        </w:pBd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注：16.5.3款由招标人二选一，需在招标文件中明确</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条款号：17.1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《房屋建筑和市政基础设施工程全流程电子化项目专章》</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条款号：18.1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《房屋建筑和市政基础设施工程全流程电子化项目专章》</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条款号：18.2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条款号：19.1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交易平台递交电子投标文件。</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 19.2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条款号：19.3             修改类型：修改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交易平台将予以拒收。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条款号：19.5             修改类型：删除</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 20.3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20.3 到投标截止时间止，招标人收到的投标文件少于3家的，招标人将重新组织招标。</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21.1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交易平台将予以拒收。</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条款号：27.1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条款号：27.4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交易平台和广东省招标投标监管网公开。</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w:t>
      </w:r>
      <w:r>
        <w:rPr>
          <w:rFonts w:hint="eastAsia" w:ascii="宋体" w:hAnsi="宋体" w:cs="宋体"/>
          <w:b/>
          <w:color w:val="auto"/>
          <w:sz w:val="24"/>
          <w:szCs w:val="24"/>
          <w:highlight w:val="none"/>
          <w:lang w:val="en-US" w:eastAsia="zh-CN"/>
        </w:rPr>
        <w:t>8.2</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8.2</w:t>
      </w:r>
      <w:r>
        <w:rPr>
          <w:rFonts w:hint="eastAsia" w:ascii="宋体" w:hAnsi="宋体" w:eastAsia="宋体" w:cs="宋体"/>
          <w:color w:val="auto"/>
          <w:sz w:val="24"/>
          <w:highlight w:val="none"/>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eastAsia="宋体" w:cs="宋体"/>
          <w:color w:val="auto"/>
          <w:sz w:val="24"/>
          <w:szCs w:val="24"/>
          <w:highlight w:val="none"/>
        </w:rPr>
        <w:t>。</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8.2</w:t>
      </w:r>
      <w:r>
        <w:rPr>
          <w:rFonts w:hint="eastAsia" w:ascii="宋体" w:hAnsi="宋体" w:eastAsia="宋体" w:cs="宋体"/>
          <w:color w:val="auto"/>
          <w:sz w:val="24"/>
          <w:highlight w:val="none"/>
        </w:rPr>
        <w:t>中标通知书发出之日起30日后，中标人未按上款的规定与招标人订立合同，招标人将解除中标通知书，且依法承担相应法律责任。原中标人给招标人造成的损失，应当予以赔偿。原中标人有异议的，可以向人民法院起诉</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条款号：29.1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29.1在收到中标通知书后的</w:t>
      </w:r>
      <w:r>
        <w:rPr>
          <w:rFonts w:hint="eastAsia" w:ascii="宋体" w:hAnsi="宋体" w:eastAsia="宋体" w:cs="宋体"/>
          <w:b/>
          <w:color w:val="auto"/>
          <w:sz w:val="24"/>
          <w:szCs w:val="24"/>
          <w:highlight w:val="none"/>
        </w:rPr>
        <w:t>15日</w:t>
      </w:r>
      <w:r>
        <w:rPr>
          <w:rFonts w:hint="eastAsia" w:ascii="宋体" w:hAnsi="宋体" w:eastAsia="宋体" w:cs="宋体"/>
          <w:color w:val="auto"/>
          <w:sz w:val="24"/>
          <w:szCs w:val="24"/>
          <w:highlight w:val="none"/>
        </w:rPr>
        <w:t>内，中标人应按本须知前附表第20项的规定向招标人提交履约担保。</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29.1在</w:t>
      </w:r>
      <w:r>
        <w:rPr>
          <w:rFonts w:hint="eastAsia" w:ascii="宋体" w:hAnsi="宋体" w:eastAsia="宋体" w:cs="宋体"/>
          <w:color w:val="auto"/>
          <w:sz w:val="24"/>
          <w:szCs w:val="24"/>
          <w:highlight w:val="none"/>
          <w:u w:val="single"/>
        </w:rPr>
        <w:t>签订合同后按合同约定时间</w:t>
      </w:r>
      <w:r>
        <w:rPr>
          <w:rFonts w:hint="eastAsia" w:ascii="宋体" w:hAnsi="宋体" w:eastAsia="宋体" w:cs="宋体"/>
          <w:color w:val="auto"/>
          <w:sz w:val="24"/>
          <w:szCs w:val="24"/>
          <w:highlight w:val="none"/>
        </w:rPr>
        <w:t>，中标人应按本须知前附表第20项的规定向招标人提交履约担保</w:t>
      </w:r>
      <w:r>
        <w:rPr>
          <w:rFonts w:hint="eastAsia" w:ascii="宋体" w:hAnsi="宋体" w:eastAsia="宋体" w:cs="宋体"/>
          <w:color w:val="auto"/>
          <w:sz w:val="24"/>
          <w:szCs w:val="24"/>
          <w:highlight w:val="none"/>
          <w:u w:val="single"/>
        </w:rPr>
        <w:t>（具体形式详见合同）</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29.2</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在签订合同后，根据合同约定时间</w:t>
      </w:r>
      <w:r>
        <w:rPr>
          <w:rFonts w:hint="eastAsia" w:ascii="宋体" w:hAnsi="宋体" w:eastAsia="宋体" w:cs="宋体"/>
          <w:color w:val="auto"/>
          <w:sz w:val="24"/>
          <w:szCs w:val="24"/>
          <w:highlight w:val="none"/>
        </w:rPr>
        <w:t>，中标人未按上款的规定提交履约担保，招标人将解除中标通知书，且依法承担相应法律责任。原中标人给招标人造成的损失的，还应当对</w:t>
      </w:r>
      <w:r>
        <w:rPr>
          <w:rFonts w:hint="eastAsia" w:ascii="宋体" w:hAnsi="宋体" w:cs="宋体"/>
          <w:color w:val="auto"/>
          <w:sz w:val="24"/>
          <w:szCs w:val="24"/>
          <w:highlight w:val="none"/>
          <w:lang w:val="en-US" w:eastAsia="zh-CN"/>
        </w:rPr>
        <w:t>其</w:t>
      </w:r>
      <w:r>
        <w:rPr>
          <w:rFonts w:hint="eastAsia" w:ascii="宋体" w:hAnsi="宋体" w:eastAsia="宋体" w:cs="宋体"/>
          <w:color w:val="auto"/>
          <w:sz w:val="24"/>
          <w:szCs w:val="24"/>
          <w:highlight w:val="none"/>
        </w:rPr>
        <w:t>予以赔偿。原中标人有异议的，可以向人民法院起诉</w:t>
      </w:r>
      <w:r>
        <w:rPr>
          <w:rFonts w:hint="eastAsia" w:ascii="宋体" w:hAnsi="宋体" w:eastAsia="宋体" w:cs="宋体"/>
          <w:color w:val="auto"/>
          <w:sz w:val="24"/>
          <w:szCs w:val="24"/>
          <w:highlight w:val="none"/>
          <w:u w:val="single"/>
        </w:rPr>
        <w:t>（具体形式详见合同）</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30.1</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在合同双方全权代表在合同协议书上签字，并分别加盖双方单位的公章后，合同正式生效。</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合同自发包人、承包人双方法定代表人或委托代理人签字并加盖公章之日起生效。</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条款号：33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修改类型：增加</w:t>
      </w:r>
    </w:p>
    <w:p>
      <w:pPr>
        <w:pBdr>
          <w:bottom w:val="single" w:color="auto" w:sz="6" w:space="1"/>
        </w:pBdr>
        <w:spacing w:line="360" w:lineRule="auto"/>
        <w:ind w:firstLine="487" w:firstLineChars="202"/>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33.</w:t>
      </w:r>
      <w:r>
        <w:rPr>
          <w:rFonts w:hint="eastAsia" w:ascii="宋体" w:hAnsi="宋体" w:eastAsia="宋体" w:cs="宋体"/>
          <w:bCs/>
          <w:color w:val="auto"/>
          <w:sz w:val="24"/>
          <w:szCs w:val="24"/>
          <w:highlight w:val="none"/>
          <w:u w:val="single"/>
        </w:rPr>
        <w:t>中</w:t>
      </w:r>
      <w:r>
        <w:rPr>
          <w:rFonts w:hint="eastAsia" w:ascii="宋体" w:hAnsi="宋体" w:eastAsia="宋体" w:cs="宋体"/>
          <w:color w:val="auto"/>
          <w:sz w:val="24"/>
          <w:szCs w:val="24"/>
          <w:highlight w:val="none"/>
          <w:u w:val="single"/>
        </w:rPr>
        <w:t>标单位在中标公示后，签订合同前，须按招标人要求提供与所递交投标电子标书内容一致且加盖单位公章的纸质文件及电子文件（不用生成投标书；包括用Microsoft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条款号：34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修改类型：增加</w:t>
      </w:r>
    </w:p>
    <w:p>
      <w:pPr>
        <w:pBdr>
          <w:bottom w:val="single" w:color="auto" w:sz="6" w:space="1"/>
        </w:pBdr>
        <w:spacing w:line="360" w:lineRule="auto"/>
        <w:ind w:firstLine="482" w:firstLineChars="200"/>
        <w:rPr>
          <w:rFonts w:hint="eastAsia" w:ascii="宋体" w:hAnsi="宋体" w:eastAsia="宋体" w:cs="宋体"/>
          <w:color w:val="auto"/>
          <w:sz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34.</w:t>
      </w:r>
      <w:r>
        <w:rPr>
          <w:rFonts w:hint="eastAsia" w:ascii="宋体" w:hAnsi="宋体" w:eastAsia="宋体" w:cs="宋体"/>
          <w:bCs/>
          <w:snapToGrid w:val="0"/>
          <w:color w:val="auto"/>
          <w:kern w:val="0"/>
          <w:sz w:val="24"/>
          <w:szCs w:val="24"/>
          <w:highlight w:val="none"/>
          <w:u w:val="single"/>
        </w:rPr>
        <w:t>在招标人与中标人签订合同或办理施工许可前，招标人将会核查中标人委派的项目负责人在建项目任职情况，如发现委派的项目负责人在其他在建项目中任职的，承包人应以书面形式向监理单位提出更换项目负责人意向（附前任和后任人员的详细履历资料），经总监理工程师签署意见后向发包人提出申请，征得发包人同意后更换项目负责人。承包人必须保证后任人员的资质、资历、业绩、实际工作能力不低于前任人员的素质。即使征得发包人同意更换的，承包人仍需承担严重违约责任1次，且自撤换之日起一年内，该项目负责人不得再作为发包人后续招标项目时拟委派项目管理机构的项目负责人。</w:t>
      </w:r>
    </w:p>
    <w:p>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注：以上修改，仅限于本范本中有可供选择条款的情形。</w:t>
      </w:r>
    </w:p>
    <w:p>
      <w:pPr>
        <w:spacing w:line="360" w:lineRule="auto"/>
        <w:rPr>
          <w:color w:val="auto"/>
          <w:highlight w:val="none"/>
        </w:rPr>
      </w:pPr>
      <w:r>
        <w:rPr>
          <w:rFonts w:hint="eastAsia" w:ascii="宋体" w:hAnsi="宋体" w:eastAsia="宋体" w:cs="宋体"/>
          <w:b/>
          <w:color w:val="auto"/>
          <w:szCs w:val="21"/>
          <w:highlight w:val="none"/>
        </w:rPr>
        <w:t>（以下无正文）</w:t>
      </w:r>
    </w:p>
    <w:p>
      <w:pPr>
        <w:pStyle w:val="9"/>
        <w:rPr>
          <w:color w:val="auto"/>
          <w:highlight w:val="none"/>
        </w:rPr>
      </w:pPr>
      <w:r>
        <w:rPr>
          <w:color w:val="auto"/>
          <w:highlight w:val="none"/>
        </w:rPr>
        <w:br w:type="page"/>
      </w:r>
      <w:bookmarkStart w:id="6" w:name="_Toc21525492"/>
      <w:bookmarkStart w:id="7" w:name="_Toc2272548"/>
      <w:r>
        <w:rPr>
          <w:rFonts w:hint="eastAsia"/>
          <w:color w:val="auto"/>
          <w:highlight w:val="none"/>
        </w:rPr>
        <w:t>三、投标须知通用条款</w:t>
      </w:r>
      <w:bookmarkEnd w:id="6"/>
      <w:bookmarkEnd w:id="7"/>
    </w:p>
    <w:p>
      <w:pPr>
        <w:pStyle w:val="11"/>
        <w:spacing w:before="156" w:after="156" w:line="360" w:lineRule="auto"/>
        <w:rPr>
          <w:rFonts w:hint="eastAsia" w:ascii="宋体" w:hAnsi="宋体" w:eastAsia="宋体" w:cs="宋体"/>
          <w:color w:val="auto"/>
          <w:highlight w:val="none"/>
        </w:rPr>
      </w:pPr>
      <w:bookmarkStart w:id="8" w:name="_Toc2272549"/>
      <w:bookmarkStart w:id="9" w:name="_Toc21525493"/>
      <w:r>
        <w:rPr>
          <w:rFonts w:hint="eastAsia" w:ascii="宋体" w:hAnsi="宋体" w:eastAsia="宋体" w:cs="宋体"/>
          <w:color w:val="auto"/>
          <w:highlight w:val="none"/>
        </w:rPr>
        <w:t>（一）总则</w:t>
      </w:r>
      <w:bookmarkEnd w:id="8"/>
      <w:bookmarkEnd w:id="9"/>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1、定义</w:t>
      </w:r>
    </w:p>
    <w:p>
      <w:pPr>
        <w:pStyle w:val="7"/>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本招标文件使用的下列词语具有如下规定的意义：</w:t>
      </w:r>
    </w:p>
    <w:p>
      <w:pPr>
        <w:pStyle w:val="7"/>
        <w:spacing w:after="0"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（1）“招标人”（即发包人）、“项目建设管理单位”（或称“项目代建单位”）、“招标代理”、“设计单位”、“监理单位”均已在投标须知前附表中列明。</w:t>
      </w:r>
    </w:p>
    <w:p>
      <w:pPr>
        <w:pStyle w:val="7"/>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（2）“投标人”指向招标人提交投标文件的当事人。   </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（3）“承包人”指其投标被招标人接受并与其签订承包合同的当事人。</w:t>
      </w:r>
    </w:p>
    <w:p>
      <w:pPr>
        <w:pStyle w:val="7"/>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（4）“招标文件”指由招标代理发出的本文件（包括全部章节、附件）及招标答疑会会议纪要和</w:t>
      </w:r>
      <w:r>
        <w:rPr>
          <w:rFonts w:hint="eastAsia" w:ascii="宋体" w:hAnsi="宋体" w:eastAsia="宋体" w:cs="宋体"/>
          <w:bCs/>
          <w:color w:val="auto"/>
          <w:sz w:val="24"/>
          <w:highlight w:val="none"/>
        </w:rPr>
        <w:t>招标文件的澄清与修改</w:t>
      </w:r>
      <w:r>
        <w:rPr>
          <w:rFonts w:hint="eastAsia" w:ascii="宋体" w:hAnsi="宋体" w:eastAsia="宋体" w:cs="宋体"/>
          <w:color w:val="auto"/>
          <w:sz w:val="24"/>
          <w:highlight w:val="none"/>
        </w:rPr>
        <w:t>文件。</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（5）“投标文件”指投标人根据本项目招标文件向招标人提交的全部文件。</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2、招标说明</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2.3设计说明：详见招标图纸。</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2.4工程施工特点：详见招标图纸。</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3．资金来源</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3.1本招标工程项目资金来源见投标须知前附表第9项</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4．合格投标人的条件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4.1详见本项目招标公告</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5．踏勘现场</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5.1 投标人应按本投标须知前附表第15项所述时间和要求对工程现场及周围环境进行踏勘，</w:t>
      </w:r>
      <w:r>
        <w:rPr>
          <w:rFonts w:hint="eastAsia" w:ascii="宋体" w:hAnsi="宋体" w:eastAsia="宋体" w:cs="宋体"/>
          <w:color w:val="auto"/>
          <w:sz w:val="24"/>
          <w:highlight w:val="none"/>
        </w:rPr>
        <w:t>投标人应充分重视和仔细地进行这种考察，</w:t>
      </w:r>
      <w:r>
        <w:rPr>
          <w:rFonts w:hint="eastAsia" w:ascii="宋体" w:hAnsi="宋体" w:eastAsia="宋体" w:cs="宋体"/>
          <w:bCs/>
          <w:color w:val="auto"/>
          <w:sz w:val="24"/>
          <w:highlight w:val="none"/>
        </w:rPr>
        <w:t>以便投标人获取</w:t>
      </w:r>
      <w:r>
        <w:rPr>
          <w:rFonts w:hint="eastAsia" w:ascii="宋体" w:hAnsi="宋体" w:eastAsia="宋体" w:cs="宋体"/>
          <w:color w:val="auto"/>
          <w:sz w:val="24"/>
          <w:highlight w:val="none"/>
        </w:rPr>
        <w:t>那些须投标人自己负责的</w:t>
      </w:r>
      <w:r>
        <w:rPr>
          <w:rFonts w:hint="eastAsia" w:ascii="宋体" w:hAnsi="宋体" w:eastAsia="宋体" w:cs="宋体"/>
          <w:bCs/>
          <w:color w:val="auto"/>
          <w:sz w:val="24"/>
          <w:highlight w:val="none"/>
        </w:rPr>
        <w:t>有关编制投标文件和签署合同所涉及现场所有的资料。</w:t>
      </w:r>
      <w:r>
        <w:rPr>
          <w:rFonts w:hint="eastAsia" w:ascii="宋体" w:hAnsi="宋体" w:eastAsia="宋体" w:cs="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 经招标人允许，投标人可为踏勘目的进入招标人的项目现场。</w:t>
      </w:r>
      <w:r>
        <w:rPr>
          <w:rFonts w:hint="eastAsia" w:ascii="宋体" w:hAnsi="宋体" w:eastAsia="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6．投标费用</w:t>
      </w:r>
    </w:p>
    <w:p>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rPr>
        <w:t>不论投标结果如何，投标人应承担</w:t>
      </w:r>
      <w:r>
        <w:rPr>
          <w:rFonts w:hint="eastAsia" w:ascii="宋体" w:hAnsi="宋体" w:eastAsia="宋体" w:cs="宋体"/>
          <w:bCs/>
          <w:color w:val="auto"/>
          <w:sz w:val="24"/>
          <w:highlight w:val="none"/>
        </w:rPr>
        <w:t>自身</w:t>
      </w:r>
      <w:r>
        <w:rPr>
          <w:rFonts w:hint="eastAsia" w:ascii="宋体" w:hAnsi="宋体" w:eastAsia="宋体" w:cs="宋体"/>
          <w:color w:val="auto"/>
          <w:sz w:val="24"/>
          <w:highlight w:val="none"/>
        </w:rPr>
        <w:t>因投标文件编制、递交及其他</w:t>
      </w:r>
      <w:r>
        <w:rPr>
          <w:rFonts w:hint="eastAsia" w:ascii="宋体" w:hAnsi="宋体" w:eastAsia="宋体" w:cs="宋体"/>
          <w:bCs/>
          <w:color w:val="auto"/>
          <w:sz w:val="24"/>
          <w:highlight w:val="none"/>
        </w:rPr>
        <w:t>参加本招标活动</w:t>
      </w:r>
      <w:r>
        <w:rPr>
          <w:rFonts w:hint="eastAsia" w:ascii="宋体" w:hAnsi="宋体" w:eastAsia="宋体" w:cs="宋体"/>
          <w:color w:val="auto"/>
          <w:sz w:val="24"/>
          <w:highlight w:val="none"/>
        </w:rPr>
        <w:t>所涉及的一切费用，招标人对上述费用不负任何责任。</w:t>
      </w:r>
    </w:p>
    <w:p>
      <w:pPr>
        <w:pStyle w:val="11"/>
        <w:spacing w:before="156" w:after="156" w:line="360" w:lineRule="auto"/>
        <w:rPr>
          <w:rFonts w:hint="eastAsia" w:ascii="宋体" w:hAnsi="宋体" w:eastAsia="宋体" w:cs="宋体"/>
          <w:color w:val="auto"/>
          <w:highlight w:val="none"/>
        </w:rPr>
      </w:pPr>
      <w:bookmarkStart w:id="10" w:name="_Toc2272550"/>
      <w:bookmarkStart w:id="11" w:name="_Toc21525494"/>
      <w:r>
        <w:rPr>
          <w:rFonts w:hint="eastAsia" w:ascii="宋体" w:hAnsi="宋体" w:eastAsia="宋体" w:cs="宋体"/>
          <w:color w:val="auto"/>
          <w:highlight w:val="none"/>
        </w:rPr>
        <w:t>（二）招标文件</w:t>
      </w:r>
      <w:bookmarkEnd w:id="10"/>
      <w:bookmarkEnd w:id="11"/>
    </w:p>
    <w:p>
      <w:pPr>
        <w:tabs>
          <w:tab w:val="left" w:pos="105"/>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7.招标文件的组成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7.1</w:t>
      </w:r>
      <w:r>
        <w:rPr>
          <w:rFonts w:hint="eastAsia" w:ascii="宋体" w:hAnsi="宋体" w:eastAsia="宋体" w:cs="宋体"/>
          <w:color w:val="auto"/>
          <w:sz w:val="24"/>
          <w:highlight w:val="none"/>
        </w:rPr>
        <w:t>本招标文件包括下列文件，以及所有按本须知第8条发出的招标答疑会会议纪要和按本须知第9条发出的澄清或修改：</w:t>
      </w:r>
    </w:p>
    <w:p>
      <w:pPr>
        <w:pStyle w:val="7"/>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第一章  </w:t>
      </w:r>
      <w:r>
        <w:rPr>
          <w:rFonts w:hint="eastAsia" w:ascii="宋体" w:hAnsi="宋体" w:eastAsia="宋体" w:cs="宋体"/>
          <w:color w:val="auto"/>
          <w:sz w:val="24"/>
          <w:highlight w:val="none"/>
        </w:rPr>
        <w:t>投标须知</w:t>
      </w:r>
    </w:p>
    <w:p>
      <w:pPr>
        <w:pStyle w:val="7"/>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第二章  </w:t>
      </w:r>
      <w:r>
        <w:rPr>
          <w:rFonts w:hint="eastAsia" w:ascii="宋体" w:hAnsi="宋体" w:eastAsia="宋体" w:cs="宋体"/>
          <w:color w:val="auto"/>
          <w:sz w:val="24"/>
          <w:highlight w:val="none"/>
        </w:rPr>
        <w:t>开标、评标及定标办法</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合同条款</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第四章  </w:t>
      </w:r>
      <w:r>
        <w:rPr>
          <w:rFonts w:hint="eastAsia" w:ascii="宋体" w:hAnsi="宋体" w:eastAsia="宋体" w:cs="宋体"/>
          <w:color w:val="auto"/>
          <w:sz w:val="24"/>
          <w:highlight w:val="none"/>
        </w:rPr>
        <w:t>投标文件格式</w:t>
      </w:r>
    </w:p>
    <w:p>
      <w:pPr>
        <w:pStyle w:val="7"/>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第五章  </w:t>
      </w:r>
      <w:r>
        <w:rPr>
          <w:rFonts w:hint="eastAsia" w:ascii="宋体" w:hAnsi="宋体" w:eastAsia="宋体" w:cs="宋体"/>
          <w:color w:val="auto"/>
          <w:sz w:val="24"/>
          <w:highlight w:val="none"/>
        </w:rPr>
        <w:t>技术条件（工程建设标准）（另册）</w:t>
      </w:r>
    </w:p>
    <w:p>
      <w:pPr>
        <w:pStyle w:val="7"/>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第六章  </w:t>
      </w:r>
      <w:r>
        <w:rPr>
          <w:rFonts w:hint="eastAsia" w:ascii="宋体" w:hAnsi="宋体" w:eastAsia="宋体" w:cs="宋体"/>
          <w:color w:val="auto"/>
          <w:sz w:val="24"/>
          <w:highlight w:val="none"/>
        </w:rPr>
        <w:t>图纸及勘察资料（另册）</w:t>
      </w:r>
    </w:p>
    <w:p>
      <w:pPr>
        <w:pStyle w:val="7"/>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第七章  招标</w:t>
      </w:r>
      <w:r>
        <w:rPr>
          <w:rFonts w:hint="eastAsia" w:ascii="宋体" w:hAnsi="宋体" w:eastAsia="宋体" w:cs="宋体"/>
          <w:color w:val="auto"/>
          <w:sz w:val="24"/>
          <w:highlight w:val="none"/>
        </w:rPr>
        <w:t>工程量清单（另册）</w:t>
      </w:r>
    </w:p>
    <w:p>
      <w:pPr>
        <w:pStyle w:val="7"/>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  最高投标限价</w:t>
      </w:r>
    </w:p>
    <w:p>
      <w:pPr>
        <w:pStyle w:val="7"/>
        <w:spacing w:after="0" w:line="360" w:lineRule="auto"/>
        <w:ind w:firstLine="482" w:firstLineChars="200"/>
        <w:rPr>
          <w:rFonts w:hint="eastAsia" w:ascii="宋体" w:hAnsi="宋体" w:eastAsia="宋体" w:cs="宋体"/>
          <w:b/>
          <w:bCs/>
          <w:color w:val="auto"/>
          <w:kern w:val="2"/>
          <w:sz w:val="24"/>
          <w:szCs w:val="22"/>
          <w:highlight w:val="none"/>
        </w:rPr>
      </w:pPr>
      <w:r>
        <w:rPr>
          <w:rFonts w:hint="eastAsia" w:ascii="宋体" w:hAnsi="宋体" w:eastAsia="宋体" w:cs="宋体"/>
          <w:b/>
          <w:bCs/>
          <w:color w:val="auto"/>
          <w:kern w:val="2"/>
          <w:sz w:val="24"/>
          <w:szCs w:val="22"/>
          <w:highlight w:val="none"/>
        </w:rPr>
        <w:t>注：招标人应在技术条件（工程建设标准）中明确施工现场建筑垃圾源头减量的具体要求和建筑垃圾综合利用产品的使用要求。</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投标人一旦中标，招标文件的内容对招标人和中标人双方均有约束力。</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8．招标答疑</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投标人若对招标文件（包括招标图纸）中有疑问，可以书面形式</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w:t>
      </w:r>
      <w:r>
        <w:rPr>
          <w:rFonts w:hint="eastAsia" w:ascii="宋体" w:hAnsi="宋体" w:eastAsia="宋体" w:cs="宋体"/>
          <w:color w:val="auto"/>
          <w:sz w:val="24"/>
          <w:highlight w:val="none"/>
        </w:rPr>
        <w:t>给招标人或招标代理人，提交形式见本须知前附表第16项。</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 xml:space="preserve">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8.3答疑会会议纪要为招标文件的一部分。</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8.4若招标答疑会会议纪要与招标文件有矛盾，以答疑会议纪要最后发出的书面形式的文件为准。</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9.招标文件的澄清与修改</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9.1招标文件发出后,在提交投标文件截止时间15日前，招标人可对招标文件进行必要的澄清或修改。</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上网发布时间作为送达时间。</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9.3招标文件的修改内容为招标文件的组成部分。</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11"/>
        <w:spacing w:before="156" w:after="156" w:line="360" w:lineRule="auto"/>
        <w:rPr>
          <w:rFonts w:hint="eastAsia" w:ascii="宋体" w:hAnsi="宋体" w:eastAsia="宋体" w:cs="宋体"/>
          <w:color w:val="auto"/>
          <w:highlight w:val="none"/>
        </w:rPr>
      </w:pPr>
      <w:bookmarkStart w:id="12" w:name="_Toc21525495"/>
      <w:bookmarkStart w:id="13" w:name="_Toc2272551"/>
      <w:r>
        <w:rPr>
          <w:rFonts w:hint="eastAsia" w:ascii="宋体" w:hAnsi="宋体" w:eastAsia="宋体" w:cs="宋体"/>
          <w:color w:val="auto"/>
          <w:highlight w:val="none"/>
        </w:rPr>
        <w:t>（三）投标文件的编制</w:t>
      </w:r>
      <w:bookmarkEnd w:id="12"/>
      <w:bookmarkEnd w:id="13"/>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10．投标文件的语言及度量衡单位</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投标文件和与投标有关的所有文件均应使用中文。</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除工程规范另有规定外，投标文件使用的度量衡单位，均采用中华人民共和国法定计量单位。</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11．投标文件的组成</w:t>
      </w:r>
    </w:p>
    <w:p>
      <w:pPr>
        <w:pStyle w:val="7"/>
        <w:spacing w:after="0"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11.1 投标文件由技术部分（含资格审查文件）和经济部分二部分投标文件组成</w:t>
      </w:r>
      <w:r>
        <w:rPr>
          <w:rFonts w:hint="eastAsia" w:ascii="宋体" w:hAnsi="宋体" w:eastAsia="宋体" w:cs="宋体"/>
          <w:b/>
          <w:color w:val="auto"/>
          <w:sz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11.2投标文件技术标部分主要包括下列内容:</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11.2.1 技术投标文件</w:t>
      </w:r>
      <w:r>
        <w:rPr>
          <w:rFonts w:hint="eastAsia" w:ascii="宋体" w:hAnsi="宋体" w:eastAsia="宋体" w:cs="宋体"/>
          <w:color w:val="auto"/>
          <w:sz w:val="24"/>
          <w:highlight w:val="none"/>
        </w:rPr>
        <w:t>(按招标文件的要求填写)</w:t>
      </w:r>
      <w:r>
        <w:rPr>
          <w:rFonts w:hint="eastAsia" w:ascii="宋体" w:hAnsi="宋体" w:eastAsia="宋体" w:cs="宋体"/>
          <w:bCs/>
          <w:color w:val="auto"/>
          <w:sz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11.2.2 资格审查文件：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（1）投标人声明；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（2）法定代表人证明书、法定代表人签字或盖章的本投标文件授权委托证明书；</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（3）企业营业执照（取自平台内上传件）；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（4）企业资质证书（取自平台内上传件）；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（5）建筑施工企业安全生产许可证（取自平台内上传件）；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（6）</w:t>
      </w:r>
      <w:r>
        <w:rPr>
          <w:rFonts w:hint="eastAsia" w:ascii="宋体" w:hAnsi="宋体" w:eastAsia="宋体" w:cs="宋体"/>
          <w:bCs/>
          <w:color w:val="auto"/>
          <w:sz w:val="24"/>
          <w:szCs w:val="24"/>
          <w:highlight w:val="none"/>
        </w:rPr>
        <w:t>项目负责人（按网上投标登记时选择拟投标的项目负责人）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（8）拟委托技术负责人的相关证书、资料（具体要求由招标人明确）</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（9）拟委派项目负责人的建造师注册证书（取自平台内上传件）；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（11）专职安全员须具有在有效期内的安全考核合格证书（C类）或建筑施工企业专职安全生产管理人员安全生产考核合格证书</w:t>
      </w:r>
      <w:r>
        <w:rPr>
          <w:rFonts w:hint="eastAsia" w:ascii="宋体" w:hAnsi="宋体" w:eastAsia="宋体" w:cs="宋体"/>
          <w:bCs/>
          <w:color w:val="auto"/>
          <w:sz w:val="24"/>
          <w:szCs w:val="24"/>
          <w:highlight w:val="none"/>
        </w:rPr>
        <w:t>（取自平台内上传件）；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w:t>
      </w:r>
      <w:r>
        <w:rPr>
          <w:rFonts w:hint="eastAsia" w:ascii="宋体" w:hAnsi="宋体" w:eastAsia="宋体" w:cs="宋体"/>
          <w:color w:val="auto"/>
          <w:sz w:val="24"/>
          <w:highlight w:val="none"/>
        </w:rPr>
        <w:t>须提供类似工程业绩的项目名称及项目编号，具体格式由招标人自定</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eastAsia="宋体" w:cs="宋体"/>
          <w:color w:val="auto"/>
          <w:sz w:val="24"/>
          <w:szCs w:val="24"/>
          <w:highlight w:val="none"/>
        </w:rPr>
        <w:t>联合体工作协议应明确约定各方拟承担的工作和责任</w:t>
      </w:r>
      <w:r>
        <w:rPr>
          <w:rFonts w:hint="eastAsia" w:ascii="宋体" w:hAnsi="宋体" w:eastAsia="宋体" w:cs="宋体"/>
          <w:bCs/>
          <w:color w:val="auto"/>
          <w:sz w:val="24"/>
          <w:szCs w:val="24"/>
          <w:highlight w:val="none"/>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（15）</w:t>
      </w:r>
      <w:r>
        <w:rPr>
          <w:rFonts w:hint="eastAsia" w:ascii="宋体" w:hAnsi="宋体" w:eastAsia="宋体" w:cs="宋体"/>
          <w:color w:val="auto"/>
          <w:sz w:val="24"/>
          <w:szCs w:val="24"/>
          <w:highlight w:val="none"/>
        </w:rPr>
        <w:t>投标人具有在广州地区可使用适合本工程的机械设备的证明文件（</w:t>
      </w:r>
      <w:r>
        <w:rPr>
          <w:rFonts w:hint="eastAsia" w:ascii="宋体" w:hAnsi="宋体" w:eastAsia="宋体" w:cs="宋体"/>
          <w:color w:val="auto"/>
          <w:sz w:val="24"/>
          <w:highlight w:val="none"/>
        </w:rPr>
        <w:t>提供沥青摊铺机自有发票或权属证明及设备现场全貌彩照（彩照须能反映其规格型号）</w:t>
      </w:r>
      <w:r>
        <w:rPr>
          <w:rFonts w:hint="eastAsia" w:ascii="宋体" w:hAnsi="宋体" w:eastAsia="宋体" w:cs="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11.2.3项目管理机构配备。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（3）其他辅助说明资料。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11.2.5施工组织设计或施工方案。</w:t>
      </w:r>
      <w:r>
        <w:rPr>
          <w:rFonts w:hint="eastAsia" w:ascii="宋体" w:hAnsi="宋体" w:eastAsia="宋体" w:cs="宋体"/>
          <w:b/>
          <w:bCs/>
          <w:color w:val="auto"/>
          <w:kern w:val="2"/>
          <w:sz w:val="24"/>
          <w:highlight w:val="none"/>
        </w:rPr>
        <w:t>（投标人在编制施工组织设计或施工方案时应按照招标人提出的施工现场建筑垃圾源头减量的具体要求以及建筑垃圾综合利用产品的使用要求提供相应措施。）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填写的《参与编制技术标投标文件人员名单》。</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11.3 经济部分投标文件主要包括下列内容：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11.3.1 经济投标文件(按招标文件的要求填写)。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highlight w:val="none"/>
        </w:rPr>
        <w:t>其中包括如下：</w:t>
      </w:r>
      <w:r>
        <w:rPr>
          <w:rFonts w:hint="eastAsia" w:ascii="宋体" w:hAnsi="宋体" w:eastAsia="宋体" w:cs="宋体"/>
          <w:color w:val="auto"/>
          <w:sz w:val="24"/>
          <w:highlight w:val="none"/>
        </w:rPr>
        <w:t xml:space="preserve"> </w:t>
      </w:r>
    </w:p>
    <w:p>
      <w:pPr>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（1）投标总价封面、扉页；</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（17）人工、主要材料和设备一览表</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11.3.3按照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12．投标文件格式</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 xml:space="preserve">。               </w:t>
      </w:r>
    </w:p>
    <w:p>
      <w:pPr>
        <w:pStyle w:val="7"/>
        <w:spacing w:after="0" w:line="360" w:lineRule="auto"/>
        <w:ind w:firstLine="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13．投标报价及造价承包和变更结算方式</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本工程的投标报价采用投标须知前附表第12项所规定的方式。投标报价（含单价及总价）精确到“分”。</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13.5.1中标的投标文件工程量清单中已有相同项目的适用综合单价，则沿用；</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eastAsia="宋体" w:cs="宋体"/>
          <w:color w:val="auto"/>
          <w:sz w:val="24"/>
          <w:szCs w:val="24"/>
          <w:highlight w:val="none"/>
        </w:rPr>
        <w:t>相对于最高投标限价的下</w:t>
      </w:r>
      <w:r>
        <w:rPr>
          <w:rFonts w:hint="eastAsia" w:ascii="宋体" w:hAnsi="宋体" w:eastAsia="宋体" w:cs="宋体"/>
          <w:color w:val="auto"/>
          <w:sz w:val="24"/>
          <w:highlight w:val="none"/>
        </w:rPr>
        <w:t>浮率（下浮率=(</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highlight w:val="none"/>
        </w:rPr>
        <w:t>-中标价)/</w:t>
      </w:r>
      <w:r>
        <w:rPr>
          <w:rFonts w:hint="eastAsia" w:ascii="宋体" w:hAnsi="宋体" w:eastAsia="宋体" w:cs="宋体"/>
          <w:color w:val="auto"/>
          <w:sz w:val="24"/>
          <w:szCs w:val="24"/>
          <w:highlight w:val="none"/>
        </w:rPr>
        <w:t xml:space="preserve"> 最高投标限价</w:t>
      </w:r>
      <w:r>
        <w:rPr>
          <w:rFonts w:hint="eastAsia" w:ascii="宋体" w:hAnsi="宋体" w:eastAsia="宋体" w:cs="宋体"/>
          <w:color w:val="auto"/>
          <w:sz w:val="24"/>
          <w:highlight w:val="none"/>
        </w:rPr>
        <w:t>）。</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13.5.4 如相关定额没有相应子目的，其计价方式由招标人在本招标文件第三章中另行规定。未规定的，中标后双方协商约定。</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13.6暂列金额、暂估价</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暂估价是指招标人在工程量清单中提供的用于支付必然发生但暂时不能确定价格的材料的单价以及专业工程的金额。</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7"/>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13.9</w:t>
      </w:r>
      <w:r>
        <w:rPr>
          <w:rFonts w:hint="eastAsia" w:ascii="宋体" w:hAnsi="宋体" w:eastAsia="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14．投标货币</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本工程投标报价采用的币种为人民币。</w:t>
      </w:r>
    </w:p>
    <w:p>
      <w:pPr>
        <w:pStyle w:val="7"/>
        <w:spacing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15．投标有效期</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 投标有效期见投标须知前附表第13项所规定的期限，在此期限内，凡符合本招标文件要求的投标文件均保持有效。</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16.1投标人应按投标须知前附表第14项所述金额和时间递交</w:t>
      </w:r>
      <w:r>
        <w:rPr>
          <w:rFonts w:hint="eastAsia" w:ascii="宋体" w:hAnsi="宋体" w:eastAsia="宋体" w:cs="宋体"/>
          <w:bCs/>
          <w:color w:val="auto"/>
          <w:sz w:val="24"/>
          <w:highlight w:val="none"/>
        </w:rPr>
        <w:t>投标保证金</w:t>
      </w:r>
      <w:r>
        <w:rPr>
          <w:rFonts w:hint="eastAsia" w:ascii="宋体" w:hAnsi="宋体" w:eastAsia="宋体" w:cs="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 采用现金或者支票形式提交的，投标保证金须从投标人的银行基本账户转出。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16.3投标保证金应依据法律法规的相关规定退还。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16.4.1因投标人原因造成投标文件未解密的；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16.4.2投标人在投标有效期内撤销投标文件；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16.4.3中标人未能在规定期限内按要求提交履约担保；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16.4.4中标人未能在规定期限内签署合同协议。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注：16.5.3款由招标人二选一，需在招标文件中明确。</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17．投标文件的签署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1"/>
        <w:spacing w:before="156" w:after="156" w:line="360" w:lineRule="auto"/>
        <w:rPr>
          <w:rFonts w:hint="eastAsia" w:ascii="宋体" w:hAnsi="宋体" w:eastAsia="宋体" w:cs="宋体"/>
          <w:color w:val="auto"/>
          <w:highlight w:val="none"/>
        </w:rPr>
      </w:pPr>
      <w:bookmarkStart w:id="14" w:name="_Toc21525496"/>
      <w:bookmarkStart w:id="15" w:name="_Toc2272552"/>
      <w:r>
        <w:rPr>
          <w:rFonts w:hint="eastAsia" w:ascii="宋体" w:hAnsi="宋体" w:eastAsia="宋体" w:cs="宋体"/>
          <w:color w:val="auto"/>
          <w:highlight w:val="none"/>
        </w:rPr>
        <w:t>（四）投标文件的提交</w:t>
      </w:r>
      <w:bookmarkEnd w:id="14"/>
      <w:bookmarkEnd w:id="15"/>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w:t>
      </w:r>
      <w:r>
        <w:rPr>
          <w:rFonts w:hint="eastAsia" w:ascii="宋体" w:hAnsi="宋体" w:eastAsia="宋体" w:cs="宋体"/>
          <w:b/>
          <w:color w:val="auto"/>
          <w:sz w:val="24"/>
          <w:szCs w:val="24"/>
          <w:highlight w:val="none"/>
        </w:rPr>
        <w:t>投标文件的密封和标记</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highlight w:val="none"/>
        </w:rPr>
        <w:t>将予以拒收。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19．投标文件的递交和接收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19.2投标人完成电子</w:t>
      </w:r>
      <w:r>
        <w:rPr>
          <w:rFonts w:hint="eastAsia" w:ascii="宋体" w:hAnsi="宋体" w:eastAsia="宋体" w:cs="宋体"/>
          <w:color w:val="auto"/>
          <w:sz w:val="24"/>
          <w:highlight w:val="none"/>
        </w:rPr>
        <w:t>投标文件</w:t>
      </w:r>
      <w:r>
        <w:rPr>
          <w:rFonts w:hint="eastAsia" w:ascii="宋体" w:hAnsi="宋体" w:eastAsia="宋体" w:cs="宋体"/>
          <w:bCs/>
          <w:color w:val="auto"/>
          <w:sz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19.3</w:t>
      </w:r>
      <w:r>
        <w:rPr>
          <w:rFonts w:hint="eastAsia" w:ascii="宋体" w:hAnsi="宋体" w:eastAsia="宋体" w:cs="宋体"/>
          <w:bCs/>
          <w:color w:val="auto"/>
          <w:sz w:val="24"/>
          <w:szCs w:val="24"/>
          <w:highlight w:val="none"/>
        </w:rPr>
        <w:t>逾期送达的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19.4 </w:t>
      </w:r>
      <w:r>
        <w:rPr>
          <w:rFonts w:hint="eastAsia" w:ascii="宋体" w:hAnsi="宋体" w:eastAsia="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将按招标文件规定的时间分别开启技术标和经济标。</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20．投标文件提交的截止时间</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到投标截止时间止，招标人收到的投标文件少于3家的，招标人将重新组织招标</w:t>
      </w:r>
      <w:r>
        <w:rPr>
          <w:rFonts w:hint="eastAsia" w:ascii="宋体" w:hAnsi="宋体" w:eastAsia="宋体" w:cs="宋体"/>
          <w:color w:val="auto"/>
          <w:sz w:val="24"/>
          <w:szCs w:val="24"/>
          <w:highlight w:val="none"/>
        </w:rPr>
        <w:t>（当N个标段同时招标且不允许兼中时，若有效投标人不足N+2家，则重新组织招标）</w:t>
      </w:r>
      <w:r>
        <w:rPr>
          <w:rFonts w:hint="eastAsia" w:ascii="宋体" w:hAnsi="宋体" w:eastAsia="宋体" w:cs="宋体"/>
          <w:color w:val="auto"/>
          <w:sz w:val="24"/>
          <w:highlight w:val="none"/>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21．迟交的投标文件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本须知前附表第17项规定的投标截止时间</w:t>
      </w:r>
      <w:r>
        <w:rPr>
          <w:rFonts w:hint="eastAsia" w:ascii="宋体" w:hAnsi="宋体" w:eastAsia="宋体" w:cs="宋体"/>
          <w:bCs/>
          <w:color w:val="auto"/>
          <w:sz w:val="24"/>
          <w:szCs w:val="24"/>
          <w:highlight w:val="none"/>
        </w:rPr>
        <w:t>后送达的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22．投标文件的修改与撤回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w:t>
      </w:r>
      <w:r>
        <w:rPr>
          <w:rFonts w:hint="eastAsia" w:ascii="宋体" w:hAnsi="宋体" w:eastAsia="宋体" w:cs="宋体"/>
          <w:color w:val="auto"/>
          <w:sz w:val="24"/>
          <w:highlight w:val="none"/>
        </w:rPr>
        <w:t>交易平台发出修改或撤回</w:t>
      </w:r>
      <w:r>
        <w:rPr>
          <w:rFonts w:hint="eastAsia" w:ascii="宋体" w:hAnsi="宋体" w:eastAsia="宋体" w:cs="宋体"/>
          <w:color w:val="auto"/>
          <w:sz w:val="24"/>
          <w:szCs w:val="24"/>
          <w:highlight w:val="none"/>
        </w:rPr>
        <w:t>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 在投标截止时间之后，投标人不得补充、修改和更换投标文件。</w:t>
      </w:r>
    </w:p>
    <w:p>
      <w:pPr>
        <w:pStyle w:val="11"/>
        <w:spacing w:before="156" w:after="156" w:line="360" w:lineRule="auto"/>
        <w:rPr>
          <w:rFonts w:hint="eastAsia" w:ascii="宋体" w:hAnsi="宋体" w:eastAsia="宋体" w:cs="宋体"/>
          <w:color w:val="auto"/>
          <w:highlight w:val="none"/>
        </w:rPr>
      </w:pPr>
      <w:bookmarkStart w:id="16" w:name="_Toc21525497"/>
      <w:bookmarkStart w:id="17" w:name="_Toc2272553"/>
      <w:r>
        <w:rPr>
          <w:rFonts w:hint="eastAsia" w:ascii="宋体" w:hAnsi="宋体" w:eastAsia="宋体" w:cs="宋体"/>
          <w:color w:val="auto"/>
          <w:highlight w:val="none"/>
        </w:rPr>
        <w:t>（五）开标、评标、定标及合同签定</w:t>
      </w:r>
      <w:bookmarkEnd w:id="16"/>
      <w:bookmarkEnd w:id="17"/>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23、开标。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详见第二章开标、评标及定标办法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24．评标过程的保密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25．投标文件的澄清，计算错误的修正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详见招标文件第二章开标、评标及定标办法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26．投标文件的评审、比较和否决</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详见招标文件第二章开标、评标及定标办法。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27.1招标人将在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交易平台和广东省招标投标监管网公开。</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28．合同协议书的签订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28.4招标人支付工程款时，中标人应按规定开具发票。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29．履约担保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在收到中标通知书后的</w:t>
      </w:r>
      <w:r>
        <w:rPr>
          <w:rFonts w:hint="eastAsia" w:ascii="宋体" w:hAnsi="宋体" w:eastAsia="宋体" w:cs="宋体"/>
          <w:b/>
          <w:color w:val="auto"/>
          <w:sz w:val="24"/>
          <w:highlight w:val="none"/>
        </w:rPr>
        <w:t>15日</w:t>
      </w:r>
      <w:r>
        <w:rPr>
          <w:rFonts w:hint="eastAsia" w:ascii="宋体" w:hAnsi="宋体" w:eastAsia="宋体" w:cs="宋体"/>
          <w:color w:val="auto"/>
          <w:sz w:val="24"/>
          <w:highlight w:val="none"/>
        </w:rPr>
        <w:t>内，中标人应按本须知前附表第20项的规定向招标人提交履约担保。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30．合同生效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30.1在合同双方全权代表在合同协议书上签字，并分别加盖双方单位的公章后，合同正式生效。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31．其它费用</w:t>
      </w:r>
    </w:p>
    <w:p>
      <w:pPr>
        <w:pStyle w:val="7"/>
        <w:spacing w:after="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32．腐败与欺诈行为</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在招标和合同实施期间，招标人要求投标人和承包人遵守最高的道德标准。</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32．1对本条款的规定，特定义如下词汇：</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1）、“腐败行为”是指在招标或合同执行期间，通过提供、给予、接受或索要任何有价值的东西，从而影响招标人有关人员工作的行为；</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32．2如果投标人被认定在本招标的竞争中有腐败或欺诈行为，则会被取消投标资格。</w:t>
      </w:r>
    </w:p>
    <w:p>
      <w:pPr>
        <w:pStyle w:val="7"/>
        <w:spacing w:after="0" w:line="360" w:lineRule="auto"/>
        <w:ind w:firstLine="480" w:firstLineChars="200"/>
        <w:rPr>
          <w:rFonts w:ascii="宋体"/>
          <w:color w:val="auto"/>
          <w:sz w:val="24"/>
          <w:highlight w:val="none"/>
        </w:rPr>
      </w:pPr>
      <w:r>
        <w:rPr>
          <w:rFonts w:hint="eastAsia" w:ascii="宋体" w:hAnsi="宋体" w:eastAsia="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rPr>
          <w:color w:val="auto"/>
          <w:highlight w:val="none"/>
        </w:rPr>
      </w:pPr>
      <w:r>
        <w:rPr>
          <w:rFonts w:ascii="宋体"/>
          <w:color w:val="auto"/>
          <w:sz w:val="24"/>
          <w:highlight w:val="none"/>
        </w:rPr>
        <w:br w:type="page"/>
      </w:r>
      <w:bookmarkStart w:id="18" w:name="_Toc21525498"/>
      <w:bookmarkStart w:id="19"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8"/>
      <w:bookmarkEnd w:id="19"/>
    </w:p>
    <w:p>
      <w:pPr>
        <w:pStyle w:val="9"/>
        <w:rPr>
          <w:color w:val="auto"/>
          <w:highlight w:val="none"/>
        </w:rPr>
      </w:pPr>
      <w:bookmarkStart w:id="20" w:name="_Toc2272555"/>
      <w:bookmarkStart w:id="21" w:name="_Toc21525499"/>
      <w:r>
        <w:rPr>
          <w:rFonts w:hint="eastAsia"/>
          <w:color w:val="auto"/>
          <w:sz w:val="28"/>
          <w:szCs w:val="28"/>
          <w:highlight w:val="none"/>
        </w:rPr>
        <w:t>一、</w:t>
      </w:r>
      <w:r>
        <w:rPr>
          <w:rFonts w:hint="eastAsia"/>
          <w:color w:val="auto"/>
          <w:highlight w:val="none"/>
        </w:rPr>
        <w:t>开标、评标及定标办法修改表</w:t>
      </w:r>
      <w:bookmarkEnd w:id="20"/>
      <w:bookmarkEnd w:id="21"/>
    </w:p>
    <w:p>
      <w:pPr>
        <w:pStyle w:val="7"/>
        <w:spacing w:after="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请投标人自行到广州市住房和城乡建设局网站（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"http://www.gzcc.gov.cn/）下载GZZB2018-3" </w:instrText>
      </w:r>
      <w:r>
        <w:rPr>
          <w:rFonts w:hint="eastAsia" w:ascii="宋体" w:hAnsi="宋体" w:eastAsia="宋体" w:cs="宋体"/>
          <w:color w:val="auto"/>
          <w:sz w:val="21"/>
          <w:szCs w:val="21"/>
          <w:highlight w:val="none"/>
        </w:rPr>
        <w:fldChar w:fldCharType="separate"/>
      </w:r>
      <w:r>
        <w:rPr>
          <w:rStyle w:val="41"/>
          <w:rFonts w:hint="eastAsia" w:ascii="宋体" w:hAnsi="宋体" w:eastAsia="宋体" w:cs="宋体"/>
          <w:b/>
          <w:color w:val="auto"/>
          <w:sz w:val="21"/>
          <w:szCs w:val="21"/>
          <w:highlight w:val="none"/>
          <w:u w:val="none"/>
        </w:rPr>
        <w:t>http://zfcj.gz.gov.cn/）下载GZZB2018-3</w:t>
      </w:r>
      <w:r>
        <w:rPr>
          <w:rStyle w:val="41"/>
          <w:rFonts w:hint="eastAsia" w:ascii="宋体" w:hAnsi="宋体" w:eastAsia="宋体" w:cs="宋体"/>
          <w:b/>
          <w:color w:val="auto"/>
          <w:sz w:val="21"/>
          <w:szCs w:val="21"/>
          <w:highlight w:val="none"/>
          <w:u w:val="none"/>
        </w:rPr>
        <w:fldChar w:fldCharType="end"/>
      </w:r>
      <w:r>
        <w:rPr>
          <w:rFonts w:hint="eastAsia" w:ascii="宋体" w:hAnsi="宋体" w:eastAsia="宋体" w:cs="宋体"/>
          <w:b/>
          <w:color w:val="auto"/>
          <w:sz w:val="21"/>
          <w:szCs w:val="21"/>
          <w:highlight w:val="none"/>
        </w:rPr>
        <w:t>范本查阅。</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条款号：（二）开标评标办法程序和细则       修改类型：删除</w:t>
      </w:r>
    </w:p>
    <w:p>
      <w:pPr>
        <w:pBdr>
          <w:bottom w:val="single" w:color="auto" w:sz="6"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可选办法一（适合综合评分法一，技术标与经济标先后分别开启）</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可选办法二（适合综合评分法一，技术标与经济标同时开启）</w:t>
      </w:r>
    </w:p>
    <w:p>
      <w:pPr>
        <w:pBdr>
          <w:bottom w:val="single" w:color="auto" w:sz="6"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可选办法三（适合综合评分法二，技术标与经济标先后分别开启）</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可选办法四（适合综合评分法二，技术标与经济标同时开启）</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可选办法五（适合综合评分法三，技术标与经济标先后分别开启）</w:t>
      </w:r>
    </w:p>
    <w:p>
      <w:pPr>
        <w:pBdr>
          <w:bottom w:val="single" w:color="auto" w:sz="6"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可选办法六（适合综合评分法三，技术标与经济标同时开启）</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可选办法八（适合经评审的最低投标价法，技术标与经济标同时开启）</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条款号：36.1             修改类型：修改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原文</w:t>
      </w:r>
      <w:r>
        <w:rPr>
          <w:rFonts w:hint="eastAsia" w:ascii="宋体" w:hAnsi="宋体" w:eastAsia="宋体" w:cs="宋体"/>
          <w:color w:val="auto"/>
          <w:sz w:val="24"/>
          <w:szCs w:val="24"/>
          <w:highlight w:val="none"/>
          <w:lang w:bidi="ar"/>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0"/>
        </w:pBd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现文：</w:t>
      </w:r>
      <w:r>
        <w:rPr>
          <w:rFonts w:hint="eastAsia" w:ascii="宋体" w:hAnsi="宋体" w:eastAsia="宋体" w:cs="宋体"/>
          <w:color w:val="auto"/>
          <w:sz w:val="24"/>
          <w:szCs w:val="24"/>
          <w:highlight w:val="none"/>
          <w:lang w:bidi="ar"/>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4"/>
          <w:szCs w:val="24"/>
          <w:highlight w:val="none"/>
          <w:u w:val="single"/>
          <w:lang w:bidi="ar"/>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条款号：36.3             修改类型：删除</w:t>
      </w:r>
    </w:p>
    <w:p>
      <w:pPr>
        <w:pBdr>
          <w:bottom w:val="single" w:color="auto" w:sz="6"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条款号：36.4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36.4若递交投标文件的投标人不足</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家，则重新组织招标。</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条款号：36.5.1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36.5.1在投标截止时间后半小时内，投标人通过</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交易平台对已递交的电子投标文件进行解密。投标人完成解密后，再由招标人进行解密。解密完成后，公布招标项目名称、投标人名称、投标报价、工期及其他内容；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rPr>
        <w:t xml:space="preserve">36.5.3 </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投标人代表、招标人代表、监标人、记录人等有关人员在开标记录上签字确认；若有关人员不签字的，不影响开标程序；</w:t>
      </w:r>
    </w:p>
    <w:p>
      <w:pPr>
        <w:pBdr>
          <w:bottom w:val="single" w:color="auto" w:sz="6"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投标人代表、招标人代表、监标人、记录人等有关人员在开标记录上签字确认；若有关人员不签字的，不影响开标程序；</w:t>
      </w:r>
      <w:r>
        <w:rPr>
          <w:rFonts w:hint="eastAsia" w:ascii="宋体" w:hAnsi="宋体" w:eastAsia="宋体" w:cs="宋体"/>
          <w:color w:val="auto"/>
          <w:sz w:val="24"/>
          <w:szCs w:val="24"/>
          <w:highlight w:val="none"/>
          <w:u w:val="single"/>
        </w:rPr>
        <w:t>若投标人不参加开标会的，或不签字确认的，视同该投标人认可开标结果。</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条款号：38.1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r>
        <w:rPr>
          <w:rFonts w:hint="eastAsia" w:ascii="宋体" w:hAnsi="宋体" w:eastAsia="宋体" w:cs="宋体"/>
          <w:color w:val="auto"/>
          <w:sz w:val="24"/>
          <w:szCs w:val="24"/>
          <w:highlight w:val="none"/>
          <w:u w:val="none"/>
        </w:rPr>
        <w:t>。</w:t>
      </w:r>
    </w:p>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条</w:t>
      </w:r>
      <w:r>
        <w:rPr>
          <w:rFonts w:hint="eastAsia" w:ascii="宋体" w:hAnsi="宋体" w:eastAsia="宋体" w:cs="宋体"/>
          <w:b/>
          <w:bCs/>
          <w:color w:val="auto"/>
          <w:sz w:val="24"/>
          <w:szCs w:val="24"/>
          <w:highlight w:val="none"/>
        </w:rPr>
        <w:t>款号：</w:t>
      </w:r>
      <w:r>
        <w:rPr>
          <w:rFonts w:hint="eastAsia" w:ascii="宋体" w:hAnsi="宋体" w:eastAsia="宋体" w:cs="宋体"/>
          <w:b/>
          <w:color w:val="auto"/>
          <w:sz w:val="24"/>
          <w:szCs w:val="24"/>
          <w:highlight w:val="none"/>
        </w:rPr>
        <w:t xml:space="preserve">39.2  </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修改类型：修改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39.2依法必须进行公开招标的项目，招标人应当确定排名第一的中标候选人为中标人；</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39.2依法必须进行公开招标的项目，招标人应当确定排名第一的中标候选人，</w:t>
      </w:r>
      <w:r>
        <w:rPr>
          <w:rFonts w:hint="eastAsia" w:ascii="宋体" w:hAnsi="宋体" w:eastAsia="宋体" w:cs="宋体"/>
          <w:color w:val="auto"/>
          <w:sz w:val="24"/>
          <w:szCs w:val="24"/>
          <w:highlight w:val="none"/>
          <w:u w:val="single"/>
        </w:rPr>
        <w:t>若在填报中标候选人公示信息时被发现委派的项目负责人已在其他在建项目中任职、不符合任职数量规定时，则不能进行中标候选人公示，招标人可以确定排名第二的中标候选人为中标人。</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条款号：39.3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修改类型：修改</w:t>
      </w:r>
    </w:p>
    <w:p>
      <w:pP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w:t>
      </w:r>
      <w:r>
        <w:rPr>
          <w:rFonts w:hint="eastAsia" w:ascii="宋体" w:hAnsi="宋体" w:eastAsia="宋体" w:cs="宋体"/>
          <w:color w:val="auto"/>
          <w:sz w:val="24"/>
          <w:szCs w:val="24"/>
          <w:highlight w:val="none"/>
          <w:u w:val="single"/>
        </w:rPr>
        <w:t>或经核查发现委派的项目负责人已在其他在建项目中任职、不符合任职数量规定时，</w:t>
      </w:r>
      <w:r>
        <w:rPr>
          <w:rFonts w:hint="eastAsia" w:ascii="宋体" w:hAnsi="宋体" w:eastAsia="宋体" w:cs="宋体"/>
          <w:color w:val="auto"/>
          <w:sz w:val="24"/>
          <w:szCs w:val="24"/>
          <w:highlight w:val="none"/>
        </w:rPr>
        <w:t>招标人可以确定排名第二的中标候选人为中标人。</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条款号：（二）开标评标办法程序和细则 注     修改类型：</w:t>
      </w:r>
      <w:r>
        <w:rPr>
          <w:rFonts w:hint="eastAsia" w:ascii="宋体" w:hAnsi="宋体" w:eastAsia="宋体" w:cs="宋体"/>
          <w:b/>
          <w:color w:val="auto"/>
          <w:sz w:val="24"/>
          <w:szCs w:val="24"/>
          <w:highlight w:val="none"/>
          <w:lang w:val="en-US" w:eastAsia="zh-CN"/>
        </w:rPr>
        <w:t>删除</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注：以下八种评标办法所述企业综合诚信评价分数即投标截止当日广州市工程招标代理行业协会网站上公布的企业综合诚信评价60日诚信分。</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41.1</w:t>
      </w:r>
      <w:r>
        <w:rPr>
          <w:rFonts w:hint="eastAsia" w:ascii="宋体" w:hAnsi="宋体" w:eastAsia="宋体" w:cs="宋体"/>
          <w:b/>
          <w:color w:val="auto"/>
          <w:sz w:val="24"/>
          <w:szCs w:val="24"/>
          <w:highlight w:val="none"/>
        </w:rPr>
        <w:t xml:space="preserve">             修改类型：修改</w:t>
      </w:r>
    </w:p>
    <w:p>
      <w:pPr>
        <w:pBdr>
          <w:bottom w:val="none" w:color="auto" w:sz="0" w:space="0"/>
        </w:pBdr>
        <w:snapToGrid/>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原文：</w:t>
      </w:r>
      <w:r>
        <w:rPr>
          <w:rFonts w:hint="eastAsia" w:ascii="宋体" w:hAnsi="宋体" w:eastAsia="宋体" w:cs="宋体"/>
          <w:bCs/>
          <w:color w:val="auto"/>
          <w:sz w:val="24"/>
          <w:szCs w:val="24"/>
          <w:highlight w:val="none"/>
        </w:rPr>
        <w:t>41.1开标由招标人主持；</w:t>
      </w:r>
    </w:p>
    <w:p>
      <w:pPr>
        <w:pBdr>
          <w:bottom w:val="single" w:color="auto" w:sz="6" w:space="1"/>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bCs/>
          <w:color w:val="auto"/>
          <w:sz w:val="24"/>
          <w:szCs w:val="24"/>
          <w:highlight w:val="none"/>
        </w:rPr>
        <w:t>现文：</w:t>
      </w:r>
      <w:r>
        <w:rPr>
          <w:rFonts w:hint="eastAsia" w:ascii="宋体" w:hAnsi="宋体" w:eastAsia="宋体" w:cs="宋体"/>
          <w:bCs/>
          <w:color w:val="auto"/>
          <w:sz w:val="24"/>
          <w:szCs w:val="24"/>
          <w:highlight w:val="none"/>
        </w:rPr>
        <w:t>41.1</w:t>
      </w:r>
      <w:r>
        <w:rPr>
          <w:rFonts w:hint="eastAsia" w:ascii="宋体" w:hAnsi="宋体" w:eastAsia="宋体" w:cs="宋体"/>
          <w:bCs/>
          <w:color w:val="auto"/>
          <w:sz w:val="24"/>
          <w:szCs w:val="24"/>
          <w:highlight w:val="none"/>
          <w:u w:val="none"/>
        </w:rPr>
        <w:t>开标由招标人或招标代理主持</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条款号：41.2.1           修改类型：修改</w:t>
      </w:r>
    </w:p>
    <w:p>
      <w:pPr>
        <w:pBdr>
          <w:bottom w:val="none" w:color="auto" w:sz="0" w:space="0"/>
        </w:pBdr>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41.2.1投标截止期前，各投标人递交投标文件（包括技术标投标文件、经济标投标文件）至</w:t>
      </w:r>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rPr>
        <w:t>交易平台。有关投标文件提交的事项详见第一章投标须知。</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41.2.1</w:t>
      </w:r>
      <w:r>
        <w:rPr>
          <w:rFonts w:hint="eastAsia" w:ascii="宋体" w:hAnsi="宋体" w:eastAsia="宋体" w:cs="宋体"/>
          <w:color w:val="auto"/>
          <w:sz w:val="24"/>
          <w:szCs w:val="24"/>
          <w:highlight w:val="none"/>
        </w:rPr>
        <w:t>投标截止期前，各投标人递交投标文件（包括技术标投标文件（含资格审查文件）、经济标投标文件）至</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交易平台。有关投标文件提交的事项详见第一章投标须知。</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rPr>
        <w:t xml:space="preserve">41.2.2 </w:t>
      </w:r>
      <w:r>
        <w:rPr>
          <w:rFonts w:hint="eastAsia" w:ascii="宋体" w:hAnsi="宋体" w:eastAsia="宋体" w:cs="宋体"/>
          <w:b/>
          <w:color w:val="auto"/>
          <w:sz w:val="24"/>
          <w:szCs w:val="24"/>
          <w:highlight w:val="none"/>
        </w:rPr>
        <w:t xml:space="preserve">          修改类型：删除</w:t>
      </w:r>
    </w:p>
    <w:p>
      <w:pPr>
        <w:pBdr>
          <w:bottom w:val="single" w:color="auto" w:sz="6" w:space="1"/>
        </w:pBd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41.2.2开标前，首先由招标人随机抽取确定该工程计算评标参考价的等分点值X。</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1           修改类型：修改</w:t>
      </w:r>
    </w:p>
    <w:p>
      <w:pPr>
        <w:pBdr>
          <w:bottom w:val="none" w:color="auto" w:sz="0" w:space="0"/>
        </w:pBdr>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eastAsia="宋体" w:cs="宋体"/>
          <w:b w:val="0"/>
          <w:bCs/>
          <w:color w:val="auto"/>
          <w:sz w:val="24"/>
          <w:szCs w:val="24"/>
          <w:highlight w:val="none"/>
        </w:rPr>
        <w:t>。</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密封情况；c、投标报价；d、项目经理（负责人）名称；e、法定代表人证明及授权委托等主要内容及开标记录表中的其他必要内容。投标报价以数字和文字两种方式表述的，应公布文字表述的投标报价</w:t>
      </w:r>
      <w:r>
        <w:rPr>
          <w:rFonts w:hint="eastAsia" w:ascii="宋体" w:hAnsi="宋体" w:eastAsia="宋体" w:cs="宋体"/>
          <w:color w:val="auto"/>
          <w:sz w:val="24"/>
          <w:szCs w:val="24"/>
          <w:highlight w:val="none"/>
        </w:rPr>
        <w:t>。</w:t>
      </w:r>
    </w:p>
    <w:p>
      <w:pPr>
        <w:spacing w:line="360" w:lineRule="auto"/>
        <w:ind w:firstLine="484" w:firstLineChars="20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 xml:space="preserve">             修改类型：修改</w:t>
      </w:r>
    </w:p>
    <w:p>
      <w:pPr>
        <w:pBdr>
          <w:bottom w:val="single" w:color="auto" w:sz="6" w:space="1"/>
        </w:pBdr>
        <w:spacing w:line="360" w:lineRule="auto"/>
        <w:ind w:firstLine="484" w:firstLineChars="20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招标人对开标过程进行记录，并存档备查，投标人在技术标开标记录上签字。</w:t>
      </w:r>
    </w:p>
    <w:p>
      <w:pPr>
        <w:pBdr>
          <w:bottom w:val="single" w:color="auto" w:sz="6" w:space="1"/>
        </w:pBdr>
        <w:spacing w:line="360" w:lineRule="auto"/>
        <w:ind w:firstLine="484" w:firstLineChars="20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color w:val="auto"/>
          <w:sz w:val="24"/>
          <w:szCs w:val="24"/>
          <w:highlight w:val="none"/>
        </w:rPr>
        <w:t>对开标过程进行记录，并存档备查，</w:t>
      </w:r>
      <w:r>
        <w:rPr>
          <w:rFonts w:hint="eastAsia" w:ascii="宋体" w:hAnsi="宋体" w:eastAsia="宋体" w:cs="宋体"/>
          <w:color w:val="auto"/>
          <w:sz w:val="24"/>
          <w:szCs w:val="24"/>
          <w:highlight w:val="none"/>
          <w:u w:val="single"/>
        </w:rPr>
        <w:t>参加开标会的</w:t>
      </w:r>
      <w:r>
        <w:rPr>
          <w:rFonts w:hint="eastAsia" w:ascii="宋体" w:hAnsi="宋体" w:eastAsia="宋体" w:cs="宋体"/>
          <w:color w:val="auto"/>
          <w:sz w:val="24"/>
          <w:szCs w:val="24"/>
          <w:highlight w:val="none"/>
        </w:rPr>
        <w:t>投标人在开标记录上签字。</w:t>
      </w:r>
    </w:p>
    <w:p>
      <w:pPr>
        <w:spacing w:line="360" w:lineRule="auto"/>
        <w:ind w:firstLine="484" w:firstLineChars="20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修改类型：修改</w:t>
      </w:r>
    </w:p>
    <w:p>
      <w:pPr>
        <w:pBdr>
          <w:bottom w:val="single" w:color="auto" w:sz="6" w:space="1"/>
        </w:pBdr>
        <w:spacing w:line="360" w:lineRule="auto"/>
        <w:ind w:firstLine="484" w:firstLineChars="20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招标人将上述符合要求的投标文件，送至评标委员会进行评审</w:t>
      </w:r>
      <w:r>
        <w:rPr>
          <w:rFonts w:hint="eastAsia" w:ascii="宋体" w:hAnsi="宋体" w:eastAsia="宋体" w:cs="宋体"/>
          <w:color w:val="auto"/>
          <w:sz w:val="24"/>
          <w:szCs w:val="24"/>
          <w:highlight w:val="none"/>
        </w:rPr>
        <w:t>。</w:t>
      </w:r>
    </w:p>
    <w:p>
      <w:pPr>
        <w:pBdr>
          <w:bottom w:val="single" w:color="auto" w:sz="6" w:space="1"/>
        </w:pBdr>
        <w:spacing w:line="360" w:lineRule="auto"/>
        <w:ind w:firstLine="484" w:firstLineChars="20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bCs/>
          <w:color w:val="auto"/>
          <w:sz w:val="24"/>
          <w:szCs w:val="24"/>
          <w:highlight w:val="none"/>
        </w:rPr>
        <w:t>将上述符合要求的投标文件，送至评标委员会进行评审</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w:t>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 xml:space="preserve">            修改类型：修改</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方式一：评标委员会为综合评标委员会，负责评标工作。</w:t>
      </w:r>
    </w:p>
    <w:p>
      <w:pPr>
        <w:spacing w:line="360" w:lineRule="auto"/>
        <w:ind w:firstLine="537" w:firstLineChars="224"/>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评标委员会的组成：方式</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w:t>
      </w:r>
    </w:p>
    <w:p>
      <w:pPr>
        <w:pBdr>
          <w:bottom w:val="single" w:color="auto" w:sz="6" w:space="1"/>
        </w:pBdr>
        <w:spacing w:line="360" w:lineRule="auto"/>
        <w:ind w:firstLine="537" w:firstLineChars="224"/>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方式一：评标委员会为综合评标委员会，负责</w:t>
      </w:r>
      <w:r>
        <w:rPr>
          <w:rFonts w:hint="eastAsia" w:ascii="宋体" w:hAnsi="宋体" w:eastAsia="宋体" w:cs="宋体"/>
          <w:color w:val="auto"/>
          <w:sz w:val="24"/>
          <w:szCs w:val="24"/>
          <w:highlight w:val="none"/>
          <w:u w:val="single"/>
        </w:rPr>
        <w:t>资格审查及</w:t>
      </w:r>
      <w:r>
        <w:rPr>
          <w:rFonts w:hint="eastAsia" w:ascii="宋体" w:hAnsi="宋体" w:eastAsia="宋体" w:cs="宋体"/>
          <w:color w:val="auto"/>
          <w:sz w:val="24"/>
          <w:szCs w:val="24"/>
          <w:highlight w:val="none"/>
        </w:rPr>
        <w:t>评标工作。</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 xml:space="preserve">            修改类型：修改</w:t>
      </w:r>
    </w:p>
    <w:p>
      <w:pPr>
        <w:widowControl/>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资格审查合格的投标人少于3名的（当N个标段同时招标且不允许兼中时，资格审查合格的投标人少于N+2名），则本项目招标失败。</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资格审查合格的投标人少于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名的，则本项目招标失败。</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 xml:space="preserve">            修改类型：修改</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5.1</w:t>
      </w:r>
      <w:r>
        <w:rPr>
          <w:rFonts w:hint="eastAsia" w:ascii="宋体" w:hAnsi="宋体" w:eastAsia="宋体" w:cs="宋体"/>
          <w:b/>
          <w:color w:val="auto"/>
          <w:sz w:val="24"/>
          <w:szCs w:val="24"/>
          <w:highlight w:val="none"/>
        </w:rPr>
        <w:t xml:space="preserve">             修改类型：修改</w:t>
      </w:r>
    </w:p>
    <w:p>
      <w:pPr>
        <w:spacing w:line="360" w:lineRule="auto"/>
        <w:ind w:firstLine="540" w:firstLineChars="224"/>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5.1</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若通过技术标有效性审查的投标人中所有投标报价均大于等于最高投标限价*D%（D的取值范围为[94,100],由招标人自主确定）的（具体金额为：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元），则本项目招标失败，由招标人依法重新招标</w:t>
      </w:r>
      <w:r>
        <w:rPr>
          <w:rFonts w:hint="eastAsia" w:ascii="宋体" w:hAnsi="宋体" w:eastAsia="宋体" w:cs="宋体"/>
          <w:bCs/>
          <w:color w:val="auto"/>
          <w:sz w:val="24"/>
          <w:szCs w:val="24"/>
          <w:highlight w:val="none"/>
        </w:rPr>
        <w:t>。</w:t>
      </w:r>
    </w:p>
    <w:p>
      <w:pPr>
        <w:pBdr>
          <w:bottom w:val="single" w:color="auto" w:sz="6" w:space="1"/>
        </w:pBdr>
        <w:spacing w:line="360" w:lineRule="auto"/>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若通过技术标有效性审查的投标人中所有投标报价均大于等于最高投标限价*</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具体金额为：</w:t>
      </w:r>
      <w:r>
        <w:rPr>
          <w:rFonts w:hint="eastAsia" w:ascii="宋体" w:hAnsi="宋体" w:cs="宋体"/>
          <w:color w:val="auto"/>
          <w:sz w:val="24"/>
          <w:szCs w:val="24"/>
          <w:highlight w:val="none"/>
          <w:u w:val="single"/>
          <w:lang w:val="en-US" w:eastAsia="zh-CN"/>
        </w:rPr>
        <w:t>68,329,363.69</w:t>
      </w:r>
      <w:r>
        <w:rPr>
          <w:rFonts w:hint="eastAsia" w:ascii="宋体" w:hAnsi="宋体" w:cs="宋体"/>
          <w:color w:val="auto"/>
          <w:sz w:val="24"/>
          <w:szCs w:val="24"/>
          <w:highlight w:val="none"/>
          <w:u w:val="none"/>
        </w:rPr>
        <w:t>元</w:t>
      </w:r>
      <w:r>
        <w:rPr>
          <w:rFonts w:hint="eastAsia" w:ascii="宋体" w:hAnsi="宋体" w:eastAsia="宋体" w:cs="宋体"/>
          <w:color w:val="auto"/>
          <w:sz w:val="24"/>
          <w:szCs w:val="24"/>
          <w:highlight w:val="none"/>
        </w:rPr>
        <w:t>，则本项目招标失败，由招标人依法重新招标</w:t>
      </w:r>
      <w:r>
        <w:rPr>
          <w:rFonts w:hint="eastAsia" w:ascii="宋体" w:hAnsi="宋体" w:eastAsia="宋体" w:cs="宋体"/>
          <w:bCs/>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5.2</w:t>
      </w:r>
      <w:r>
        <w:rPr>
          <w:rFonts w:hint="eastAsia" w:ascii="宋体" w:hAnsi="宋体" w:eastAsia="宋体" w:cs="宋体"/>
          <w:b/>
          <w:color w:val="auto"/>
          <w:sz w:val="24"/>
          <w:szCs w:val="24"/>
          <w:highlight w:val="none"/>
        </w:rPr>
        <w:t xml:space="preserve">             修改类型：修改</w:t>
      </w:r>
    </w:p>
    <w:p>
      <w:pPr>
        <w:pStyle w:val="7"/>
        <w:tabs>
          <w:tab w:val="left" w:pos="7380"/>
        </w:tabs>
        <w:snapToGrid w:val="0"/>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lang w:val="en-US" w:eastAsia="zh-CN"/>
        </w:rPr>
        <w:t>45.2</w:t>
      </w:r>
      <w:r>
        <w:rPr>
          <w:rFonts w:hint="eastAsia" w:ascii="宋体" w:hAnsi="宋体" w:eastAsia="宋体" w:cs="宋体"/>
          <w:color w:val="auto"/>
          <w:sz w:val="24"/>
          <w:szCs w:val="24"/>
          <w:highlight w:val="none"/>
        </w:rPr>
        <w:t>按方法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计算评标参考价：</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其中：报价权重的计算方法为：将N名投标人按技术分由高至低进行排序，第一名投标人的权重为（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8890"/>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8890"/>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0" b="0"/>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0" b="0"/>
            <wp:docPr id="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方法二：区间抽取法</w:t>
      </w:r>
    </w:p>
    <w:p>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eastAsia="宋体" w:cs="宋体"/>
          <w:color w:val="auto"/>
          <w:kern w:val="0"/>
          <w:sz w:val="24"/>
          <w:szCs w:val="24"/>
          <w:highlight w:val="none"/>
          <w:vertAlign w:val="subscript"/>
        </w:rPr>
      </w:pPr>
      <w:r>
        <w:rPr>
          <w:rFonts w:hint="eastAsia" w:ascii="宋体" w:hAnsi="宋体" w:eastAsia="宋体" w:cs="宋体"/>
          <w:color w:val="auto"/>
          <w:kern w:val="0"/>
          <w:sz w:val="24"/>
          <w:szCs w:val="24"/>
          <w:highlight w:val="none"/>
        </w:rPr>
        <w:t>评标参考价=（Q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低</w:t>
      </w:r>
      <w:r>
        <w:rPr>
          <w:rFonts w:hint="eastAsia" w:ascii="宋体" w:hAnsi="宋体" w:eastAsia="宋体" w:cs="宋体"/>
          <w:color w:val="auto"/>
          <w:kern w:val="0"/>
          <w:sz w:val="24"/>
          <w:szCs w:val="24"/>
          <w:highlight w:val="none"/>
        </w:rPr>
        <w:t>）/100*Ｘ+Q</w:t>
      </w:r>
      <w:r>
        <w:rPr>
          <w:rFonts w:hint="eastAsia" w:ascii="宋体" w:hAnsi="宋体" w:eastAsia="宋体" w:cs="宋体"/>
          <w:color w:val="auto"/>
          <w:kern w:val="0"/>
          <w:sz w:val="24"/>
          <w:szCs w:val="24"/>
          <w:highlight w:val="none"/>
          <w:vertAlign w:val="subscript"/>
        </w:rPr>
        <w:t>低</w:t>
      </w:r>
    </w:p>
    <w:p>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sz w:val="24"/>
          <w:szCs w:val="24"/>
          <w:highlight w:val="none"/>
        </w:rPr>
        <w:t>：为（最高投标限价*D%）（D的取值范围为[94,100],由招标人自定）</w:t>
      </w:r>
    </w:p>
    <w:p>
      <w:pPr>
        <w:spacing w:line="360" w:lineRule="auto"/>
        <w:ind w:firstLine="537" w:firstLineChars="224"/>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pPr>
        <w:spacing w:line="360" w:lineRule="auto"/>
        <w:ind w:firstLine="508" w:firstLineChars="21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按方法</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计算评标参考价：</w:t>
      </w:r>
    </w:p>
    <w:p>
      <w:pPr>
        <w:widowControl/>
        <w:spacing w:line="360" w:lineRule="auto"/>
        <w:ind w:firstLine="506" w:firstLineChars="21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方法一：加权平均法</w:t>
      </w:r>
    </w:p>
    <w:p>
      <w:pPr>
        <w:spacing w:line="360" w:lineRule="auto"/>
        <w:ind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技术标得分前N名的经济报价加权平均</w:t>
      </w:r>
      <w:r>
        <w:rPr>
          <w:rFonts w:hint="eastAsia" w:ascii="宋体" w:hAnsi="宋体" w:eastAsia="宋体" w:cs="宋体"/>
          <w:color w:val="auto"/>
          <w:sz w:val="24"/>
          <w:szCs w:val="24"/>
          <w:highlight w:val="none"/>
          <w:u w:val="single"/>
        </w:rPr>
        <w:t>（若通过技术标有效性审查的投标人大于等于5家时，N=5；若通过技术标有效性审查的投标人小于5家时，N=通过技术标有效性审查的投标人家数）</w:t>
      </w:r>
      <w:r>
        <w:rPr>
          <w:rFonts w:hint="eastAsia" w:ascii="宋体" w:hAnsi="宋体" w:eastAsia="宋体" w:cs="宋体"/>
          <w:color w:val="auto"/>
          <w:sz w:val="24"/>
          <w:szCs w:val="24"/>
          <w:highlight w:val="none"/>
        </w:rPr>
        <w:t>，计算评标参考价。公式如下：</w:t>
      </w:r>
    </w:p>
    <w:p>
      <w:pPr>
        <w:spacing w:line="360" w:lineRule="auto"/>
        <w:ind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spacing w:line="360" w:lineRule="auto"/>
        <w:ind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其中：报价权重的计算方法为：将N名投标人按技术分由高至低进行排序，第一名投标人的权重为（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114300" distR="114300">
            <wp:extent cx="381000" cy="447675"/>
            <wp:effectExtent l="0" t="0" r="0" b="8890"/>
            <wp:docPr id="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114300" distR="114300">
            <wp:extent cx="381000" cy="447675"/>
            <wp:effectExtent l="0" t="0" r="0" b="8890"/>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114300" distR="114300">
            <wp:extent cx="323850" cy="400050"/>
            <wp:effectExtent l="0" t="0" r="0" b="0"/>
            <wp:docPr id="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114300" distR="114300">
            <wp:extent cx="323850" cy="400050"/>
            <wp:effectExtent l="0" t="0" r="0" b="0"/>
            <wp:docPr id="4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114300" distR="114300">
            <wp:extent cx="323850" cy="400050"/>
            <wp:effectExtent l="0" t="0" r="0" b="0"/>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114300" distR="114300">
            <wp:extent cx="323850" cy="400050"/>
            <wp:effectExtent l="0" t="0" r="0" b="0"/>
            <wp:docPr id="5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6"/>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（注：技术标得分相同时，投标报价较低的排名靠前；如仍有相同情况，则由评标会对出现该情况的投标人进行编号，然后通过投票方式依次确定投标人的排序。评标参考价精确到小数点后两位）</w:t>
      </w:r>
      <w:r>
        <w:rPr>
          <w:rFonts w:hint="eastAsia" w:ascii="宋体" w:hAnsi="宋体" w:eastAsia="宋体" w:cs="宋体"/>
          <w:color w:val="auto"/>
          <w:sz w:val="24"/>
          <w:szCs w:val="24"/>
          <w:highlight w:val="non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color w:val="auto"/>
          <w:sz w:val="24"/>
          <w:szCs w:val="24"/>
          <w:highlight w:val="none"/>
          <w:lang w:val="en-US" w:eastAsia="zh-CN"/>
        </w:rPr>
        <w:t>45.</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pPr>
        <w:pBdr>
          <w:bottom w:val="single" w:color="auto" w:sz="6" w:space="1"/>
        </w:pBdr>
        <w:spacing w:line="360" w:lineRule="auto"/>
        <w:ind w:firstLine="540" w:firstLineChars="224"/>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5.</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u w:val="single"/>
        </w:rPr>
        <w:t>当标价等于评标参考价时得100分，标价每高于评标参考价1%，扣1.5分，每低于评标参考价1%，扣1分，扣至0分为止，得出经济分，精确到小数点后两位</w:t>
      </w:r>
      <w:r>
        <w:rPr>
          <w:rFonts w:hint="eastAsia" w:ascii="宋体" w:hAnsi="宋体" w:eastAsia="宋体" w:cs="宋体"/>
          <w:bCs/>
          <w:color w:val="auto"/>
          <w:sz w:val="24"/>
          <w:szCs w:val="24"/>
          <w:highlight w:val="none"/>
          <w:u w:val="single"/>
        </w:rPr>
        <w:t>。</w:t>
      </w:r>
    </w:p>
    <w:p>
      <w:pPr>
        <w:pBdr>
          <w:bottom w:val="single" w:color="auto" w:sz="6" w:space="1"/>
        </w:pBdr>
        <w:spacing w:line="360" w:lineRule="auto"/>
        <w:ind w:firstLine="540" w:firstLineChars="224"/>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45.</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u w:val="single"/>
        </w:rPr>
        <w:t>当标价等于评标参考价时得100分，标价每高于评标参考价1%，扣</w:t>
      </w:r>
      <w:r>
        <w:rPr>
          <w:rFonts w:hint="eastAsia" w:ascii="宋体" w:hAnsi="宋体" w:cs="宋体"/>
          <w:bCs/>
          <w:color w:val="auto"/>
          <w:sz w:val="24"/>
          <w:szCs w:val="24"/>
          <w:highlight w:val="none"/>
          <w:u w:val="single"/>
          <w:lang w:val="en-US" w:eastAsia="zh-CN"/>
        </w:rPr>
        <w:t>0.5</w:t>
      </w:r>
      <w:r>
        <w:rPr>
          <w:rFonts w:hint="eastAsia" w:ascii="宋体" w:hAnsi="宋体" w:cs="宋体"/>
          <w:bCs/>
          <w:color w:val="auto"/>
          <w:sz w:val="24"/>
          <w:szCs w:val="24"/>
          <w:highlight w:val="none"/>
          <w:u w:val="single"/>
        </w:rPr>
        <w:t>分，每低于评标参考价1%，扣</w:t>
      </w:r>
      <w:r>
        <w:rPr>
          <w:rFonts w:hint="eastAsia" w:ascii="宋体" w:hAnsi="宋体" w:cs="宋体"/>
          <w:bCs/>
          <w:color w:val="auto"/>
          <w:sz w:val="24"/>
          <w:szCs w:val="24"/>
          <w:highlight w:val="none"/>
          <w:u w:val="single"/>
          <w:lang w:val="en-US" w:eastAsia="zh-CN"/>
        </w:rPr>
        <w:t>0.3</w:t>
      </w:r>
      <w:r>
        <w:rPr>
          <w:rFonts w:hint="eastAsia" w:ascii="宋体" w:hAnsi="宋体" w:cs="宋体"/>
          <w:bCs/>
          <w:color w:val="auto"/>
          <w:sz w:val="24"/>
          <w:szCs w:val="24"/>
          <w:highlight w:val="none"/>
          <w:u w:val="single"/>
        </w:rPr>
        <w:t>分，扣至0分为止，得出经济分，精确到小数点后两位</w:t>
      </w:r>
      <w:r>
        <w:rPr>
          <w:rFonts w:hint="eastAsia" w:ascii="宋体" w:hAnsi="宋体" w:eastAsia="宋体" w:cs="宋体"/>
          <w:bCs/>
          <w:color w:val="auto"/>
          <w:sz w:val="24"/>
          <w:szCs w:val="24"/>
          <w:highlight w:val="none"/>
          <w:u w:val="single"/>
        </w:rPr>
        <w:t>。</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color w:val="auto"/>
          <w:sz w:val="24"/>
          <w:szCs w:val="24"/>
          <w:highlight w:val="none"/>
          <w:lang w:val="en-US" w:eastAsia="zh-CN"/>
        </w:rPr>
        <w:t>45.4</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pPr>
        <w:pBdr>
          <w:bottom w:val="single" w:color="auto" w:sz="6" w:space="1"/>
        </w:pBdr>
        <w:spacing w:line="360" w:lineRule="auto"/>
        <w:ind w:firstLine="540" w:firstLineChars="22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r>
        <w:rPr>
          <w:rFonts w:hint="eastAsia" w:ascii="宋体" w:hAnsi="宋体" w:eastAsia="宋体" w:cs="宋体"/>
          <w:color w:val="auto"/>
          <w:sz w:val="24"/>
          <w:szCs w:val="24"/>
          <w:highlight w:val="none"/>
        </w:rPr>
        <w:t>。</w:t>
      </w:r>
    </w:p>
    <w:p>
      <w:pPr>
        <w:pBdr>
          <w:bottom w:val="single" w:color="auto" w:sz="6" w:space="1"/>
        </w:pBdr>
        <w:spacing w:line="360" w:lineRule="auto"/>
        <w:ind w:firstLine="540" w:firstLineChars="224"/>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45.4计算通过技术标有效性审查的投标人总得分。</w:t>
      </w:r>
      <w:r>
        <w:rPr>
          <w:rFonts w:hint="eastAsia" w:ascii="宋体" w:hAnsi="宋体" w:eastAsia="宋体" w:cs="宋体"/>
          <w:bCs/>
          <w:color w:val="auto"/>
          <w:sz w:val="24"/>
          <w:szCs w:val="24"/>
          <w:highlight w:val="none"/>
          <w:u w:val="single"/>
        </w:rPr>
        <w:t>投标人总得分=技术得分×技术得分权重（20%）＋经济得分×经济得分权重（80%）</w:t>
      </w:r>
      <w:r>
        <w:rPr>
          <w:rFonts w:hint="eastAsia" w:ascii="宋体" w:hAnsi="宋体" w:eastAsia="宋体" w:cs="宋体"/>
          <w:bCs/>
          <w:color w:val="auto"/>
          <w:sz w:val="24"/>
          <w:szCs w:val="24"/>
          <w:highlight w:val="none"/>
        </w:rPr>
        <w:t>。技术、经济得分权重按投标须知前附表的规定执行。总得分四舍五入保留两位小数。</w:t>
      </w:r>
    </w:p>
    <w:p>
      <w:pPr>
        <w:pBdr>
          <w:bottom w:val="single" w:color="auto" w:sz="6" w:space="1"/>
        </w:pBdr>
        <w:spacing w:line="360" w:lineRule="auto"/>
        <w:ind w:firstLine="537" w:firstLineChars="224"/>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总得分相同情况下的排序方法：总得分相同的投标文件，以技术分高的排前；技术分均相同的投标文件，以报价低的排前；如仍存在相同情况，则对具有相同情况的投标人，由评标委员会采用记名投票方式，确定投标人的排序。</w:t>
      </w:r>
    </w:p>
    <w:p>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注：投票方式确定排序的具体操作步骤为：由评标委员会对出现该情况的投标人进行编号，然后通过投票方式依次确定投标人的排序</w:t>
      </w:r>
      <w:r>
        <w:rPr>
          <w:rFonts w:hint="eastAsia" w:ascii="宋体" w:hAnsi="宋体" w:eastAsia="宋体" w:cs="宋体"/>
          <w:color w:val="auto"/>
          <w:sz w:val="24"/>
          <w:szCs w:val="24"/>
          <w:highlight w:val="none"/>
        </w:rPr>
        <w:t>。</w:t>
      </w:r>
    </w:p>
    <w:p>
      <w:pPr>
        <w:pStyle w:val="7"/>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cs="宋体"/>
          <w:b/>
          <w:color w:val="auto"/>
          <w:sz w:val="24"/>
          <w:szCs w:val="24"/>
          <w:highlight w:val="none"/>
          <w:lang w:val="en-US" w:eastAsia="zh-CN"/>
        </w:rPr>
        <w:t>46.2.8</w:t>
      </w:r>
      <w:r>
        <w:rPr>
          <w:rFonts w:hint="eastAsia" w:ascii="宋体" w:hAnsi="宋体" w:eastAsia="宋体" w:cs="宋体"/>
          <w:b/>
          <w:color w:val="auto"/>
          <w:sz w:val="24"/>
          <w:szCs w:val="24"/>
          <w:highlight w:val="non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修改类型：修改</w:t>
      </w:r>
    </w:p>
    <w:p>
      <w:pPr>
        <w:spacing w:line="360" w:lineRule="auto"/>
        <w:ind w:firstLine="472" w:firstLineChars="196"/>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w:t>
      </w:r>
      <w:r>
        <w:rPr>
          <w:rFonts w:hint="eastAsia" w:ascii="宋体" w:hAnsi="宋体" w:cs="宋体"/>
          <w:bCs/>
          <w:color w:val="auto"/>
          <w:sz w:val="24"/>
          <w:szCs w:val="24"/>
          <w:highlight w:val="none"/>
          <w:lang w:val="en-US" w:eastAsia="zh-CN"/>
        </w:rPr>
        <w:t>6.2.8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r>
        <w:rPr>
          <w:rFonts w:hint="eastAsia" w:ascii="宋体" w:hAnsi="宋体"/>
          <w:color w:val="auto"/>
          <w:sz w:val="24"/>
          <w:szCs w:val="24"/>
          <w:highlight w:val="none"/>
          <w:lang w:eastAsia="zh-CN"/>
        </w:rPr>
        <w:t>。</w:t>
      </w:r>
    </w:p>
    <w:p>
      <w:pPr>
        <w:pBdr>
          <w:bottom w:val="single" w:color="auto" w:sz="6" w:space="1"/>
        </w:pBdr>
        <w:spacing w:line="360" w:lineRule="auto"/>
        <w:ind w:firstLine="472" w:firstLineChars="196"/>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w:t>
      </w:r>
      <w:r>
        <w:rPr>
          <w:rFonts w:hint="eastAsia" w:ascii="宋体" w:hAnsi="宋体" w:cs="宋体"/>
          <w:bCs/>
          <w:color w:val="auto"/>
          <w:sz w:val="24"/>
          <w:szCs w:val="24"/>
          <w:highlight w:val="none"/>
          <w:lang w:val="en-US" w:eastAsia="zh-CN"/>
        </w:rPr>
        <w:t>6.2.8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eastAsia="宋体" w:cs="宋体"/>
          <w:bCs/>
          <w:color w:val="auto"/>
          <w:sz w:val="24"/>
          <w:szCs w:val="24"/>
          <w:highlight w:val="none"/>
        </w:rPr>
        <w:t>。</w:t>
      </w:r>
    </w:p>
    <w:p>
      <w:pPr>
        <w:pStyle w:val="7"/>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条款号：49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修改类型：修改</w:t>
      </w:r>
    </w:p>
    <w:p>
      <w:pPr>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72" w:firstLineChars="196"/>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49.若通过经济标有效性审查的投标人不足三家，应当依法重新招标。</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条款号：附表一：《资格审查表》    附表二：《技术标有效性审查表》   附表三：《经济标有效性审查表》   附表四：《技术标详细审查评分表》            修改类型：修改</w:t>
      </w:r>
    </w:p>
    <w:p>
      <w:pPr>
        <w:spacing w:line="360" w:lineRule="auto"/>
        <w:ind w:firstLine="540" w:firstLineChars="22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602" w:firstLineChars="250"/>
        <w:rPr>
          <w:rFonts w:ascii="宋体" w:hAnsi="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详见本招标文件</w:t>
      </w:r>
      <w:r>
        <w:rPr>
          <w:rFonts w:hint="eastAsia" w:ascii="宋体" w:hAnsi="宋体" w:eastAsia="宋体" w:cs="宋体"/>
          <w:color w:val="auto"/>
          <w:sz w:val="24"/>
          <w:szCs w:val="24"/>
          <w:highlight w:val="none"/>
          <w:u w:val="single"/>
        </w:rPr>
        <w:t>附表一：《资格审查表》   附表二：《技术标有效性审查表》   附表三：《经济标有效性审查表》   附表四：《技术标详细审查评分表》。</w:t>
      </w:r>
    </w:p>
    <w:p>
      <w:pPr>
        <w:spacing w:line="360" w:lineRule="auto"/>
        <w:ind w:firstLine="211" w:firstLineChars="100"/>
        <w:rPr>
          <w:b/>
          <w:color w:val="auto"/>
          <w:szCs w:val="21"/>
          <w:highlight w:val="none"/>
        </w:rPr>
      </w:pPr>
      <w:r>
        <w:rPr>
          <w:rFonts w:hint="eastAsia" w:ascii="宋体" w:hAnsi="宋体"/>
          <w:b/>
          <w:color w:val="auto"/>
          <w:szCs w:val="21"/>
          <w:highlight w:val="none"/>
        </w:rPr>
        <w:t>注</w:t>
      </w:r>
      <w:r>
        <w:rPr>
          <w:rFonts w:hint="eastAsia"/>
          <w:b/>
          <w:color w:val="auto"/>
          <w:szCs w:val="21"/>
          <w:highlight w:val="none"/>
        </w:rPr>
        <w:t>：以上修改，仅限于本范本中有可供选择条款的情形。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ind w:firstLine="0"/>
        <w:rPr>
          <w:color w:val="auto"/>
          <w:highlight w:val="none"/>
        </w:rPr>
      </w:pPr>
      <w:r>
        <w:rPr>
          <w:color w:val="auto"/>
          <w:highlight w:val="none"/>
        </w:rPr>
        <w:br w:type="page"/>
      </w:r>
    </w:p>
    <w:p>
      <w:pPr>
        <w:pStyle w:val="9"/>
        <w:ind w:firstLine="525"/>
        <w:rPr>
          <w:color w:val="auto"/>
          <w:highlight w:val="none"/>
        </w:rPr>
      </w:pPr>
      <w:bookmarkStart w:id="22" w:name="_Toc2272556"/>
      <w:bookmarkStart w:id="23" w:name="_Toc21525500"/>
      <w:r>
        <w:rPr>
          <w:rFonts w:hint="eastAsia"/>
          <w:color w:val="auto"/>
          <w:highlight w:val="none"/>
        </w:rPr>
        <w:t>二、开标、评标及定标办法</w:t>
      </w:r>
      <w:r>
        <w:rPr>
          <w:rFonts w:hint="eastAsia"/>
          <w:color w:val="auto"/>
          <w:szCs w:val="30"/>
          <w:highlight w:val="none"/>
        </w:rPr>
        <w:t>通用条款</w:t>
      </w:r>
      <w:bookmarkEnd w:id="22"/>
      <w:bookmarkEnd w:id="23"/>
    </w:p>
    <w:p>
      <w:pPr>
        <w:pStyle w:val="11"/>
        <w:spacing w:before="156" w:after="156"/>
        <w:ind w:firstLine="540" w:firstLineChars="200"/>
        <w:rPr>
          <w:color w:val="auto"/>
          <w:highlight w:val="none"/>
        </w:rPr>
      </w:pPr>
      <w:bookmarkStart w:id="24" w:name="_Toc2272557"/>
      <w:bookmarkStart w:id="25" w:name="_Toc21525501"/>
      <w:r>
        <w:rPr>
          <w:rFonts w:hint="eastAsia"/>
          <w:color w:val="auto"/>
          <w:highlight w:val="none"/>
        </w:rPr>
        <w:t>（一）总则</w:t>
      </w:r>
      <w:bookmarkEnd w:id="24"/>
      <w:bookmarkEnd w:id="2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11"/>
        <w:spacing w:before="156" w:after="156"/>
        <w:ind w:firstLine="540" w:firstLineChars="200"/>
        <w:rPr>
          <w:color w:val="auto"/>
          <w:highlight w:val="none"/>
        </w:rPr>
      </w:pPr>
      <w:bookmarkStart w:id="26" w:name="_Toc2272558"/>
      <w:bookmarkStart w:id="27" w:name="_Toc21525502"/>
      <w:r>
        <w:rPr>
          <w:rFonts w:hint="eastAsia"/>
          <w:color w:val="auto"/>
          <w:highlight w:val="none"/>
        </w:rPr>
        <w:t>（二）开标评标办法程序和细则</w:t>
      </w:r>
      <w:bookmarkEnd w:id="26"/>
      <w:bookmarkEnd w:id="27"/>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ind w:firstLine="480" w:firstLineChars="200"/>
        <w:rPr>
          <w:rFonts w:ascii="宋体" w:hAnsi="宋体"/>
          <w:color w:val="auto"/>
          <w:sz w:val="24"/>
          <w:szCs w:val="24"/>
          <w:highlight w:val="none"/>
        </w:rPr>
      </w:pPr>
    </w:p>
    <w:p>
      <w:pPr>
        <w:pStyle w:val="11"/>
        <w:spacing w:before="156" w:after="156"/>
        <w:ind w:firstLine="540" w:firstLineChars="200"/>
        <w:rPr>
          <w:color w:val="auto"/>
          <w:highlight w:val="none"/>
        </w:rPr>
      </w:pPr>
      <w:bookmarkStart w:id="28" w:name="_Toc2272559"/>
      <w:bookmarkStart w:id="29" w:name="_Toc21525503"/>
      <w:r>
        <w:rPr>
          <w:rFonts w:hint="eastAsia"/>
          <w:color w:val="auto"/>
          <w:highlight w:val="none"/>
        </w:rPr>
        <w:t>可选办法一（适合综合评分法一，技术标与经济标先后分别开启）</w:t>
      </w:r>
      <w:bookmarkEnd w:id="28"/>
      <w:bookmarkEnd w:id="29"/>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对通过技术标有效性审查的投标人开启其经济标投标文件；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.1 </w:t>
      </w:r>
      <w:r>
        <w:rPr>
          <w:rFonts w:hint="eastAsia" w:ascii="宋体" w:hAnsi="宋体"/>
          <w:color w:val="auto"/>
          <w:sz w:val="24"/>
          <w:szCs w:val="24"/>
          <w:highlight w:val="none"/>
        </w:rPr>
        <w:t>技术标开标时，公布：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经济标开标前，首先公布技术标通过有效性审查的投标人</w:t>
      </w:r>
      <w:r>
        <w:rPr>
          <w:rFonts w:ascii="宋体" w:hAnsi="宋体"/>
          <w:color w:val="auto"/>
          <w:sz w:val="24"/>
          <w:szCs w:val="24"/>
          <w:highlight w:val="none"/>
        </w:rPr>
        <w:t>,</w:t>
      </w:r>
      <w:r>
        <w:rPr>
          <w:rFonts w:hint="eastAsia" w:ascii="宋体" w:hAnsi="宋体"/>
          <w:color w:val="auto"/>
          <w:sz w:val="24"/>
          <w:szCs w:val="24"/>
          <w:highlight w:val="none"/>
        </w:rPr>
        <w:t>招标人依次开启通过技术标有效性审查的投标人的经济标。开标时，公布：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42.1</w:t>
      </w:r>
      <w:r>
        <w:rPr>
          <w:rFonts w:hint="eastAsia" w:ascii="宋体" w:hAnsi="宋体"/>
          <w:color w:val="auto"/>
          <w:sz w:val="24"/>
          <w:szCs w:val="24"/>
          <w:highlight w:val="none"/>
        </w:rPr>
        <w:t>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42.4.3将第二阶段投标人按投标须知前附表第30项规定的方法进行排序。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7"/>
        <w:spacing w:line="360" w:lineRule="auto"/>
        <w:ind w:firstLine="480" w:firstLineChars="200"/>
        <w:rPr>
          <w:rFonts w:ascii="宋体" w:hAnsi="宋体"/>
          <w:color w:val="auto"/>
          <w:sz w:val="24"/>
          <w:szCs w:val="24"/>
          <w:highlight w:val="none"/>
        </w:rPr>
      </w:pPr>
    </w:p>
    <w:p>
      <w:pPr>
        <w:pStyle w:val="11"/>
        <w:spacing w:before="156" w:after="156"/>
        <w:ind w:firstLine="540" w:firstLineChars="200"/>
        <w:rPr>
          <w:color w:val="auto"/>
          <w:highlight w:val="none"/>
        </w:rPr>
      </w:pPr>
      <w:bookmarkStart w:id="30" w:name="_Toc21525504"/>
      <w:bookmarkStart w:id="31" w:name="_Toc2272560"/>
      <w:r>
        <w:rPr>
          <w:rFonts w:hint="eastAsia"/>
          <w:color w:val="auto"/>
          <w:highlight w:val="none"/>
        </w:rPr>
        <w:t>可选办法二（适合综合评分法一，技术标与经济标同时开启）</w:t>
      </w:r>
      <w:bookmarkEnd w:id="30"/>
      <w:bookmarkEnd w:id="31"/>
    </w:p>
    <w:p>
      <w:pPr>
        <w:pStyle w:val="7"/>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42.4.3并将第二阶段投标人按投标须知前附表第</w:t>
      </w:r>
      <w:r>
        <w:rPr>
          <w:rFonts w:ascii="宋体" w:hAnsi="宋体"/>
          <w:color w:val="auto"/>
          <w:sz w:val="24"/>
          <w:szCs w:val="24"/>
          <w:highlight w:val="none"/>
        </w:rPr>
        <w:t>3</w:t>
      </w:r>
      <w:r>
        <w:rPr>
          <w:rFonts w:hint="eastAsia" w:ascii="宋体" w:hAnsi="宋体"/>
          <w:color w:val="auto"/>
          <w:sz w:val="24"/>
          <w:szCs w:val="24"/>
          <w:highlight w:val="none"/>
        </w:rPr>
        <w:t>0项规定的方法进行排序。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pStyle w:val="7"/>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11"/>
        <w:ind w:firstLine="540" w:firstLineChars="200"/>
        <w:rPr>
          <w:color w:val="auto"/>
          <w:highlight w:val="none"/>
        </w:rPr>
      </w:pPr>
      <w:bookmarkStart w:id="32" w:name="_Toc21525505"/>
      <w:r>
        <w:rPr>
          <w:rFonts w:hint="eastAsia"/>
          <w:color w:val="auto"/>
          <w:highlight w:val="none"/>
        </w:rPr>
        <w:t>可选办法三（适合综合评分法二，技术标与经济标先后分别开启）</w:t>
      </w:r>
      <w:bookmarkEnd w:id="32"/>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对通过技术标有效性审查的投标人开启其经济标投标文件；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.1 </w:t>
      </w:r>
      <w:r>
        <w:rPr>
          <w:rFonts w:hint="eastAsia" w:ascii="宋体" w:hAnsi="宋体"/>
          <w:color w:val="auto"/>
          <w:sz w:val="24"/>
          <w:szCs w:val="24"/>
          <w:highlight w:val="none"/>
        </w:rPr>
        <w:t>技术标开标时，公布：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经济标开标前，首先公布技术标通过有效性审查的投标人</w:t>
      </w:r>
      <w:r>
        <w:rPr>
          <w:rFonts w:ascii="宋体" w:hAnsi="宋体"/>
          <w:color w:val="auto"/>
          <w:sz w:val="24"/>
          <w:szCs w:val="24"/>
          <w:highlight w:val="none"/>
        </w:rPr>
        <w:t>,</w:t>
      </w:r>
      <w:r>
        <w:rPr>
          <w:rFonts w:hint="eastAsia" w:ascii="宋体" w:hAnsi="宋体"/>
          <w:color w:val="auto"/>
          <w:sz w:val="24"/>
          <w:szCs w:val="24"/>
          <w:highlight w:val="none"/>
        </w:rPr>
        <w:t>招标人依次开启通过技术标有效性审查的投标人的经济标。开标时，公布：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10"/>
        <w:spacing w:line="360" w:lineRule="auto"/>
        <w:ind w:firstLine="480" w:firstLineChars="200"/>
        <w:rPr>
          <w:rFonts w:ascii="宋体" w:hAnsi="宋体"/>
          <w:color w:val="auto"/>
          <w:sz w:val="24"/>
          <w:szCs w:val="24"/>
          <w:highlight w:val="none"/>
        </w:rPr>
      </w:pPr>
    </w:p>
    <w:p>
      <w:pPr>
        <w:pStyle w:val="11"/>
        <w:spacing w:before="156" w:after="156"/>
        <w:ind w:firstLine="540" w:firstLineChars="200"/>
        <w:rPr>
          <w:color w:val="auto"/>
          <w:highlight w:val="none"/>
        </w:rPr>
      </w:pPr>
      <w:bookmarkStart w:id="33" w:name="_Toc2272561"/>
      <w:bookmarkStart w:id="34" w:name="_Toc21525506"/>
      <w:r>
        <w:rPr>
          <w:rFonts w:hint="eastAsia"/>
          <w:color w:val="auto"/>
          <w:highlight w:val="none"/>
        </w:rPr>
        <w:t>可选办法四（适合综合评分法二，技术标与经济标同时开启）</w:t>
      </w:r>
      <w:bookmarkEnd w:id="33"/>
      <w:bookmarkEnd w:id="34"/>
    </w:p>
    <w:p>
      <w:pPr>
        <w:pStyle w:val="7"/>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olor w:val="auto"/>
          <w:sz w:val="24"/>
          <w:szCs w:val="24"/>
          <w:highlight w:val="none"/>
        </w:rPr>
      </w:pPr>
    </w:p>
    <w:p>
      <w:pPr>
        <w:pStyle w:val="11"/>
        <w:spacing w:before="156" w:after="156"/>
        <w:ind w:firstLine="540" w:firstLineChars="200"/>
        <w:rPr>
          <w:color w:val="auto"/>
          <w:highlight w:val="none"/>
        </w:rPr>
      </w:pPr>
      <w:bookmarkStart w:id="35" w:name="_Toc21525507"/>
      <w:bookmarkStart w:id="36" w:name="_Toc2272562"/>
      <w:r>
        <w:rPr>
          <w:rFonts w:hint="eastAsia"/>
          <w:color w:val="auto"/>
          <w:highlight w:val="none"/>
        </w:rPr>
        <w:t>可选办法五（适合综合评分法三，技术标与经济标先后分别开启）</w:t>
      </w:r>
      <w:bookmarkEnd w:id="35"/>
      <w:bookmarkEnd w:id="36"/>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对通过技术标有效性审查的投标人开启其经济标投标文件；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.1 </w:t>
      </w:r>
      <w:r>
        <w:rPr>
          <w:rFonts w:hint="eastAsia" w:ascii="宋体" w:hAnsi="宋体"/>
          <w:color w:val="auto"/>
          <w:sz w:val="24"/>
          <w:szCs w:val="24"/>
          <w:highlight w:val="none"/>
        </w:rPr>
        <w:t>技术标开标时，公布：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经济标开标前，首先公布技术标通过有效性审查的投标人</w:t>
      </w:r>
      <w:r>
        <w:rPr>
          <w:rFonts w:ascii="宋体" w:hAnsi="宋体"/>
          <w:color w:val="auto"/>
          <w:sz w:val="24"/>
          <w:szCs w:val="24"/>
          <w:highlight w:val="none"/>
        </w:rPr>
        <w:t>,</w:t>
      </w:r>
      <w:r>
        <w:rPr>
          <w:rFonts w:hint="eastAsia" w:ascii="宋体" w:hAnsi="宋体"/>
          <w:color w:val="auto"/>
          <w:sz w:val="24"/>
          <w:szCs w:val="24"/>
          <w:highlight w:val="none"/>
        </w:rPr>
        <w:t>招标人依次开启通过技术标有效性审查的投标人的经济标。开标时，公布：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       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42.3.3评标委员会按照“第一阶段得分=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42.3.4招标人应在《投标须知前附表》中明确选择使用施工企业总排名或相应的施工专业承包排名计分。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10"/>
        <w:spacing w:line="360" w:lineRule="auto"/>
        <w:ind w:firstLine="480" w:firstLineChars="200"/>
        <w:rPr>
          <w:rFonts w:ascii="宋体" w:hAnsi="宋体"/>
          <w:color w:val="auto"/>
          <w:sz w:val="24"/>
          <w:szCs w:val="24"/>
          <w:highlight w:val="none"/>
        </w:rPr>
      </w:pPr>
    </w:p>
    <w:p>
      <w:pPr>
        <w:pStyle w:val="11"/>
        <w:spacing w:before="156" w:after="156"/>
        <w:ind w:firstLine="540" w:firstLineChars="200"/>
        <w:rPr>
          <w:color w:val="auto"/>
          <w:highlight w:val="none"/>
        </w:rPr>
      </w:pPr>
      <w:bookmarkStart w:id="37" w:name="_Toc2272563"/>
      <w:bookmarkStart w:id="38" w:name="_Toc21525508"/>
      <w:r>
        <w:rPr>
          <w:rFonts w:hint="eastAsia"/>
          <w:color w:val="auto"/>
          <w:highlight w:val="none"/>
        </w:rPr>
        <w:t>可选办法六（适合综合评分法三，技术标与经济标同时开启）</w:t>
      </w:r>
      <w:bookmarkEnd w:id="37"/>
      <w:bookmarkEnd w:id="38"/>
    </w:p>
    <w:p>
      <w:pPr>
        <w:pStyle w:val="7"/>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olor w:val="auto"/>
          <w:sz w:val="24"/>
          <w:szCs w:val="24"/>
          <w:highlight w:val="none"/>
        </w:rPr>
      </w:pPr>
    </w:p>
    <w:p>
      <w:pPr>
        <w:pStyle w:val="11"/>
        <w:spacing w:before="156" w:after="156"/>
        <w:ind w:firstLine="540" w:firstLineChars="200"/>
        <w:rPr>
          <w:color w:val="auto"/>
          <w:highlight w:val="none"/>
        </w:rPr>
      </w:pPr>
      <w:bookmarkStart w:id="39" w:name="_Toc21525509"/>
      <w:bookmarkStart w:id="40" w:name="_Toc2272564"/>
      <w:r>
        <w:rPr>
          <w:rFonts w:hint="eastAsia"/>
          <w:color w:val="auto"/>
          <w:highlight w:val="none"/>
        </w:rPr>
        <w:t>可选办法七（适合综合评分法四，技术标与经济标同时开启）</w:t>
      </w:r>
      <w:bookmarkEnd w:id="39"/>
      <w:bookmarkEnd w:id="40"/>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41.2.3</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7"/>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7"/>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7"/>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11"/>
        <w:spacing w:before="156" w:after="156"/>
        <w:ind w:firstLine="540" w:firstLineChars="200"/>
        <w:rPr>
          <w:color w:val="auto"/>
          <w:highlight w:val="none"/>
        </w:rPr>
      </w:pPr>
      <w:bookmarkStart w:id="41" w:name="_Toc2272565"/>
      <w:bookmarkStart w:id="42" w:name="_Toc21525510"/>
      <w:r>
        <w:rPr>
          <w:rFonts w:hint="eastAsia"/>
          <w:color w:val="auto"/>
          <w:highlight w:val="none"/>
        </w:rPr>
        <w:t>可选办法八（适合经评审的最低投标价法，技术标与经济标同时开启）</w:t>
      </w:r>
      <w:bookmarkEnd w:id="41"/>
      <w:bookmarkEnd w:id="42"/>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40. </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对经济标投标报价进行算术校核；</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6计算投标人总得分，并按总得分从高到低，确定经济标评审排序；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7按排序对经济标投标文件进行有效性审查，直至评出所有中标候选人；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8评标委员会编写经济标评审报告，向招标人推荐中标候选人。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评标细则</w:t>
      </w:r>
    </w:p>
    <w:p>
      <w:pPr>
        <w:widowControl/>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42.1</w:t>
      </w:r>
      <w:r>
        <w:rPr>
          <w:rFonts w:hint="eastAsia" w:ascii="宋体" w:hAnsi="宋体"/>
          <w:color w:val="auto"/>
          <w:sz w:val="24"/>
          <w:szCs w:val="24"/>
          <w:highlight w:val="none"/>
        </w:rPr>
        <w:t>评标委员会的组成：评标委员会为综合评标委员会，负责评标工作。</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7"/>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r>
        <w:rPr>
          <w:rFonts w:hint="eastAsia" w:ascii="宋体" w:hAnsi="宋体" w:cs="宋体"/>
          <w:color w:val="auto"/>
          <w:kern w:val="0"/>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4投标文件算术校核：</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.1</w:t>
      </w:r>
      <w:r>
        <w:rPr>
          <w:rFonts w:hint="eastAsia" w:ascii="宋体" w:hAnsi="宋体"/>
          <w:color w:val="auto"/>
          <w:sz w:val="24"/>
          <w:szCs w:val="24"/>
          <w:highlight w:val="none"/>
        </w:rPr>
        <w:t>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.2</w:t>
      </w:r>
      <w:r>
        <w:rPr>
          <w:rFonts w:hint="eastAsia" w:ascii="宋体" w:hAnsi="宋体"/>
          <w:color w:val="auto"/>
          <w:sz w:val="24"/>
          <w:szCs w:val="24"/>
          <w:highlight w:val="none"/>
        </w:rPr>
        <w:t>经算术复核的中标候选人报价与其投标报价不一致时，按就低不就高原则确定其最终报价；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.3</w:t>
      </w:r>
      <w:r>
        <w:rPr>
          <w:rFonts w:hint="eastAsia" w:ascii="宋体" w:hAnsi="宋体"/>
          <w:color w:val="auto"/>
          <w:sz w:val="24"/>
          <w:szCs w:val="24"/>
          <w:highlight w:val="none"/>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 xml:space="preserve">.6 </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5确定投标文件的评审次序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确定评标参考价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.1.1</w:t>
      </w:r>
      <w:r>
        <w:rPr>
          <w:rFonts w:hint="eastAsia" w:ascii="宋体" w:hAnsi="宋体"/>
          <w:color w:val="auto"/>
          <w:sz w:val="24"/>
          <w:szCs w:val="24"/>
          <w:highlight w:val="none"/>
        </w:rPr>
        <w:t>企业综合诚信评价分数前</w:t>
      </w:r>
      <w:r>
        <w:rPr>
          <w:rFonts w:ascii="宋体" w:hAnsi="宋体"/>
          <w:color w:val="auto"/>
          <w:sz w:val="24"/>
          <w:szCs w:val="24"/>
          <w:highlight w:val="none"/>
          <w:u w:val="single"/>
        </w:rPr>
        <w:t xml:space="preserve">      </w:t>
      </w:r>
      <w:r>
        <w:rPr>
          <w:rFonts w:hint="eastAsia" w:ascii="宋体" w:hAnsi="宋体"/>
          <w:color w:val="auto"/>
          <w:sz w:val="24"/>
          <w:szCs w:val="24"/>
          <w:highlight w:val="none"/>
        </w:rPr>
        <w:t>名（不少于</w:t>
      </w:r>
      <w:r>
        <w:rPr>
          <w:rFonts w:ascii="宋体" w:hAnsi="宋体"/>
          <w:color w:val="auto"/>
          <w:sz w:val="24"/>
          <w:szCs w:val="24"/>
          <w:highlight w:val="none"/>
        </w:rPr>
        <w:t>100</w:t>
      </w:r>
      <w:r>
        <w:rPr>
          <w:rFonts w:hint="eastAsia" w:ascii="宋体" w:hAnsi="宋体"/>
          <w:color w:val="auto"/>
          <w:sz w:val="24"/>
          <w:szCs w:val="24"/>
          <w:highlight w:val="none"/>
        </w:rPr>
        <w:t>名，由招标人在招标文件中明确）且经算术校核后的最低投标报价为评标参考价。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.2</w:t>
      </w:r>
      <w:r>
        <w:rPr>
          <w:rFonts w:hint="eastAsia" w:ascii="宋体" w:hAnsi="宋体"/>
          <w:color w:val="auto"/>
          <w:sz w:val="24"/>
          <w:szCs w:val="24"/>
          <w:highlight w:val="none"/>
        </w:rPr>
        <w:t>计算投标人的总得分（满分为</w:t>
      </w:r>
      <w:r>
        <w:rPr>
          <w:rFonts w:ascii="宋体" w:hAnsi="宋体"/>
          <w:color w:val="auto"/>
          <w:sz w:val="24"/>
          <w:szCs w:val="24"/>
          <w:highlight w:val="none"/>
        </w:rPr>
        <w:t>100</w:t>
      </w:r>
      <w:r>
        <w:rPr>
          <w:rFonts w:hint="eastAsia" w:ascii="宋体" w:hAnsi="宋体"/>
          <w:color w:val="auto"/>
          <w:sz w:val="24"/>
          <w:szCs w:val="24"/>
          <w:highlight w:val="none"/>
        </w:rPr>
        <w:t>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.2.1</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分为止，得分精确到小数点后两位。标价低于评标参考价的，得</w:t>
      </w:r>
      <w:r>
        <w:rPr>
          <w:rFonts w:ascii="宋体" w:hAnsi="宋体"/>
          <w:color w:val="auto"/>
          <w:sz w:val="24"/>
          <w:szCs w:val="24"/>
          <w:highlight w:val="none"/>
        </w:rPr>
        <w:t>0</w:t>
      </w:r>
      <w:r>
        <w:rPr>
          <w:rFonts w:hint="eastAsia" w:ascii="宋体" w:hAnsi="宋体"/>
          <w:color w:val="auto"/>
          <w:sz w:val="24"/>
          <w:szCs w:val="24"/>
          <w:highlight w:val="none"/>
        </w:rPr>
        <w:t>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.3</w:t>
      </w:r>
      <w:r>
        <w:rPr>
          <w:rFonts w:hint="eastAsia" w:ascii="宋体" w:hAnsi="宋体"/>
          <w:color w:val="auto"/>
          <w:sz w:val="24"/>
          <w:szCs w:val="24"/>
          <w:highlight w:val="none"/>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.4</w:t>
      </w:r>
      <w:r>
        <w:rPr>
          <w:rFonts w:hint="eastAsia" w:ascii="宋体" w:hAnsi="宋体"/>
          <w:color w:val="auto"/>
          <w:sz w:val="24"/>
          <w:szCs w:val="24"/>
          <w:highlight w:val="none"/>
        </w:rPr>
        <w:t>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42.6 投标文件的有效性审查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w:t>
      </w:r>
      <w:r>
        <w:rPr>
          <w:rFonts w:ascii="宋体" w:hAnsi="宋体"/>
          <w:color w:val="auto"/>
          <w:sz w:val="24"/>
          <w:szCs w:val="24"/>
          <w:highlight w:val="none"/>
        </w:rPr>
        <w:t>发现投标</w:t>
      </w:r>
      <w:r>
        <w:rPr>
          <w:rFonts w:hint="eastAsia" w:ascii="宋体" w:hAnsi="宋体"/>
          <w:color w:val="auto"/>
          <w:sz w:val="24"/>
          <w:szCs w:val="24"/>
          <w:highlight w:val="none"/>
        </w:rPr>
        <w:t>文件</w:t>
      </w:r>
      <w:r>
        <w:rPr>
          <w:rFonts w:ascii="宋体" w:hAnsi="宋体"/>
          <w:color w:val="auto"/>
          <w:sz w:val="24"/>
          <w:szCs w:val="24"/>
          <w:highlight w:val="none"/>
        </w:rPr>
        <w:t>中</w:t>
      </w:r>
      <w:r>
        <w:rPr>
          <w:rFonts w:hint="eastAsia" w:ascii="宋体" w:hAnsi="宋体"/>
          <w:color w:val="auto"/>
          <w:sz w:val="24"/>
          <w:szCs w:val="24"/>
          <w:highlight w:val="none"/>
        </w:rPr>
        <w:t>含义不明确</w:t>
      </w:r>
      <w:r>
        <w:rPr>
          <w:rFonts w:ascii="宋体" w:hAnsi="宋体"/>
          <w:color w:val="auto"/>
          <w:sz w:val="24"/>
          <w:szCs w:val="24"/>
          <w:highlight w:val="none"/>
        </w:rPr>
        <w:t>、对同类问题表述不一致、有明显</w:t>
      </w:r>
      <w:r>
        <w:rPr>
          <w:rFonts w:hint="eastAsia" w:ascii="宋体" w:hAnsi="宋体"/>
          <w:color w:val="auto"/>
          <w:sz w:val="24"/>
          <w:szCs w:val="24"/>
          <w:highlight w:val="none"/>
        </w:rPr>
        <w:t>文字</w:t>
      </w:r>
      <w:r>
        <w:rPr>
          <w:rFonts w:ascii="宋体" w:hAnsi="宋体"/>
          <w:color w:val="auto"/>
          <w:sz w:val="24"/>
          <w:szCs w:val="24"/>
          <w:highlight w:val="none"/>
        </w:rPr>
        <w:t>和计算错误</w:t>
      </w:r>
      <w:r>
        <w:rPr>
          <w:rFonts w:hint="eastAsia" w:ascii="宋体" w:hAnsi="宋体"/>
          <w:color w:val="auto"/>
          <w:sz w:val="24"/>
          <w:szCs w:val="24"/>
          <w:highlight w:val="none"/>
        </w:rPr>
        <w:t>、</w:t>
      </w:r>
      <w:r>
        <w:rPr>
          <w:rFonts w:ascii="宋体" w:hAnsi="宋体"/>
          <w:color w:val="auto"/>
          <w:sz w:val="24"/>
          <w:szCs w:val="24"/>
          <w:highlight w:val="none"/>
        </w:rPr>
        <w:t>投标报价可能低于成本影响履约的，应当</w:t>
      </w:r>
      <w:r>
        <w:rPr>
          <w:rFonts w:hint="eastAsia" w:ascii="宋体" w:hAnsi="宋体"/>
          <w:color w:val="auto"/>
          <w:sz w:val="24"/>
          <w:szCs w:val="24"/>
          <w:highlight w:val="none"/>
        </w:rPr>
        <w:t>要求</w:t>
      </w:r>
      <w:r>
        <w:rPr>
          <w:rFonts w:ascii="宋体" w:hAnsi="宋体"/>
          <w:color w:val="auto"/>
          <w:sz w:val="24"/>
          <w:szCs w:val="24"/>
          <w:highlight w:val="none"/>
        </w:rPr>
        <w:t>投标人作必要的澄清、说明</w:t>
      </w:r>
      <w:r>
        <w:rPr>
          <w:rFonts w:hint="eastAsia" w:ascii="宋体" w:hAnsi="宋体"/>
          <w:color w:val="auto"/>
          <w:sz w:val="24"/>
          <w:szCs w:val="24"/>
          <w:highlight w:val="none"/>
        </w:rPr>
        <w:t>后再判定投标人是否通过有效性审查</w:t>
      </w:r>
      <w:r>
        <w:rPr>
          <w:rFonts w:ascii="宋体" w:hAnsi="宋体"/>
          <w:color w:val="auto"/>
          <w:sz w:val="24"/>
          <w:szCs w:val="24"/>
          <w:highlight w:val="none"/>
        </w:rPr>
        <w:t>，不得直接否决投标</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7评标结束后，评标委员会应当在通过投标文件有效性审查的投标人中，按照原投标文件的评审次序，推荐前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名依次为第一中标候选人至第三中标候选人，并编写评标报告。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8若有效投标人不足三家，应当依法重新招标。（当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r>
        <w:rPr>
          <w:rFonts w:hint="eastAsia"/>
          <w:color w:val="auto"/>
          <w:sz w:val="24"/>
          <w:szCs w:val="24"/>
          <w:highlight w:val="none"/>
          <w:lang w:eastAsia="zh-CN"/>
        </w:rPr>
        <w:t>广州市儿童公园续建工程（建筑工程）</w:t>
      </w:r>
      <w:r>
        <w:rPr>
          <w:rFonts w:hint="eastAsia"/>
          <w:color w:val="auto"/>
          <w:sz w:val="24"/>
          <w:szCs w:val="24"/>
          <w:highlight w:val="none"/>
        </w:rPr>
        <w:t>施工总承包</w:t>
      </w:r>
    </w:p>
    <w:p>
      <w:pPr>
        <w:spacing w:line="480" w:lineRule="auto"/>
        <w:rPr>
          <w:color w:val="auto"/>
          <w:sz w:val="24"/>
          <w:szCs w:val="24"/>
          <w:highlight w:val="none"/>
        </w:rPr>
      </w:pPr>
      <w:r>
        <w:rPr>
          <w:rFonts w:hint="eastAsia"/>
          <w:color w:val="auto"/>
          <w:sz w:val="24"/>
          <w:szCs w:val="24"/>
          <w:highlight w:val="none"/>
        </w:rPr>
        <w:t>投标人名称：</w:t>
      </w:r>
    </w:p>
    <w:tbl>
      <w:tblPr>
        <w:tblStyle w:val="44"/>
        <w:tblW w:w="89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937"/>
        <w:gridCol w:w="36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投标人参加投标的意思表达清楚，投标人代表被授权有效</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投标人均具有独立法人资格，按国家法律经营</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投标人均持有建设行政主管部门颁发的企业资质证书及安全生产许可证；投标人资质符合公告要求</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投标人拟担任本工程项目负责人符合公告要求</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left"/>
              <w:rPr>
                <w:rFonts w:ascii="宋体" w:hAnsi="宋体"/>
                <w:b/>
                <w:color w:val="auto"/>
                <w:szCs w:val="21"/>
                <w:highlight w:val="none"/>
              </w:rPr>
            </w:pPr>
            <w:r>
              <w:rPr>
                <w:rFonts w:hint="eastAsia" w:ascii="宋体" w:hAnsi="宋体"/>
                <w:b/>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持有项目负责人安全生产考核合格证（B类）或建筑施工企业项目负责人安全生产考核合格证</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投标人拟担任本工程技术负责人符合公告要求</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拟委托技术负责人的相关证书、资料</w:t>
            </w:r>
            <w:r>
              <w:rPr>
                <w:rFonts w:hint="eastAsia" w:ascii="宋体" w:hAnsi="宋体"/>
                <w:color w:val="auto"/>
                <w:szCs w:val="21"/>
                <w:highlight w:val="none"/>
                <w:lang w:val="en-US" w:eastAsia="zh-CN"/>
              </w:rPr>
              <w:t>扫描件</w:t>
            </w:r>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证）</w:t>
            </w:r>
            <w:r>
              <w:rPr>
                <w:rFonts w:hint="eastAsia" w:ascii="宋体" w:hAnsi="宋体"/>
                <w:color w:val="auto"/>
                <w:szCs w:val="21"/>
                <w:highlight w:val="none"/>
                <w:u w:val="single"/>
              </w:rPr>
              <w:t>或建筑施工企业专职安全生产管理人员安全生产考核合格证书（C3）</w:t>
            </w:r>
            <w:r>
              <w:rPr>
                <w:rFonts w:hint="eastAsia" w:ascii="Times New Roman" w:hAnsi="Times New Roman"/>
                <w:color w:val="auto"/>
                <w:szCs w:val="21"/>
                <w:highlight w:val="none"/>
                <w:u w:val="single"/>
              </w:rPr>
              <w:t>，</w:t>
            </w:r>
            <w:r>
              <w:rPr>
                <w:rFonts w:hint="eastAsia" w:ascii="Times New Roman" w:hAnsi="Times New Roman"/>
                <w:b/>
                <w:color w:val="auto"/>
                <w:szCs w:val="21"/>
                <w:highlight w:val="none"/>
                <w:u w:val="single"/>
              </w:rPr>
              <w:t>项目负责人和安全员不为同一人</w:t>
            </w:r>
            <w:r>
              <w:rPr>
                <w:rFonts w:hint="eastAsia" w:ascii="Times New Roman" w:hAnsi="Times New Roman"/>
                <w:color w:val="auto"/>
                <w:szCs w:val="21"/>
                <w:highlight w:val="none"/>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w:t>
            </w:r>
            <w:r>
              <w:rPr>
                <w:rFonts w:hint="eastAsia" w:ascii="宋体" w:hAnsi="宋体"/>
                <w:color w:val="auto"/>
                <w:szCs w:val="21"/>
                <w:highlight w:val="none"/>
                <w:u w:val="single"/>
              </w:rPr>
              <w:t>或建筑施工企业专职安全生产管理人员安全生产考核合格证书（C3）</w:t>
            </w:r>
            <w:r>
              <w:rPr>
                <w:rFonts w:hint="eastAsia" w:ascii="宋体" w:hAnsi="宋体"/>
                <w:color w:val="auto"/>
                <w:szCs w:val="21"/>
                <w:highlight w:val="none"/>
              </w:rPr>
              <w:t>在广州市住建行业信用管理平台内上传件</w:t>
            </w:r>
            <w:r>
              <w:rPr>
                <w:rFonts w:hint="eastAsia" w:ascii="Times New Roman" w:hAnsi="Times New Roman"/>
                <w:color w:val="auto"/>
                <w:szCs w:val="21"/>
                <w:highlight w:val="none"/>
              </w:rPr>
              <w:t>，</w:t>
            </w:r>
            <w:r>
              <w:rPr>
                <w:rFonts w:hint="eastAsia" w:ascii="Times New Roman" w:hAnsi="Times New Roman"/>
                <w:b/>
                <w:color w:val="auto"/>
                <w:szCs w:val="21"/>
                <w:highlight w:val="none"/>
                <w:u w:val="single"/>
              </w:rPr>
              <w:t>项目负责人和安全员不为同一人</w:t>
            </w:r>
            <w:r>
              <w:rPr>
                <w:rFonts w:hint="eastAsia" w:ascii="Times New Roman" w:hAnsi="Times New Roman"/>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投标人提供的投标人声明符合公告要求</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投标人声明中签字的项目负责人和技术负责人与本项目拟派的项目负责人和技术负责人一致</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s="宋体"/>
                <w:color w:val="auto"/>
                <w:szCs w:val="21"/>
                <w:highlight w:val="none"/>
                <w:u w:val="single"/>
              </w:rPr>
              <w:t>关于联合体投标：本项目不接受联合体投标</w:t>
            </w:r>
            <w:r>
              <w:rPr>
                <w:rFonts w:hint="eastAsia" w:ascii="宋体" w:hAnsi="宋体" w:cs="宋体"/>
                <w:color w:val="auto"/>
                <w:szCs w:val="21"/>
                <w:highlight w:val="none"/>
                <w:u w:val="singl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s="宋体"/>
                <w:color w:val="auto"/>
                <w:szCs w:val="21"/>
                <w:highlight w:val="none"/>
                <w:u w:val="single"/>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olor w:val="auto"/>
                <w:szCs w:val="21"/>
                <w:highlight w:val="none"/>
                <w:lang w:eastAsia="zh-CN"/>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r>
              <w:rPr>
                <w:rFonts w:hint="eastAsia" w:ascii="宋体" w:hAnsi="宋体"/>
                <w:color w:val="auto"/>
                <w:szCs w:val="21"/>
                <w:highlight w:val="none"/>
                <w:lang w:eastAsia="zh-CN"/>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393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eastAsia="宋体" w:cs="Times New Roman"/>
                <w:b w:val="0"/>
                <w:bCs w:val="0"/>
                <w:color w:val="auto"/>
                <w:kern w:val="2"/>
                <w:sz w:val="21"/>
                <w:szCs w:val="21"/>
                <w:highlight w:val="none"/>
              </w:rPr>
              <w:t>未被列入拖欠农民工工资失信联合惩戒对象名单</w:t>
            </w:r>
            <w:r>
              <w:rPr>
                <w:rFonts w:hint="eastAsia" w:ascii="宋体" w:hAnsi="宋体"/>
                <w:color w:val="auto"/>
                <w:szCs w:val="21"/>
                <w:highlight w:val="none"/>
              </w:rPr>
              <w:t>；</w:t>
            </w:r>
          </w:p>
        </w:tc>
        <w:tc>
          <w:tcPr>
            <w:tcW w:w="3603"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highlight w:val="none"/>
        </w:rPr>
        <w:sectPr>
          <w:footerReference r:id="rId10" w:type="first"/>
          <w:footerReference r:id="rId9" w:type="default"/>
          <w:endnotePr>
            <w:numFmt w:val="decimal"/>
          </w:endnotePr>
          <w:pgSz w:w="11906" w:h="16838"/>
          <w:pgMar w:top="1440" w:right="1440" w:bottom="1440" w:left="1440" w:header="851" w:footer="907" w:gutter="0"/>
          <w:pgBorders>
            <w:top w:val="none" w:sz="0" w:space="0"/>
            <w:left w:val="none" w:sz="0" w:space="0"/>
            <w:bottom w:val="none" w:sz="0" w:space="0"/>
            <w:right w:val="none" w:sz="0" w:space="0"/>
          </w:pgBorders>
          <w:pgNumType w:start="1"/>
          <w:cols w:space="0" w:num="1"/>
          <w:rtlGutter w:val="0"/>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r>
        <w:rPr>
          <w:rFonts w:hint="eastAsia"/>
          <w:color w:val="auto"/>
          <w:szCs w:val="21"/>
          <w:highlight w:val="none"/>
          <w:lang w:eastAsia="zh-CN"/>
        </w:rPr>
        <w:t>广州市儿童公园续建工程（建筑工程）</w:t>
      </w:r>
      <w:r>
        <w:rPr>
          <w:rFonts w:hint="eastAsia"/>
          <w:color w:val="auto"/>
          <w:szCs w:val="21"/>
          <w:highlight w:val="none"/>
        </w:rPr>
        <w:t>施工总承包</w:t>
      </w:r>
    </w:p>
    <w:tbl>
      <w:tblPr>
        <w:tblStyle w:val="44"/>
        <w:tblW w:w="14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472"/>
        <w:gridCol w:w="1462"/>
        <w:gridCol w:w="1448"/>
        <w:gridCol w:w="1438"/>
        <w:gridCol w:w="14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Cs w:val="21"/>
                <w:highlight w:val="none"/>
              </w:rPr>
            </w:pPr>
            <w:r>
              <w:rPr>
                <w:rFonts w:hint="eastAsia" w:ascii="宋体" w:hAnsi="宋体"/>
                <w:color w:val="auto"/>
                <w:szCs w:val="21"/>
                <w:highlight w:val="none"/>
              </w:rPr>
              <w:t>序号</w:t>
            </w:r>
          </w:p>
        </w:tc>
        <w:tc>
          <w:tcPr>
            <w:tcW w:w="6472"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Cs w:val="21"/>
                <w:highlight w:val="none"/>
              </w:rPr>
            </w:pPr>
            <w:r>
              <w:rPr>
                <w:rFonts w:hint="eastAsia" w:ascii="宋体" w:hAnsi="宋体"/>
                <w:color w:val="auto"/>
                <w:szCs w:val="21"/>
                <w:highlight w:val="none"/>
              </w:rPr>
              <w:t>1</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《广州建设工程施工招标投标书》中工期</w:t>
            </w:r>
            <w:r>
              <w:rPr>
                <w:rFonts w:hint="eastAsia" w:ascii="宋体" w:hAnsi="宋体"/>
                <w:color w:val="auto"/>
                <w:szCs w:val="21"/>
                <w:highlight w:val="none"/>
              </w:rPr>
              <w:t>不能满足完成投标项目工期的；</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Cs w:val="21"/>
                <w:highlight w:val="none"/>
              </w:rPr>
            </w:pPr>
            <w:r>
              <w:rPr>
                <w:rFonts w:hint="eastAsia" w:ascii="宋体" w:hAnsi="宋体"/>
                <w:color w:val="auto"/>
                <w:szCs w:val="21"/>
                <w:highlight w:val="none"/>
              </w:rPr>
              <w:t>2</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《广州建设工程施工招标投标书》中质量标准</w:t>
            </w:r>
            <w:r>
              <w:rPr>
                <w:rFonts w:hint="eastAsia" w:ascii="宋体" w:hAnsi="宋体"/>
                <w:color w:val="auto"/>
                <w:szCs w:val="21"/>
                <w:highlight w:val="none"/>
              </w:rPr>
              <w:t>不符合招标文件</w:t>
            </w:r>
            <w:r>
              <w:rPr>
                <w:rFonts w:hint="eastAsia" w:ascii="宋体" w:hAnsi="宋体"/>
                <w:strike w:val="0"/>
                <w:color w:val="auto"/>
                <w:szCs w:val="21"/>
                <w:highlight w:val="none"/>
                <w:u w:val="single"/>
                <w:lang w:val="en-US" w:eastAsia="zh-CN"/>
              </w:rPr>
              <w:t>要求</w:t>
            </w:r>
            <w:r>
              <w:rPr>
                <w:rFonts w:hint="eastAsia" w:ascii="宋体" w:hAnsi="宋体"/>
                <w:color w:val="auto"/>
                <w:szCs w:val="21"/>
                <w:highlight w:val="none"/>
              </w:rPr>
              <w:t>的；</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投标文件未按规定的格式（指技术标格式二、格式三、格式十</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、格式十</w:t>
            </w:r>
            <w:r>
              <w:rPr>
                <w:rFonts w:hint="eastAsia" w:ascii="宋体" w:hAnsi="宋体"/>
                <w:color w:val="auto"/>
                <w:szCs w:val="21"/>
                <w:highlight w:val="none"/>
                <w:u w:val="single"/>
                <w:lang w:val="en-US" w:eastAsia="zh-CN"/>
              </w:rPr>
              <w:t>二</w:t>
            </w:r>
            <w:r>
              <w:rPr>
                <w:rFonts w:hint="eastAsia" w:ascii="宋体" w:hAnsi="宋体"/>
                <w:color w:val="auto"/>
                <w:szCs w:val="21"/>
                <w:highlight w:val="none"/>
                <w:u w:val="single"/>
              </w:rPr>
              <w:t>、格式十</w:t>
            </w: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rPr>
              <w:t>）填写，或关键字迹模糊、无法辨认的</w:t>
            </w:r>
            <w:r>
              <w:rPr>
                <w:rFonts w:hint="eastAsia" w:ascii="宋体" w:hAnsi="宋体"/>
                <w:color w:val="auto"/>
                <w:szCs w:val="21"/>
                <w:highlight w:val="none"/>
              </w:rPr>
              <w:t>；</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shd w:val="pct10" w:color="auto" w:fill="FFFFFF"/>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shd w:val="pct10" w:color="auto" w:fill="FFFFFF"/>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shd w:val="pct10" w:color="auto" w:fill="FFFFFF"/>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shd w:val="pct10" w:color="auto" w:fill="FFFFFF"/>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无《参与编制技术标投标文件人员名单》的</w:t>
            </w:r>
            <w:r>
              <w:rPr>
                <w:rFonts w:hint="eastAsia" w:ascii="宋体" w:hAnsi="宋体"/>
                <w:color w:val="auto"/>
                <w:szCs w:val="21"/>
                <w:highlight w:val="none"/>
                <w:lang w:eastAsia="zh-CN"/>
              </w:rPr>
              <w:t>；</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647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s="宋体"/>
                <w:color w:val="auto"/>
                <w:kern w:val="0"/>
                <w:sz w:val="21"/>
                <w:szCs w:val="21"/>
                <w:highlight w:val="none"/>
              </w:rPr>
              <w:t>投标人与</w:t>
            </w:r>
            <w:r>
              <w:rPr>
                <w:rFonts w:hint="eastAsia" w:ascii="宋体" w:hAnsi="宋体" w:cs="宋体"/>
                <w:b/>
                <w:bCs/>
                <w:color w:val="auto"/>
                <w:kern w:val="0"/>
                <w:sz w:val="21"/>
                <w:szCs w:val="21"/>
                <w:highlight w:val="none"/>
              </w:rPr>
              <w:t>本项目</w:t>
            </w:r>
            <w:r>
              <w:rPr>
                <w:rFonts w:hint="eastAsia" w:ascii="宋体" w:hAnsi="宋体" w:cs="宋体"/>
                <w:color w:val="auto"/>
                <w:kern w:val="0"/>
                <w:sz w:val="21"/>
                <w:szCs w:val="21"/>
                <w:highlight w:val="none"/>
              </w:rPr>
              <w:t>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s="宋体"/>
                <w:color w:val="auto"/>
                <w:kern w:val="0"/>
                <w:sz w:val="21"/>
                <w:szCs w:val="21"/>
                <w:highlight w:val="none"/>
              </w:rPr>
              <w:t>交易平台评标系统的检索信息为准)</w:t>
            </w:r>
            <w:r>
              <w:rPr>
                <w:rFonts w:hint="eastAsia" w:ascii="宋体" w:hAnsi="宋体" w:cs="宋体"/>
                <w:color w:val="auto"/>
                <w:kern w:val="0"/>
                <w:sz w:val="21"/>
                <w:szCs w:val="21"/>
                <w:highlight w:val="none"/>
                <w:lang w:eastAsia="zh-CN"/>
              </w:rPr>
              <w:t>。</w:t>
            </w:r>
          </w:p>
        </w:tc>
        <w:tc>
          <w:tcPr>
            <w:tcW w:w="1462"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c>
          <w:tcPr>
            <w:tcW w:w="1450" w:type="dxa"/>
            <w:tcBorders>
              <w:top w:val="single" w:color="auto" w:sz="4" w:space="0"/>
              <w:left w:val="single" w:color="auto" w:sz="4" w:space="0"/>
              <w:bottom w:val="single" w:color="auto" w:sz="4" w:space="0"/>
              <w:right w:val="single" w:color="auto" w:sz="4" w:space="0"/>
            </w:tcBorders>
          </w:tcPr>
          <w:p>
            <w:pPr>
              <w:adjustRightInd w:val="0"/>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pacing w:line="360" w:lineRule="auto"/>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360" w:lineRule="auto"/>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spacing w:line="360" w:lineRule="auto"/>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44"/>
        <w:tblW w:w="14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467"/>
        <w:gridCol w:w="1397"/>
        <w:gridCol w:w="1397"/>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6467"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64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c>
          <w:tcPr>
            <w:tcW w:w="64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r>
              <w:rPr>
                <w:rFonts w:hint="eastAsia" w:ascii="宋体" w:hAnsi="宋体"/>
                <w:color w:val="auto"/>
                <w:szCs w:val="21"/>
                <w:highlight w:val="none"/>
                <w:u w:val="single"/>
              </w:rPr>
              <w:t>（以最高投标限价公布函公布的各项控制数据为准）</w:t>
            </w:r>
            <w:r>
              <w:rPr>
                <w:rFonts w:hint="eastAsia" w:ascii="宋体" w:hAnsi="宋体"/>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p>
        </w:tc>
        <w:tc>
          <w:tcPr>
            <w:tcW w:w="6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w:t>
            </w:r>
          </w:p>
        </w:tc>
        <w:tc>
          <w:tcPr>
            <w:tcW w:w="64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c>
          <w:tcPr>
            <w:tcW w:w="64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olor w:val="auto"/>
                <w:szCs w:val="21"/>
                <w:highlight w:val="none"/>
                <w:u w:val="single"/>
              </w:rPr>
              <w:t>（指经济标部分格式二、格式三、格式四）</w:t>
            </w:r>
            <w:r>
              <w:rPr>
                <w:rFonts w:hint="eastAsia" w:ascii="宋体" w:hAnsi="宋体"/>
                <w:color w:val="auto"/>
                <w:szCs w:val="21"/>
                <w:highlight w:val="none"/>
              </w:rPr>
              <w:t>填写，或关键字迹模糊、无法辨认的；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6</w:t>
            </w:r>
          </w:p>
        </w:tc>
        <w:tc>
          <w:tcPr>
            <w:tcW w:w="646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w:t>
            </w:r>
          </w:p>
        </w:tc>
        <w:tc>
          <w:tcPr>
            <w:tcW w:w="64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8</w:t>
            </w:r>
          </w:p>
        </w:tc>
        <w:tc>
          <w:tcPr>
            <w:tcW w:w="64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9</w:t>
            </w:r>
          </w:p>
        </w:tc>
        <w:tc>
          <w:tcPr>
            <w:tcW w:w="646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无《对投标文件编制的承诺》</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646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r>
    </w:tbl>
    <w:p>
      <w:pPr>
        <w:spacing w:line="360" w:lineRule="auto"/>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spacing w:line="360" w:lineRule="auto"/>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spacing w:line="360" w:lineRule="auto"/>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spacing w:line="360" w:lineRule="auto"/>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7"/>
        <w:spacing w:line="360" w:lineRule="auto"/>
        <w:ind w:firstLine="458"/>
        <w:rPr>
          <w:rFonts w:ascii="宋体" w:hAnsi="宋体"/>
          <w:color w:val="auto"/>
          <w:szCs w:val="21"/>
          <w:highlight w:val="none"/>
        </w:rPr>
        <w:sectPr>
          <w:endnotePr>
            <w:numFmt w:val="decimal"/>
          </w:endnotePr>
          <w:pgSz w:w="16838" w:h="11906" w:orient="landscape"/>
          <w:pgMar w:top="1440" w:right="1440" w:bottom="1440" w:left="1440" w:header="851" w:footer="907" w:gutter="0"/>
          <w:pgBorders>
            <w:top w:val="none" w:sz="0" w:space="0"/>
            <w:left w:val="none" w:sz="0" w:space="0"/>
            <w:bottom w:val="none" w:sz="0" w:space="0"/>
            <w:right w:val="none" w:sz="0" w:space="0"/>
          </w:pgBorders>
          <w:cols w:space="0" w:num="1"/>
          <w:titlePg/>
          <w:rtlGutter w:val="0"/>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44"/>
        <w:tblW w:w="15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5"/>
        <w:gridCol w:w="1446"/>
        <w:gridCol w:w="709"/>
        <w:gridCol w:w="1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975" w:type="dxa"/>
            <w:shd w:val="clear" w:color="auto" w:fill="FFFFFF"/>
            <w:vAlign w:val="center"/>
          </w:tcPr>
          <w:p>
            <w:pPr>
              <w:pStyle w:val="112"/>
              <w:snapToGrid w:val="0"/>
              <w:spacing w:line="276" w:lineRule="auto"/>
              <w:jc w:val="center"/>
              <w:rPr>
                <w:rFonts w:cs="宋体"/>
                <w:b/>
                <w:bCs w:val="0"/>
                <w:color w:val="auto"/>
                <w:sz w:val="22"/>
                <w:szCs w:val="22"/>
                <w:highlight w:val="none"/>
              </w:rPr>
            </w:pPr>
            <w:r>
              <w:rPr>
                <w:rStyle w:val="113"/>
                <w:rFonts w:hint="eastAsia"/>
                <w:b/>
                <w:bCs w:val="0"/>
                <w:color w:val="auto"/>
                <w:spacing w:val="-10"/>
                <w:sz w:val="22"/>
                <w:szCs w:val="22"/>
                <w:highlight w:val="none"/>
              </w:rPr>
              <w:t>评分</w:t>
            </w:r>
            <w:r>
              <w:rPr>
                <w:rStyle w:val="113"/>
                <w:b/>
                <w:bCs w:val="0"/>
                <w:color w:val="auto"/>
                <w:spacing w:val="-10"/>
                <w:sz w:val="22"/>
                <w:szCs w:val="22"/>
                <w:highlight w:val="none"/>
              </w:rPr>
              <w:t>项目</w:t>
            </w:r>
          </w:p>
        </w:tc>
        <w:tc>
          <w:tcPr>
            <w:tcW w:w="1446" w:type="dxa"/>
            <w:shd w:val="clear" w:color="auto" w:fill="FFFFFF"/>
            <w:vAlign w:val="center"/>
          </w:tcPr>
          <w:p>
            <w:pPr>
              <w:pStyle w:val="112"/>
              <w:shd w:val="clear" w:color="auto" w:fill="auto"/>
              <w:snapToGrid w:val="0"/>
              <w:spacing w:line="276" w:lineRule="auto"/>
              <w:jc w:val="center"/>
              <w:rPr>
                <w:rFonts w:cs="宋体"/>
                <w:b/>
                <w:bCs w:val="0"/>
                <w:color w:val="auto"/>
                <w:sz w:val="22"/>
                <w:szCs w:val="22"/>
                <w:highlight w:val="none"/>
              </w:rPr>
            </w:pPr>
            <w:r>
              <w:rPr>
                <w:rStyle w:val="113"/>
                <w:b/>
                <w:bCs w:val="0"/>
                <w:color w:val="auto"/>
                <w:spacing w:val="-10"/>
                <w:sz w:val="22"/>
                <w:szCs w:val="22"/>
                <w:highlight w:val="none"/>
              </w:rPr>
              <w:t>评分内容</w:t>
            </w:r>
          </w:p>
        </w:tc>
        <w:tc>
          <w:tcPr>
            <w:tcW w:w="709" w:type="dxa"/>
            <w:shd w:val="clear" w:color="auto" w:fill="FFFFFF"/>
            <w:vAlign w:val="center"/>
          </w:tcPr>
          <w:p>
            <w:pPr>
              <w:pStyle w:val="112"/>
              <w:shd w:val="clear" w:color="auto" w:fill="auto"/>
              <w:snapToGrid w:val="0"/>
              <w:spacing w:line="276" w:lineRule="auto"/>
              <w:jc w:val="center"/>
              <w:rPr>
                <w:rFonts w:cs="宋体"/>
                <w:b/>
                <w:bCs w:val="0"/>
                <w:color w:val="auto"/>
                <w:sz w:val="22"/>
                <w:szCs w:val="22"/>
                <w:highlight w:val="none"/>
              </w:rPr>
            </w:pPr>
            <w:r>
              <w:rPr>
                <w:rStyle w:val="113"/>
                <w:b/>
                <w:bCs w:val="0"/>
                <w:color w:val="auto"/>
                <w:spacing w:val="-10"/>
                <w:sz w:val="22"/>
                <w:szCs w:val="22"/>
                <w:highlight w:val="none"/>
              </w:rPr>
              <w:t>分值</w:t>
            </w:r>
          </w:p>
        </w:tc>
        <w:tc>
          <w:tcPr>
            <w:tcW w:w="12022" w:type="dxa"/>
            <w:shd w:val="clear" w:color="auto" w:fill="FFFFFF"/>
            <w:vAlign w:val="center"/>
          </w:tcPr>
          <w:p>
            <w:pPr>
              <w:pStyle w:val="112"/>
              <w:shd w:val="clear" w:color="auto" w:fill="auto"/>
              <w:snapToGrid w:val="0"/>
              <w:spacing w:line="276" w:lineRule="auto"/>
              <w:jc w:val="center"/>
              <w:rPr>
                <w:rStyle w:val="113"/>
                <w:b/>
                <w:bCs w:val="0"/>
                <w:color w:val="auto"/>
                <w:sz w:val="22"/>
                <w:szCs w:val="22"/>
                <w:highlight w:val="none"/>
              </w:rPr>
            </w:pPr>
            <w:r>
              <w:rPr>
                <w:rStyle w:val="113"/>
                <w:b/>
                <w:bCs w:val="0"/>
                <w:color w:val="auto"/>
                <w:spacing w:val="-10"/>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0" w:hRule="atLeast"/>
          <w:jc w:val="center"/>
        </w:trPr>
        <w:tc>
          <w:tcPr>
            <w:tcW w:w="975" w:type="dxa"/>
            <w:vMerge w:val="restart"/>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Fonts w:cs="宋体"/>
                <w:b w:val="0"/>
                <w:bCs/>
                <w:color w:val="auto"/>
                <w:sz w:val="22"/>
                <w:szCs w:val="22"/>
                <w:highlight w:val="none"/>
              </w:rPr>
            </w:pPr>
            <w:r>
              <w:rPr>
                <w:rStyle w:val="113"/>
                <w:b w:val="0"/>
                <w:bCs/>
                <w:color w:val="auto"/>
                <w:sz w:val="22"/>
                <w:szCs w:val="22"/>
                <w:highlight w:val="none"/>
              </w:rPr>
              <w:t>项目管理机构能力</w:t>
            </w:r>
            <w:r>
              <w:rPr>
                <w:rStyle w:val="114"/>
                <w:rFonts w:hint="eastAsia" w:ascii="宋体" w:hAnsi="宋体" w:eastAsia="宋体" w:cs="宋体"/>
                <w:b w:val="0"/>
                <w:bCs/>
                <w:color w:val="auto"/>
                <w:sz w:val="22"/>
                <w:szCs w:val="22"/>
                <w:highlight w:val="none"/>
              </w:rPr>
              <w:t>(</w:t>
            </w:r>
            <w:r>
              <w:rPr>
                <w:rStyle w:val="114"/>
                <w:rFonts w:hint="eastAsia" w:ascii="宋体" w:hAnsi="宋体" w:eastAsia="宋体" w:cs="宋体"/>
                <w:b w:val="0"/>
                <w:bCs/>
                <w:color w:val="auto"/>
                <w:sz w:val="22"/>
                <w:szCs w:val="22"/>
                <w:highlight w:val="none"/>
                <w:lang w:val="en-US" w:eastAsia="zh-CN"/>
              </w:rPr>
              <w:t>7</w:t>
            </w:r>
            <w:r>
              <w:rPr>
                <w:rStyle w:val="114"/>
                <w:rFonts w:hint="eastAsia" w:ascii="宋体" w:hAnsi="宋体" w:eastAsia="宋体" w:cs="宋体"/>
                <w:b w:val="0"/>
                <w:bCs/>
                <w:color w:val="auto"/>
                <w:sz w:val="22"/>
                <w:szCs w:val="22"/>
                <w:highlight w:val="none"/>
              </w:rPr>
              <w:t>0</w:t>
            </w:r>
            <w:r>
              <w:rPr>
                <w:rStyle w:val="113"/>
                <w:b w:val="0"/>
                <w:bCs/>
                <w:color w:val="auto"/>
                <w:sz w:val="22"/>
                <w:szCs w:val="22"/>
                <w:highlight w:val="none"/>
              </w:rPr>
              <w:t>分</w:t>
            </w:r>
            <w:r>
              <w:rPr>
                <w:rStyle w:val="114"/>
                <w:rFonts w:hint="eastAsia" w:ascii="宋体" w:hAnsi="宋体" w:eastAsia="宋体" w:cs="宋体"/>
                <w:b w:val="0"/>
                <w:bCs/>
                <w:color w:val="auto"/>
                <w:sz w:val="22"/>
                <w:szCs w:val="22"/>
                <w:highlight w:val="none"/>
              </w:rPr>
              <w:t>)</w:t>
            </w:r>
          </w:p>
        </w:tc>
        <w:tc>
          <w:tcPr>
            <w:tcW w:w="1446"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ascii="宋体" w:hAnsi="宋体" w:cs="宋体"/>
                <w:b w:val="0"/>
                <w:bCs/>
                <w:color w:val="auto"/>
                <w:sz w:val="22"/>
                <w:highlight w:val="none"/>
              </w:rPr>
            </w:pPr>
            <w:r>
              <w:rPr>
                <w:rFonts w:hint="eastAsia" w:ascii="宋体" w:hAnsi="宋体" w:cs="宋体"/>
                <w:b w:val="0"/>
                <w:bCs/>
                <w:color w:val="auto"/>
                <w:sz w:val="22"/>
                <w:highlight w:val="none"/>
                <w:lang w:val="en-US" w:eastAsia="zh-CN"/>
              </w:rPr>
              <w:t>项目</w:t>
            </w:r>
            <w:r>
              <w:rPr>
                <w:rFonts w:hint="eastAsia" w:ascii="宋体" w:hAnsi="宋体" w:cs="宋体"/>
                <w:b w:val="0"/>
                <w:bCs/>
                <w:color w:val="auto"/>
                <w:sz w:val="22"/>
                <w:highlight w:val="none"/>
              </w:rPr>
              <w:t>负责人</w:t>
            </w:r>
          </w:p>
        </w:tc>
        <w:tc>
          <w:tcPr>
            <w:tcW w:w="709"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10</w:t>
            </w:r>
          </w:p>
        </w:tc>
        <w:tc>
          <w:tcPr>
            <w:tcW w:w="12022" w:type="dxa"/>
            <w:shd w:val="clear" w:color="auto" w:fill="FFFFFF"/>
            <w:vAlign w:val="center"/>
          </w:tcPr>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（1）</w:t>
            </w:r>
            <w:r>
              <w:rPr>
                <w:rFonts w:hint="eastAsia" w:ascii="宋体" w:hAnsi="宋体" w:cs="宋体"/>
                <w:b w:val="0"/>
                <w:bCs/>
                <w:strike w:val="0"/>
                <w:color w:val="auto"/>
                <w:sz w:val="22"/>
                <w:highlight w:val="none"/>
                <w:lang w:val="en-US" w:eastAsia="zh-CN"/>
              </w:rPr>
              <w:t>项目</w:t>
            </w:r>
            <w:r>
              <w:rPr>
                <w:rFonts w:hint="eastAsia" w:ascii="宋体" w:hAnsi="宋体" w:cs="宋体"/>
                <w:b w:val="0"/>
                <w:bCs/>
                <w:strike w:val="0"/>
                <w:color w:val="auto"/>
                <w:sz w:val="22"/>
                <w:highlight w:val="none"/>
              </w:rPr>
              <w:t>负责人具有建筑工程类高级工程师或以上技术职称5年（含5年）或以上的，得</w:t>
            </w:r>
            <w:r>
              <w:rPr>
                <w:rFonts w:hint="eastAsia" w:ascii="宋体" w:hAnsi="宋体" w:cs="宋体"/>
                <w:b w:val="0"/>
                <w:bCs/>
                <w:strike w:val="0"/>
                <w:color w:val="auto"/>
                <w:sz w:val="22"/>
                <w:highlight w:val="none"/>
                <w:lang w:val="en-US" w:eastAsia="zh-CN"/>
              </w:rPr>
              <w:t>10</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（2）</w:t>
            </w:r>
            <w:r>
              <w:rPr>
                <w:rFonts w:hint="eastAsia" w:ascii="宋体" w:hAnsi="宋体" w:cs="宋体"/>
                <w:b w:val="0"/>
                <w:bCs/>
                <w:strike w:val="0"/>
                <w:color w:val="auto"/>
                <w:sz w:val="22"/>
                <w:highlight w:val="none"/>
                <w:lang w:val="en-US" w:eastAsia="zh-CN"/>
              </w:rPr>
              <w:t>项目</w:t>
            </w:r>
            <w:r>
              <w:rPr>
                <w:rFonts w:hint="eastAsia" w:ascii="宋体" w:hAnsi="宋体" w:cs="宋体"/>
                <w:b w:val="0"/>
                <w:bCs/>
                <w:strike w:val="0"/>
                <w:color w:val="auto"/>
                <w:sz w:val="22"/>
                <w:highlight w:val="none"/>
              </w:rPr>
              <w:t>负责人具有建筑工程类高级工程师或以上技术职称3年（含3年）-5年（不含5年）的，得</w:t>
            </w:r>
            <w:r>
              <w:rPr>
                <w:rFonts w:hint="eastAsia" w:ascii="宋体" w:hAnsi="宋体" w:cs="宋体"/>
                <w:b w:val="0"/>
                <w:bCs/>
                <w:strike w:val="0"/>
                <w:color w:val="auto"/>
                <w:sz w:val="22"/>
                <w:highlight w:val="none"/>
                <w:lang w:val="en-US" w:eastAsia="zh-CN"/>
              </w:rPr>
              <w:t>5</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（3）</w:t>
            </w:r>
            <w:r>
              <w:rPr>
                <w:rFonts w:hint="eastAsia" w:ascii="宋体" w:hAnsi="宋体" w:cs="宋体"/>
                <w:b w:val="0"/>
                <w:bCs/>
                <w:strike w:val="0"/>
                <w:color w:val="auto"/>
                <w:sz w:val="22"/>
                <w:highlight w:val="none"/>
                <w:lang w:val="en-US" w:eastAsia="zh-CN"/>
              </w:rPr>
              <w:t>项目</w:t>
            </w:r>
            <w:r>
              <w:rPr>
                <w:rFonts w:hint="eastAsia" w:ascii="宋体" w:hAnsi="宋体" w:cs="宋体"/>
                <w:b w:val="0"/>
                <w:bCs/>
                <w:strike w:val="0"/>
                <w:color w:val="auto"/>
                <w:sz w:val="22"/>
                <w:highlight w:val="none"/>
              </w:rPr>
              <w:t>负责人具有建筑工程类高级工程师或以上技术职称3年（不含3年）以下的，得</w:t>
            </w:r>
            <w:r>
              <w:rPr>
                <w:rFonts w:hint="eastAsia" w:ascii="宋体" w:hAnsi="宋体" w:cs="宋体"/>
                <w:b w:val="0"/>
                <w:bCs/>
                <w:strike w:val="0"/>
                <w:color w:val="auto"/>
                <w:sz w:val="22"/>
                <w:highlight w:val="none"/>
                <w:lang w:val="en-US" w:eastAsia="zh-CN"/>
              </w:rPr>
              <w:t>3</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hint="eastAsia"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rPr>
              <w:t>注：不满足上述情况的，不得分，同时满足多个档次的按最高档次得分计算。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0" w:hRule="atLeast"/>
          <w:jc w:val="center"/>
        </w:trPr>
        <w:tc>
          <w:tcPr>
            <w:tcW w:w="975" w:type="dxa"/>
            <w:vMerge w:val="continue"/>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Style w:val="113"/>
                <w:b w:val="0"/>
                <w:bCs/>
                <w:color w:val="auto"/>
                <w:sz w:val="22"/>
                <w:szCs w:val="22"/>
                <w:highlight w:val="none"/>
              </w:rPr>
            </w:pPr>
          </w:p>
        </w:tc>
        <w:tc>
          <w:tcPr>
            <w:tcW w:w="1446"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宋体"/>
                <w:b w:val="0"/>
                <w:bCs/>
                <w:color w:val="auto"/>
                <w:sz w:val="22"/>
                <w:highlight w:val="none"/>
              </w:rPr>
            </w:pPr>
            <w:r>
              <w:rPr>
                <w:rFonts w:hint="eastAsia" w:ascii="宋体" w:hAnsi="宋体" w:cs="宋体"/>
                <w:b w:val="0"/>
                <w:bCs/>
                <w:color w:val="auto"/>
                <w:sz w:val="22"/>
                <w:highlight w:val="none"/>
              </w:rPr>
              <w:t>技术负责人</w:t>
            </w:r>
          </w:p>
        </w:tc>
        <w:tc>
          <w:tcPr>
            <w:tcW w:w="709"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10</w:t>
            </w:r>
          </w:p>
        </w:tc>
        <w:tc>
          <w:tcPr>
            <w:tcW w:w="12022" w:type="dxa"/>
            <w:shd w:val="clear" w:color="auto" w:fill="FFFFFF"/>
            <w:vAlign w:val="center"/>
          </w:tcPr>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（1）技术负责人具有建筑工程类高级工程师或以上技术职称5年（含5年）或以上的，得</w:t>
            </w:r>
            <w:r>
              <w:rPr>
                <w:rFonts w:hint="eastAsia" w:ascii="宋体" w:hAnsi="宋体" w:cs="宋体"/>
                <w:b w:val="0"/>
                <w:bCs/>
                <w:strike w:val="0"/>
                <w:color w:val="auto"/>
                <w:sz w:val="22"/>
                <w:highlight w:val="none"/>
                <w:lang w:val="en-US" w:eastAsia="zh-CN"/>
              </w:rPr>
              <w:t>10</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（2）技术负责人具有建筑工程类高级工程师或以上技术职称3年（含3年）-5年（不含5年）的，得</w:t>
            </w:r>
            <w:r>
              <w:rPr>
                <w:rFonts w:hint="eastAsia" w:ascii="宋体" w:hAnsi="宋体" w:cs="宋体"/>
                <w:b w:val="0"/>
                <w:bCs/>
                <w:strike w:val="0"/>
                <w:color w:val="auto"/>
                <w:sz w:val="22"/>
                <w:highlight w:val="none"/>
                <w:lang w:val="en-US" w:eastAsia="zh-CN"/>
              </w:rPr>
              <w:t>5</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（3）技术负责人具有建筑工程类高级工程师或以上技术职称3年（不含3年）以下的，得</w:t>
            </w:r>
            <w:r>
              <w:rPr>
                <w:rFonts w:hint="eastAsia" w:ascii="宋体" w:hAnsi="宋体" w:cs="宋体"/>
                <w:b w:val="0"/>
                <w:bCs/>
                <w:strike w:val="0"/>
                <w:color w:val="auto"/>
                <w:sz w:val="22"/>
                <w:highlight w:val="none"/>
                <w:lang w:val="en-US" w:eastAsia="zh-CN"/>
              </w:rPr>
              <w:t>3</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hint="eastAsia"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rPr>
              <w:t>注：不满足上述情况的，不得分，同时满足多个档次的按最高档次得分计算。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8" w:hRule="atLeast"/>
          <w:jc w:val="center"/>
        </w:trPr>
        <w:tc>
          <w:tcPr>
            <w:tcW w:w="97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宋体"/>
                <w:b w:val="0"/>
                <w:bCs/>
                <w:color w:val="auto"/>
                <w:sz w:val="22"/>
                <w:highlight w:val="none"/>
              </w:rPr>
            </w:pPr>
          </w:p>
        </w:tc>
        <w:tc>
          <w:tcPr>
            <w:tcW w:w="1446"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ascii="宋体" w:hAnsi="宋体" w:cs="宋体"/>
                <w:b w:val="0"/>
                <w:bCs/>
                <w:color w:val="auto"/>
                <w:sz w:val="22"/>
                <w:highlight w:val="none"/>
              </w:rPr>
            </w:pPr>
            <w:r>
              <w:rPr>
                <w:rFonts w:hint="eastAsia" w:ascii="宋体" w:hAnsi="宋体" w:cs="Arial Unicode MS"/>
                <w:b w:val="0"/>
                <w:bCs/>
                <w:color w:val="auto"/>
                <w:sz w:val="22"/>
                <w:highlight w:val="none"/>
              </w:rPr>
              <w:t>安全负责人</w:t>
            </w:r>
          </w:p>
        </w:tc>
        <w:tc>
          <w:tcPr>
            <w:tcW w:w="709"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10</w:t>
            </w:r>
          </w:p>
        </w:tc>
        <w:tc>
          <w:tcPr>
            <w:tcW w:w="12022" w:type="dxa"/>
            <w:shd w:val="clear" w:color="auto" w:fill="FFFFFF"/>
            <w:vAlign w:val="center"/>
          </w:tcPr>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（1）安全负责人具有建筑工程类高级工程师或以上技术职称3年（含3年）以上，得</w:t>
            </w:r>
            <w:r>
              <w:rPr>
                <w:rFonts w:hint="eastAsia" w:ascii="宋体" w:hAnsi="宋体" w:cs="宋体"/>
                <w:b w:val="0"/>
                <w:bCs/>
                <w:strike w:val="0"/>
                <w:color w:val="auto"/>
                <w:sz w:val="22"/>
                <w:highlight w:val="none"/>
                <w:lang w:val="en-US" w:eastAsia="zh-CN"/>
              </w:rPr>
              <w:t>10</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134" w:rightChars="64"/>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（2）安全负责人具有建筑工程类高级工程师或以上技术职称3年（不含3年）以下，得</w:t>
            </w:r>
            <w:r>
              <w:rPr>
                <w:rFonts w:hint="eastAsia" w:ascii="宋体" w:hAnsi="宋体" w:cs="宋体"/>
                <w:b w:val="0"/>
                <w:bCs/>
                <w:strike w:val="0"/>
                <w:color w:val="auto"/>
                <w:sz w:val="22"/>
                <w:highlight w:val="none"/>
                <w:lang w:val="en-US" w:eastAsia="zh-CN"/>
              </w:rPr>
              <w:t>5</w:t>
            </w:r>
            <w:r>
              <w:rPr>
                <w:rFonts w:hint="eastAsia" w:ascii="宋体" w:hAnsi="宋体" w:cs="宋体"/>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right="0" w:rightChars="0"/>
              <w:textAlignment w:val="auto"/>
              <w:rPr>
                <w:rFonts w:ascii="宋体" w:hAnsi="宋体" w:cs="宋体"/>
                <w:b w:val="0"/>
                <w:bCs/>
                <w:strike w:val="0"/>
                <w:color w:val="auto"/>
                <w:sz w:val="22"/>
                <w:highlight w:val="none"/>
              </w:rPr>
            </w:pPr>
            <w:r>
              <w:rPr>
                <w:rFonts w:hint="eastAsia" w:ascii="宋体" w:hAnsi="宋体" w:cs="宋体"/>
                <w:b w:val="0"/>
                <w:bCs/>
                <w:strike w:val="0"/>
                <w:color w:val="auto"/>
                <w:sz w:val="22"/>
                <w:highlight w:val="none"/>
              </w:rPr>
              <w:t>（3）安全负责人</w:t>
            </w:r>
            <w:r>
              <w:rPr>
                <w:rFonts w:ascii="宋体" w:hAnsi="宋体" w:cs="宋体"/>
                <w:b w:val="0"/>
                <w:bCs/>
                <w:strike w:val="0"/>
                <w:color w:val="auto"/>
                <w:sz w:val="22"/>
                <w:highlight w:val="none"/>
              </w:rPr>
              <w:t>具有</w:t>
            </w:r>
            <w:r>
              <w:rPr>
                <w:rFonts w:hint="eastAsia" w:ascii="宋体" w:hAnsi="宋体" w:cs="宋体"/>
                <w:b w:val="0"/>
                <w:bCs/>
                <w:strike w:val="0"/>
                <w:color w:val="auto"/>
                <w:sz w:val="22"/>
                <w:highlight w:val="none"/>
              </w:rPr>
              <w:t>建筑工程类工程师职称5年或以上，</w:t>
            </w:r>
            <w:r>
              <w:rPr>
                <w:rFonts w:ascii="宋体" w:hAnsi="宋体" w:cs="宋体"/>
                <w:b w:val="0"/>
                <w:bCs/>
                <w:strike w:val="0"/>
                <w:color w:val="auto"/>
                <w:sz w:val="22"/>
                <w:highlight w:val="none"/>
              </w:rPr>
              <w:t>得</w:t>
            </w:r>
            <w:r>
              <w:rPr>
                <w:rFonts w:hint="eastAsia" w:ascii="宋体" w:hAnsi="宋体" w:cs="宋体"/>
                <w:b w:val="0"/>
                <w:bCs/>
                <w:strike w:val="0"/>
                <w:color w:val="auto"/>
                <w:sz w:val="22"/>
                <w:highlight w:val="none"/>
                <w:lang w:val="en-US" w:eastAsia="zh-CN"/>
              </w:rPr>
              <w:t>3</w:t>
            </w:r>
            <w:r>
              <w:rPr>
                <w:rFonts w:hint="eastAsia" w:ascii="宋体" w:hAnsi="宋体" w:cs="宋体"/>
                <w:b w:val="0"/>
                <w:bCs/>
                <w:strike w:val="0"/>
                <w:color w:val="auto"/>
                <w:sz w:val="22"/>
                <w:highlight w:val="none"/>
              </w:rPr>
              <w:t>分</w:t>
            </w:r>
            <w:r>
              <w:rPr>
                <w:rFonts w:ascii="宋体" w:hAnsi="宋体" w:cs="宋体"/>
                <w:b w:val="0"/>
                <w:bCs/>
                <w:strike w:val="0"/>
                <w:color w:val="auto"/>
                <w:sz w:val="22"/>
                <w:highlight w:val="none"/>
              </w:rPr>
              <w:t>。</w:t>
            </w:r>
          </w:p>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ascii="宋体" w:hAnsi="宋体" w:cs="宋体"/>
                <w:b w:val="0"/>
                <w:bCs/>
                <w:strike w:val="0"/>
                <w:color w:val="auto"/>
                <w:sz w:val="22"/>
                <w:highlight w:val="none"/>
              </w:rPr>
            </w:pPr>
            <w:r>
              <w:rPr>
                <w:rFonts w:hint="eastAsia" w:ascii="宋体" w:hAnsi="宋体" w:cs="Arial Unicode MS"/>
                <w:b w:val="0"/>
                <w:bCs/>
                <w:strike w:val="0"/>
                <w:color w:val="auto"/>
                <w:sz w:val="22"/>
                <w:highlight w:val="none"/>
              </w:rPr>
              <w:t>注：不满足上述情况的，不得分，同时满足多个档次的按最高档次得分计算。</w:t>
            </w:r>
            <w:r>
              <w:rPr>
                <w:rFonts w:hint="eastAsia" w:ascii="宋体" w:hAnsi="宋体" w:cs="宋体"/>
                <w:b w:val="0"/>
                <w:bCs/>
                <w:strike w:val="0"/>
                <w:color w:val="auto"/>
                <w:sz w:val="22"/>
                <w:highlight w:val="none"/>
              </w:rPr>
              <w:t>安全负责人与专职安全员不为同一人</w:t>
            </w:r>
            <w:r>
              <w:rPr>
                <w:rFonts w:hint="eastAsia" w:ascii="宋体" w:hAnsi="宋体" w:cs="宋体"/>
                <w:b w:val="0"/>
                <w:bCs/>
                <w:strike w:val="0"/>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11" w:hRule="atLeast"/>
          <w:jc w:val="center"/>
        </w:trPr>
        <w:tc>
          <w:tcPr>
            <w:tcW w:w="97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宋体"/>
                <w:b w:val="0"/>
                <w:bCs/>
                <w:color w:val="auto"/>
                <w:sz w:val="22"/>
                <w:highlight w:val="none"/>
              </w:rPr>
            </w:pPr>
          </w:p>
        </w:tc>
        <w:tc>
          <w:tcPr>
            <w:tcW w:w="1446"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ascii="宋体" w:hAnsi="宋体" w:cs="宋体"/>
                <w:b w:val="0"/>
                <w:bCs/>
                <w:color w:val="auto"/>
                <w:sz w:val="22"/>
                <w:highlight w:val="none"/>
              </w:rPr>
            </w:pPr>
            <w:r>
              <w:rPr>
                <w:rFonts w:hint="eastAsia" w:ascii="宋体" w:hAnsi="宋体" w:cs="Arial Unicode MS"/>
                <w:b w:val="0"/>
                <w:bCs/>
                <w:color w:val="auto"/>
                <w:sz w:val="22"/>
                <w:highlight w:val="none"/>
              </w:rPr>
              <w:t>质量负责人</w:t>
            </w:r>
          </w:p>
        </w:tc>
        <w:tc>
          <w:tcPr>
            <w:tcW w:w="709"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10</w:t>
            </w:r>
          </w:p>
        </w:tc>
        <w:tc>
          <w:tcPr>
            <w:tcW w:w="12022" w:type="dxa"/>
            <w:shd w:val="clear" w:color="auto" w:fill="FFFFFF"/>
            <w:vAlign w:val="center"/>
          </w:tcPr>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rPr>
              <w:t>（1）质量负责人</w:t>
            </w:r>
            <w:r>
              <w:rPr>
                <w:rFonts w:hint="eastAsia" w:ascii="宋体" w:hAnsi="宋体" w:cs="宋体"/>
                <w:b w:val="0"/>
                <w:bCs/>
                <w:strike w:val="0"/>
                <w:color w:val="auto"/>
                <w:sz w:val="22"/>
                <w:highlight w:val="none"/>
              </w:rPr>
              <w:t>具有</w:t>
            </w:r>
            <w:r>
              <w:rPr>
                <w:rFonts w:hint="eastAsia" w:ascii="宋体" w:hAnsi="宋体" w:cs="Arial Unicode MS"/>
                <w:b w:val="0"/>
                <w:bCs/>
                <w:strike w:val="0"/>
                <w:color w:val="auto"/>
                <w:sz w:val="22"/>
                <w:highlight w:val="none"/>
              </w:rPr>
              <w:t>建筑工程类高级工程师或以上技术职称3年（含3年）以上的，得</w:t>
            </w:r>
            <w:r>
              <w:rPr>
                <w:rFonts w:hint="eastAsia" w:ascii="宋体" w:hAnsi="宋体" w:cs="Arial Unicode MS"/>
                <w:b w:val="0"/>
                <w:bCs/>
                <w:strike w:val="0"/>
                <w:color w:val="auto"/>
                <w:sz w:val="22"/>
                <w:highlight w:val="none"/>
                <w:lang w:val="en-US" w:eastAsia="zh-CN"/>
              </w:rPr>
              <w:t>10</w:t>
            </w:r>
            <w:r>
              <w:rPr>
                <w:rFonts w:hint="eastAsia" w:ascii="宋体" w:hAnsi="宋体" w:cs="Arial Unicode MS"/>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rPr>
              <w:t>（2）质量负责人</w:t>
            </w:r>
            <w:r>
              <w:rPr>
                <w:rFonts w:hint="eastAsia" w:ascii="宋体" w:hAnsi="宋体" w:cs="宋体"/>
                <w:b w:val="0"/>
                <w:bCs/>
                <w:strike w:val="0"/>
                <w:color w:val="auto"/>
                <w:sz w:val="22"/>
                <w:highlight w:val="none"/>
              </w:rPr>
              <w:t>具有</w:t>
            </w:r>
            <w:r>
              <w:rPr>
                <w:rFonts w:hint="eastAsia" w:ascii="宋体" w:hAnsi="宋体" w:cs="Arial Unicode MS"/>
                <w:b w:val="0"/>
                <w:bCs/>
                <w:strike w:val="0"/>
                <w:color w:val="auto"/>
                <w:sz w:val="22"/>
                <w:highlight w:val="none"/>
              </w:rPr>
              <w:t>建筑工程类高级工程师或以上技术职称3年（不含3年）以下，得</w:t>
            </w:r>
            <w:r>
              <w:rPr>
                <w:rFonts w:hint="eastAsia" w:ascii="宋体" w:hAnsi="宋体" w:cs="Arial Unicode MS"/>
                <w:b w:val="0"/>
                <w:bCs/>
                <w:strike w:val="0"/>
                <w:color w:val="auto"/>
                <w:sz w:val="22"/>
                <w:highlight w:val="none"/>
                <w:lang w:val="en-US" w:eastAsia="zh-CN"/>
              </w:rPr>
              <w:t>5</w:t>
            </w:r>
            <w:r>
              <w:rPr>
                <w:rFonts w:hint="eastAsia" w:ascii="宋体" w:hAnsi="宋体" w:cs="Arial Unicode MS"/>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rPr>
              <w:t>（3）质量负责人</w:t>
            </w:r>
            <w:r>
              <w:rPr>
                <w:rFonts w:hint="eastAsia" w:ascii="宋体" w:hAnsi="宋体" w:cs="宋体"/>
                <w:b w:val="0"/>
                <w:bCs/>
                <w:strike w:val="0"/>
                <w:color w:val="auto"/>
                <w:sz w:val="22"/>
                <w:highlight w:val="none"/>
              </w:rPr>
              <w:t>具有</w:t>
            </w:r>
            <w:r>
              <w:rPr>
                <w:rFonts w:hint="eastAsia" w:ascii="宋体" w:hAnsi="宋体" w:cs="Arial Unicode MS"/>
                <w:b w:val="0"/>
                <w:bCs/>
                <w:strike w:val="0"/>
                <w:color w:val="auto"/>
                <w:sz w:val="22"/>
                <w:highlight w:val="none"/>
              </w:rPr>
              <w:t>建筑工程类</w:t>
            </w:r>
            <w:r>
              <w:rPr>
                <w:rFonts w:hint="eastAsia" w:ascii="宋体" w:hAnsi="宋体" w:cs="宋体"/>
                <w:b w:val="0"/>
                <w:bCs/>
                <w:strike w:val="0"/>
                <w:color w:val="auto"/>
                <w:sz w:val="22"/>
                <w:highlight w:val="none"/>
              </w:rPr>
              <w:t>工程师职称5年或以上</w:t>
            </w:r>
            <w:r>
              <w:rPr>
                <w:rFonts w:hint="eastAsia" w:ascii="宋体" w:hAnsi="宋体" w:cs="Arial Unicode MS"/>
                <w:b w:val="0"/>
                <w:bCs/>
                <w:strike w:val="0"/>
                <w:color w:val="auto"/>
                <w:sz w:val="22"/>
                <w:highlight w:val="none"/>
              </w:rPr>
              <w:t>，得</w:t>
            </w:r>
            <w:r>
              <w:rPr>
                <w:rFonts w:hint="eastAsia" w:ascii="宋体" w:hAnsi="宋体" w:cs="Arial Unicode MS"/>
                <w:b w:val="0"/>
                <w:bCs/>
                <w:strike w:val="0"/>
                <w:color w:val="auto"/>
                <w:sz w:val="22"/>
                <w:highlight w:val="none"/>
                <w:lang w:val="en-US" w:eastAsia="zh-CN"/>
              </w:rPr>
              <w:t>3</w:t>
            </w:r>
            <w:r>
              <w:rPr>
                <w:rFonts w:hint="eastAsia" w:ascii="宋体" w:hAnsi="宋体" w:cs="Arial Unicode MS"/>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ascii="宋体" w:hAnsi="宋体" w:cs="宋体"/>
                <w:b w:val="0"/>
                <w:bCs/>
                <w:strike w:val="0"/>
                <w:color w:val="auto"/>
                <w:sz w:val="22"/>
                <w:highlight w:val="none"/>
              </w:rPr>
            </w:pPr>
            <w:r>
              <w:rPr>
                <w:rFonts w:hint="eastAsia" w:ascii="宋体" w:hAnsi="宋体" w:cs="Arial Unicode MS"/>
                <w:b w:val="0"/>
                <w:bCs/>
                <w:strike w:val="0"/>
                <w:color w:val="auto"/>
                <w:sz w:val="22"/>
                <w:highlight w:val="none"/>
              </w:rPr>
              <w:t>注：不满足上述情况的，不得分，同时满足多个档次的按最高档次得分计算。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18" w:hRule="atLeast"/>
          <w:jc w:val="center"/>
        </w:trPr>
        <w:tc>
          <w:tcPr>
            <w:tcW w:w="97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宋体"/>
                <w:b w:val="0"/>
                <w:bCs/>
                <w:color w:val="auto"/>
                <w:sz w:val="22"/>
                <w:highlight w:val="none"/>
              </w:rPr>
            </w:pPr>
          </w:p>
        </w:tc>
        <w:tc>
          <w:tcPr>
            <w:tcW w:w="1446"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Arial Unicode MS"/>
                <w:b w:val="0"/>
                <w:bCs/>
                <w:color w:val="auto"/>
                <w:sz w:val="22"/>
                <w:highlight w:val="none"/>
              </w:rPr>
            </w:pPr>
            <w:r>
              <w:rPr>
                <w:rFonts w:hint="eastAsia" w:ascii="宋体" w:hAnsi="宋体" w:cs="Arial Unicode MS"/>
                <w:b w:val="0"/>
                <w:bCs/>
                <w:color w:val="auto"/>
                <w:sz w:val="22"/>
                <w:highlight w:val="none"/>
              </w:rPr>
              <w:t>造价负责人</w:t>
            </w:r>
          </w:p>
        </w:tc>
        <w:tc>
          <w:tcPr>
            <w:tcW w:w="709" w:type="dxa"/>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宋体"/>
                <w:b w:val="0"/>
                <w:bCs/>
                <w:color w:val="auto"/>
                <w:sz w:val="22"/>
                <w:highlight w:val="none"/>
              </w:rPr>
            </w:pPr>
            <w:r>
              <w:rPr>
                <w:rFonts w:hint="eastAsia" w:ascii="宋体" w:hAnsi="宋体" w:cs="宋体"/>
                <w:b w:val="0"/>
                <w:bCs/>
                <w:color w:val="auto"/>
                <w:sz w:val="22"/>
                <w:szCs w:val="22"/>
                <w:highlight w:val="none"/>
                <w:lang w:val="en-US" w:eastAsia="zh-CN"/>
              </w:rPr>
              <w:t>5</w:t>
            </w:r>
          </w:p>
        </w:tc>
        <w:tc>
          <w:tcPr>
            <w:tcW w:w="12022" w:type="dxa"/>
            <w:shd w:val="clear" w:color="auto" w:fill="FFFFFF"/>
            <w:vAlign w:val="center"/>
          </w:tcPr>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hint="eastAsia"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lang w:eastAsia="zh-CN"/>
              </w:rPr>
              <w:t>（</w:t>
            </w:r>
            <w:r>
              <w:rPr>
                <w:rFonts w:hint="eastAsia" w:ascii="宋体" w:hAnsi="宋体" w:cs="Arial Unicode MS"/>
                <w:b w:val="0"/>
                <w:bCs/>
                <w:strike w:val="0"/>
                <w:color w:val="auto"/>
                <w:sz w:val="22"/>
                <w:highlight w:val="none"/>
                <w:lang w:val="en-US" w:eastAsia="zh-CN"/>
              </w:rPr>
              <w:t>1）</w:t>
            </w:r>
            <w:r>
              <w:rPr>
                <w:rFonts w:hint="eastAsia" w:ascii="宋体" w:hAnsi="宋体" w:cs="Arial Unicode MS"/>
                <w:b w:val="0"/>
                <w:bCs/>
                <w:strike w:val="0"/>
                <w:color w:val="auto"/>
                <w:sz w:val="22"/>
                <w:highlight w:val="none"/>
              </w:rPr>
              <w:t>造价负责人具有</w:t>
            </w:r>
            <w:r>
              <w:rPr>
                <w:rFonts w:hint="eastAsia" w:ascii="宋体" w:hAnsi="宋体" w:cs="宋体"/>
                <w:b w:val="0"/>
                <w:bCs/>
                <w:strike w:val="0"/>
                <w:color w:val="auto"/>
                <w:sz w:val="22"/>
                <w:highlight w:val="none"/>
              </w:rPr>
              <w:t>建筑</w:t>
            </w:r>
            <w:r>
              <w:rPr>
                <w:rFonts w:hint="eastAsia" w:ascii="宋体" w:hAnsi="宋体" w:cs="Arial Unicode MS"/>
                <w:b w:val="0"/>
                <w:bCs/>
                <w:strike w:val="0"/>
                <w:color w:val="auto"/>
                <w:sz w:val="22"/>
                <w:highlight w:val="none"/>
              </w:rPr>
              <w:t>工程类高级工程师或以上技术职称3年（含3年）以上，得</w:t>
            </w:r>
            <w:r>
              <w:rPr>
                <w:rFonts w:hint="eastAsia" w:ascii="宋体" w:hAnsi="宋体" w:cs="Arial Unicode MS"/>
                <w:b w:val="0"/>
                <w:bCs/>
                <w:strike w:val="0"/>
                <w:color w:val="auto"/>
                <w:sz w:val="22"/>
                <w:highlight w:val="none"/>
                <w:lang w:val="en-US" w:eastAsia="zh-CN"/>
              </w:rPr>
              <w:t>5</w:t>
            </w:r>
            <w:r>
              <w:rPr>
                <w:rFonts w:hint="eastAsia" w:ascii="宋体" w:hAnsi="宋体" w:cs="Arial Unicode MS"/>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ascii="宋体" w:hAnsi="宋体" w:cs="Arial Unicode MS"/>
                <w:b w:val="0"/>
                <w:bCs/>
                <w:strike w:val="0"/>
                <w:color w:val="auto"/>
                <w:sz w:val="22"/>
                <w:highlight w:val="none"/>
              </w:rPr>
            </w:pPr>
            <w:r>
              <w:rPr>
                <w:rFonts w:hint="eastAsia" w:ascii="宋体" w:hAnsi="宋体" w:cs="Arial Unicode MS"/>
                <w:b w:val="0"/>
                <w:bCs/>
                <w:strike w:val="0"/>
                <w:color w:val="auto"/>
                <w:sz w:val="22"/>
                <w:highlight w:val="none"/>
                <w:lang w:eastAsia="zh-CN"/>
              </w:rPr>
              <w:t>（</w:t>
            </w:r>
            <w:r>
              <w:rPr>
                <w:rFonts w:hint="eastAsia" w:ascii="宋体" w:hAnsi="宋体" w:cs="Arial Unicode MS"/>
                <w:b w:val="0"/>
                <w:bCs/>
                <w:strike w:val="0"/>
                <w:color w:val="auto"/>
                <w:sz w:val="22"/>
                <w:highlight w:val="none"/>
                <w:lang w:val="en-US" w:eastAsia="zh-CN"/>
              </w:rPr>
              <w:t>2）</w:t>
            </w:r>
            <w:r>
              <w:rPr>
                <w:rFonts w:hint="eastAsia" w:ascii="宋体" w:hAnsi="宋体" w:cs="Arial Unicode MS"/>
                <w:b w:val="0"/>
                <w:bCs/>
                <w:strike w:val="0"/>
                <w:color w:val="auto"/>
                <w:sz w:val="22"/>
                <w:highlight w:val="none"/>
              </w:rPr>
              <w:t>造价负责人具有</w:t>
            </w:r>
            <w:r>
              <w:rPr>
                <w:rFonts w:hint="eastAsia" w:ascii="宋体" w:hAnsi="宋体" w:cs="宋体"/>
                <w:b w:val="0"/>
                <w:bCs/>
                <w:strike w:val="0"/>
                <w:color w:val="auto"/>
                <w:sz w:val="22"/>
                <w:highlight w:val="none"/>
              </w:rPr>
              <w:t>建筑</w:t>
            </w:r>
            <w:r>
              <w:rPr>
                <w:rFonts w:hint="eastAsia" w:ascii="宋体" w:hAnsi="宋体" w:cs="Arial Unicode MS"/>
                <w:b w:val="0"/>
                <w:bCs/>
                <w:strike w:val="0"/>
                <w:color w:val="auto"/>
                <w:sz w:val="22"/>
                <w:highlight w:val="none"/>
              </w:rPr>
              <w:t>工程类高级工程师或以上技术职称3年（不含3年）以下，得</w:t>
            </w:r>
            <w:r>
              <w:rPr>
                <w:rFonts w:hint="eastAsia" w:ascii="宋体" w:hAnsi="宋体" w:cs="Arial Unicode MS"/>
                <w:b w:val="0"/>
                <w:bCs/>
                <w:strike w:val="0"/>
                <w:color w:val="auto"/>
                <w:sz w:val="22"/>
                <w:highlight w:val="none"/>
                <w:lang w:val="en-US" w:eastAsia="zh-CN"/>
              </w:rPr>
              <w:t>3</w:t>
            </w:r>
            <w:r>
              <w:rPr>
                <w:rFonts w:hint="eastAsia" w:ascii="宋体" w:hAnsi="宋体" w:cs="Arial Unicode MS"/>
                <w:b w:val="0"/>
                <w:bCs/>
                <w:strike w:val="0"/>
                <w:color w:val="auto"/>
                <w:sz w:val="22"/>
                <w:highlight w:val="none"/>
              </w:rPr>
              <w:t>分；</w:t>
            </w:r>
          </w:p>
          <w:p>
            <w:pPr>
              <w:keepNext w:val="0"/>
              <w:keepLines w:val="0"/>
              <w:pageBreakBefore w:val="0"/>
              <w:kinsoku/>
              <w:wordWrap/>
              <w:overflowPunct/>
              <w:topLinePunct w:val="0"/>
              <w:autoSpaceDE/>
              <w:autoSpaceDN/>
              <w:bidi w:val="0"/>
              <w:adjustRightInd/>
              <w:spacing w:line="288" w:lineRule="auto"/>
              <w:ind w:left="0" w:leftChars="0" w:right="134" w:rightChars="64"/>
              <w:textAlignment w:val="auto"/>
              <w:rPr>
                <w:rFonts w:hint="eastAsia" w:ascii="宋体" w:hAnsi="宋体" w:cs="宋体"/>
                <w:b w:val="0"/>
                <w:bCs/>
                <w:strike w:val="0"/>
                <w:color w:val="auto"/>
                <w:sz w:val="22"/>
                <w:highlight w:val="none"/>
              </w:rPr>
            </w:pPr>
            <w:r>
              <w:rPr>
                <w:rFonts w:hint="eastAsia" w:ascii="宋体" w:hAnsi="宋体" w:cs="Arial Unicode MS"/>
                <w:b w:val="0"/>
                <w:bCs/>
                <w:strike w:val="0"/>
                <w:color w:val="auto"/>
                <w:sz w:val="22"/>
                <w:highlight w:val="none"/>
              </w:rPr>
              <w:t>注：不满足上述情况的，不得分，同时满足多个档次的按最高档次得分计算。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2" w:hRule="atLeast"/>
          <w:jc w:val="center"/>
        </w:trPr>
        <w:tc>
          <w:tcPr>
            <w:tcW w:w="97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宋体" w:hAnsi="宋体" w:cs="宋体"/>
                <w:b w:val="0"/>
                <w:bCs/>
                <w:color w:val="auto"/>
                <w:sz w:val="22"/>
                <w:highlight w:val="none"/>
              </w:rPr>
            </w:pPr>
          </w:p>
        </w:tc>
        <w:tc>
          <w:tcPr>
            <w:tcW w:w="1446" w:type="dxa"/>
            <w:vAlign w:val="center"/>
          </w:tcPr>
          <w:p>
            <w:pPr>
              <w:keepNext w:val="0"/>
              <w:keepLines w:val="0"/>
              <w:pageBreakBefore w:val="0"/>
              <w:widowControl/>
              <w:kinsoku/>
              <w:wordWrap/>
              <w:overflowPunct/>
              <w:topLinePunct w:val="0"/>
              <w:autoSpaceDE/>
              <w:autoSpaceDN/>
              <w:bidi w:val="0"/>
              <w:adjustRightInd/>
              <w:snapToGrid w:val="0"/>
              <w:spacing w:line="288" w:lineRule="auto"/>
              <w:jc w:val="center"/>
              <w:textAlignment w:val="auto"/>
              <w:rPr>
                <w:rStyle w:val="36"/>
                <w:rFonts w:hint="eastAsia" w:ascii="宋体" w:hAnsi="宋体" w:eastAsia="宋体" w:cs="Arial Unicode MS"/>
                <w:b w:val="0"/>
                <w:bCs/>
                <w:color w:val="auto"/>
                <w:sz w:val="22"/>
                <w:szCs w:val="22"/>
                <w:highlight w:val="none"/>
              </w:rPr>
            </w:pPr>
            <w:r>
              <w:rPr>
                <w:rFonts w:hint="eastAsia" w:ascii="宋体" w:hAnsi="宋体" w:cs="Arial Unicode MS"/>
                <w:b w:val="0"/>
                <w:bCs/>
                <w:color w:val="auto"/>
                <w:kern w:val="2"/>
                <w:sz w:val="22"/>
                <w:szCs w:val="22"/>
                <w:highlight w:val="none"/>
                <w:shd w:val="clear" w:color="auto" w:fill="auto"/>
                <w:lang w:val="zh-TW" w:bidi="ar"/>
              </w:rPr>
              <w:t>项目管理机构</w:t>
            </w:r>
          </w:p>
        </w:tc>
        <w:tc>
          <w:tcPr>
            <w:tcW w:w="709" w:type="dxa"/>
            <w:vAlign w:val="center"/>
          </w:tcPr>
          <w:p>
            <w:pPr>
              <w:keepNext w:val="0"/>
              <w:keepLines w:val="0"/>
              <w:pageBreakBefore w:val="0"/>
              <w:kinsoku/>
              <w:wordWrap/>
              <w:overflowPunct/>
              <w:topLinePunct w:val="0"/>
              <w:autoSpaceDE/>
              <w:autoSpaceDN/>
              <w:bidi w:val="0"/>
              <w:adjustRightInd/>
              <w:snapToGrid w:val="0"/>
              <w:spacing w:line="288" w:lineRule="auto"/>
              <w:jc w:val="center"/>
              <w:textAlignment w:val="auto"/>
              <w:rPr>
                <w:rStyle w:val="36"/>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lang w:val="en-US" w:eastAsia="zh-CN"/>
              </w:rPr>
              <w:t>25</w:t>
            </w:r>
          </w:p>
        </w:tc>
        <w:tc>
          <w:tcPr>
            <w:tcW w:w="12022" w:type="dxa"/>
            <w:vAlign w:val="center"/>
          </w:tcPr>
          <w:p>
            <w:pPr>
              <w:keepNext w:val="0"/>
              <w:keepLines w:val="0"/>
              <w:pageBreakBefore w:val="0"/>
              <w:kinsoku/>
              <w:wordWrap/>
              <w:overflowPunct/>
              <w:topLinePunct w:val="0"/>
              <w:autoSpaceDE/>
              <w:autoSpaceDN/>
              <w:bidi w:val="0"/>
              <w:adjustRightInd/>
              <w:snapToGrid w:val="0"/>
              <w:spacing w:line="288" w:lineRule="auto"/>
              <w:ind w:left="0" w:leftChars="0"/>
              <w:textAlignment w:val="auto"/>
              <w:rPr>
                <w:rFonts w:hint="eastAsia" w:ascii="宋体" w:hAnsi="宋体" w:eastAsia="宋体" w:cs="Arial Unicode MS"/>
                <w:b w:val="0"/>
                <w:bCs/>
                <w:color w:val="auto"/>
                <w:sz w:val="22"/>
                <w:highlight w:val="none"/>
              </w:rPr>
            </w:pPr>
            <w:r>
              <w:rPr>
                <w:rFonts w:hint="eastAsia" w:ascii="宋体" w:hAnsi="宋体" w:eastAsia="宋体" w:cs="Arial Unicode MS"/>
                <w:b w:val="0"/>
                <w:bCs/>
                <w:color w:val="auto"/>
                <w:sz w:val="22"/>
                <w:highlight w:val="none"/>
              </w:rPr>
              <w:t>（1）投标人项目管理机构人员全部满足基本要求的（具体见第五章 《主要人员配置要求表》）得</w:t>
            </w:r>
            <w:r>
              <w:rPr>
                <w:rFonts w:hint="eastAsia" w:ascii="宋体" w:hAnsi="宋体" w:eastAsia="宋体" w:cs="Arial Unicode MS"/>
                <w:b w:val="0"/>
                <w:bCs/>
                <w:color w:val="auto"/>
                <w:sz w:val="22"/>
                <w:highlight w:val="none"/>
                <w:lang w:val="en-US" w:eastAsia="zh-CN"/>
              </w:rPr>
              <w:t>10</w:t>
            </w:r>
            <w:r>
              <w:rPr>
                <w:rFonts w:hint="eastAsia" w:ascii="宋体" w:hAnsi="宋体" w:eastAsia="宋体" w:cs="Arial Unicode MS"/>
                <w:b w:val="0"/>
                <w:bCs/>
                <w:color w:val="auto"/>
                <w:sz w:val="22"/>
                <w:highlight w:val="none"/>
              </w:rPr>
              <w:t>分。</w:t>
            </w:r>
          </w:p>
          <w:p>
            <w:pPr>
              <w:keepNext w:val="0"/>
              <w:keepLines w:val="0"/>
              <w:pageBreakBefore w:val="0"/>
              <w:kinsoku/>
              <w:wordWrap/>
              <w:overflowPunct/>
              <w:topLinePunct w:val="0"/>
              <w:autoSpaceDE/>
              <w:autoSpaceDN/>
              <w:bidi w:val="0"/>
              <w:adjustRightInd/>
              <w:snapToGrid w:val="0"/>
              <w:spacing w:line="288" w:lineRule="auto"/>
              <w:ind w:left="0" w:leftChars="0"/>
              <w:textAlignment w:val="auto"/>
              <w:rPr>
                <w:rFonts w:hint="eastAsia" w:ascii="宋体" w:hAnsi="宋体" w:eastAsia="宋体" w:cs="Arial Unicode MS"/>
                <w:b w:val="0"/>
                <w:bCs/>
                <w:color w:val="auto"/>
                <w:sz w:val="22"/>
                <w:highlight w:val="none"/>
              </w:rPr>
            </w:pPr>
            <w:r>
              <w:rPr>
                <w:rFonts w:hint="eastAsia" w:ascii="宋体" w:hAnsi="宋体" w:eastAsia="宋体" w:cs="Arial Unicode MS"/>
                <w:b w:val="0"/>
                <w:bCs/>
                <w:color w:val="auto"/>
                <w:sz w:val="22"/>
                <w:highlight w:val="none"/>
              </w:rPr>
              <w:t>（2）投标人项目管理机构人员满足（1）的基础上：《主要人员配置要求表》中各岗位专业工程师（指：造价工程师、土建工程师、园林工程师、结构工程师、给排水工程师）每具备一名高级工程师或以上技术职称人员加</w:t>
            </w:r>
            <w:r>
              <w:rPr>
                <w:rFonts w:hint="eastAsia" w:ascii="宋体" w:hAnsi="宋体" w:eastAsia="宋体" w:cs="Arial Unicode MS"/>
                <w:b w:val="0"/>
                <w:bCs/>
                <w:color w:val="auto"/>
                <w:sz w:val="22"/>
                <w:highlight w:val="none"/>
                <w:lang w:eastAsia="zh-CN"/>
              </w:rPr>
              <w:t>5</w:t>
            </w:r>
            <w:r>
              <w:rPr>
                <w:rFonts w:hint="eastAsia" w:ascii="宋体" w:hAnsi="宋体" w:eastAsia="宋体" w:cs="Arial Unicode MS"/>
                <w:b w:val="0"/>
                <w:bCs/>
                <w:color w:val="auto"/>
                <w:sz w:val="22"/>
                <w:highlight w:val="none"/>
              </w:rPr>
              <w:t>分，最多加</w:t>
            </w:r>
            <w:r>
              <w:rPr>
                <w:rFonts w:hint="eastAsia" w:ascii="宋体" w:hAnsi="宋体" w:eastAsia="宋体" w:cs="Arial Unicode MS"/>
                <w:b w:val="0"/>
                <w:bCs/>
                <w:color w:val="auto"/>
                <w:sz w:val="22"/>
                <w:highlight w:val="none"/>
                <w:lang w:eastAsia="zh-CN"/>
              </w:rPr>
              <w:t>1</w:t>
            </w:r>
            <w:r>
              <w:rPr>
                <w:rFonts w:hint="eastAsia" w:ascii="宋体" w:hAnsi="宋体" w:eastAsia="宋体" w:cs="Arial Unicode MS"/>
                <w:b w:val="0"/>
                <w:bCs/>
                <w:color w:val="auto"/>
                <w:sz w:val="22"/>
                <w:highlight w:val="none"/>
                <w:lang w:val="en-US" w:eastAsia="zh-CN"/>
              </w:rPr>
              <w:t>5</w:t>
            </w:r>
            <w:r>
              <w:rPr>
                <w:rFonts w:hint="eastAsia" w:ascii="宋体" w:hAnsi="宋体" w:eastAsia="宋体" w:cs="Arial Unicode MS"/>
                <w:b w:val="0"/>
                <w:bCs/>
                <w:color w:val="auto"/>
                <w:sz w:val="22"/>
                <w:highlight w:val="none"/>
              </w:rPr>
              <w:t>分。同一专业工程师只</w:t>
            </w:r>
            <w:r>
              <w:rPr>
                <w:rFonts w:hint="eastAsia" w:ascii="宋体" w:hAnsi="宋体" w:cs="Arial Unicode MS"/>
                <w:b w:val="0"/>
                <w:bCs/>
                <w:color w:val="auto"/>
                <w:sz w:val="22"/>
                <w:highlight w:val="none"/>
                <w:lang w:val="en-US" w:eastAsia="zh-CN"/>
              </w:rPr>
              <w:t>计算一人，且</w:t>
            </w:r>
            <w:r>
              <w:rPr>
                <w:rFonts w:hint="eastAsia" w:ascii="宋体" w:hAnsi="宋体" w:eastAsia="宋体" w:cs="Arial Unicode MS"/>
                <w:b w:val="0"/>
                <w:bCs/>
                <w:color w:val="auto"/>
                <w:sz w:val="22"/>
                <w:highlight w:val="none"/>
              </w:rPr>
              <w:t>按职称最高等级记一次分。</w:t>
            </w:r>
          </w:p>
          <w:p>
            <w:pPr>
              <w:keepNext w:val="0"/>
              <w:keepLines w:val="0"/>
              <w:pageBreakBefore w:val="0"/>
              <w:kinsoku/>
              <w:wordWrap/>
              <w:overflowPunct/>
              <w:topLinePunct w:val="0"/>
              <w:autoSpaceDE/>
              <w:autoSpaceDN/>
              <w:bidi w:val="0"/>
              <w:adjustRightInd/>
              <w:snapToGrid w:val="0"/>
              <w:spacing w:line="288" w:lineRule="auto"/>
              <w:ind w:left="0" w:leftChars="0"/>
              <w:textAlignment w:val="auto"/>
              <w:rPr>
                <w:rStyle w:val="36"/>
                <w:rFonts w:hint="eastAsia" w:ascii="宋体" w:hAnsi="宋体" w:eastAsia="宋体" w:cs="Arial Unicode MS"/>
                <w:b w:val="0"/>
                <w:bCs/>
                <w:color w:val="auto"/>
                <w:sz w:val="22"/>
                <w:szCs w:val="22"/>
                <w:highlight w:val="none"/>
              </w:rPr>
            </w:pPr>
            <w:r>
              <w:rPr>
                <w:rFonts w:hint="eastAsia" w:ascii="宋体" w:hAnsi="宋体" w:eastAsia="宋体" w:cs="Arial Unicode MS"/>
                <w:b w:val="0"/>
                <w:bCs/>
                <w:color w:val="auto"/>
                <w:sz w:val="22"/>
                <w:highlight w:val="none"/>
              </w:rPr>
              <w:t>注：本项最多得</w:t>
            </w:r>
            <w:r>
              <w:rPr>
                <w:rFonts w:hint="eastAsia" w:ascii="宋体" w:hAnsi="宋体" w:eastAsia="宋体" w:cs="Arial Unicode MS"/>
                <w:b w:val="0"/>
                <w:bCs/>
                <w:color w:val="auto"/>
                <w:sz w:val="22"/>
                <w:highlight w:val="none"/>
                <w:lang w:eastAsia="zh-CN"/>
              </w:rPr>
              <w:t>2</w:t>
            </w:r>
            <w:r>
              <w:rPr>
                <w:rFonts w:hint="eastAsia" w:ascii="宋体" w:hAnsi="宋体" w:eastAsia="宋体" w:cs="Arial Unicode MS"/>
                <w:b w:val="0"/>
                <w:bCs/>
                <w:color w:val="auto"/>
                <w:sz w:val="22"/>
                <w:highlight w:val="none"/>
                <w:lang w:val="en-US" w:eastAsia="zh-CN"/>
              </w:rPr>
              <w:t>5</w:t>
            </w:r>
            <w:r>
              <w:rPr>
                <w:rFonts w:hint="eastAsia" w:ascii="宋体" w:hAnsi="宋体" w:eastAsia="宋体" w:cs="Arial Unicode MS"/>
                <w:b w:val="0"/>
                <w:bCs/>
                <w:color w:val="auto"/>
                <w:sz w:val="22"/>
                <w:highlight w:val="none"/>
              </w:rPr>
              <w:t>分，不符合基本要求或提供的证明材料不齐的不得分。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26" w:hRule="atLeast"/>
          <w:jc w:val="center"/>
        </w:trPr>
        <w:tc>
          <w:tcPr>
            <w:tcW w:w="975" w:type="dxa"/>
            <w:vMerge w:val="restart"/>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Fonts w:cs="宋体"/>
                <w:b w:val="0"/>
                <w:bCs/>
                <w:color w:val="auto"/>
                <w:sz w:val="22"/>
                <w:szCs w:val="22"/>
                <w:highlight w:val="none"/>
              </w:rPr>
            </w:pPr>
            <w:r>
              <w:rPr>
                <w:rStyle w:val="113"/>
                <w:b w:val="0"/>
                <w:bCs/>
                <w:color w:val="auto"/>
                <w:sz w:val="22"/>
                <w:szCs w:val="22"/>
                <w:highlight w:val="none"/>
              </w:rPr>
              <w:t>企业资信</w:t>
            </w:r>
            <w:r>
              <w:rPr>
                <w:rStyle w:val="114"/>
                <w:rFonts w:hint="eastAsia" w:ascii="宋体" w:hAnsi="宋体" w:eastAsia="宋体" w:cs="宋体"/>
                <w:b w:val="0"/>
                <w:bCs/>
                <w:color w:val="auto"/>
                <w:sz w:val="22"/>
                <w:szCs w:val="22"/>
                <w:highlight w:val="none"/>
              </w:rPr>
              <w:t>(30</w:t>
            </w:r>
            <w:r>
              <w:rPr>
                <w:rStyle w:val="113"/>
                <w:b w:val="0"/>
                <w:bCs/>
                <w:color w:val="auto"/>
                <w:sz w:val="22"/>
                <w:szCs w:val="22"/>
                <w:highlight w:val="none"/>
              </w:rPr>
              <w:t>分</w:t>
            </w:r>
            <w:r>
              <w:rPr>
                <w:rStyle w:val="114"/>
                <w:rFonts w:hint="eastAsia" w:ascii="宋体" w:hAnsi="宋体" w:eastAsia="宋体" w:cs="宋体"/>
                <w:b w:val="0"/>
                <w:bCs/>
                <w:color w:val="auto"/>
                <w:sz w:val="22"/>
                <w:szCs w:val="22"/>
                <w:highlight w:val="none"/>
              </w:rPr>
              <w:t>)</w:t>
            </w:r>
          </w:p>
        </w:tc>
        <w:tc>
          <w:tcPr>
            <w:tcW w:w="1446" w:type="dxa"/>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Fonts w:cs="宋体"/>
                <w:b w:val="0"/>
                <w:bCs/>
                <w:color w:val="auto"/>
                <w:sz w:val="22"/>
                <w:szCs w:val="22"/>
                <w:highlight w:val="none"/>
              </w:rPr>
            </w:pPr>
            <w:r>
              <w:rPr>
                <w:rStyle w:val="113"/>
                <w:rFonts w:hint="eastAsia"/>
                <w:b w:val="0"/>
                <w:bCs/>
                <w:color w:val="auto"/>
                <w:sz w:val="22"/>
                <w:szCs w:val="22"/>
                <w:highlight w:val="none"/>
              </w:rPr>
              <w:t>企业工程业绩</w:t>
            </w:r>
          </w:p>
        </w:tc>
        <w:tc>
          <w:tcPr>
            <w:tcW w:w="709" w:type="dxa"/>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Fonts w:hint="eastAsia" w:eastAsia="宋体" w:cs="宋体"/>
                <w:b w:val="0"/>
                <w:bCs/>
                <w:color w:val="auto"/>
                <w:kern w:val="2"/>
                <w:sz w:val="22"/>
                <w:szCs w:val="22"/>
                <w:highlight w:val="none"/>
                <w:lang w:eastAsia="zh-CN"/>
              </w:rPr>
            </w:pPr>
            <w:r>
              <w:rPr>
                <w:rFonts w:hint="eastAsia" w:cs="宋体"/>
                <w:b w:val="0"/>
                <w:bCs/>
                <w:color w:val="auto"/>
                <w:kern w:val="2"/>
                <w:sz w:val="22"/>
                <w:szCs w:val="22"/>
                <w:highlight w:val="none"/>
                <w:lang w:val="en-US" w:eastAsia="zh-CN"/>
              </w:rPr>
              <w:t>8</w:t>
            </w:r>
          </w:p>
        </w:tc>
        <w:tc>
          <w:tcPr>
            <w:tcW w:w="12022" w:type="dxa"/>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ind w:left="0" w:leftChars="0"/>
              <w:textAlignment w:val="auto"/>
              <w:rPr>
                <w:rStyle w:val="113"/>
                <w:b w:val="0"/>
                <w:bCs/>
                <w:color w:val="auto"/>
                <w:sz w:val="22"/>
                <w:szCs w:val="22"/>
                <w:highlight w:val="none"/>
              </w:rPr>
            </w:pPr>
            <w:r>
              <w:rPr>
                <w:rStyle w:val="113"/>
                <w:rFonts w:hint="eastAsia"/>
                <w:b w:val="0"/>
                <w:bCs/>
                <w:color w:val="auto"/>
                <w:sz w:val="22"/>
                <w:szCs w:val="22"/>
                <w:highlight w:val="none"/>
              </w:rPr>
              <w:t>投标人自201</w:t>
            </w:r>
            <w:r>
              <w:rPr>
                <w:rStyle w:val="113"/>
                <w:rFonts w:hint="eastAsia"/>
                <w:b w:val="0"/>
                <w:bCs/>
                <w:color w:val="auto"/>
                <w:sz w:val="22"/>
                <w:szCs w:val="22"/>
                <w:highlight w:val="none"/>
                <w:lang w:val="en-US"/>
              </w:rPr>
              <w:t>8</w:t>
            </w:r>
            <w:r>
              <w:rPr>
                <w:rStyle w:val="113"/>
                <w:rFonts w:hint="eastAsia"/>
                <w:b w:val="0"/>
                <w:bCs/>
                <w:color w:val="auto"/>
                <w:sz w:val="22"/>
                <w:szCs w:val="22"/>
                <w:highlight w:val="none"/>
              </w:rPr>
              <w:t>年1月1日</w:t>
            </w:r>
            <w:r>
              <w:rPr>
                <w:rFonts w:hint="eastAsia" w:cs="Arial Unicode MS"/>
                <w:bCs/>
                <w:color w:val="auto"/>
                <w:kern w:val="2"/>
                <w:sz w:val="22"/>
                <w:szCs w:val="22"/>
                <w:highlight w:val="none"/>
              </w:rPr>
              <w:t>至今完成过质量合格的类似工程业绩</w:t>
            </w:r>
            <w:r>
              <w:rPr>
                <w:rStyle w:val="113"/>
                <w:rFonts w:hint="eastAsia"/>
                <w:b w:val="0"/>
                <w:bCs/>
                <w:color w:val="auto"/>
                <w:sz w:val="22"/>
                <w:szCs w:val="22"/>
                <w:highlight w:val="none"/>
              </w:rPr>
              <w:t>，每项得</w:t>
            </w:r>
            <w:r>
              <w:rPr>
                <w:rStyle w:val="113"/>
                <w:rFonts w:hint="default"/>
                <w:b w:val="0"/>
                <w:bCs/>
                <w:color w:val="auto"/>
                <w:sz w:val="22"/>
                <w:szCs w:val="22"/>
                <w:highlight w:val="none"/>
                <w:lang w:val="en-US" w:eastAsia="zh-CN"/>
              </w:rPr>
              <w:t>1</w:t>
            </w:r>
            <w:r>
              <w:rPr>
                <w:rStyle w:val="113"/>
                <w:rFonts w:hint="eastAsia"/>
                <w:b w:val="0"/>
                <w:bCs/>
                <w:color w:val="auto"/>
                <w:sz w:val="22"/>
                <w:szCs w:val="22"/>
                <w:highlight w:val="none"/>
              </w:rPr>
              <w:t>分，本项最</w:t>
            </w:r>
            <w:r>
              <w:rPr>
                <w:rStyle w:val="113"/>
                <w:rFonts w:hint="eastAsia"/>
                <w:b w:val="0"/>
                <w:bCs/>
                <w:color w:val="auto"/>
                <w:sz w:val="22"/>
                <w:szCs w:val="22"/>
                <w:highlight w:val="none"/>
                <w:lang w:val="en-US" w:eastAsia="zh-CN"/>
              </w:rPr>
              <w:t>多</w:t>
            </w:r>
            <w:r>
              <w:rPr>
                <w:rStyle w:val="113"/>
                <w:rFonts w:hint="eastAsia"/>
                <w:b w:val="0"/>
                <w:bCs/>
                <w:color w:val="auto"/>
                <w:sz w:val="22"/>
                <w:szCs w:val="22"/>
                <w:highlight w:val="none"/>
              </w:rPr>
              <w:t>得</w:t>
            </w:r>
            <w:r>
              <w:rPr>
                <w:rStyle w:val="113"/>
                <w:rFonts w:hint="eastAsia"/>
                <w:b w:val="0"/>
                <w:bCs/>
                <w:color w:val="auto"/>
                <w:sz w:val="22"/>
                <w:szCs w:val="22"/>
                <w:highlight w:val="none"/>
                <w:lang w:val="en-US" w:eastAsia="zh-CN"/>
              </w:rPr>
              <w:t>8</w:t>
            </w:r>
            <w:r>
              <w:rPr>
                <w:rStyle w:val="113"/>
                <w:rFonts w:hint="eastAsia"/>
                <w:b w:val="0"/>
                <w:bCs/>
                <w:color w:val="auto"/>
                <w:sz w:val="22"/>
                <w:szCs w:val="22"/>
                <w:highlight w:val="none"/>
              </w:rPr>
              <w:t>分。</w:t>
            </w:r>
          </w:p>
          <w:p>
            <w:pPr>
              <w:pStyle w:val="112"/>
              <w:keepNext w:val="0"/>
              <w:keepLines w:val="0"/>
              <w:pageBreakBefore w:val="0"/>
              <w:shd w:val="clear" w:color="auto" w:fill="auto"/>
              <w:kinsoku/>
              <w:wordWrap/>
              <w:overflowPunct/>
              <w:topLinePunct w:val="0"/>
              <w:autoSpaceDE/>
              <w:autoSpaceDN/>
              <w:bidi w:val="0"/>
              <w:adjustRightInd/>
              <w:snapToGrid w:val="0"/>
              <w:spacing w:line="288" w:lineRule="auto"/>
              <w:ind w:left="0" w:leftChars="0"/>
              <w:textAlignment w:val="auto"/>
              <w:rPr>
                <w:rFonts w:cs="宋体"/>
                <w:b w:val="0"/>
                <w:bCs/>
                <w:color w:val="auto"/>
                <w:sz w:val="22"/>
                <w:szCs w:val="22"/>
                <w:highlight w:val="none"/>
              </w:rPr>
            </w:pPr>
            <w:r>
              <w:rPr>
                <w:rStyle w:val="113"/>
                <w:rFonts w:hint="eastAsia"/>
                <w:b w:val="0"/>
                <w:bCs/>
                <w:color w:val="auto"/>
                <w:sz w:val="22"/>
                <w:szCs w:val="22"/>
                <w:highlight w:val="none"/>
              </w:rPr>
              <w:t>注：不符合上述条件或未提供相关证明材料的不得分。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62" w:hRule="atLeast"/>
          <w:jc w:val="center"/>
        </w:trPr>
        <w:tc>
          <w:tcPr>
            <w:tcW w:w="975" w:type="dxa"/>
            <w:vMerge w:val="continue"/>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Style w:val="113"/>
                <w:b w:val="0"/>
                <w:bCs/>
                <w:color w:val="auto"/>
                <w:sz w:val="22"/>
                <w:szCs w:val="22"/>
                <w:highlight w:val="none"/>
              </w:rPr>
            </w:pPr>
          </w:p>
        </w:tc>
        <w:tc>
          <w:tcPr>
            <w:tcW w:w="1446" w:type="dxa"/>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Style w:val="113"/>
                <w:b w:val="0"/>
                <w:bCs/>
                <w:color w:val="auto"/>
                <w:sz w:val="22"/>
                <w:szCs w:val="22"/>
                <w:highlight w:val="none"/>
              </w:rPr>
            </w:pPr>
            <w:r>
              <w:rPr>
                <w:rFonts w:hint="eastAsia" w:cs="宋体"/>
                <w:b w:val="0"/>
                <w:bCs/>
                <w:color w:val="auto"/>
                <w:sz w:val="22"/>
                <w:szCs w:val="22"/>
                <w:highlight w:val="none"/>
              </w:rPr>
              <w:t>企业工程项目获奖情况</w:t>
            </w:r>
          </w:p>
        </w:tc>
        <w:tc>
          <w:tcPr>
            <w:tcW w:w="709" w:type="dxa"/>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Fonts w:hint="eastAsia" w:eastAsia="宋体" w:cs="宋体"/>
                <w:b w:val="0"/>
                <w:bCs/>
                <w:color w:val="auto"/>
                <w:kern w:val="2"/>
                <w:sz w:val="22"/>
                <w:szCs w:val="22"/>
                <w:highlight w:val="none"/>
                <w:lang w:eastAsia="zh-CN"/>
              </w:rPr>
            </w:pPr>
            <w:r>
              <w:rPr>
                <w:rFonts w:hint="eastAsia" w:cs="宋体"/>
                <w:b w:val="0"/>
                <w:bCs/>
                <w:color w:val="auto"/>
                <w:kern w:val="2"/>
                <w:sz w:val="22"/>
                <w:szCs w:val="22"/>
                <w:highlight w:val="none"/>
                <w:lang w:val="en-US" w:eastAsia="zh-CN"/>
              </w:rPr>
              <w:t>8</w:t>
            </w:r>
          </w:p>
        </w:tc>
        <w:tc>
          <w:tcPr>
            <w:tcW w:w="12022" w:type="dxa"/>
            <w:shd w:val="clear" w:color="auto" w:fill="FFFFFF"/>
            <w:vAlign w:val="center"/>
          </w:tcPr>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288" w:lineRule="auto"/>
              <w:ind w:left="0" w:right="0"/>
              <w:jc w:val="both"/>
              <w:textAlignment w:val="auto"/>
              <w:rPr>
                <w:rStyle w:val="113"/>
                <w:rFonts w:hint="eastAsia"/>
                <w:b w:val="0"/>
                <w:bCs/>
                <w:color w:val="auto"/>
                <w:sz w:val="22"/>
                <w:szCs w:val="22"/>
                <w:highlight w:val="none"/>
              </w:rPr>
            </w:pPr>
            <w:r>
              <w:rPr>
                <w:rStyle w:val="113"/>
                <w:rFonts w:hint="eastAsia"/>
                <w:b w:val="0"/>
                <w:bCs/>
                <w:color w:val="auto"/>
                <w:sz w:val="22"/>
                <w:szCs w:val="22"/>
                <w:highlight w:val="none"/>
              </w:rPr>
              <w:t>投标人自2018年1月1日至今获得由中华人民共和国住房和城乡建设部颁发的全国绿色建筑创新奖：</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288" w:lineRule="auto"/>
              <w:ind w:left="0" w:right="0"/>
              <w:jc w:val="both"/>
              <w:textAlignment w:val="auto"/>
              <w:rPr>
                <w:rStyle w:val="113"/>
                <w:rFonts w:hint="eastAsia"/>
                <w:b w:val="0"/>
                <w:bCs/>
                <w:color w:val="auto"/>
                <w:sz w:val="22"/>
                <w:szCs w:val="22"/>
                <w:highlight w:val="none"/>
              </w:rPr>
            </w:pPr>
            <w:r>
              <w:rPr>
                <w:rStyle w:val="113"/>
                <w:rFonts w:hint="eastAsia"/>
                <w:b w:val="0"/>
                <w:bCs/>
                <w:color w:val="auto"/>
                <w:sz w:val="22"/>
                <w:szCs w:val="22"/>
                <w:highlight w:val="none"/>
                <w:lang w:eastAsia="zh-CN"/>
              </w:rPr>
              <w:t>（</w:t>
            </w:r>
            <w:r>
              <w:rPr>
                <w:rStyle w:val="113"/>
                <w:rFonts w:hint="eastAsia"/>
                <w:b w:val="0"/>
                <w:bCs/>
                <w:color w:val="auto"/>
                <w:sz w:val="22"/>
                <w:szCs w:val="22"/>
                <w:highlight w:val="none"/>
                <w:lang w:val="en-US" w:eastAsia="zh-CN"/>
              </w:rPr>
              <w:t>1</w:t>
            </w:r>
            <w:r>
              <w:rPr>
                <w:rStyle w:val="113"/>
                <w:rFonts w:hint="eastAsia"/>
                <w:b w:val="0"/>
                <w:bCs/>
                <w:color w:val="auto"/>
                <w:sz w:val="22"/>
                <w:szCs w:val="22"/>
                <w:highlight w:val="none"/>
                <w:lang w:eastAsia="zh-CN"/>
              </w:rPr>
              <w:t>）</w:t>
            </w:r>
            <w:r>
              <w:rPr>
                <w:rStyle w:val="113"/>
                <w:rFonts w:hint="eastAsia"/>
                <w:b w:val="0"/>
                <w:bCs/>
                <w:color w:val="auto"/>
                <w:sz w:val="22"/>
                <w:szCs w:val="22"/>
                <w:highlight w:val="none"/>
              </w:rPr>
              <w:t>获得全国绿色建筑创新奖一等奖的，每项得</w:t>
            </w:r>
            <w:r>
              <w:rPr>
                <w:rStyle w:val="113"/>
                <w:rFonts w:hint="eastAsia"/>
                <w:b w:val="0"/>
                <w:bCs/>
                <w:color w:val="auto"/>
                <w:sz w:val="22"/>
                <w:szCs w:val="22"/>
                <w:highlight w:val="none"/>
                <w:lang w:val="en-US" w:eastAsia="zh-CN"/>
              </w:rPr>
              <w:t>3</w:t>
            </w:r>
            <w:r>
              <w:rPr>
                <w:rStyle w:val="113"/>
                <w:rFonts w:hint="eastAsia"/>
                <w:b w:val="0"/>
                <w:bCs/>
                <w:color w:val="auto"/>
                <w:sz w:val="22"/>
                <w:szCs w:val="22"/>
                <w:highlight w:val="none"/>
              </w:rPr>
              <w:t>分；</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288" w:lineRule="auto"/>
              <w:ind w:left="0" w:right="0"/>
              <w:jc w:val="both"/>
              <w:textAlignment w:val="auto"/>
              <w:rPr>
                <w:rStyle w:val="113"/>
                <w:rFonts w:hint="eastAsia"/>
                <w:b w:val="0"/>
                <w:bCs/>
                <w:color w:val="auto"/>
                <w:sz w:val="22"/>
                <w:szCs w:val="22"/>
                <w:highlight w:val="none"/>
              </w:rPr>
            </w:pPr>
            <w:r>
              <w:rPr>
                <w:rStyle w:val="113"/>
                <w:rFonts w:hint="eastAsia"/>
                <w:b w:val="0"/>
                <w:bCs/>
                <w:color w:val="auto"/>
                <w:sz w:val="22"/>
                <w:szCs w:val="22"/>
                <w:highlight w:val="none"/>
                <w:lang w:eastAsia="zh-CN"/>
              </w:rPr>
              <w:t>（</w:t>
            </w:r>
            <w:r>
              <w:rPr>
                <w:rStyle w:val="113"/>
                <w:rFonts w:hint="eastAsia"/>
                <w:b w:val="0"/>
                <w:bCs/>
                <w:color w:val="auto"/>
                <w:sz w:val="22"/>
                <w:szCs w:val="22"/>
                <w:highlight w:val="none"/>
                <w:lang w:val="en-US" w:eastAsia="zh-CN"/>
              </w:rPr>
              <w:t>2</w:t>
            </w:r>
            <w:r>
              <w:rPr>
                <w:rStyle w:val="113"/>
                <w:rFonts w:hint="eastAsia"/>
                <w:b w:val="0"/>
                <w:bCs/>
                <w:color w:val="auto"/>
                <w:sz w:val="22"/>
                <w:szCs w:val="22"/>
                <w:highlight w:val="none"/>
                <w:lang w:eastAsia="zh-CN"/>
              </w:rPr>
              <w:t>）</w:t>
            </w:r>
            <w:r>
              <w:rPr>
                <w:rStyle w:val="113"/>
                <w:rFonts w:hint="eastAsia"/>
                <w:b w:val="0"/>
                <w:bCs/>
                <w:color w:val="auto"/>
                <w:sz w:val="22"/>
                <w:szCs w:val="22"/>
                <w:highlight w:val="none"/>
              </w:rPr>
              <w:t>获得全国绿色建筑创新奖二等奖的，每项得</w:t>
            </w:r>
            <w:r>
              <w:rPr>
                <w:rStyle w:val="113"/>
                <w:rFonts w:hint="eastAsia"/>
                <w:b w:val="0"/>
                <w:bCs/>
                <w:color w:val="auto"/>
                <w:sz w:val="22"/>
                <w:szCs w:val="22"/>
                <w:highlight w:val="none"/>
                <w:lang w:val="en-US" w:eastAsia="zh-CN"/>
              </w:rPr>
              <w:t>2.5</w:t>
            </w:r>
            <w:r>
              <w:rPr>
                <w:rStyle w:val="113"/>
                <w:rFonts w:hint="eastAsia"/>
                <w:b w:val="0"/>
                <w:bCs/>
                <w:color w:val="auto"/>
                <w:sz w:val="22"/>
                <w:szCs w:val="22"/>
                <w:highlight w:val="none"/>
              </w:rPr>
              <w:t>分；</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288" w:lineRule="auto"/>
              <w:ind w:left="0" w:right="0"/>
              <w:jc w:val="both"/>
              <w:textAlignment w:val="auto"/>
              <w:rPr>
                <w:rStyle w:val="113"/>
                <w:rFonts w:hint="eastAsia"/>
                <w:b w:val="0"/>
                <w:bCs/>
                <w:color w:val="auto"/>
                <w:sz w:val="22"/>
                <w:szCs w:val="22"/>
                <w:highlight w:val="none"/>
              </w:rPr>
            </w:pPr>
            <w:r>
              <w:rPr>
                <w:rStyle w:val="113"/>
                <w:rFonts w:hint="eastAsia"/>
                <w:b w:val="0"/>
                <w:bCs/>
                <w:color w:val="auto"/>
                <w:sz w:val="22"/>
                <w:szCs w:val="22"/>
                <w:highlight w:val="none"/>
                <w:lang w:eastAsia="zh-CN"/>
              </w:rPr>
              <w:t>（</w:t>
            </w:r>
            <w:r>
              <w:rPr>
                <w:rStyle w:val="113"/>
                <w:rFonts w:hint="eastAsia"/>
                <w:b w:val="0"/>
                <w:bCs/>
                <w:color w:val="auto"/>
                <w:sz w:val="22"/>
                <w:szCs w:val="22"/>
                <w:highlight w:val="none"/>
                <w:lang w:val="en-US" w:eastAsia="zh-CN"/>
              </w:rPr>
              <w:t>3</w:t>
            </w:r>
            <w:r>
              <w:rPr>
                <w:rStyle w:val="113"/>
                <w:rFonts w:hint="eastAsia"/>
                <w:b w:val="0"/>
                <w:bCs/>
                <w:color w:val="auto"/>
                <w:sz w:val="22"/>
                <w:szCs w:val="22"/>
                <w:highlight w:val="none"/>
                <w:lang w:eastAsia="zh-CN"/>
              </w:rPr>
              <w:t>）</w:t>
            </w:r>
            <w:r>
              <w:rPr>
                <w:rStyle w:val="113"/>
                <w:rFonts w:hint="eastAsia"/>
                <w:b w:val="0"/>
                <w:bCs/>
                <w:color w:val="auto"/>
                <w:sz w:val="22"/>
                <w:szCs w:val="22"/>
                <w:highlight w:val="none"/>
              </w:rPr>
              <w:t>获得全国绿色建筑创新奖三等奖的，每项得</w:t>
            </w:r>
            <w:r>
              <w:rPr>
                <w:rStyle w:val="113"/>
                <w:rFonts w:hint="eastAsia"/>
                <w:b w:val="0"/>
                <w:bCs/>
                <w:color w:val="auto"/>
                <w:sz w:val="22"/>
                <w:szCs w:val="22"/>
                <w:highlight w:val="none"/>
                <w:lang w:val="en-US" w:eastAsia="zh-CN"/>
              </w:rPr>
              <w:t>2</w:t>
            </w:r>
            <w:r>
              <w:rPr>
                <w:rStyle w:val="113"/>
                <w:rFonts w:hint="eastAsia"/>
                <w:b w:val="0"/>
                <w:bCs/>
                <w:color w:val="auto"/>
                <w:sz w:val="22"/>
                <w:szCs w:val="22"/>
                <w:highlight w:val="none"/>
              </w:rPr>
              <w:t>分；</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288" w:lineRule="auto"/>
              <w:ind w:left="0" w:right="0"/>
              <w:jc w:val="both"/>
              <w:textAlignment w:val="auto"/>
              <w:rPr>
                <w:rStyle w:val="113"/>
                <w:b w:val="0"/>
                <w:bCs/>
                <w:color w:val="auto"/>
                <w:sz w:val="22"/>
                <w:szCs w:val="22"/>
                <w:highlight w:val="none"/>
              </w:rPr>
            </w:pPr>
            <w:r>
              <w:rPr>
                <w:rStyle w:val="113"/>
                <w:rFonts w:hint="eastAsia"/>
                <w:b w:val="0"/>
                <w:bCs/>
                <w:color w:val="auto"/>
                <w:sz w:val="22"/>
                <w:szCs w:val="22"/>
                <w:highlight w:val="none"/>
              </w:rPr>
              <w:t>注：本项最多得</w:t>
            </w:r>
            <w:r>
              <w:rPr>
                <w:rStyle w:val="113"/>
                <w:rFonts w:hint="eastAsia"/>
                <w:b w:val="0"/>
                <w:bCs/>
                <w:color w:val="auto"/>
                <w:sz w:val="22"/>
                <w:szCs w:val="22"/>
                <w:highlight w:val="none"/>
                <w:lang w:val="en-US" w:eastAsia="zh-CN"/>
              </w:rPr>
              <w:t>8</w:t>
            </w:r>
            <w:r>
              <w:rPr>
                <w:rStyle w:val="113"/>
                <w:rFonts w:hint="eastAsia"/>
                <w:b w:val="0"/>
                <w:bCs/>
                <w:color w:val="auto"/>
                <w:sz w:val="22"/>
                <w:szCs w:val="22"/>
                <w:highlight w:val="none"/>
              </w:rPr>
              <w:t>分</w:t>
            </w:r>
            <w:r>
              <w:rPr>
                <w:rStyle w:val="113"/>
                <w:rFonts w:hint="eastAsia"/>
                <w:b w:val="0"/>
                <w:bCs/>
                <w:color w:val="auto"/>
                <w:sz w:val="22"/>
                <w:szCs w:val="22"/>
                <w:highlight w:val="none"/>
                <w:lang w:eastAsia="zh-CN"/>
              </w:rPr>
              <w:t>。</w:t>
            </w:r>
            <w:r>
              <w:rPr>
                <w:rStyle w:val="113"/>
                <w:rFonts w:hint="eastAsia"/>
                <w:b w:val="0"/>
                <w:bCs/>
                <w:color w:val="auto"/>
                <w:sz w:val="22"/>
                <w:szCs w:val="22"/>
                <w:highlight w:val="none"/>
              </w:rPr>
              <w:t>不符合上述条件或未提供相关证明材料的不得分</w:t>
            </w:r>
            <w:r>
              <w:rPr>
                <w:rFonts w:hint="eastAsia" w:ascii="宋体" w:hAnsi="宋体" w:eastAsia="宋体" w:cs="宋体"/>
                <w:b w:val="0"/>
                <w:bCs/>
                <w:color w:val="auto"/>
                <w:kern w:val="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5" w:hRule="atLeast"/>
          <w:jc w:val="center"/>
        </w:trPr>
        <w:tc>
          <w:tcPr>
            <w:tcW w:w="975" w:type="dxa"/>
            <w:vMerge w:val="continue"/>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Style w:val="113"/>
                <w:b w:val="0"/>
                <w:bCs/>
                <w:color w:val="auto"/>
                <w:sz w:val="22"/>
                <w:szCs w:val="22"/>
                <w:highlight w:val="none"/>
              </w:rPr>
            </w:pPr>
          </w:p>
        </w:tc>
        <w:tc>
          <w:tcPr>
            <w:tcW w:w="1446" w:type="dxa"/>
            <w:shd w:val="clear" w:color="auto" w:fill="FFFFFF"/>
            <w:vAlign w:val="center"/>
          </w:tcPr>
          <w:p>
            <w:pPr>
              <w:keepNext w:val="0"/>
              <w:keepLines w:val="0"/>
              <w:pageBreakBefore w:val="0"/>
              <w:widowControl/>
              <w:kinsoku/>
              <w:wordWrap/>
              <w:overflowPunct/>
              <w:topLinePunct w:val="0"/>
              <w:autoSpaceDE/>
              <w:autoSpaceDN/>
              <w:bidi w:val="0"/>
              <w:spacing w:beforeAutospacing="0" w:after="0" w:afterAutospacing="0" w:line="240" w:lineRule="auto"/>
              <w:jc w:val="center"/>
              <w:textAlignment w:val="auto"/>
              <w:rPr>
                <w:rFonts w:hint="eastAsia" w:ascii="宋体" w:hAnsi="宋体" w:cs="宋体"/>
                <w:b w:val="0"/>
                <w:bCs w:val="0"/>
                <w:color w:val="auto"/>
                <w:sz w:val="22"/>
                <w:highlight w:val="none"/>
              </w:rPr>
            </w:pPr>
            <w:r>
              <w:rPr>
                <w:rFonts w:hint="eastAsia" w:ascii="宋体" w:hAnsi="宋体" w:cs="宋体"/>
                <w:b w:val="0"/>
                <w:bCs w:val="0"/>
                <w:color w:val="auto"/>
                <w:sz w:val="22"/>
                <w:szCs w:val="22"/>
                <w:highlight w:val="none"/>
                <w:lang w:val="zh-CN"/>
              </w:rPr>
              <w:t>财务状况</w:t>
            </w:r>
          </w:p>
        </w:tc>
        <w:tc>
          <w:tcPr>
            <w:tcW w:w="709" w:type="dxa"/>
            <w:shd w:val="clear" w:color="auto" w:fill="FFFFFF"/>
            <w:vAlign w:val="center"/>
          </w:tcPr>
          <w:p>
            <w:pPr>
              <w:keepNext w:val="0"/>
              <w:keepLines w:val="0"/>
              <w:pageBreakBefore w:val="0"/>
              <w:widowControl/>
              <w:kinsoku/>
              <w:wordWrap/>
              <w:overflowPunct/>
              <w:topLinePunct w:val="0"/>
              <w:autoSpaceDE/>
              <w:autoSpaceDN/>
              <w:bidi w:val="0"/>
              <w:spacing w:after="0"/>
              <w:jc w:val="center"/>
              <w:textAlignment w:val="auto"/>
              <w:rPr>
                <w:rFonts w:hint="eastAsia" w:ascii="宋体" w:hAnsi="宋体" w:cs="宋体"/>
                <w:b w:val="0"/>
                <w:bCs w:val="0"/>
                <w:color w:val="auto"/>
                <w:sz w:val="22"/>
                <w:highlight w:val="none"/>
                <w:lang w:val="en-US" w:eastAsia="zh-CN"/>
              </w:rPr>
            </w:pPr>
            <w:r>
              <w:rPr>
                <w:rFonts w:hint="eastAsia" w:ascii="宋体" w:hAnsi="宋体" w:cs="宋体"/>
                <w:bCs w:val="0"/>
                <w:color w:val="auto"/>
                <w:kern w:val="0"/>
                <w:sz w:val="22"/>
                <w:szCs w:val="22"/>
                <w:highlight w:val="none"/>
                <w:lang w:val="en-US" w:eastAsia="zh-CN"/>
              </w:rPr>
              <w:t>6</w:t>
            </w:r>
          </w:p>
        </w:tc>
        <w:tc>
          <w:tcPr>
            <w:tcW w:w="12022" w:type="dxa"/>
            <w:shd w:val="clear" w:color="auto" w:fill="FFFFFF"/>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line="288" w:lineRule="auto"/>
              <w:ind w:right="134" w:rightChars="64"/>
              <w:jc w:val="both"/>
              <w:textAlignment w:val="auto"/>
              <w:rPr>
                <w:rStyle w:val="113"/>
                <w:rFonts w:hint="eastAsia" w:ascii="宋体" w:hAnsi="宋体" w:eastAsia="宋体" w:cs="宋体"/>
                <w:bCs/>
                <w:color w:val="auto"/>
                <w:sz w:val="22"/>
                <w:szCs w:val="22"/>
                <w:highlight w:val="none"/>
                <w:lang w:eastAsia="zh-CN"/>
              </w:rPr>
            </w:pPr>
            <w:r>
              <w:rPr>
                <w:rStyle w:val="113"/>
                <w:rFonts w:hint="eastAsia" w:ascii="宋体" w:hAnsi="宋体" w:eastAsia="宋体" w:cs="宋体"/>
                <w:bCs/>
                <w:color w:val="auto"/>
                <w:sz w:val="22"/>
                <w:szCs w:val="22"/>
                <w:highlight w:val="none"/>
              </w:rPr>
              <w:t>投标人20</w:t>
            </w:r>
            <w:r>
              <w:rPr>
                <w:rStyle w:val="113"/>
                <w:rFonts w:hint="eastAsia" w:ascii="宋体" w:hAnsi="宋体" w:cs="宋体"/>
                <w:bCs/>
                <w:color w:val="auto"/>
                <w:sz w:val="22"/>
                <w:szCs w:val="22"/>
                <w:highlight w:val="none"/>
                <w:lang w:val="en-US" w:eastAsia="zh-CN"/>
              </w:rPr>
              <w:t>20</w:t>
            </w:r>
            <w:r>
              <w:rPr>
                <w:rStyle w:val="113"/>
                <w:rFonts w:hint="eastAsia" w:ascii="宋体" w:hAnsi="宋体" w:eastAsia="宋体" w:cs="宋体"/>
                <w:bCs/>
                <w:color w:val="auto"/>
                <w:sz w:val="22"/>
                <w:szCs w:val="22"/>
                <w:highlight w:val="none"/>
              </w:rPr>
              <w:t>至2022年任意一个年度的企业资产负债率</w:t>
            </w:r>
            <w:r>
              <w:rPr>
                <w:rStyle w:val="113"/>
                <w:rFonts w:hint="eastAsia" w:ascii="宋体" w:hAnsi="宋体" w:eastAsia="宋体" w:cs="宋体"/>
                <w:bCs/>
                <w:color w:val="auto"/>
                <w:sz w:val="22"/>
                <w:szCs w:val="22"/>
                <w:highlight w:val="none"/>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line="288" w:lineRule="auto"/>
              <w:ind w:right="134" w:rightChars="64"/>
              <w:jc w:val="both"/>
              <w:textAlignment w:val="auto"/>
              <w:rPr>
                <w:rStyle w:val="113"/>
                <w:rFonts w:hint="eastAsia" w:ascii="宋体" w:hAnsi="宋体" w:eastAsia="宋体" w:cs="宋体"/>
                <w:bCs/>
                <w:color w:val="auto"/>
                <w:sz w:val="22"/>
                <w:szCs w:val="22"/>
                <w:highlight w:val="none"/>
              </w:rPr>
            </w:pPr>
            <w:r>
              <w:rPr>
                <w:rStyle w:val="113"/>
                <w:rFonts w:hint="eastAsia" w:ascii="宋体" w:hAnsi="宋体" w:eastAsia="宋体" w:cs="宋体"/>
                <w:bCs/>
                <w:color w:val="auto"/>
                <w:sz w:val="22"/>
                <w:highlight w:val="none"/>
                <w:lang w:eastAsia="zh-CN"/>
              </w:rPr>
              <w:t>（</w:t>
            </w:r>
            <w:r>
              <w:rPr>
                <w:rStyle w:val="113"/>
                <w:rFonts w:hint="eastAsia" w:ascii="宋体" w:hAnsi="宋体" w:eastAsia="宋体" w:cs="宋体"/>
                <w:bCs/>
                <w:color w:val="auto"/>
                <w:sz w:val="22"/>
                <w:highlight w:val="none"/>
                <w:lang w:val="en-US" w:eastAsia="zh-CN"/>
              </w:rPr>
              <w:t>1）</w:t>
            </w:r>
            <w:r>
              <w:rPr>
                <w:rStyle w:val="113"/>
                <w:rFonts w:hint="eastAsia" w:ascii="宋体" w:hAnsi="宋体" w:eastAsia="宋体" w:cs="宋体"/>
                <w:bCs/>
                <w:color w:val="auto"/>
                <w:sz w:val="22"/>
                <w:szCs w:val="22"/>
                <w:highlight w:val="none"/>
              </w:rPr>
              <w:t>在7</w:t>
            </w:r>
            <w:r>
              <w:rPr>
                <w:rStyle w:val="113"/>
                <w:rFonts w:hint="eastAsia" w:ascii="宋体" w:hAnsi="宋体" w:eastAsia="宋体" w:cs="宋体"/>
                <w:bCs/>
                <w:color w:val="auto"/>
                <w:sz w:val="22"/>
                <w:szCs w:val="22"/>
                <w:highlight w:val="none"/>
                <w:lang w:val="en-US" w:eastAsia="zh-CN"/>
              </w:rPr>
              <w:t>5</w:t>
            </w:r>
            <w:r>
              <w:rPr>
                <w:rStyle w:val="113"/>
                <w:rFonts w:hint="eastAsia" w:ascii="宋体" w:hAnsi="宋体" w:eastAsia="宋体" w:cs="宋体"/>
                <w:bCs/>
                <w:color w:val="auto"/>
                <w:sz w:val="22"/>
                <w:szCs w:val="22"/>
                <w:highlight w:val="none"/>
              </w:rPr>
              <w:t>%（含7</w:t>
            </w:r>
            <w:r>
              <w:rPr>
                <w:rStyle w:val="113"/>
                <w:rFonts w:hint="eastAsia" w:ascii="宋体" w:hAnsi="宋体" w:eastAsia="宋体" w:cs="宋体"/>
                <w:bCs/>
                <w:color w:val="auto"/>
                <w:sz w:val="22"/>
                <w:szCs w:val="22"/>
                <w:highlight w:val="none"/>
                <w:lang w:val="en-US" w:eastAsia="zh-CN"/>
              </w:rPr>
              <w:t>5</w:t>
            </w:r>
            <w:r>
              <w:rPr>
                <w:rStyle w:val="113"/>
                <w:rFonts w:hint="eastAsia" w:ascii="宋体" w:hAnsi="宋体" w:eastAsia="宋体" w:cs="宋体"/>
                <w:bCs/>
                <w:color w:val="auto"/>
                <w:sz w:val="22"/>
                <w:szCs w:val="22"/>
                <w:highlight w:val="none"/>
              </w:rPr>
              <w:t>%）以下的得6分；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line="288" w:lineRule="auto"/>
              <w:ind w:right="134" w:rightChars="64"/>
              <w:jc w:val="both"/>
              <w:textAlignment w:val="auto"/>
              <w:rPr>
                <w:rStyle w:val="113"/>
                <w:rFonts w:hint="eastAsia" w:ascii="宋体" w:hAnsi="宋体" w:eastAsia="宋体" w:cs="宋体"/>
                <w:bCs/>
                <w:color w:val="auto"/>
                <w:sz w:val="22"/>
                <w:szCs w:val="22"/>
                <w:highlight w:val="none"/>
              </w:rPr>
            </w:pPr>
            <w:r>
              <w:rPr>
                <w:rStyle w:val="113"/>
                <w:rFonts w:hint="eastAsia" w:ascii="宋体" w:hAnsi="宋体" w:eastAsia="宋体" w:cs="宋体"/>
                <w:bCs/>
                <w:color w:val="auto"/>
                <w:sz w:val="22"/>
                <w:highlight w:val="none"/>
                <w:lang w:eastAsia="zh-CN"/>
              </w:rPr>
              <w:t>（</w:t>
            </w:r>
            <w:r>
              <w:rPr>
                <w:rStyle w:val="113"/>
                <w:rFonts w:hint="eastAsia" w:ascii="宋体" w:hAnsi="宋体" w:eastAsia="宋体" w:cs="宋体"/>
                <w:bCs/>
                <w:color w:val="auto"/>
                <w:sz w:val="22"/>
                <w:highlight w:val="none"/>
                <w:lang w:val="en-US" w:eastAsia="zh-CN"/>
              </w:rPr>
              <w:t>2）</w:t>
            </w:r>
            <w:r>
              <w:rPr>
                <w:rStyle w:val="113"/>
                <w:rFonts w:hint="eastAsia" w:ascii="宋体" w:hAnsi="宋体" w:eastAsia="宋体" w:cs="宋体"/>
                <w:bCs/>
                <w:color w:val="auto"/>
                <w:sz w:val="22"/>
                <w:szCs w:val="22"/>
                <w:highlight w:val="none"/>
              </w:rPr>
              <w:t>在7</w:t>
            </w:r>
            <w:r>
              <w:rPr>
                <w:rStyle w:val="113"/>
                <w:rFonts w:hint="eastAsia" w:ascii="宋体" w:hAnsi="宋体" w:eastAsia="宋体" w:cs="宋体"/>
                <w:bCs/>
                <w:color w:val="auto"/>
                <w:sz w:val="22"/>
                <w:szCs w:val="22"/>
                <w:highlight w:val="none"/>
                <w:lang w:val="en-US" w:eastAsia="zh-CN"/>
              </w:rPr>
              <w:t>5</w:t>
            </w:r>
            <w:r>
              <w:rPr>
                <w:rStyle w:val="113"/>
                <w:rFonts w:hint="eastAsia" w:ascii="宋体" w:hAnsi="宋体" w:eastAsia="宋体" w:cs="宋体"/>
                <w:bCs/>
                <w:color w:val="auto"/>
                <w:sz w:val="22"/>
                <w:szCs w:val="22"/>
                <w:highlight w:val="none"/>
              </w:rPr>
              <w:t>%（不含7</w:t>
            </w:r>
            <w:r>
              <w:rPr>
                <w:rStyle w:val="113"/>
                <w:rFonts w:hint="eastAsia" w:ascii="宋体" w:hAnsi="宋体" w:eastAsia="宋体" w:cs="宋体"/>
                <w:bCs/>
                <w:color w:val="auto"/>
                <w:sz w:val="22"/>
                <w:szCs w:val="22"/>
                <w:highlight w:val="none"/>
                <w:lang w:val="en-US" w:eastAsia="zh-CN"/>
              </w:rPr>
              <w:t>5</w:t>
            </w:r>
            <w:r>
              <w:rPr>
                <w:rStyle w:val="113"/>
                <w:rFonts w:hint="eastAsia" w:ascii="宋体" w:hAnsi="宋体" w:eastAsia="宋体" w:cs="宋体"/>
                <w:bCs/>
                <w:color w:val="auto"/>
                <w:sz w:val="22"/>
                <w:szCs w:val="22"/>
                <w:highlight w:val="none"/>
              </w:rPr>
              <w:t>%）-</w:t>
            </w:r>
            <w:r>
              <w:rPr>
                <w:rStyle w:val="113"/>
                <w:rFonts w:hint="eastAsia" w:ascii="宋体" w:hAnsi="宋体" w:eastAsia="宋体" w:cs="宋体"/>
                <w:bCs/>
                <w:color w:val="auto"/>
                <w:sz w:val="22"/>
                <w:szCs w:val="22"/>
                <w:highlight w:val="none"/>
                <w:lang w:val="en-US" w:eastAsia="zh-CN"/>
              </w:rPr>
              <w:t>80</w:t>
            </w:r>
            <w:r>
              <w:rPr>
                <w:rStyle w:val="113"/>
                <w:rFonts w:hint="eastAsia" w:ascii="宋体" w:hAnsi="宋体" w:eastAsia="宋体" w:cs="宋体"/>
                <w:bCs/>
                <w:color w:val="auto"/>
                <w:sz w:val="22"/>
                <w:szCs w:val="22"/>
                <w:highlight w:val="none"/>
              </w:rPr>
              <w:t>%（含</w:t>
            </w:r>
            <w:r>
              <w:rPr>
                <w:rStyle w:val="113"/>
                <w:rFonts w:hint="eastAsia" w:ascii="宋体" w:hAnsi="宋体" w:eastAsia="宋体" w:cs="宋体"/>
                <w:bCs/>
                <w:color w:val="auto"/>
                <w:sz w:val="22"/>
                <w:szCs w:val="22"/>
                <w:highlight w:val="none"/>
                <w:lang w:val="en-US" w:eastAsia="zh-CN"/>
              </w:rPr>
              <w:t>80</w:t>
            </w:r>
            <w:r>
              <w:rPr>
                <w:rStyle w:val="113"/>
                <w:rFonts w:hint="eastAsia" w:ascii="宋体" w:hAnsi="宋体" w:eastAsia="宋体" w:cs="宋体"/>
                <w:bCs/>
                <w:color w:val="auto"/>
                <w:sz w:val="22"/>
                <w:szCs w:val="22"/>
                <w:highlight w:val="none"/>
              </w:rPr>
              <w:t>%）的得</w:t>
            </w:r>
            <w:r>
              <w:rPr>
                <w:rStyle w:val="113"/>
                <w:rFonts w:hint="default" w:ascii="宋体" w:hAnsi="宋体" w:eastAsia="宋体" w:cs="宋体"/>
                <w:bCs/>
                <w:color w:val="auto"/>
                <w:sz w:val="22"/>
                <w:highlight w:val="none"/>
                <w:lang w:val="en-US" w:eastAsia="zh-CN"/>
              </w:rPr>
              <w:t>3</w:t>
            </w:r>
            <w:r>
              <w:rPr>
                <w:rStyle w:val="113"/>
                <w:rFonts w:hint="eastAsia" w:ascii="宋体" w:hAnsi="宋体" w:eastAsia="宋体" w:cs="宋体"/>
                <w:bCs/>
                <w:color w:val="auto"/>
                <w:sz w:val="22"/>
                <w:szCs w:val="22"/>
                <w:highlight w:val="none"/>
              </w:rPr>
              <w:t>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line="288" w:lineRule="auto"/>
              <w:ind w:right="134" w:rightChars="64"/>
              <w:jc w:val="both"/>
              <w:textAlignment w:val="auto"/>
              <w:rPr>
                <w:rStyle w:val="113"/>
                <w:rFonts w:hint="eastAsia" w:ascii="宋体" w:hAnsi="宋体" w:eastAsia="宋体" w:cs="宋体"/>
                <w:bCs/>
                <w:color w:val="auto"/>
                <w:sz w:val="22"/>
                <w:szCs w:val="22"/>
                <w:highlight w:val="none"/>
                <w:lang w:val="en-US" w:eastAsia="zh-CN"/>
              </w:rPr>
            </w:pPr>
            <w:r>
              <w:rPr>
                <w:rStyle w:val="113"/>
                <w:rFonts w:hint="eastAsia" w:ascii="宋体" w:hAnsi="宋体" w:eastAsia="宋体" w:cs="宋体"/>
                <w:bCs/>
                <w:color w:val="auto"/>
                <w:sz w:val="22"/>
                <w:highlight w:val="none"/>
                <w:lang w:eastAsia="zh-CN"/>
              </w:rPr>
              <w:t>（</w:t>
            </w:r>
            <w:r>
              <w:rPr>
                <w:rStyle w:val="113"/>
                <w:rFonts w:hint="eastAsia" w:ascii="宋体" w:hAnsi="宋体" w:eastAsia="宋体" w:cs="宋体"/>
                <w:bCs/>
                <w:color w:val="auto"/>
                <w:sz w:val="22"/>
                <w:highlight w:val="none"/>
                <w:lang w:val="en-US" w:eastAsia="zh-CN"/>
              </w:rPr>
              <w:t>3）</w:t>
            </w:r>
            <w:r>
              <w:rPr>
                <w:rStyle w:val="113"/>
                <w:rFonts w:hint="eastAsia" w:ascii="宋体" w:hAnsi="宋体" w:eastAsia="宋体" w:cs="宋体"/>
                <w:bCs/>
                <w:color w:val="auto"/>
                <w:sz w:val="22"/>
                <w:szCs w:val="22"/>
                <w:highlight w:val="none"/>
              </w:rPr>
              <w:t>在8</w:t>
            </w:r>
            <w:r>
              <w:rPr>
                <w:rStyle w:val="113"/>
                <w:rFonts w:hint="eastAsia" w:ascii="宋体" w:hAnsi="宋体" w:eastAsia="宋体" w:cs="宋体"/>
                <w:bCs/>
                <w:color w:val="auto"/>
                <w:sz w:val="22"/>
                <w:highlight w:val="none"/>
                <w:lang w:eastAsia="zh-CN"/>
              </w:rPr>
              <w:t>0</w:t>
            </w:r>
            <w:r>
              <w:rPr>
                <w:rStyle w:val="113"/>
                <w:rFonts w:hint="eastAsia" w:ascii="宋体" w:hAnsi="宋体" w:eastAsia="宋体" w:cs="宋体"/>
                <w:bCs/>
                <w:color w:val="auto"/>
                <w:sz w:val="22"/>
                <w:szCs w:val="22"/>
                <w:highlight w:val="none"/>
              </w:rPr>
              <w:t>%（不含8</w:t>
            </w:r>
            <w:r>
              <w:rPr>
                <w:rStyle w:val="113"/>
                <w:rFonts w:hint="eastAsia" w:ascii="宋体" w:hAnsi="宋体" w:eastAsia="宋体" w:cs="宋体"/>
                <w:bCs/>
                <w:color w:val="auto"/>
                <w:sz w:val="22"/>
                <w:highlight w:val="none"/>
                <w:lang w:eastAsia="zh-CN"/>
              </w:rPr>
              <w:t>0</w:t>
            </w:r>
            <w:r>
              <w:rPr>
                <w:rStyle w:val="113"/>
                <w:rFonts w:hint="eastAsia" w:ascii="宋体" w:hAnsi="宋体" w:eastAsia="宋体" w:cs="宋体"/>
                <w:bCs/>
                <w:color w:val="auto"/>
                <w:sz w:val="22"/>
                <w:szCs w:val="22"/>
                <w:highlight w:val="none"/>
              </w:rPr>
              <w:t>%）以上的得</w:t>
            </w:r>
            <w:r>
              <w:rPr>
                <w:rStyle w:val="113"/>
                <w:rFonts w:hint="eastAsia" w:ascii="宋体" w:hAnsi="宋体" w:eastAsia="宋体" w:cs="宋体"/>
                <w:bCs/>
                <w:color w:val="auto"/>
                <w:sz w:val="22"/>
                <w:szCs w:val="22"/>
                <w:highlight w:val="none"/>
                <w:lang w:val="en-US" w:eastAsia="zh-CN"/>
              </w:rPr>
              <w:t>1</w:t>
            </w:r>
            <w:r>
              <w:rPr>
                <w:rStyle w:val="113"/>
                <w:rFonts w:hint="eastAsia" w:ascii="宋体" w:hAnsi="宋体" w:eastAsia="宋体" w:cs="宋体"/>
                <w:bCs/>
                <w:color w:val="auto"/>
                <w:sz w:val="22"/>
                <w:szCs w:val="22"/>
                <w:highlight w:val="none"/>
              </w:rPr>
              <w:t>分</w:t>
            </w:r>
            <w:r>
              <w:rPr>
                <w:rStyle w:val="113"/>
                <w:rFonts w:hint="eastAsia"/>
                <w:b w:val="0"/>
                <w:bCs/>
                <w:color w:val="auto"/>
                <w:spacing w:val="0"/>
                <w:kern w:val="2"/>
                <w:sz w:val="22"/>
                <w:szCs w:val="22"/>
                <w:highlight w:val="none"/>
              </w:rPr>
              <w:t>。</w:t>
            </w:r>
          </w:p>
          <w:p>
            <w:pPr>
              <w:numPr>
                <w:ilvl w:val="0"/>
                <w:numId w:val="0"/>
              </w:numPr>
              <w:shd w:val="clear" w:color="auto" w:fill="auto"/>
              <w:snapToGrid w:val="0"/>
              <w:spacing w:line="288" w:lineRule="auto"/>
              <w:jc w:val="both"/>
              <w:rPr>
                <w:rStyle w:val="113"/>
                <w:rFonts w:hint="default"/>
                <w:b w:val="0"/>
                <w:bCs w:val="0"/>
                <w:color w:val="auto"/>
                <w:spacing w:val="0"/>
                <w:sz w:val="21"/>
                <w:szCs w:val="22"/>
                <w:highlight w:val="none"/>
              </w:rPr>
            </w:pPr>
            <w:r>
              <w:rPr>
                <w:rStyle w:val="113"/>
                <w:rFonts w:hint="eastAsia" w:ascii="宋体" w:hAnsi="宋体" w:eastAsia="宋体" w:cs="宋体"/>
                <w:bCs/>
                <w:color w:val="auto"/>
                <w:sz w:val="22"/>
                <w:highlight w:val="none"/>
                <w:shd w:val="clear" w:color="auto" w:fill="auto"/>
                <w:lang w:val="en-US" w:eastAsia="zh-CN"/>
              </w:rPr>
              <w:t>注：</w:t>
            </w:r>
            <w:r>
              <w:rPr>
                <w:rStyle w:val="113"/>
                <w:rFonts w:hint="eastAsia"/>
                <w:b w:val="0"/>
                <w:bCs/>
                <w:color w:val="auto"/>
                <w:spacing w:val="0"/>
                <w:kern w:val="2"/>
                <w:sz w:val="22"/>
                <w:szCs w:val="22"/>
                <w:highlight w:val="none"/>
              </w:rPr>
              <w:t>本项最</w:t>
            </w:r>
            <w:r>
              <w:rPr>
                <w:rStyle w:val="113"/>
                <w:rFonts w:hint="eastAsia"/>
                <w:b w:val="0"/>
                <w:bCs/>
                <w:color w:val="auto"/>
                <w:spacing w:val="0"/>
                <w:kern w:val="2"/>
                <w:sz w:val="22"/>
                <w:szCs w:val="22"/>
                <w:highlight w:val="none"/>
                <w:lang w:val="en-US" w:eastAsia="zh-CN"/>
              </w:rPr>
              <w:t>多</w:t>
            </w:r>
            <w:r>
              <w:rPr>
                <w:rStyle w:val="113"/>
                <w:rFonts w:hint="eastAsia"/>
                <w:b w:val="0"/>
                <w:bCs/>
                <w:color w:val="auto"/>
                <w:spacing w:val="0"/>
                <w:kern w:val="2"/>
                <w:sz w:val="22"/>
                <w:szCs w:val="22"/>
                <w:highlight w:val="none"/>
              </w:rPr>
              <w:t>得</w:t>
            </w:r>
            <w:r>
              <w:rPr>
                <w:rStyle w:val="113"/>
                <w:rFonts w:hint="eastAsia"/>
                <w:b w:val="0"/>
                <w:bCs/>
                <w:color w:val="auto"/>
                <w:spacing w:val="0"/>
                <w:kern w:val="2"/>
                <w:sz w:val="22"/>
                <w:szCs w:val="22"/>
                <w:highlight w:val="none"/>
                <w:lang w:val="en-US" w:eastAsia="zh-CN"/>
              </w:rPr>
              <w:t>6</w:t>
            </w:r>
            <w:r>
              <w:rPr>
                <w:rStyle w:val="113"/>
                <w:rFonts w:hint="eastAsia"/>
                <w:b w:val="0"/>
                <w:bCs/>
                <w:color w:val="auto"/>
                <w:spacing w:val="0"/>
                <w:kern w:val="2"/>
                <w:sz w:val="22"/>
                <w:szCs w:val="22"/>
                <w:highlight w:val="none"/>
              </w:rPr>
              <w:t>分。不符合上述条件或未提供相关证明材料的不得分。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24" w:hRule="atLeast"/>
          <w:jc w:val="center"/>
        </w:trPr>
        <w:tc>
          <w:tcPr>
            <w:tcW w:w="975" w:type="dxa"/>
            <w:vMerge w:val="continue"/>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Style w:val="113"/>
                <w:b w:val="0"/>
                <w:bCs/>
                <w:color w:val="auto"/>
                <w:sz w:val="22"/>
                <w:szCs w:val="22"/>
                <w:highlight w:val="none"/>
              </w:rPr>
            </w:pPr>
          </w:p>
        </w:tc>
        <w:tc>
          <w:tcPr>
            <w:tcW w:w="1446" w:type="dxa"/>
            <w:shd w:val="clear" w:color="auto" w:fill="FFFFFF"/>
            <w:vAlign w:val="center"/>
          </w:tcPr>
          <w:p>
            <w:pPr>
              <w:pStyle w:val="112"/>
              <w:keepNext w:val="0"/>
              <w:keepLines w:val="0"/>
              <w:pageBreakBefore w:val="0"/>
              <w:shd w:val="clear" w:color="auto" w:fill="auto"/>
              <w:kinsoku/>
              <w:wordWrap/>
              <w:overflowPunct/>
              <w:topLinePunct w:val="0"/>
              <w:autoSpaceDE/>
              <w:autoSpaceDN/>
              <w:bidi w:val="0"/>
              <w:adjustRightInd/>
              <w:snapToGrid w:val="0"/>
              <w:spacing w:line="288" w:lineRule="auto"/>
              <w:jc w:val="center"/>
              <w:textAlignment w:val="auto"/>
              <w:rPr>
                <w:rFonts w:cs="宋体"/>
                <w:b w:val="0"/>
                <w:bCs/>
                <w:color w:val="auto"/>
                <w:sz w:val="22"/>
                <w:szCs w:val="22"/>
                <w:highlight w:val="none"/>
              </w:rPr>
            </w:pPr>
            <w:r>
              <w:rPr>
                <w:rFonts w:hint="eastAsia" w:cs="宋体"/>
                <w:b w:val="0"/>
                <w:bCs/>
                <w:color w:val="auto"/>
                <w:sz w:val="22"/>
                <w:szCs w:val="22"/>
                <w:highlight w:val="none"/>
              </w:rPr>
              <w:t>工程研发能力</w:t>
            </w:r>
          </w:p>
        </w:tc>
        <w:tc>
          <w:tcPr>
            <w:tcW w:w="709" w:type="dxa"/>
            <w:shd w:val="clear" w:color="auto" w:fill="FFFFFF"/>
            <w:vAlign w:val="center"/>
          </w:tcPr>
          <w:p>
            <w:pPr>
              <w:numPr>
                <w:ilvl w:val="0"/>
                <w:numId w:val="0"/>
              </w:numPr>
              <w:shd w:val="clear" w:color="auto" w:fill="auto"/>
              <w:snapToGrid w:val="0"/>
              <w:spacing w:line="288" w:lineRule="auto"/>
              <w:jc w:val="center"/>
              <w:rPr>
                <w:rStyle w:val="113"/>
                <w:rFonts w:hint="eastAsia" w:ascii="宋体" w:hAnsi="宋体" w:eastAsia="宋体" w:cs="宋体"/>
                <w:bCs/>
                <w:color w:val="auto"/>
                <w:sz w:val="22"/>
                <w:szCs w:val="22"/>
                <w:highlight w:val="none"/>
              </w:rPr>
            </w:pPr>
            <w:r>
              <w:rPr>
                <w:rStyle w:val="113"/>
                <w:rFonts w:hint="eastAsia" w:ascii="宋体" w:hAnsi="宋体" w:eastAsia="宋体" w:cs="宋体"/>
                <w:bCs/>
                <w:color w:val="auto"/>
                <w:sz w:val="22"/>
                <w:szCs w:val="22"/>
                <w:highlight w:val="none"/>
              </w:rPr>
              <w:t>8</w:t>
            </w:r>
          </w:p>
        </w:tc>
        <w:tc>
          <w:tcPr>
            <w:tcW w:w="12022" w:type="dxa"/>
            <w:shd w:val="clear" w:color="auto" w:fill="FFFFFF"/>
            <w:vAlign w:val="center"/>
          </w:tcPr>
          <w:p>
            <w:pPr>
              <w:keepNext w:val="0"/>
              <w:keepLines w:val="0"/>
              <w:pageBreakBefore w:val="0"/>
              <w:numPr>
                <w:ilvl w:val="0"/>
                <w:numId w:val="3"/>
              </w:numPr>
              <w:shd w:val="clear" w:color="auto" w:fill="auto"/>
              <w:kinsoku/>
              <w:wordWrap/>
              <w:overflowPunct/>
              <w:topLinePunct w:val="0"/>
              <w:autoSpaceDE/>
              <w:autoSpaceDN/>
              <w:bidi w:val="0"/>
              <w:adjustRightInd/>
              <w:snapToGrid w:val="0"/>
              <w:spacing w:line="288" w:lineRule="auto"/>
              <w:ind w:left="0" w:leftChars="0" w:right="132" w:rightChars="63"/>
              <w:jc w:val="both"/>
              <w:textAlignment w:val="auto"/>
              <w:rPr>
                <w:rStyle w:val="113"/>
                <w:rFonts w:hint="eastAsia"/>
                <w:bCs/>
                <w:color w:val="auto"/>
                <w:sz w:val="22"/>
                <w:highlight w:val="none"/>
                <w:lang w:eastAsia="zh-CN"/>
              </w:rPr>
            </w:pPr>
            <w:r>
              <w:rPr>
                <w:rStyle w:val="113"/>
                <w:rFonts w:hint="eastAsia" w:ascii="宋体" w:hAnsi="宋体"/>
                <w:bCs/>
                <w:color w:val="auto"/>
                <w:sz w:val="22"/>
                <w:highlight w:val="none"/>
              </w:rPr>
              <w:t>投标人获得过国务院颁发的“国家科学技术进步奖”</w:t>
            </w:r>
            <w:r>
              <w:rPr>
                <w:rStyle w:val="113"/>
                <w:rFonts w:hint="eastAsia" w:ascii="宋体" w:hAnsi="宋体"/>
                <w:bCs/>
                <w:color w:val="auto"/>
                <w:sz w:val="22"/>
                <w:highlight w:val="none"/>
                <w:lang w:val="en-US" w:eastAsia="zh-CN"/>
              </w:rPr>
              <w:t>的</w:t>
            </w:r>
            <w:r>
              <w:rPr>
                <w:rStyle w:val="113"/>
                <w:rFonts w:hint="eastAsia" w:ascii="宋体" w:hAnsi="宋体"/>
                <w:bCs/>
                <w:color w:val="auto"/>
                <w:sz w:val="22"/>
                <w:highlight w:val="none"/>
              </w:rPr>
              <w:t>得</w:t>
            </w:r>
            <w:r>
              <w:rPr>
                <w:rStyle w:val="113"/>
                <w:rFonts w:hint="eastAsia" w:ascii="宋体" w:hAnsi="宋体"/>
                <w:bCs/>
                <w:color w:val="auto"/>
                <w:sz w:val="22"/>
                <w:highlight w:val="none"/>
                <w:lang w:val="en-US" w:eastAsia="zh-CN"/>
              </w:rPr>
              <w:t>8</w:t>
            </w:r>
            <w:r>
              <w:rPr>
                <w:rStyle w:val="113"/>
                <w:rFonts w:hint="eastAsia" w:ascii="宋体" w:hAnsi="宋体"/>
                <w:bCs/>
                <w:color w:val="auto"/>
                <w:sz w:val="22"/>
                <w:highlight w:val="none"/>
              </w:rPr>
              <w:t>分</w:t>
            </w:r>
            <w:r>
              <w:rPr>
                <w:rStyle w:val="113"/>
                <w:rFonts w:hint="eastAsia"/>
                <w:bCs/>
                <w:color w:val="auto"/>
                <w:sz w:val="22"/>
                <w:highlight w:val="none"/>
                <w:lang w:eastAsia="zh-CN"/>
              </w:rPr>
              <w:t>；</w:t>
            </w:r>
          </w:p>
          <w:p>
            <w:pPr>
              <w:keepNext w:val="0"/>
              <w:keepLines w:val="0"/>
              <w:pageBreakBefore w:val="0"/>
              <w:numPr>
                <w:ilvl w:val="0"/>
                <w:numId w:val="3"/>
              </w:numPr>
              <w:shd w:val="clear" w:color="auto" w:fill="auto"/>
              <w:kinsoku/>
              <w:wordWrap/>
              <w:overflowPunct/>
              <w:topLinePunct w:val="0"/>
              <w:autoSpaceDE/>
              <w:autoSpaceDN/>
              <w:bidi w:val="0"/>
              <w:adjustRightInd/>
              <w:snapToGrid w:val="0"/>
              <w:spacing w:line="288" w:lineRule="auto"/>
              <w:ind w:left="0" w:leftChars="0" w:right="132" w:rightChars="63"/>
              <w:jc w:val="both"/>
              <w:textAlignment w:val="auto"/>
              <w:rPr>
                <w:rStyle w:val="113"/>
                <w:bCs/>
                <w:color w:val="auto"/>
                <w:sz w:val="22"/>
                <w:highlight w:val="none"/>
              </w:rPr>
            </w:pPr>
            <w:r>
              <w:rPr>
                <w:rStyle w:val="113"/>
                <w:rFonts w:hint="eastAsia" w:ascii="宋体" w:hAnsi="宋体"/>
                <w:bCs/>
                <w:color w:val="auto"/>
                <w:sz w:val="22"/>
                <w:highlight w:val="none"/>
              </w:rPr>
              <w:t>投标人获得过省级人民政府颁发的“科学技术奖”的得</w:t>
            </w:r>
            <w:r>
              <w:rPr>
                <w:rStyle w:val="113"/>
                <w:rFonts w:hint="eastAsia" w:ascii="宋体" w:hAnsi="宋体"/>
                <w:bCs/>
                <w:color w:val="auto"/>
                <w:sz w:val="22"/>
                <w:highlight w:val="none"/>
                <w:lang w:val="en-US" w:eastAsia="zh-CN"/>
              </w:rPr>
              <w:t>4</w:t>
            </w:r>
            <w:r>
              <w:rPr>
                <w:rStyle w:val="113"/>
                <w:rFonts w:hint="eastAsia" w:ascii="宋体" w:hAnsi="宋体"/>
                <w:bCs/>
                <w:color w:val="auto"/>
                <w:sz w:val="22"/>
                <w:highlight w:val="none"/>
              </w:rPr>
              <w:t>分</w:t>
            </w:r>
            <w:r>
              <w:rPr>
                <w:rStyle w:val="113"/>
                <w:rFonts w:hint="eastAsia"/>
                <w:bCs/>
                <w:color w:val="auto"/>
                <w:sz w:val="22"/>
                <w:highlight w:val="none"/>
                <w:lang w:eastAsia="zh-CN"/>
              </w:rPr>
              <w:t>；</w:t>
            </w:r>
          </w:p>
          <w:p>
            <w:pPr>
              <w:keepNext w:val="0"/>
              <w:keepLines w:val="0"/>
              <w:pageBreakBefore w:val="0"/>
              <w:numPr>
                <w:ilvl w:val="0"/>
                <w:numId w:val="3"/>
              </w:numPr>
              <w:shd w:val="clear" w:color="auto" w:fill="auto"/>
              <w:kinsoku/>
              <w:wordWrap/>
              <w:overflowPunct/>
              <w:topLinePunct w:val="0"/>
              <w:autoSpaceDE/>
              <w:autoSpaceDN/>
              <w:bidi w:val="0"/>
              <w:adjustRightInd/>
              <w:snapToGrid w:val="0"/>
              <w:spacing w:line="288" w:lineRule="auto"/>
              <w:ind w:left="0" w:leftChars="0" w:right="132" w:rightChars="63"/>
              <w:jc w:val="both"/>
              <w:textAlignment w:val="auto"/>
              <w:rPr>
                <w:rStyle w:val="113"/>
                <w:bCs/>
                <w:color w:val="auto"/>
                <w:sz w:val="22"/>
                <w:highlight w:val="none"/>
              </w:rPr>
            </w:pPr>
            <w:r>
              <w:rPr>
                <w:rStyle w:val="113"/>
                <w:rFonts w:hint="eastAsia" w:ascii="宋体" w:hAnsi="宋体"/>
                <w:bCs/>
                <w:color w:val="auto"/>
                <w:sz w:val="22"/>
                <w:highlight w:val="none"/>
              </w:rPr>
              <w:t>投标人</w:t>
            </w:r>
            <w:r>
              <w:rPr>
                <w:rStyle w:val="113"/>
                <w:bCs/>
                <w:color w:val="auto"/>
                <w:sz w:val="22"/>
                <w:highlight w:val="none"/>
              </w:rPr>
              <w:t>获得过市级人民政府颁发的“科学技术奖”的得1分。</w:t>
            </w:r>
          </w:p>
          <w:p>
            <w:pPr>
              <w:numPr>
                <w:ilvl w:val="0"/>
                <w:numId w:val="0"/>
              </w:numPr>
              <w:shd w:val="clear" w:color="auto" w:fill="auto"/>
              <w:snapToGrid w:val="0"/>
              <w:spacing w:line="288" w:lineRule="auto"/>
              <w:ind w:right="0"/>
              <w:jc w:val="both"/>
              <w:rPr>
                <w:rStyle w:val="113"/>
                <w:rFonts w:hint="eastAsia"/>
                <w:b w:val="0"/>
                <w:bCs/>
                <w:color w:val="auto"/>
                <w:spacing w:val="0"/>
                <w:kern w:val="2"/>
                <w:sz w:val="22"/>
                <w:szCs w:val="22"/>
                <w:highlight w:val="none"/>
              </w:rPr>
            </w:pPr>
            <w:r>
              <w:rPr>
                <w:rStyle w:val="113"/>
                <w:rFonts w:hint="eastAsia"/>
                <w:bCs/>
                <w:color w:val="auto"/>
                <w:sz w:val="22"/>
                <w:highlight w:val="none"/>
              </w:rPr>
              <w:t>注：本项最</w:t>
            </w:r>
            <w:r>
              <w:rPr>
                <w:rStyle w:val="113"/>
                <w:rFonts w:hint="eastAsia"/>
                <w:bCs/>
                <w:color w:val="auto"/>
                <w:sz w:val="22"/>
                <w:highlight w:val="none"/>
                <w:lang w:val="en-US" w:eastAsia="zh-CN"/>
              </w:rPr>
              <w:t>多</w:t>
            </w:r>
            <w:r>
              <w:rPr>
                <w:rStyle w:val="113"/>
                <w:rFonts w:hint="eastAsia"/>
                <w:bCs/>
                <w:color w:val="auto"/>
                <w:sz w:val="22"/>
                <w:highlight w:val="none"/>
              </w:rPr>
              <w:t>得</w:t>
            </w:r>
            <w:r>
              <w:rPr>
                <w:rStyle w:val="113"/>
                <w:rFonts w:hint="eastAsia"/>
                <w:bCs/>
                <w:color w:val="auto"/>
                <w:sz w:val="22"/>
                <w:highlight w:val="none"/>
                <w:lang w:val="en-US" w:eastAsia="zh-CN"/>
              </w:rPr>
              <w:t>8</w:t>
            </w:r>
            <w:r>
              <w:rPr>
                <w:rStyle w:val="113"/>
                <w:rFonts w:hint="eastAsia"/>
                <w:bCs/>
                <w:color w:val="auto"/>
                <w:sz w:val="22"/>
                <w:highlight w:val="none"/>
              </w:rPr>
              <w:t>分。不符合上述条件或未提供相关证明材料的不得分。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30" w:hRule="atLeast"/>
          <w:jc w:val="center"/>
        </w:trPr>
        <w:tc>
          <w:tcPr>
            <w:tcW w:w="2421" w:type="dxa"/>
            <w:gridSpan w:val="2"/>
            <w:shd w:val="clear" w:color="auto" w:fill="FFFFFF"/>
            <w:vAlign w:val="center"/>
          </w:tcPr>
          <w:p>
            <w:pPr>
              <w:pStyle w:val="112"/>
              <w:shd w:val="clear" w:color="auto" w:fill="auto"/>
              <w:snapToGrid w:val="0"/>
              <w:spacing w:line="276" w:lineRule="auto"/>
              <w:jc w:val="center"/>
              <w:rPr>
                <w:rFonts w:cs="宋体"/>
                <w:b/>
                <w:bCs/>
                <w:color w:val="auto"/>
                <w:sz w:val="22"/>
                <w:szCs w:val="22"/>
                <w:highlight w:val="none"/>
                <w:shd w:val="clear" w:color="auto" w:fill="FFFFFF"/>
                <w:lang w:val="zh-TW"/>
              </w:rPr>
            </w:pPr>
            <w:r>
              <w:rPr>
                <w:rFonts w:hint="eastAsia" w:cs="宋体"/>
                <w:b/>
                <w:bCs/>
                <w:color w:val="auto"/>
                <w:sz w:val="22"/>
                <w:szCs w:val="22"/>
                <w:highlight w:val="none"/>
                <w:shd w:val="clear" w:color="auto" w:fill="FFFFFF"/>
                <w:lang w:val="zh-TW"/>
              </w:rPr>
              <w:t>合计</w:t>
            </w:r>
          </w:p>
        </w:tc>
        <w:tc>
          <w:tcPr>
            <w:tcW w:w="709" w:type="dxa"/>
            <w:shd w:val="clear" w:color="auto" w:fill="FFFFFF"/>
            <w:vAlign w:val="center"/>
          </w:tcPr>
          <w:p>
            <w:pPr>
              <w:pStyle w:val="112"/>
              <w:shd w:val="clear" w:color="auto" w:fill="auto"/>
              <w:snapToGrid w:val="0"/>
              <w:spacing w:line="276" w:lineRule="auto"/>
              <w:jc w:val="center"/>
              <w:rPr>
                <w:rStyle w:val="114"/>
                <w:rFonts w:ascii="宋体" w:hAnsi="宋体" w:eastAsia="宋体"/>
                <w:b/>
                <w:bCs/>
                <w:color w:val="auto"/>
                <w:sz w:val="22"/>
                <w:szCs w:val="22"/>
                <w:highlight w:val="none"/>
              </w:rPr>
            </w:pPr>
            <w:r>
              <w:rPr>
                <w:rStyle w:val="114"/>
                <w:rFonts w:ascii="宋体" w:hAnsi="宋体" w:eastAsia="宋体"/>
                <w:b/>
                <w:bCs/>
                <w:color w:val="auto"/>
                <w:sz w:val="22"/>
                <w:szCs w:val="22"/>
                <w:highlight w:val="none"/>
              </w:rPr>
              <w:t>100</w:t>
            </w:r>
          </w:p>
        </w:tc>
        <w:tc>
          <w:tcPr>
            <w:tcW w:w="12022" w:type="dxa"/>
            <w:shd w:val="clear" w:color="auto" w:fill="FFFFFF"/>
            <w:vAlign w:val="center"/>
          </w:tcPr>
          <w:p>
            <w:pPr>
              <w:pStyle w:val="112"/>
              <w:shd w:val="clear" w:color="auto" w:fill="auto"/>
              <w:snapToGrid w:val="0"/>
              <w:spacing w:line="276" w:lineRule="auto"/>
              <w:rPr>
                <w:rStyle w:val="113"/>
                <w:color w:val="auto"/>
                <w:spacing w:val="10"/>
                <w:sz w:val="22"/>
                <w:szCs w:val="22"/>
                <w:highlight w:val="none"/>
              </w:rPr>
            </w:pPr>
          </w:p>
        </w:tc>
      </w:tr>
    </w:tbl>
    <w:p>
      <w:pPr>
        <w:numPr>
          <w:ilvl w:val="0"/>
          <w:numId w:val="0"/>
        </w:num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w:t>
      </w:r>
    </w:p>
    <w:p>
      <w:pPr>
        <w:numPr>
          <w:ilvl w:val="0"/>
          <w:numId w:val="0"/>
        </w:numPr>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1、</w:t>
      </w:r>
      <w:r>
        <w:rPr>
          <w:rFonts w:hint="eastAsia" w:ascii="宋体" w:hAnsi="宋体" w:cs="宋体"/>
          <w:color w:val="auto"/>
          <w:szCs w:val="21"/>
          <w:highlight w:val="none"/>
        </w:rPr>
        <w:t>技术负责人、安全负责人、质量负责人、造价负责人</w:t>
      </w:r>
      <w:r>
        <w:rPr>
          <w:rFonts w:hint="eastAsia" w:ascii="宋体" w:hAnsi="宋体" w:cs="宋体"/>
          <w:color w:val="auto"/>
          <w:szCs w:val="21"/>
          <w:highlight w:val="none"/>
          <w:u w:val="single"/>
        </w:rPr>
        <w:t>由投标人按招标文件第五章《主要人员配置要求表》以及上述评审标准委派，</w:t>
      </w:r>
      <w:r>
        <w:rPr>
          <w:rFonts w:hint="eastAsia" w:ascii="宋体" w:hAnsi="宋体" w:cs="宋体"/>
          <w:color w:val="auto"/>
          <w:szCs w:val="21"/>
          <w:highlight w:val="none"/>
        </w:rPr>
        <w:t>按招标文件第四章技术标投标文件格式</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提供《主要人员简历表》，并相应附上职称证、注册证等相关证明材料。</w:t>
      </w:r>
      <w:r>
        <w:rPr>
          <w:rFonts w:hint="eastAsia" w:ascii="宋体" w:hAnsi="宋体" w:cs="宋体"/>
          <w:b w:val="0"/>
          <w:bCs/>
          <w:color w:val="auto"/>
          <w:sz w:val="21"/>
          <w:szCs w:val="21"/>
          <w:highlight w:val="none"/>
        </w:rPr>
        <w:t>获得职称年限以职称证发证时间起计。</w:t>
      </w:r>
      <w:r>
        <w:rPr>
          <w:rFonts w:hint="eastAsia" w:ascii="宋体" w:hAnsi="宋体" w:cs="宋体"/>
          <w:color w:val="auto"/>
          <w:szCs w:val="21"/>
          <w:highlight w:val="none"/>
        </w:rPr>
        <w:t>拟投入的项目部人员，未经招标人同意，中标后不得更换，否则按合同约定承担违约责任。</w:t>
      </w:r>
      <w:r>
        <w:rPr>
          <w:rFonts w:hint="eastAsia" w:ascii="宋体" w:hAnsi="宋体" w:cs="宋体"/>
          <w:color w:val="auto"/>
          <w:szCs w:val="21"/>
          <w:highlight w:val="none"/>
          <w:lang w:val="en-US" w:eastAsia="zh-CN"/>
        </w:rPr>
        <w:t>所有</w:t>
      </w:r>
      <w:r>
        <w:rPr>
          <w:rFonts w:hint="eastAsia" w:ascii="宋体" w:hAnsi="宋体" w:cs="宋体"/>
          <w:color w:val="auto"/>
          <w:szCs w:val="21"/>
          <w:highlight w:val="none"/>
        </w:rPr>
        <w:t>人员除须提供相关证明资料外，还须提供近1个月（即</w:t>
      </w:r>
      <w:r>
        <w:rPr>
          <w:rFonts w:ascii="宋体" w:hAnsi="宋体" w:cs="宋体"/>
          <w:color w:val="auto"/>
          <w:szCs w:val="21"/>
          <w:highlight w:val="none"/>
        </w:rPr>
        <w:t>202</w:t>
      </w:r>
      <w:r>
        <w:rPr>
          <w:rFonts w:hint="eastAsia" w:ascii="宋体" w:hAnsi="宋体" w:cs="宋体"/>
          <w:color w:val="auto"/>
          <w:szCs w:val="21"/>
          <w:highlight w:val="none"/>
        </w:rPr>
        <w:t>3年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月）在投标人</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单位连续参保的社保缴纳记录证明扫描件（若当地政府部门允许企业在疫情期间缓缴社会保险费且投标人未缴纳的，投标人可提供当地政府部门允许缓缴社保的相关文件作为缴纳社保的证明，确定中标人后，招标人将核实中标人拟派人员的社保补缴情况），未提供或提供资料不全的不得分。</w:t>
      </w:r>
    </w:p>
    <w:p>
      <w:pPr>
        <w:spacing w:line="240" w:lineRule="auto"/>
        <w:ind w:firstLine="424" w:firstLineChars="202"/>
        <w:rPr>
          <w:rFonts w:ascii="宋体" w:hAnsi="宋体" w:cs="宋体"/>
          <w:strike w:val="0"/>
          <w:color w:val="auto"/>
          <w:szCs w:val="21"/>
          <w:highlight w:val="none"/>
        </w:rPr>
      </w:pPr>
      <w:r>
        <w:rPr>
          <w:rFonts w:ascii="宋体" w:hAnsi="宋体" w:cs="宋体"/>
          <w:strike w:val="0"/>
          <w:color w:val="auto"/>
          <w:szCs w:val="21"/>
          <w:highlight w:val="none"/>
        </w:rPr>
        <w:t>“建筑工程类”技术职称是指包含建筑施工管理、建筑施工、施工管理、工程管理、建筑工程造价、建筑生产技术管理</w:t>
      </w:r>
      <w:r>
        <w:rPr>
          <w:rFonts w:hint="eastAsia" w:ascii="宋体" w:hAnsi="宋体" w:cs="宋体"/>
          <w:strike w:val="0"/>
          <w:color w:val="auto"/>
          <w:szCs w:val="21"/>
          <w:highlight w:val="none"/>
        </w:rPr>
        <w:t>、土木工程</w:t>
      </w:r>
      <w:r>
        <w:rPr>
          <w:rFonts w:ascii="宋体" w:hAnsi="宋体" w:cs="宋体"/>
          <w:strike w:val="0"/>
          <w:color w:val="auto"/>
          <w:szCs w:val="21"/>
          <w:highlight w:val="none"/>
        </w:rPr>
        <w:t>等工程项目建设所涉及的相关专业的技术职称。</w:t>
      </w:r>
    </w:p>
    <w:p>
      <w:pPr>
        <w:spacing w:line="24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宋体"/>
          <w:color w:val="auto"/>
          <w:szCs w:val="21"/>
          <w:highlight w:val="none"/>
        </w:rPr>
        <w:t>类似工程业绩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指单项工程造价</w:t>
      </w:r>
      <w:r>
        <w:rPr>
          <w:rFonts w:ascii="宋体" w:hAnsi="宋体" w:cs="宋体"/>
          <w:color w:val="auto"/>
          <w:szCs w:val="21"/>
          <w:highlight w:val="none"/>
        </w:rPr>
        <w:t>为</w:t>
      </w:r>
      <w:r>
        <w:rPr>
          <w:rFonts w:hint="eastAsia" w:ascii="宋体" w:hAnsi="宋体" w:cs="宋体"/>
          <w:color w:val="auto"/>
          <w:szCs w:val="21"/>
          <w:highlight w:val="none"/>
          <w:u w:val="single"/>
          <w:lang w:val="en-US" w:eastAsia="zh-CN"/>
        </w:rPr>
        <w:t>4000</w:t>
      </w:r>
      <w:r>
        <w:rPr>
          <w:rFonts w:hint="eastAsia" w:ascii="宋体" w:hAnsi="宋体" w:cs="宋体"/>
          <w:color w:val="auto"/>
          <w:szCs w:val="21"/>
          <w:highlight w:val="none"/>
        </w:rPr>
        <w:t>万元或以上的建筑工程施工总承包工程。</w:t>
      </w:r>
      <w:r>
        <w:rPr>
          <w:rFonts w:hint="eastAsia" w:ascii="宋体" w:hAnsi="宋体" w:cs="仿宋_GB2312"/>
          <w:color w:val="auto"/>
          <w:szCs w:val="21"/>
          <w:highlight w:val="none"/>
        </w:rPr>
        <w:t>业绩取自广州市住建行业信用管理平台。</w:t>
      </w:r>
      <w:r>
        <w:rPr>
          <w:rFonts w:hint="eastAsia" w:ascii="宋体" w:hAnsi="宋体" w:cs="仿宋_GB2312"/>
          <w:color w:val="auto"/>
          <w:szCs w:val="21"/>
          <w:highlight w:val="none"/>
          <w:u w:val="single"/>
        </w:rPr>
        <w:t>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w:t>
      </w:r>
      <w:r>
        <w:rPr>
          <w:rFonts w:hint="eastAsia" w:ascii="宋体" w:hAnsi="宋体" w:cs="仿宋_GB2312"/>
          <w:color w:val="auto"/>
          <w:szCs w:val="21"/>
          <w:highlight w:val="none"/>
        </w:rPr>
        <w:t>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24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施工总承包业绩的中标金额以中标通知书为准，中标通知书上没有金额或免招标的，以施工合同（不含补充合同）为准；设计施工总承包业绩指设计施工总承包中的施工部分内容，中标金额以中标通知书中列明的建安工程费为准，若设计施工总承包业绩中的中标通知书未能体现建安工程费金额的，以合同中的建安工程费金额为准。</w:t>
      </w:r>
    </w:p>
    <w:p>
      <w:pPr>
        <w:spacing w:line="24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（2）完成时间以竣工验收文件为准。验收文件至少具有建设单位、设计、施工和监理单位盖章。</w:t>
      </w:r>
    </w:p>
    <w:p>
      <w:pPr>
        <w:spacing w:line="24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（3）平台内业绩上传件不符合上述要求的或登记的工程资质内容与施工合同等业绩证明资料不相符的，该项业绩不予认定。</w:t>
      </w:r>
    </w:p>
    <w:p>
      <w:pPr>
        <w:spacing w:line="24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3、企业工程项目获奖情况：</w:t>
      </w:r>
      <w:r>
        <w:rPr>
          <w:rFonts w:hint="eastAsia" w:ascii="宋体" w:hAnsi="宋体" w:eastAsia="宋体" w:cs="宋体"/>
          <w:color w:val="auto"/>
          <w:szCs w:val="21"/>
          <w:highlight w:val="none"/>
        </w:rPr>
        <w:t>全国绿色建筑创新奖须提供中华人民共和国住房和城乡建设部颁发的全国绿色建筑创新奖获奖证书扫描件或中华人民共和国住房和城乡建设部网站查询获奖名单的截图</w:t>
      </w:r>
      <w:r>
        <w:rPr>
          <w:rFonts w:hint="eastAsia" w:ascii="宋体" w:hAnsi="宋体" w:eastAsia="宋体" w:cs="宋体"/>
          <w:color w:val="auto"/>
          <w:szCs w:val="21"/>
          <w:highlight w:val="none"/>
          <w:lang w:eastAsia="zh-CN"/>
        </w:rPr>
        <w:t>。</w:t>
      </w:r>
    </w:p>
    <w:p>
      <w:pPr>
        <w:pStyle w:val="124"/>
        <w:tabs>
          <w:tab w:val="left" w:pos="6398"/>
        </w:tabs>
        <w:spacing w:after="80" w:line="288" w:lineRule="auto"/>
        <w:ind w:firstLine="420" w:firstLineChars="200"/>
        <w:rPr>
          <w:rFonts w:hint="eastAsia"/>
          <w:color w:val="auto"/>
          <w:sz w:val="22"/>
          <w:szCs w:val="22"/>
          <w:highlight w:val="none"/>
          <w:shd w:val="clear" w:color="auto" w:fill="auto"/>
          <w:lang w:val="en-US" w:eastAsia="zh-CN" w:bidi="ar-SA"/>
        </w:rPr>
      </w:pPr>
      <w:r>
        <w:rPr>
          <w:rFonts w:hint="eastAsia" w:ascii="宋体" w:hAnsi="宋体" w:cs="宋体"/>
          <w:b w:val="0"/>
          <w:bCs w:val="0"/>
          <w:color w:val="auto"/>
          <w:sz w:val="21"/>
          <w:szCs w:val="21"/>
          <w:highlight w:val="none"/>
          <w:u w:val="none"/>
          <w:shd w:val="clear"/>
          <w:lang w:val="en-US" w:eastAsia="zh-CN" w:bidi="ar-SA"/>
        </w:rPr>
        <w:t>4、财务状况：投标人</w:t>
      </w:r>
      <w:r>
        <w:rPr>
          <w:rFonts w:hint="eastAsia" w:ascii="宋体" w:hAnsi="宋体" w:eastAsia="宋体" w:cs="宋体"/>
          <w:color w:val="auto"/>
          <w:sz w:val="21"/>
          <w:szCs w:val="21"/>
          <w:highlight w:val="none"/>
          <w:u w:val="none"/>
          <w:shd w:val="clear"/>
          <w:lang w:val="en-US" w:eastAsia="zh-CN" w:bidi="ar-SA"/>
        </w:rPr>
        <w:t>需</w:t>
      </w:r>
      <w:r>
        <w:rPr>
          <w:rFonts w:hint="eastAsia" w:ascii="宋体" w:hAnsi="宋体" w:cs="宋体"/>
          <w:b w:val="0"/>
          <w:bCs w:val="0"/>
          <w:color w:val="auto"/>
          <w:sz w:val="21"/>
          <w:szCs w:val="21"/>
          <w:highlight w:val="none"/>
          <w:u w:val="none"/>
          <w:shd w:val="clear"/>
          <w:lang w:val="en-US" w:eastAsia="zh-CN" w:bidi="ar-SA"/>
        </w:rPr>
        <w:t>提供2020年度、2021年度、2022年度经会计事务所审计的审计报告扫描件（包括资产负债表、利润表、现金流量表等，财务报表附注可不提供）。如年度审计报告未经会计事务所审计或不符合上述情况的，不得分。资产负债率计算公式：</w:t>
      </w:r>
      <w:r>
        <w:rPr>
          <w:rFonts w:hint="eastAsia"/>
          <w:color w:val="auto"/>
          <w:sz w:val="21"/>
          <w:szCs w:val="21"/>
          <w:highlight w:val="none"/>
          <w:u w:val="none"/>
          <w:shd w:val="clear"/>
          <w:lang w:val="en-US" w:eastAsia="zh-CN" w:bidi="ar-SA"/>
        </w:rPr>
        <w:t>资产负债率=（期末）负债总额/（期末）资产总额×100%。</w:t>
      </w:r>
    </w:p>
    <w:p>
      <w:pPr>
        <w:widowControl/>
        <w:ind w:firstLine="420" w:firstLineChars="200"/>
        <w:jc w:val="left"/>
        <w:rPr>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、工程研发能力：</w:t>
      </w:r>
      <w:r>
        <w:rPr>
          <w:rFonts w:hint="eastAsia" w:ascii="宋体" w:hAnsi="宋体" w:cs="宋体"/>
          <w:color w:val="auto"/>
          <w:szCs w:val="21"/>
          <w:highlight w:val="none"/>
          <w:u w:val="none"/>
          <w:shd w:val="clear" w:color="auto" w:fill="auto"/>
        </w:rPr>
        <w:t>投标人须提交由国务院颁发的“国家科学技术进步奖”或省、市级人民政府颁发的“科学技术奖”获奖证书扫描件。获奖单位须与投标人单位一致，不含子公司和分公司。不符合上述条件或无法提供证书扫描件或扫描件无加盖投标人电子印章的不予计分。同一投标人获得多个多次奖项的，只按获奖最高级别计算一次分数，不得重复计算。</w:t>
      </w:r>
    </w:p>
    <w:p>
      <w:pPr>
        <w:spacing w:line="24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、所有评委的分数算术平均值为投标人的最终得分。分数出现小数点，保留小数点后二位小数，第三位小数四舍五入。</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rPr>
          <w:strike w:val="0"/>
          <w:color w:val="auto"/>
          <w:szCs w:val="21"/>
          <w:highlight w:val="none"/>
        </w:rPr>
      </w:pPr>
      <w:r>
        <w:rPr>
          <w:rFonts w:hint="eastAsia"/>
          <w:strike w:val="0"/>
          <w:color w:val="auto"/>
          <w:szCs w:val="21"/>
          <w:highlight w:val="none"/>
        </w:rPr>
        <w:t>附表五（适用于加权平均法）</w:t>
      </w:r>
    </w:p>
    <w:p>
      <w:pPr>
        <w:jc w:val="center"/>
        <w:rPr>
          <w:b/>
          <w:strike w:val="0"/>
          <w:color w:val="auto"/>
          <w:sz w:val="36"/>
          <w:szCs w:val="36"/>
          <w:highlight w:val="none"/>
        </w:rPr>
      </w:pPr>
      <w:r>
        <w:rPr>
          <w:rFonts w:hint="eastAsia"/>
          <w:b/>
          <w:strike w:val="0"/>
          <w:color w:val="auto"/>
          <w:sz w:val="36"/>
          <w:szCs w:val="36"/>
          <w:highlight w:val="none"/>
        </w:rPr>
        <w:t>经济标评分表</w:t>
      </w:r>
    </w:p>
    <w:p>
      <w:pPr>
        <w:rPr>
          <w:strike w:val="0"/>
          <w:color w:val="auto"/>
          <w:szCs w:val="21"/>
          <w:highlight w:val="none"/>
        </w:rPr>
      </w:pPr>
      <w:r>
        <w:rPr>
          <w:rFonts w:hint="eastAsia"/>
          <w:strike w:val="0"/>
          <w:color w:val="auto"/>
          <w:szCs w:val="21"/>
          <w:highlight w:val="none"/>
        </w:rPr>
        <w:t>工程名称：</w:t>
      </w:r>
    </w:p>
    <w:tbl>
      <w:tblPr>
        <w:tblStyle w:val="4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投标报价</w:t>
            </w:r>
            <w:r>
              <w:rPr>
                <w:rFonts w:ascii="宋体" w:hAnsi="宋体"/>
                <w:strike w:val="0"/>
                <w:color w:val="auto"/>
                <w:szCs w:val="21"/>
                <w:highlight w:val="none"/>
              </w:rPr>
              <w:t>PT</w:t>
            </w:r>
            <w:r>
              <w:rPr>
                <w:rFonts w:hint="eastAsia" w:ascii="宋体" w:hAnsi="宋体"/>
                <w:strike w:val="0"/>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偏差（（</w:t>
            </w:r>
            <w:r>
              <w:rPr>
                <w:rFonts w:ascii="宋体" w:hAnsi="宋体"/>
                <w:strike w:val="0"/>
                <w:color w:val="auto"/>
                <w:szCs w:val="21"/>
                <w:highlight w:val="none"/>
              </w:rPr>
              <w:t>PT-PC</w:t>
            </w:r>
            <w:r>
              <w:rPr>
                <w:rFonts w:hint="eastAsia" w:ascii="宋体" w:hAnsi="宋体"/>
                <w:strike w:val="0"/>
                <w:color w:val="auto"/>
                <w:szCs w:val="21"/>
                <w:highlight w:val="none"/>
              </w:rPr>
              <w:t>）</w:t>
            </w:r>
            <w:r>
              <w:rPr>
                <w:rFonts w:ascii="宋体" w:hAnsi="宋体"/>
                <w:strike w:val="0"/>
                <w:color w:val="auto"/>
                <w:szCs w:val="21"/>
                <w:highlight w:val="none"/>
              </w:rPr>
              <w:t>/PC</w:t>
            </w:r>
            <w:r>
              <w:rPr>
                <w:rFonts w:hint="eastAsia" w:ascii="宋体" w:hAnsi="宋体"/>
                <w:strike w:val="0"/>
                <w:color w:val="auto"/>
                <w:szCs w:val="21"/>
                <w:highlight w:val="none"/>
              </w:rPr>
              <w:t>）（</w:t>
            </w:r>
            <w:r>
              <w:rPr>
                <w:rFonts w:ascii="宋体" w:hAnsi="宋体"/>
                <w:strike w:val="0"/>
                <w:color w:val="auto"/>
                <w:szCs w:val="21"/>
                <w:highlight w:val="none"/>
              </w:rPr>
              <w:t>%</w:t>
            </w:r>
            <w:r>
              <w:rPr>
                <w:rFonts w:hint="eastAsia" w:ascii="宋体" w:hAnsi="宋体"/>
                <w:strike w:val="0"/>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减分（</w:t>
            </w:r>
            <w:r>
              <w:rPr>
                <w:rFonts w:ascii="宋体" w:hAnsi="宋体"/>
                <w:strike w:val="0"/>
                <w:color w:val="auto"/>
                <w:szCs w:val="21"/>
                <w:highlight w:val="none"/>
              </w:rPr>
              <w:t>A</w:t>
            </w:r>
            <w:r>
              <w:rPr>
                <w:rFonts w:hint="eastAsia" w:ascii="宋体" w:hAnsi="宋体"/>
                <w:strike w:val="0"/>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得分</w:t>
            </w:r>
            <w:r>
              <w:rPr>
                <w:rFonts w:ascii="宋体" w:hAnsi="宋体"/>
                <w:strike w:val="0"/>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p>
        </w:tc>
      </w:tr>
    </w:tbl>
    <w:p>
      <w:pPr>
        <w:rPr>
          <w:color w:val="auto"/>
          <w:szCs w:val="21"/>
          <w:highlight w:val="none"/>
        </w:rPr>
      </w:pPr>
      <w:r>
        <w:rPr>
          <w:rFonts w:hint="eastAsia"/>
          <w:strike w:val="0"/>
          <w:color w:val="auto"/>
          <w:szCs w:val="21"/>
          <w:highlight w:val="none"/>
        </w:rPr>
        <w:t>评委签名：</w:t>
      </w:r>
      <w:r>
        <w:rPr>
          <w:b/>
          <w:strike w:val="0"/>
          <w:color w:val="auto"/>
          <w:sz w:val="36"/>
          <w:szCs w:val="36"/>
          <w:highlight w:val="none"/>
        </w:rPr>
        <w:br w:type="page"/>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4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Layout w:type="fixed"/>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4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437"/>
        <w:gridCol w:w="2775"/>
        <w:gridCol w:w="3594"/>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编号</w:t>
            </w:r>
          </w:p>
        </w:tc>
        <w:tc>
          <w:tcPr>
            <w:tcW w:w="343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投标人名称</w:t>
            </w:r>
          </w:p>
        </w:tc>
        <w:tc>
          <w:tcPr>
            <w:tcW w:w="277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原投标报价（A）</w:t>
            </w:r>
          </w:p>
        </w:tc>
        <w:tc>
          <w:tcPr>
            <w:tcW w:w="359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37"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2775"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594"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jc w:val="cente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40" w:right="1440" w:bottom="1440" w:left="1440" w:header="851" w:footer="907" w:gutter="0"/>
          <w:pgBorders>
            <w:top w:val="none" w:sz="0" w:space="0"/>
            <w:left w:val="none" w:sz="0" w:space="0"/>
            <w:bottom w:val="none" w:sz="0" w:space="0"/>
            <w:right w:val="none" w:sz="0" w:space="0"/>
          </w:pgBorders>
          <w:cols w:space="0" w:num="1"/>
          <w:titlePg/>
          <w:rtlGutter w:val="0"/>
          <w:docGrid w:type="lines" w:linePitch="312" w:charSpace="0"/>
        </w:sectPr>
      </w:pPr>
    </w:p>
    <w:p>
      <w:pPr>
        <w:pStyle w:val="5"/>
        <w:rPr>
          <w:color w:val="auto"/>
          <w:highlight w:val="none"/>
        </w:rPr>
      </w:pPr>
      <w:bookmarkStart w:id="43" w:name="_Toc2272566"/>
      <w:bookmarkStart w:id="44" w:name="_Toc21525511"/>
      <w:r>
        <w:rPr>
          <w:rFonts w:hint="eastAsia"/>
          <w:color w:val="auto"/>
          <w:highlight w:val="none"/>
        </w:rPr>
        <w:t>第三章</w:t>
      </w:r>
      <w:r>
        <w:rPr>
          <w:color w:val="auto"/>
          <w:highlight w:val="none"/>
        </w:rPr>
        <w:t xml:space="preserve">  </w:t>
      </w:r>
      <w:r>
        <w:rPr>
          <w:rFonts w:hint="eastAsia"/>
          <w:color w:val="auto"/>
          <w:highlight w:val="none"/>
        </w:rPr>
        <w:t>合同条款</w:t>
      </w:r>
      <w:bookmarkEnd w:id="43"/>
      <w:bookmarkEnd w:id="44"/>
    </w:p>
    <w:p>
      <w:pPr>
        <w:jc w:val="center"/>
        <w:rPr>
          <w:color w:val="auto"/>
          <w:sz w:val="24"/>
          <w:szCs w:val="24"/>
          <w:highlight w:val="none"/>
        </w:rPr>
      </w:pPr>
      <w:r>
        <w:rPr>
          <w:rFonts w:hint="eastAsia"/>
          <w:color w:val="auto"/>
          <w:sz w:val="24"/>
          <w:szCs w:val="24"/>
          <w:highlight w:val="none"/>
        </w:rPr>
        <w:t>注：</w:t>
      </w:r>
      <w:r>
        <w:rPr>
          <w:rFonts w:hint="eastAsia" w:ascii="宋体" w:hAnsi="宋体"/>
          <w:color w:val="auto"/>
          <w:sz w:val="24"/>
          <w:szCs w:val="24"/>
          <w:highlight w:val="none"/>
        </w:rPr>
        <w:t>另册。</w:t>
      </w:r>
    </w:p>
    <w:p>
      <w:pPr>
        <w:pStyle w:val="22"/>
        <w:spacing w:line="360" w:lineRule="auto"/>
        <w:rPr>
          <w:color w:val="auto"/>
          <w:sz w:val="24"/>
          <w:szCs w:val="24"/>
          <w:highlight w:val="none"/>
        </w:rPr>
      </w:pPr>
      <w:r>
        <w:rPr>
          <w:color w:val="auto"/>
          <w:sz w:val="24"/>
          <w:szCs w:val="24"/>
          <w:highlight w:val="none"/>
        </w:rPr>
        <w:br w:type="page"/>
      </w:r>
    </w:p>
    <w:p>
      <w:pPr>
        <w:pStyle w:val="5"/>
        <w:rPr>
          <w:color w:val="auto"/>
          <w:highlight w:val="none"/>
        </w:rPr>
      </w:pPr>
      <w:bookmarkStart w:id="45" w:name="_Toc21525512"/>
      <w:bookmarkStart w:id="46"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45"/>
      <w:bookmarkEnd w:id="46"/>
    </w:p>
    <w:p>
      <w:pPr>
        <w:topLinePunct/>
        <w:adjustRightInd w:val="0"/>
        <w:snapToGrid w:val="0"/>
        <w:spacing w:line="360" w:lineRule="auto"/>
        <w:jc w:val="left"/>
        <w:outlineLvl w:val="0"/>
        <w:rPr>
          <w:rFonts w:ascii="宋体" w:hAnsi="宋体"/>
          <w:b/>
          <w:snapToGrid w:val="0"/>
          <w:color w:val="auto"/>
          <w:spacing w:val="4"/>
          <w:kern w:val="0"/>
          <w:sz w:val="30"/>
          <w:szCs w:val="30"/>
          <w:highlight w:val="none"/>
        </w:rPr>
      </w:pPr>
      <w:bookmarkStart w:id="47" w:name="_Toc8084"/>
      <w:bookmarkStart w:id="48" w:name="_Toc14697646"/>
      <w:bookmarkStart w:id="49" w:name="_Toc22928"/>
      <w:bookmarkStart w:id="50" w:name="_Toc7019446"/>
    </w:p>
    <w:p>
      <w:pPr>
        <w:topLinePunct/>
        <w:adjustRightInd w:val="0"/>
        <w:snapToGrid w:val="0"/>
        <w:spacing w:line="360" w:lineRule="auto"/>
        <w:jc w:val="left"/>
        <w:outlineLvl w:val="0"/>
        <w:rPr>
          <w:rFonts w:ascii="宋体" w:hAnsi="宋体"/>
          <w:b/>
          <w:snapToGrid w:val="0"/>
          <w:color w:val="auto"/>
          <w:spacing w:val="4"/>
          <w:kern w:val="0"/>
          <w:sz w:val="30"/>
          <w:szCs w:val="30"/>
          <w:highlight w:val="none"/>
        </w:rPr>
      </w:pPr>
      <w:r>
        <w:rPr>
          <w:rFonts w:hint="eastAsia" w:ascii="宋体" w:hAnsi="宋体"/>
          <w:b/>
          <w:snapToGrid w:val="0"/>
          <w:color w:val="auto"/>
          <w:spacing w:val="4"/>
          <w:kern w:val="0"/>
          <w:sz w:val="30"/>
          <w:szCs w:val="30"/>
          <w:highlight w:val="none"/>
        </w:rPr>
        <w:t>一、技术标投标文件格式</w:t>
      </w:r>
      <w:bookmarkEnd w:id="47"/>
      <w:bookmarkEnd w:id="48"/>
      <w:bookmarkEnd w:id="49"/>
      <w:bookmarkEnd w:id="50"/>
    </w:p>
    <w:p>
      <w:pPr>
        <w:widowControl/>
        <w:spacing w:before="100" w:beforeAutospacing="1" w:after="100" w:afterAutospacing="1"/>
        <w:jc w:val="left"/>
        <w:outlineLvl w:val="2"/>
        <w:rPr>
          <w:rFonts w:ascii="宋体" w:hAnsi="宋体"/>
          <w:b/>
          <w:color w:val="auto"/>
          <w:kern w:val="0"/>
          <w:sz w:val="24"/>
          <w:szCs w:val="24"/>
          <w:highlight w:val="none"/>
        </w:rPr>
      </w:pPr>
      <w:r>
        <w:rPr>
          <w:color w:val="auto"/>
          <w:highlight w:val="none"/>
        </w:rPr>
        <w:br w:type="page"/>
      </w:r>
      <w:bookmarkStart w:id="51" w:name="_Toc17751"/>
      <w:bookmarkStart w:id="52" w:name="_Toc14697647"/>
      <w:r>
        <w:rPr>
          <w:rFonts w:hint="eastAsia" w:ascii="宋体" w:hAnsi="宋体"/>
          <w:b/>
          <w:color w:val="auto"/>
          <w:kern w:val="0"/>
          <w:sz w:val="24"/>
          <w:szCs w:val="24"/>
          <w:highlight w:val="none"/>
        </w:rPr>
        <w:t>格式一：技术标封面</w:t>
      </w:r>
      <w:bookmarkEnd w:id="51"/>
      <w:bookmarkEnd w:id="52"/>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jc w:val="center"/>
        <w:rPr>
          <w:rFonts w:ascii="宋体" w:hAnsi="宋体"/>
          <w:snapToGrid w:val="0"/>
          <w:color w:val="auto"/>
          <w:spacing w:val="4"/>
          <w:kern w:val="0"/>
          <w:sz w:val="36"/>
          <w:szCs w:val="36"/>
          <w:highlight w:val="none"/>
          <w:u w:val="single"/>
        </w:rPr>
      </w:pPr>
      <w:r>
        <w:rPr>
          <w:rFonts w:hint="eastAsia" w:ascii="宋体" w:hAnsi="宋体"/>
          <w:snapToGrid w:val="0"/>
          <w:color w:val="auto"/>
          <w:spacing w:val="4"/>
          <w:kern w:val="0"/>
          <w:sz w:val="36"/>
          <w:szCs w:val="36"/>
          <w:highlight w:val="none"/>
          <w:u w:val="single"/>
        </w:rPr>
        <w:t xml:space="preserve">[工程名称] </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jc w:val="center"/>
        <w:rPr>
          <w:rFonts w:ascii="宋体" w:hAnsi="宋体"/>
          <w:snapToGrid w:val="0"/>
          <w:color w:val="auto"/>
          <w:spacing w:val="4"/>
          <w:kern w:val="0"/>
          <w:sz w:val="84"/>
          <w:szCs w:val="84"/>
          <w:highlight w:val="none"/>
        </w:rPr>
      </w:pPr>
      <w:r>
        <w:rPr>
          <w:rFonts w:hint="eastAsia" w:ascii="宋体" w:hAnsi="宋体"/>
          <w:snapToGrid w:val="0"/>
          <w:color w:val="auto"/>
          <w:spacing w:val="4"/>
          <w:kern w:val="0"/>
          <w:sz w:val="84"/>
          <w:szCs w:val="84"/>
          <w:highlight w:val="none"/>
        </w:rPr>
        <w:t>投标文件</w:t>
      </w:r>
    </w:p>
    <w:p>
      <w:pPr>
        <w:topLinePunct/>
        <w:adjustRightInd w:val="0"/>
        <w:snapToGrid w:val="0"/>
        <w:spacing w:line="360" w:lineRule="auto"/>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第一册  【技术投标文件（含资格审查文件）】</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576" w:firstLineChars="200"/>
        <w:rPr>
          <w:rFonts w:ascii="宋体" w:hAnsi="宋体"/>
          <w:snapToGrid w:val="0"/>
          <w:color w:val="auto"/>
          <w:spacing w:val="4"/>
          <w:kern w:val="0"/>
          <w:sz w:val="28"/>
          <w:szCs w:val="28"/>
          <w:highlight w:val="none"/>
        </w:rPr>
      </w:pPr>
    </w:p>
    <w:p>
      <w:pPr>
        <w:topLinePunct/>
        <w:adjustRightInd w:val="0"/>
        <w:snapToGrid w:val="0"/>
        <w:spacing w:line="360" w:lineRule="auto"/>
        <w:ind w:firstLine="576" w:firstLineChars="200"/>
        <w:jc w:val="left"/>
        <w:rPr>
          <w:rFonts w:ascii="宋体" w:hAnsi="宋体"/>
          <w:snapToGrid w:val="0"/>
          <w:color w:val="auto"/>
          <w:spacing w:val="4"/>
          <w:kern w:val="0"/>
          <w:sz w:val="28"/>
          <w:szCs w:val="28"/>
          <w:highlight w:val="none"/>
        </w:rPr>
      </w:pPr>
      <w:r>
        <w:rPr>
          <w:rFonts w:hint="eastAsia" w:ascii="宋体" w:hAnsi="宋体"/>
          <w:snapToGrid w:val="0"/>
          <w:color w:val="auto"/>
          <w:spacing w:val="4"/>
          <w:kern w:val="0"/>
          <w:sz w:val="28"/>
          <w:szCs w:val="28"/>
          <w:highlight w:val="none"/>
        </w:rPr>
        <w:t>投标人：</w:t>
      </w:r>
      <w:r>
        <w:rPr>
          <w:rFonts w:hint="eastAsia" w:ascii="宋体" w:hAnsi="宋体"/>
          <w:snapToGrid w:val="0"/>
          <w:color w:val="auto"/>
          <w:spacing w:val="4"/>
          <w:kern w:val="0"/>
          <w:sz w:val="28"/>
          <w:szCs w:val="28"/>
          <w:highlight w:val="none"/>
          <w:u w:val="single"/>
        </w:rPr>
        <w:t xml:space="preserve">           （填写投标人单位名称）    （盖章）</w:t>
      </w:r>
    </w:p>
    <w:p>
      <w:pPr>
        <w:topLinePunct/>
        <w:adjustRightInd w:val="0"/>
        <w:snapToGrid w:val="0"/>
        <w:spacing w:line="360" w:lineRule="auto"/>
        <w:ind w:firstLine="576" w:firstLineChars="200"/>
        <w:jc w:val="left"/>
        <w:rPr>
          <w:rFonts w:ascii="宋体" w:hAnsi="宋体"/>
          <w:snapToGrid w:val="0"/>
          <w:color w:val="auto"/>
          <w:spacing w:val="4"/>
          <w:kern w:val="0"/>
          <w:sz w:val="28"/>
          <w:szCs w:val="28"/>
          <w:highlight w:val="none"/>
        </w:rPr>
      </w:pPr>
    </w:p>
    <w:p>
      <w:pPr>
        <w:topLinePunct/>
        <w:adjustRightInd w:val="0"/>
        <w:snapToGrid w:val="0"/>
        <w:spacing w:line="360" w:lineRule="auto"/>
        <w:ind w:firstLine="576" w:firstLineChars="200"/>
        <w:jc w:val="left"/>
        <w:rPr>
          <w:rFonts w:ascii="宋体" w:hAnsi="宋体"/>
          <w:snapToGrid w:val="0"/>
          <w:color w:val="auto"/>
          <w:spacing w:val="4"/>
          <w:kern w:val="0"/>
          <w:sz w:val="28"/>
          <w:szCs w:val="28"/>
          <w:highlight w:val="none"/>
        </w:rPr>
      </w:pPr>
      <w:r>
        <w:rPr>
          <w:rFonts w:hint="eastAsia" w:ascii="宋体" w:hAnsi="宋体"/>
          <w:snapToGrid w:val="0"/>
          <w:color w:val="auto"/>
          <w:spacing w:val="4"/>
          <w:kern w:val="0"/>
          <w:sz w:val="28"/>
          <w:szCs w:val="28"/>
          <w:highlight w:val="none"/>
        </w:rPr>
        <w:t>法定代表人或</w:t>
      </w:r>
    </w:p>
    <w:p>
      <w:pPr>
        <w:topLinePunct/>
        <w:adjustRightInd w:val="0"/>
        <w:snapToGrid w:val="0"/>
        <w:spacing w:line="360" w:lineRule="auto"/>
        <w:ind w:firstLine="576" w:firstLineChars="200"/>
        <w:jc w:val="left"/>
        <w:rPr>
          <w:rFonts w:ascii="宋体" w:hAnsi="宋体"/>
          <w:snapToGrid w:val="0"/>
          <w:color w:val="auto"/>
          <w:spacing w:val="4"/>
          <w:kern w:val="0"/>
          <w:sz w:val="28"/>
          <w:szCs w:val="28"/>
          <w:highlight w:val="none"/>
        </w:rPr>
      </w:pPr>
      <w:r>
        <w:rPr>
          <w:rFonts w:hint="eastAsia" w:ascii="宋体" w:hAnsi="宋体"/>
          <w:snapToGrid w:val="0"/>
          <w:color w:val="auto"/>
          <w:spacing w:val="4"/>
          <w:kern w:val="0"/>
          <w:sz w:val="28"/>
          <w:szCs w:val="28"/>
          <w:highlight w:val="none"/>
        </w:rPr>
        <w:t>其委托代理人：</w:t>
      </w:r>
      <w:r>
        <w:rPr>
          <w:rFonts w:hint="eastAsia" w:ascii="宋体" w:hAnsi="宋体"/>
          <w:snapToGrid w:val="0"/>
          <w:color w:val="auto"/>
          <w:spacing w:val="4"/>
          <w:kern w:val="0"/>
          <w:sz w:val="28"/>
          <w:szCs w:val="28"/>
          <w:highlight w:val="none"/>
          <w:u w:val="single"/>
        </w:rPr>
        <w:t xml:space="preserve">                         （签名或盖章）</w:t>
      </w:r>
    </w:p>
    <w:p>
      <w:pPr>
        <w:topLinePunct/>
        <w:adjustRightInd w:val="0"/>
        <w:snapToGrid w:val="0"/>
        <w:spacing w:line="360" w:lineRule="auto"/>
        <w:ind w:firstLine="576" w:firstLineChars="200"/>
        <w:jc w:val="left"/>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8"/>
          <w:szCs w:val="28"/>
          <w:highlight w:val="none"/>
        </w:rPr>
        <w:t>日  期：</w:t>
      </w:r>
      <w:r>
        <w:rPr>
          <w:rFonts w:hint="eastAsia" w:ascii="宋体" w:hAnsi="宋体"/>
          <w:snapToGrid w:val="0"/>
          <w:color w:val="auto"/>
          <w:spacing w:val="4"/>
          <w:kern w:val="0"/>
          <w:sz w:val="28"/>
          <w:szCs w:val="28"/>
          <w:highlight w:val="none"/>
          <w:u w:val="single"/>
        </w:rPr>
        <w:t xml:space="preserve">                                           </w:t>
      </w:r>
      <w:r>
        <w:rPr>
          <w:rFonts w:hint="eastAsia" w:ascii="宋体" w:hAnsi="宋体"/>
          <w:snapToGrid w:val="0"/>
          <w:color w:val="auto"/>
          <w:spacing w:val="4"/>
          <w:kern w:val="0"/>
          <w:sz w:val="30"/>
          <w:szCs w:val="30"/>
          <w:highlight w:val="none"/>
          <w:u w:val="single"/>
        </w:rPr>
        <w:t xml:space="preserve"> </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pStyle w:val="10"/>
        <w:rPr>
          <w:rFonts w:ascii="宋体" w:hAnsi="宋体"/>
          <w:snapToGrid w:val="0"/>
          <w:color w:val="auto"/>
          <w:spacing w:val="4"/>
          <w:kern w:val="0"/>
          <w:sz w:val="24"/>
          <w:szCs w:val="24"/>
          <w:highlight w:val="none"/>
        </w:rPr>
      </w:pPr>
    </w:p>
    <w:p>
      <w:pPr>
        <w:rPr>
          <w:color w:val="auto"/>
          <w:highlight w:val="none"/>
        </w:rPr>
      </w:pPr>
    </w:p>
    <w:p>
      <w:pPr>
        <w:autoSpaceDE w:val="0"/>
        <w:autoSpaceDN w:val="0"/>
        <w:adjustRightInd w:val="0"/>
        <w:rPr>
          <w:rFonts w:ascii="宋体" w:cs="宋体"/>
          <w:b/>
          <w:bCs/>
          <w:color w:val="auto"/>
          <w:szCs w:val="21"/>
          <w:highlight w:val="none"/>
          <w:lang w:val="zh-CN"/>
        </w:rPr>
      </w:pPr>
      <w:bookmarkStart w:id="53" w:name="_Toc14697648"/>
      <w:bookmarkStart w:id="54" w:name="_Toc23471"/>
      <w:r>
        <w:rPr>
          <w:rFonts w:hint="eastAsia"/>
          <w:bCs/>
          <w:color w:val="auto"/>
          <w:szCs w:val="21"/>
          <w:highlight w:val="none"/>
        </w:rPr>
        <w:t>格式二：广州建设工程施工招标投标书</w:t>
      </w:r>
      <w:bookmarkEnd w:id="53"/>
      <w:bookmarkEnd w:id="54"/>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4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topLinePunct/>
        <w:adjustRightInd w:val="0"/>
        <w:snapToGrid w:val="0"/>
        <w:jc w:val="left"/>
        <w:outlineLvl w:val="2"/>
        <w:rPr>
          <w:rFonts w:ascii="宋体" w:hAnsi="宋体"/>
          <w:snapToGrid w:val="0"/>
          <w:color w:val="auto"/>
          <w:spacing w:val="4"/>
          <w:kern w:val="0"/>
          <w:sz w:val="24"/>
          <w:szCs w:val="24"/>
          <w:highlight w:val="none"/>
        </w:rPr>
      </w:pPr>
      <w:r>
        <w:rPr>
          <w:color w:val="auto"/>
          <w:sz w:val="24"/>
          <w:szCs w:val="24"/>
          <w:highlight w:val="none"/>
        </w:rPr>
        <w:br w:type="page"/>
      </w:r>
      <w:bookmarkStart w:id="55" w:name="_Toc4489937"/>
      <w:bookmarkStart w:id="56" w:name="_Toc22278"/>
      <w:bookmarkStart w:id="57" w:name="_Toc504722505"/>
      <w:bookmarkStart w:id="58" w:name="_Toc27343"/>
      <w:bookmarkStart w:id="59" w:name="_Toc14697649"/>
      <w:r>
        <w:rPr>
          <w:rFonts w:hint="eastAsia" w:ascii="宋体" w:hAnsi="宋体"/>
          <w:snapToGrid w:val="0"/>
          <w:color w:val="auto"/>
          <w:spacing w:val="4"/>
          <w:kern w:val="0"/>
          <w:sz w:val="24"/>
          <w:szCs w:val="24"/>
          <w:highlight w:val="none"/>
        </w:rPr>
        <w:t>格式三：投标函</w:t>
      </w:r>
      <w:bookmarkEnd w:id="55"/>
      <w:bookmarkEnd w:id="56"/>
      <w:bookmarkEnd w:id="57"/>
      <w:bookmarkEnd w:id="58"/>
      <w:bookmarkEnd w:id="59"/>
    </w:p>
    <w:p>
      <w:pPr>
        <w:topLinePunct/>
        <w:adjustRightInd w:val="0"/>
        <w:snapToGrid w:val="0"/>
        <w:spacing w:before="156" w:after="156" w:line="360" w:lineRule="auto"/>
        <w:jc w:val="center"/>
        <w:rPr>
          <w:rFonts w:ascii="宋体" w:hAnsi="宋体"/>
          <w:b/>
          <w:snapToGrid w:val="0"/>
          <w:color w:val="auto"/>
          <w:spacing w:val="4"/>
          <w:kern w:val="0"/>
          <w:sz w:val="36"/>
          <w:szCs w:val="36"/>
          <w:highlight w:val="none"/>
        </w:rPr>
      </w:pPr>
      <w:r>
        <w:rPr>
          <w:rFonts w:hint="eastAsia" w:ascii="宋体" w:hAnsi="宋体"/>
          <w:b/>
          <w:snapToGrid w:val="0"/>
          <w:color w:val="auto"/>
          <w:spacing w:val="4"/>
          <w:kern w:val="0"/>
          <w:sz w:val="36"/>
          <w:szCs w:val="36"/>
          <w:highlight w:val="none"/>
        </w:rPr>
        <w:t>投 标 函</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致：</w:t>
      </w:r>
      <w:r>
        <w:rPr>
          <w:rFonts w:hint="eastAsia" w:ascii="宋体" w:hAnsi="宋体"/>
          <w:snapToGrid w:val="0"/>
          <w:color w:val="auto"/>
          <w:spacing w:val="4"/>
          <w:kern w:val="0"/>
          <w:sz w:val="24"/>
          <w:szCs w:val="24"/>
          <w:highlight w:val="none"/>
          <w:u w:val="single"/>
        </w:rPr>
        <w:t xml:space="preserve"> （招标人名称） </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1.根据招标人</w:t>
      </w:r>
      <w:r>
        <w:rPr>
          <w:rFonts w:hint="eastAsia" w:ascii="宋体" w:hAnsi="宋体"/>
          <w:snapToGrid w:val="0"/>
          <w:color w:val="auto"/>
          <w:spacing w:val="4"/>
          <w:kern w:val="0"/>
          <w:sz w:val="24"/>
          <w:szCs w:val="24"/>
          <w:highlight w:val="none"/>
          <w:u w:val="single"/>
        </w:rPr>
        <w:t xml:space="preserve"> （工程项目名称） </w:t>
      </w:r>
      <w:r>
        <w:rPr>
          <w:rFonts w:hint="eastAsia" w:ascii="宋体" w:hAnsi="宋体"/>
          <w:snapToGrid w:val="0"/>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2.我方已详细审核全部招标文件，包括修改文件（如有时）及有关附件。</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3.如果我方中标，我方保证按照合同文件中规定的开工日期开始施工，并按规定的预计竣工日期完成和交付全部工程。</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u w:val="single"/>
        </w:rPr>
      </w:pPr>
      <w:r>
        <w:rPr>
          <w:rFonts w:hint="eastAsia" w:ascii="宋体" w:hAnsi="宋体"/>
          <w:snapToGrid w:val="0"/>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6.如果我方中标，我方将按照招标文件的规定，按时提交履约担保，以保障本项目优质、优价、按期、顺利完成。</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8.在合同协议书正式签署生效之前，本投标书连同你单位的中标通知书将构成我们双方之间共同遵守的文件，对双方具有约束力。</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9</w:t>
      </w:r>
      <w:bookmarkStart w:id="60" w:name="_Toc484958693"/>
      <w:r>
        <w:rPr>
          <w:rFonts w:hint="eastAsia" w:ascii="宋体" w:hAnsi="宋体"/>
          <w:snapToGrid w:val="0"/>
          <w:color w:val="auto"/>
          <w:spacing w:val="4"/>
          <w:kern w:val="0"/>
          <w:sz w:val="24"/>
          <w:szCs w:val="24"/>
          <w:highlight w:val="none"/>
        </w:rPr>
        <w:t>.我方</w:t>
      </w:r>
      <w:bookmarkEnd w:id="60"/>
      <w:r>
        <w:rPr>
          <w:rFonts w:hint="eastAsia" w:ascii="宋体" w:hAnsi="宋体"/>
          <w:snapToGrid w:val="0"/>
          <w:color w:val="auto"/>
          <w:spacing w:val="4"/>
          <w:kern w:val="0"/>
          <w:sz w:val="24"/>
          <w:szCs w:val="24"/>
          <w:highlight w:val="none"/>
        </w:rPr>
        <w:t>理解</w:t>
      </w:r>
      <w:bookmarkStart w:id="61" w:name="_Toc484958694"/>
      <w:r>
        <w:rPr>
          <w:rFonts w:hint="eastAsia" w:ascii="宋体" w:hAnsi="宋体"/>
          <w:snapToGrid w:val="0"/>
          <w:color w:val="auto"/>
          <w:spacing w:val="4"/>
          <w:kern w:val="0"/>
          <w:sz w:val="24"/>
          <w:szCs w:val="24"/>
          <w:highlight w:val="none"/>
        </w:rPr>
        <w:t>，你单位不一</w:t>
      </w:r>
      <w:bookmarkEnd w:id="61"/>
      <w:r>
        <w:rPr>
          <w:rFonts w:hint="eastAsia" w:ascii="宋体" w:hAnsi="宋体"/>
          <w:snapToGrid w:val="0"/>
          <w:color w:val="auto"/>
          <w:spacing w:val="4"/>
          <w:kern w:val="0"/>
          <w:sz w:val="24"/>
          <w:szCs w:val="24"/>
          <w:highlight w:val="none"/>
        </w:rPr>
        <w:t>定</w:t>
      </w:r>
      <w:bookmarkStart w:id="62" w:name="_Toc484958695"/>
      <w:r>
        <w:rPr>
          <w:rFonts w:hint="eastAsia" w:ascii="宋体" w:hAnsi="宋体"/>
          <w:snapToGrid w:val="0"/>
          <w:color w:val="auto"/>
          <w:spacing w:val="4"/>
          <w:kern w:val="0"/>
          <w:sz w:val="24"/>
          <w:szCs w:val="24"/>
          <w:highlight w:val="none"/>
        </w:rPr>
        <w:t>接受最低</w:t>
      </w:r>
      <w:bookmarkEnd w:id="62"/>
      <w:r>
        <w:rPr>
          <w:rFonts w:hint="eastAsia" w:ascii="宋体" w:hAnsi="宋体"/>
          <w:snapToGrid w:val="0"/>
          <w:color w:val="auto"/>
          <w:spacing w:val="4"/>
          <w:kern w:val="0"/>
          <w:sz w:val="24"/>
          <w:szCs w:val="24"/>
          <w:highlight w:val="none"/>
        </w:rPr>
        <w:t>标</w:t>
      </w:r>
      <w:bookmarkStart w:id="63" w:name="_Toc484958696"/>
      <w:r>
        <w:rPr>
          <w:rFonts w:hint="eastAsia" w:ascii="宋体" w:hAnsi="宋体"/>
          <w:snapToGrid w:val="0"/>
          <w:color w:val="auto"/>
          <w:spacing w:val="4"/>
          <w:kern w:val="0"/>
          <w:sz w:val="24"/>
          <w:szCs w:val="24"/>
          <w:highlight w:val="none"/>
        </w:rPr>
        <w:t>价的</w:t>
      </w:r>
      <w:bookmarkEnd w:id="63"/>
      <w:r>
        <w:rPr>
          <w:rFonts w:hint="eastAsia" w:ascii="宋体" w:hAnsi="宋体"/>
          <w:snapToGrid w:val="0"/>
          <w:color w:val="auto"/>
          <w:spacing w:val="4"/>
          <w:kern w:val="0"/>
          <w:sz w:val="24"/>
          <w:szCs w:val="24"/>
          <w:highlight w:val="none"/>
        </w:rPr>
        <w:t>投</w:t>
      </w:r>
      <w:bookmarkStart w:id="64" w:name="_Toc484958697"/>
      <w:r>
        <w:rPr>
          <w:rFonts w:hint="eastAsia" w:ascii="宋体" w:hAnsi="宋体"/>
          <w:snapToGrid w:val="0"/>
          <w:color w:val="auto"/>
          <w:spacing w:val="4"/>
          <w:kern w:val="0"/>
          <w:sz w:val="24"/>
          <w:szCs w:val="24"/>
          <w:highlight w:val="none"/>
        </w:rPr>
        <w:t>标或你单位接到的其它任何投标。同</w:t>
      </w:r>
      <w:bookmarkEnd w:id="64"/>
      <w:r>
        <w:rPr>
          <w:rFonts w:hint="eastAsia" w:ascii="宋体" w:hAnsi="宋体"/>
          <w:snapToGrid w:val="0"/>
          <w:color w:val="auto"/>
          <w:spacing w:val="4"/>
          <w:kern w:val="0"/>
          <w:sz w:val="24"/>
          <w:szCs w:val="24"/>
          <w:highlight w:val="none"/>
        </w:rPr>
        <w:t>时</w:t>
      </w:r>
      <w:bookmarkStart w:id="65" w:name="_Toc484958698"/>
      <w:r>
        <w:rPr>
          <w:rFonts w:hint="eastAsia" w:ascii="宋体" w:hAnsi="宋体"/>
          <w:snapToGrid w:val="0"/>
          <w:color w:val="auto"/>
          <w:spacing w:val="4"/>
          <w:kern w:val="0"/>
          <w:sz w:val="24"/>
          <w:szCs w:val="24"/>
          <w:highlight w:val="none"/>
        </w:rPr>
        <w:t>也理解，你单位不负担我方的任何投</w:t>
      </w:r>
      <w:bookmarkEnd w:id="65"/>
      <w:r>
        <w:rPr>
          <w:rFonts w:hint="eastAsia" w:ascii="宋体" w:hAnsi="宋体"/>
          <w:snapToGrid w:val="0"/>
          <w:color w:val="auto"/>
          <w:spacing w:val="4"/>
          <w:kern w:val="0"/>
          <w:sz w:val="24"/>
          <w:szCs w:val="24"/>
          <w:highlight w:val="none"/>
        </w:rPr>
        <w:t>标</w:t>
      </w:r>
      <w:bookmarkStart w:id="66" w:name="_Toc484958699"/>
      <w:r>
        <w:rPr>
          <w:rFonts w:hint="eastAsia" w:ascii="宋体" w:hAnsi="宋体"/>
          <w:snapToGrid w:val="0"/>
          <w:color w:val="auto"/>
          <w:spacing w:val="4"/>
          <w:kern w:val="0"/>
          <w:sz w:val="24"/>
          <w:szCs w:val="24"/>
          <w:highlight w:val="none"/>
        </w:rPr>
        <w:t>费用</w:t>
      </w:r>
      <w:bookmarkEnd w:id="66"/>
      <w:bookmarkStart w:id="67" w:name="_Toc484958700"/>
      <w:r>
        <w:rPr>
          <w:rFonts w:hint="eastAsia" w:ascii="宋体" w:hAnsi="宋体"/>
          <w:snapToGrid w:val="0"/>
          <w:color w:val="auto"/>
          <w:spacing w:val="4"/>
          <w:kern w:val="0"/>
          <w:sz w:val="24"/>
          <w:szCs w:val="24"/>
          <w:highlight w:val="none"/>
        </w:rPr>
        <w:t>。</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0" w:firstLineChars="0"/>
        <w:rPr>
          <w:rFonts w:ascii="宋体" w:hAnsi="宋体"/>
          <w:snapToGrid w:val="0"/>
          <w:color w:val="auto"/>
          <w:spacing w:val="4"/>
          <w:kern w:val="0"/>
          <w:sz w:val="24"/>
          <w:szCs w:val="24"/>
          <w:highlight w:val="none"/>
        </w:rPr>
      </w:pPr>
      <w:bookmarkStart w:id="205" w:name="_GoBack"/>
      <w:bookmarkEnd w:id="205"/>
    </w:p>
    <w:p>
      <w:pPr>
        <w:topLinePunct/>
        <w:adjustRightInd w:val="0"/>
        <w:snapToGrid w:val="0"/>
        <w:spacing w:line="360" w:lineRule="auto"/>
        <w:ind w:firstLine="691" w:firstLineChars="279"/>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投 标 人：（盖章</w:t>
      </w:r>
      <w:bookmarkEnd w:id="67"/>
      <w:r>
        <w:rPr>
          <w:rFonts w:hint="eastAsia" w:ascii="宋体" w:hAnsi="宋体"/>
          <w:snapToGrid w:val="0"/>
          <w:color w:val="auto"/>
          <w:spacing w:val="4"/>
          <w:kern w:val="0"/>
          <w:sz w:val="24"/>
          <w:szCs w:val="24"/>
          <w:highlight w:val="none"/>
        </w:rPr>
        <w:t>）</w:t>
      </w:r>
    </w:p>
    <w:p>
      <w:pPr>
        <w:topLinePunct/>
        <w:adjustRightInd w:val="0"/>
        <w:snapToGrid w:val="0"/>
        <w:spacing w:line="360" w:lineRule="auto"/>
        <w:ind w:firstLine="691" w:firstLineChars="279"/>
        <w:rPr>
          <w:rFonts w:ascii="宋体" w:hAnsi="宋体"/>
          <w:snapToGrid w:val="0"/>
          <w:color w:val="auto"/>
          <w:spacing w:val="4"/>
          <w:kern w:val="0"/>
          <w:sz w:val="24"/>
          <w:szCs w:val="24"/>
          <w:highlight w:val="none"/>
        </w:rPr>
      </w:pPr>
      <w:bookmarkStart w:id="68" w:name="_Toc484958701"/>
      <w:r>
        <w:rPr>
          <w:rFonts w:hint="eastAsia" w:ascii="宋体" w:hAnsi="宋体"/>
          <w:snapToGrid w:val="0"/>
          <w:color w:val="auto"/>
          <w:spacing w:val="4"/>
          <w:kern w:val="0"/>
          <w:sz w:val="24"/>
          <w:szCs w:val="24"/>
          <w:highlight w:val="none"/>
        </w:rPr>
        <w:t>法定代表人或授权代理人（签字或盖章）</w:t>
      </w:r>
      <w:bookmarkEnd w:id="68"/>
      <w:r>
        <w:rPr>
          <w:rFonts w:hint="eastAsia" w:ascii="宋体" w:hAnsi="宋体"/>
          <w:snapToGrid w:val="0"/>
          <w:color w:val="auto"/>
          <w:spacing w:val="4"/>
          <w:kern w:val="0"/>
          <w:sz w:val="24"/>
          <w:szCs w:val="24"/>
          <w:highlight w:val="none"/>
        </w:rPr>
        <w:t>：</w:t>
      </w:r>
    </w:p>
    <w:p>
      <w:pPr>
        <w:topLinePunct/>
        <w:adjustRightInd w:val="0"/>
        <w:snapToGrid w:val="0"/>
        <w:spacing w:line="360" w:lineRule="auto"/>
        <w:ind w:firstLine="691" w:firstLineChars="279"/>
        <w:rPr>
          <w:rFonts w:hint="eastAsia"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日    期：   年    月    日</w:t>
      </w:r>
    </w:p>
    <w:p>
      <w:pPr>
        <w:rPr>
          <w:rFonts w:hint="eastAsia"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br w:type="page"/>
      </w:r>
    </w:p>
    <w:p>
      <w:pPr>
        <w:topLinePunct/>
        <w:adjustRightInd w:val="0"/>
        <w:snapToGrid w:val="0"/>
        <w:jc w:val="left"/>
        <w:outlineLvl w:val="2"/>
        <w:rPr>
          <w:rFonts w:ascii="宋体" w:hAnsi="宋体"/>
          <w:snapToGrid w:val="0"/>
          <w:color w:val="auto"/>
          <w:spacing w:val="4"/>
          <w:kern w:val="0"/>
          <w:sz w:val="24"/>
          <w:szCs w:val="24"/>
          <w:highlight w:val="none"/>
        </w:rPr>
      </w:pPr>
      <w:bookmarkStart w:id="69" w:name="_Toc14697650"/>
      <w:bookmarkStart w:id="70" w:name="_Toc26989"/>
      <w:bookmarkStart w:id="71" w:name="_Toc4489938"/>
      <w:bookmarkStart w:id="72" w:name="_Toc504722506"/>
      <w:bookmarkStart w:id="73" w:name="_Toc20655"/>
      <w:r>
        <w:rPr>
          <w:rFonts w:hint="eastAsia" w:ascii="宋体" w:hAnsi="宋体"/>
          <w:snapToGrid w:val="0"/>
          <w:color w:val="auto"/>
          <w:spacing w:val="4"/>
          <w:kern w:val="0"/>
          <w:sz w:val="24"/>
          <w:szCs w:val="24"/>
          <w:highlight w:val="none"/>
        </w:rPr>
        <w:t>格式四：企业相关资料</w:t>
      </w:r>
      <w:bookmarkEnd w:id="69"/>
      <w:bookmarkEnd w:id="70"/>
      <w:bookmarkEnd w:id="71"/>
      <w:bookmarkEnd w:id="72"/>
      <w:bookmarkEnd w:id="73"/>
    </w:p>
    <w:p>
      <w:pPr>
        <w:topLinePunct/>
        <w:adjustRightInd w:val="0"/>
        <w:snapToGrid w:val="0"/>
        <w:spacing w:before="156" w:beforeLines="50" w:after="156" w:afterLines="50"/>
        <w:jc w:val="left"/>
        <w:rPr>
          <w:rFonts w:ascii="宋体" w:hAnsi="宋体"/>
          <w:b/>
          <w:snapToGrid w:val="0"/>
          <w:color w:val="auto"/>
          <w:spacing w:val="4"/>
          <w:kern w:val="0"/>
          <w:sz w:val="24"/>
          <w:szCs w:val="24"/>
          <w:highlight w:val="none"/>
        </w:rPr>
      </w:pPr>
    </w:p>
    <w:p>
      <w:pPr>
        <w:topLinePunct/>
        <w:adjustRightInd w:val="0"/>
        <w:snapToGrid w:val="0"/>
        <w:spacing w:before="156" w:beforeLines="50" w:after="156" w:afterLines="50"/>
        <w:jc w:val="center"/>
        <w:rPr>
          <w:rFonts w:ascii="宋体" w:hAnsi="宋体"/>
          <w:b/>
          <w:snapToGrid w:val="0"/>
          <w:color w:val="auto"/>
          <w:spacing w:val="4"/>
          <w:kern w:val="0"/>
          <w:sz w:val="36"/>
          <w:szCs w:val="24"/>
          <w:highlight w:val="none"/>
        </w:rPr>
      </w:pPr>
      <w:bookmarkStart w:id="74" w:name="_Toc504722507"/>
      <w:bookmarkStart w:id="75" w:name="_Toc14697651"/>
      <w:bookmarkStart w:id="76" w:name="_Toc4489939"/>
      <w:bookmarkStart w:id="77" w:name="_Toc5083"/>
      <w:bookmarkStart w:id="78" w:name="_Toc4340128"/>
      <w:bookmarkStart w:id="79" w:name="_Toc4486071"/>
      <w:bookmarkStart w:id="80" w:name="_Toc4339790"/>
      <w:r>
        <w:rPr>
          <w:rFonts w:hint="eastAsia" w:ascii="宋体" w:hAnsi="宋体"/>
          <w:b/>
          <w:snapToGrid w:val="0"/>
          <w:color w:val="auto"/>
          <w:spacing w:val="4"/>
          <w:kern w:val="0"/>
          <w:sz w:val="36"/>
          <w:szCs w:val="24"/>
          <w:highlight w:val="none"/>
        </w:rPr>
        <w:t>企业相关资料</w:t>
      </w:r>
      <w:bookmarkEnd w:id="74"/>
      <w:bookmarkEnd w:id="75"/>
      <w:bookmarkEnd w:id="76"/>
      <w:bookmarkEnd w:id="77"/>
      <w:bookmarkEnd w:id="78"/>
      <w:bookmarkEnd w:id="79"/>
      <w:bookmarkEnd w:id="80"/>
    </w:p>
    <w:p>
      <w:pPr>
        <w:topLinePunct/>
        <w:adjustRightInd w:val="0"/>
        <w:snapToGrid w:val="0"/>
        <w:spacing w:before="156" w:beforeLines="50" w:after="156" w:afterLines="50"/>
        <w:jc w:val="center"/>
        <w:rPr>
          <w:rFonts w:ascii="宋体" w:hAnsi="宋体"/>
          <w:b/>
          <w:snapToGrid w:val="0"/>
          <w:color w:val="auto"/>
          <w:spacing w:val="4"/>
          <w:kern w:val="0"/>
          <w:sz w:val="24"/>
          <w:szCs w:val="24"/>
          <w:highlight w:val="none"/>
        </w:rPr>
      </w:pPr>
      <w:bookmarkStart w:id="81" w:name="_Toc4339791"/>
      <w:bookmarkStart w:id="82" w:name="_Toc913"/>
      <w:bookmarkStart w:id="83" w:name="_Toc4340129"/>
      <w:bookmarkStart w:id="84" w:name="_Toc504722508"/>
      <w:bookmarkStart w:id="85" w:name="_Toc14697652"/>
      <w:bookmarkStart w:id="86" w:name="_Toc4486072"/>
      <w:bookmarkStart w:id="87" w:name="_Toc4489940"/>
      <w:r>
        <w:rPr>
          <w:rFonts w:hint="eastAsia" w:ascii="宋体" w:hAnsi="宋体"/>
          <w:b/>
          <w:snapToGrid w:val="0"/>
          <w:color w:val="auto"/>
          <w:spacing w:val="4"/>
          <w:kern w:val="0"/>
          <w:sz w:val="24"/>
          <w:szCs w:val="24"/>
          <w:highlight w:val="none"/>
        </w:rPr>
        <w:t>(如有)</w:t>
      </w:r>
      <w:bookmarkEnd w:id="81"/>
      <w:bookmarkEnd w:id="82"/>
      <w:bookmarkEnd w:id="83"/>
      <w:bookmarkEnd w:id="84"/>
      <w:bookmarkEnd w:id="85"/>
      <w:bookmarkEnd w:id="86"/>
      <w:bookmarkEnd w:id="87"/>
    </w:p>
    <w:p>
      <w:pPr>
        <w:topLinePunct/>
        <w:adjustRightInd w:val="0"/>
        <w:snapToGrid w:val="0"/>
        <w:spacing w:before="156" w:beforeLines="50" w:after="156" w:afterLines="50"/>
        <w:jc w:val="left"/>
        <w:rPr>
          <w:rFonts w:ascii="宋体" w:hAnsi="宋体"/>
          <w:snapToGrid w:val="0"/>
          <w:color w:val="auto"/>
          <w:spacing w:val="4"/>
          <w:kern w:val="0"/>
          <w:sz w:val="24"/>
          <w:szCs w:val="24"/>
          <w:highlight w:val="none"/>
        </w:rPr>
      </w:pPr>
      <w:bookmarkStart w:id="88" w:name="_Toc27564"/>
      <w:bookmarkStart w:id="89" w:name="_Toc4486073"/>
      <w:bookmarkStart w:id="90" w:name="_Toc4489941"/>
      <w:bookmarkStart w:id="91" w:name="_Toc4340130"/>
      <w:bookmarkStart w:id="92" w:name="_Toc4339792"/>
      <w:bookmarkStart w:id="93" w:name="_Toc14697653"/>
      <w:bookmarkStart w:id="94" w:name="_Toc504722509"/>
      <w:r>
        <w:rPr>
          <w:rFonts w:hint="eastAsia" w:ascii="宋体" w:hAnsi="宋体"/>
          <w:snapToGrid w:val="0"/>
          <w:color w:val="auto"/>
          <w:spacing w:val="4"/>
          <w:kern w:val="0"/>
          <w:sz w:val="24"/>
          <w:szCs w:val="24"/>
          <w:highlight w:val="none"/>
        </w:rPr>
        <w:t>注：</w:t>
      </w:r>
      <w:bookmarkEnd w:id="88"/>
      <w:bookmarkEnd w:id="89"/>
      <w:bookmarkEnd w:id="90"/>
      <w:bookmarkEnd w:id="91"/>
      <w:bookmarkEnd w:id="92"/>
      <w:bookmarkEnd w:id="93"/>
      <w:bookmarkEnd w:id="94"/>
    </w:p>
    <w:p>
      <w:pPr>
        <w:spacing w:line="360" w:lineRule="auto"/>
        <w:rPr>
          <w:color w:val="auto"/>
          <w:sz w:val="24"/>
          <w:highlight w:val="none"/>
        </w:rPr>
      </w:pPr>
      <w:bookmarkStart w:id="95" w:name="_Toc4340131"/>
      <w:bookmarkStart w:id="96" w:name="_Toc504722510"/>
      <w:bookmarkStart w:id="97" w:name="_Toc4489942"/>
      <w:bookmarkStart w:id="98" w:name="_Toc9431"/>
      <w:bookmarkStart w:id="99" w:name="_Toc4339793"/>
      <w:bookmarkStart w:id="100" w:name="_Toc4486074"/>
      <w:r>
        <w:rPr>
          <w:rFonts w:hint="eastAsia"/>
          <w:color w:val="auto"/>
          <w:sz w:val="24"/>
          <w:highlight w:val="none"/>
        </w:rPr>
        <w:t>1.</w:t>
      </w:r>
      <w:bookmarkEnd w:id="95"/>
      <w:bookmarkEnd w:id="96"/>
      <w:bookmarkEnd w:id="97"/>
      <w:bookmarkEnd w:id="98"/>
      <w:bookmarkEnd w:id="99"/>
      <w:bookmarkEnd w:id="100"/>
      <w:r>
        <w:rPr>
          <w:rFonts w:hint="eastAsia"/>
          <w:color w:val="auto"/>
          <w:sz w:val="24"/>
          <w:highlight w:val="none"/>
        </w:rPr>
        <w:t xml:space="preserve"> 按《技术标详细审查评分表》中的评分要求进行提供；</w:t>
      </w:r>
    </w:p>
    <w:p>
      <w:pPr>
        <w:spacing w:line="360" w:lineRule="auto"/>
        <w:rPr>
          <w:color w:val="auto"/>
          <w:sz w:val="24"/>
          <w:highlight w:val="none"/>
        </w:rPr>
      </w:pPr>
      <w:r>
        <w:rPr>
          <w:rFonts w:hint="eastAsia"/>
          <w:color w:val="auto"/>
          <w:sz w:val="24"/>
          <w:highlight w:val="none"/>
        </w:rPr>
        <w:t>2. 其他投标人认为须提交的资料。</w:t>
      </w:r>
    </w:p>
    <w:p>
      <w:pPr>
        <w:jc w:val="center"/>
        <w:rPr>
          <w:rFonts w:ascii="Times New Roman" w:hAnsi="Times New Roman"/>
          <w:b/>
          <w:color w:val="auto"/>
          <w:szCs w:val="20"/>
          <w:highlight w:val="none"/>
        </w:rPr>
      </w:pPr>
    </w:p>
    <w:p>
      <w:pPr>
        <w:jc w:val="center"/>
        <w:rPr>
          <w:rFonts w:ascii="Times New Roman" w:hAnsi="Times New Roman"/>
          <w:b/>
          <w:color w:val="auto"/>
          <w:szCs w:val="20"/>
          <w:highlight w:val="none"/>
        </w:rPr>
      </w:pPr>
    </w:p>
    <w:p>
      <w:pPr>
        <w:topLinePunct/>
        <w:adjustRightInd w:val="0"/>
        <w:snapToGrid w:val="0"/>
        <w:spacing w:line="360" w:lineRule="auto"/>
        <w:outlineLvl w:val="2"/>
        <w:rPr>
          <w:b/>
          <w:snapToGrid w:val="0"/>
          <w:color w:val="auto"/>
          <w:spacing w:val="4"/>
          <w:kern w:val="0"/>
          <w:sz w:val="24"/>
          <w:szCs w:val="24"/>
          <w:highlight w:val="none"/>
        </w:rPr>
      </w:pPr>
      <w:r>
        <w:rPr>
          <w:rFonts w:ascii="宋体" w:hAnsi="宋体"/>
          <w:snapToGrid w:val="0"/>
          <w:color w:val="auto"/>
          <w:spacing w:val="4"/>
          <w:kern w:val="0"/>
          <w:sz w:val="24"/>
          <w:szCs w:val="24"/>
          <w:highlight w:val="none"/>
        </w:rPr>
        <w:br w:type="page"/>
      </w:r>
      <w:bookmarkStart w:id="101" w:name="_Toc16968"/>
      <w:bookmarkStart w:id="102" w:name="_Toc14697659"/>
      <w:r>
        <w:rPr>
          <w:rFonts w:hint="eastAsia"/>
          <w:b/>
          <w:snapToGrid w:val="0"/>
          <w:color w:val="auto"/>
          <w:spacing w:val="4"/>
          <w:kern w:val="0"/>
          <w:sz w:val="24"/>
          <w:szCs w:val="24"/>
          <w:highlight w:val="none"/>
        </w:rPr>
        <w:t>格式五：法定代表人证明书、授权委托书</w:t>
      </w:r>
      <w:bookmarkEnd w:id="101"/>
      <w:bookmarkEnd w:id="102"/>
    </w:p>
    <w:p>
      <w:pPr>
        <w:topLinePunct/>
        <w:adjustRightInd w:val="0"/>
        <w:snapToGrid w:val="0"/>
        <w:spacing w:before="156" w:after="156"/>
        <w:jc w:val="center"/>
        <w:rPr>
          <w:rFonts w:hint="eastAsia" w:ascii="宋体" w:hAnsi="宋体" w:eastAsia="宋体" w:cs="宋体"/>
          <w:snapToGrid w:val="0"/>
          <w:color w:val="auto"/>
          <w:spacing w:val="4"/>
          <w:kern w:val="0"/>
          <w:sz w:val="32"/>
          <w:szCs w:val="32"/>
          <w:highlight w:val="none"/>
        </w:rPr>
      </w:pPr>
      <w:r>
        <w:rPr>
          <w:rFonts w:hint="eastAsia" w:ascii="宋体" w:hAnsi="宋体" w:eastAsia="宋体" w:cs="宋体"/>
          <w:snapToGrid w:val="0"/>
          <w:color w:val="auto"/>
          <w:spacing w:val="4"/>
          <w:kern w:val="0"/>
          <w:sz w:val="32"/>
          <w:szCs w:val="32"/>
          <w:highlight w:val="none"/>
        </w:rPr>
        <w:t>法定代表人证明书、授权委托书</w:t>
      </w:r>
    </w:p>
    <w:p>
      <w:pPr>
        <w:topLinePunct/>
        <w:adjustRightInd w:val="0"/>
        <w:snapToGrid w:val="0"/>
        <w:spacing w:line="240" w:lineRule="exac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（1）法定代表人证明书</w:t>
      </w:r>
    </w:p>
    <w:p>
      <w:pPr>
        <w:topLinePunct/>
        <w:adjustRightInd w:val="0"/>
        <w:snapToGrid w:val="0"/>
        <w:spacing w:line="240" w:lineRule="exact"/>
        <w:ind w:right="248"/>
        <w:jc w:val="right"/>
        <w:rPr>
          <w:snapToGrid w:val="0"/>
          <w:color w:val="auto"/>
          <w:spacing w:val="4"/>
          <w:sz w:val="24"/>
          <w:szCs w:val="24"/>
          <w:highlight w:val="none"/>
        </w:rPr>
      </w:pPr>
      <w:r>
        <w:rPr>
          <w:rFonts w:hint="eastAsia"/>
          <w:snapToGrid w:val="0"/>
          <w:color w:val="auto"/>
          <w:spacing w:val="4"/>
          <w:sz w:val="24"/>
          <w:szCs w:val="24"/>
          <w:highlight w:val="none"/>
        </w:rPr>
        <w:t>（　 ）第　号</w:t>
      </w:r>
    </w:p>
    <w:p>
      <w:pPr>
        <w:topLinePunct/>
        <w:adjustRightInd w:val="0"/>
        <w:snapToGrid w:val="0"/>
        <w:spacing w:line="240" w:lineRule="exact"/>
        <w:ind w:right="248"/>
        <w:jc w:val="left"/>
        <w:rPr>
          <w:snapToGrid w:val="0"/>
          <w:color w:val="auto"/>
          <w:spacing w:val="4"/>
          <w:sz w:val="24"/>
          <w:szCs w:val="24"/>
          <w:highlight w:val="none"/>
        </w:rPr>
      </w:pP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95250</wp:posOffset>
                </wp:positionV>
                <wp:extent cx="5791200" cy="2809875"/>
                <wp:effectExtent l="4445" t="4445" r="14605" b="508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116"/>
                              <w:ind w:firstLine="0" w:firstLineChars="0"/>
                              <w:rPr>
                                <w:rFonts w:hint="eastAsia" w:ascii="宋体" w:hAnsi="宋体" w:eastAsia="宋体" w:cs="宋体"/>
                                <w:szCs w:val="28"/>
                              </w:rPr>
                            </w:pPr>
                            <w:r>
                              <w:rPr>
                                <w:rFonts w:hint="eastAsia" w:ascii="宋体" w:hAnsi="宋体" w:eastAsia="宋体" w:cs="宋体"/>
                                <w:szCs w:val="28"/>
                              </w:rPr>
                              <w:t>　　</w:t>
                            </w:r>
                            <w:r>
                              <w:rPr>
                                <w:rFonts w:hint="eastAsia" w:ascii="宋体" w:hAnsi="宋体" w:eastAsia="宋体" w:cs="宋体"/>
                                <w:szCs w:val="28"/>
                                <w:u w:val="single"/>
                              </w:rPr>
                              <w:t>　　　　　　</w:t>
                            </w: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特此证明。</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注册号码：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　　　　　　　　　　单位：　　　　　　　　　　　（盖章）</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pt;margin-top:7.5pt;height:221.25pt;width:456pt;z-index:251659264;mso-width-relative:page;mso-height-relative:page;" fillcolor="#FFFFFF" filled="t" stroked="t" coordsize="21600,21600" o:gfxdata="UEsDBAoAAAAAAIdO4kAAAAAAAAAAAAAAAAAEAAAAZHJzL1BLAwQUAAAACACHTuJA9/OnftYAAAAI&#10;AQAADwAAAGRycy9kb3ducmV2LnhtbE2PwU7DMBBE70j8g7VIXBB1Qpu0DXF6QALBDQqCqxtvkwh7&#10;HWw3LX/PcoLjzoxm39Sbk7NiwhAHTwryWQYCqfVmoE7B2+v99QpETJqMtp5QwTdG2DTnZ7WujD/S&#10;C07b1AkuoVhpBX1KYyVlbHt0Os78iMTe3genE5+hkyboI5c7K2+yrJROD8Qfej3iXY/t5/bgFKwW&#10;j9NHfJo/v7fl3q7T1XJ6+ApKXV7k2S2IhKf0F4ZffEaHhpl2/kAmCqtgMecgywUvYnudlyzsWC+W&#10;Bcimlv8HND9QSwMEFAAAAAgAh07iQACckJctAgAASgQAAA4AAABkcnMvZTJvRG9jLnhtbK1UzY7T&#10;MBC+I/EOlu80bdXSNmq6WroqQlp+pIUHcBwnsXA8xnablAeAN9gTF+48V5+DsZMt5e+CyMHyeMbf&#10;zHzfOOurrlHkIKyToDM6GY0pEZpDIXWV0Xdvd0+WlDjPdMEUaJHRo3D0avP40bo1qZhCDaoQliCI&#10;dmlrMlp7b9IkcbwWDXMjMEKjswTbMI+mrZLCshbRG5VMx+OnSQu2MBa4cA5Pb3on3UT8shTcvy5L&#10;JzxRGcXafFxtXPOwJps1SyvLTC35UAb7hyoaJjUmPUPdMM/I3srfoBrJLTgo/YhDk0BZSi5iD9jN&#10;ZPxLN3c1MyL2guQ4c6bJ/T9Y/urwxhJZZHSG9GjWoEan+8+nL99OXz8RPEOCWuNSjLszGOm7Z9Ch&#10;0LFZZ26Bv3dEw7ZmuhLX1kJbC1ZggZNwM7m42uO4AJK3L6HARGzvIQJ1pW0Ce8gHQXSs5HgWR3Se&#10;cDycL1YTVJwSjr7pcrxaLuYxB0sfrhvr/HMBDQmbjFpUP8Kzw63zoRyWPoSEbA6ULHZSqWjYKt8q&#10;Sw4MJ2UXvwH9pzClSZvR1Xw67xn4K8Q4fn+CaKTHkVeyyejyMkjpUIeIQzvUG+gLjPXc+S7vBjly&#10;KI5IpIV+oPEB4qYG+5GSFoc5o+7DnllBiXqhUYzVZBbk9dGYzRdTNOylJ7/0MM0RKqOekn679f2L&#10;2Rsrqxoz9fJruEYBSxmpDaX2VQ2y48BGxofHFV7EpR2jfvwCNt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OnftYAAAAIAQAADwAAAAAAAAABACAAAAAiAAAAZHJzL2Rvd25yZXYueG1sUEsBAhQA&#10;FAAAAAgAh07iQACckJctAgAASgQAAA4AAAAAAAAAAQAgAAAAJQEAAGRycy9lMm9Eb2MueG1sUEsF&#10;BgAAAAAGAAYAWQEAAMQFAAAAAA==&#10;">
                <v:fill on="t" focussize="0,0"/>
                <v:stroke color="#000000" miterlimit="8" joinstyle="miter"/>
                <v:imagedata o:title=""/>
                <o:lock v:ext="edit" aspectratio="f"/>
                <v:textbox>
                  <w:txbxContent>
                    <w:p>
                      <w:pPr>
                        <w:pStyle w:val="116"/>
                        <w:ind w:firstLine="0" w:firstLineChars="0"/>
                        <w:rPr>
                          <w:rFonts w:hint="eastAsia" w:ascii="宋体" w:hAnsi="宋体" w:eastAsia="宋体" w:cs="宋体"/>
                          <w:szCs w:val="28"/>
                        </w:rPr>
                      </w:pPr>
                      <w:r>
                        <w:rPr>
                          <w:rFonts w:hint="eastAsia" w:ascii="宋体" w:hAnsi="宋体" w:eastAsia="宋体" w:cs="宋体"/>
                          <w:szCs w:val="28"/>
                        </w:rPr>
                        <w:t>　　</w:t>
                      </w:r>
                      <w:r>
                        <w:rPr>
                          <w:rFonts w:hint="eastAsia" w:ascii="宋体" w:hAnsi="宋体" w:eastAsia="宋体" w:cs="宋体"/>
                          <w:szCs w:val="28"/>
                          <w:u w:val="single"/>
                        </w:rPr>
                        <w:t>　　　　　　</w:t>
                      </w: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特此证明。</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注册号码：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　　　　　　　　　　单位：　　　　　　　　　　　（盖章）</w:t>
                      </w:r>
                    </w:p>
                    <w:p>
                      <w:pPr>
                        <w:pStyle w:val="116"/>
                        <w:spacing w:line="240" w:lineRule="auto"/>
                        <w:ind w:firstLine="0" w:firstLineChars="0"/>
                        <w:rPr>
                          <w:rFonts w:hint="eastAsia" w:ascii="宋体" w:hAnsi="宋体" w:eastAsia="宋体" w:cs="宋体"/>
                          <w:szCs w:val="28"/>
                        </w:rPr>
                      </w:pPr>
                      <w:r>
                        <w:rPr>
                          <w:rFonts w:hint="eastAsia" w:ascii="宋体" w:hAnsi="宋体" w:eastAsia="宋体" w:cs="宋体"/>
                          <w:szCs w:val="28"/>
                        </w:rPr>
                        <w:t>　　　　　　　　　　　　　　　　　　　　　    年　月　　日</w:t>
                      </w:r>
                    </w:p>
                  </w:txbxContent>
                </v:textbox>
              </v:shape>
            </w:pict>
          </mc:Fallback>
        </mc:AlternateConten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rPr>
          <w:snapToGrid w:val="0"/>
          <w:color w:val="auto"/>
          <w:spacing w:val="4"/>
          <w:sz w:val="24"/>
          <w:szCs w:val="24"/>
          <w:highlight w:val="none"/>
        </w:rPr>
      </w:pPr>
    </w:p>
    <w:p>
      <w:pPr>
        <w:topLinePunct/>
        <w:adjustRightInd w:val="0"/>
        <w:snapToGrid w:val="0"/>
        <w:spacing w:line="360" w:lineRule="auto"/>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80645</wp:posOffset>
                </wp:positionV>
                <wp:extent cx="5791200" cy="2748915"/>
                <wp:effectExtent l="4445" t="4445" r="14605" b="889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116"/>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注册号码：</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（签字或盖章）</w:t>
                            </w:r>
                          </w:p>
                          <w:p>
                            <w:pPr>
                              <w:pStyle w:val="116"/>
                              <w:spacing w:line="240" w:lineRule="auto"/>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pPr>
                              <w:pStyle w:val="116"/>
                              <w:spacing w:line="240" w:lineRule="auto"/>
                              <w:ind w:firstLine="496"/>
                              <w:rPr>
                                <w:rFonts w:hint="eastAsia" w:ascii="宋体" w:hAnsi="宋体" w:eastAsia="宋体" w:cs="宋体"/>
                              </w:rPr>
                            </w:pPr>
                            <w:r>
                              <w:rPr>
                                <w:rFonts w:hint="eastAsia" w:ascii="宋体" w:hAnsi="宋体" w:eastAsia="宋体" w:cs="宋体"/>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pt;margin-top:6.35pt;height:216.45pt;width:456pt;z-index:251660288;mso-width-relative:page;mso-height-relative:page;" fillcolor="#FFFFFF" filled="t" stroked="t" coordsize="21600,21600" o:gfxdata="UEsDBAoAAAAAAIdO4kAAAAAAAAAAAAAAAAAEAAAAZHJzL1BLAwQUAAAACACHTuJAvxSPqtcAAAAI&#10;AQAADwAAAGRycy9kb3ducmV2LnhtbE2PwU7DMBBE70j8g7VIXBB10oa0DXF6QALBDQqCqxtvkwh7&#10;HWw3LX/PcoLjvhnNztSbk7NiwhAHTwryWQYCqfVmoE7B2+v99QpETJqMtp5QwTdG2DTnZ7WujD/S&#10;C07b1AkOoVhpBX1KYyVlbHt0Os78iMTa3genE5+hkyboI4c7K+dZVkqnB+IPvR7xrsf2c3twClbF&#10;4/QRnxbP7225t+t0tZwevoJSlxd5dgsi4Sn9meG3PleHhjvt/IFMFFZBsWAj4/kSBMvrvGSwY17c&#10;lCCbWv4f0PwAUEsDBBQAAAAIAIdO4kChbMkMLQIAAEoEAAAOAAAAZHJzL2Uyb0RvYy54bWytVM2O&#10;0zAQviPxDpbvNE3V0jZqulq6KkJafqSFB3AcJ7FwPMZ2m5QHgDfYExfuPFefg7HTLeXvgsjB8njG&#10;n2e+byarq75VZC+sk6Bzmo7GlAjNoZS6zum7t9snC0qcZ7pkCrTI6UE4erV+/GjVmUxMoAFVCksQ&#10;RLusMzltvDdZkjjeiJa5ERih0VmBbZlH09ZJaVmH6K1KJuPx06QDWxoLXDiHpzeDk64jflUJ7l9X&#10;lROeqJxibj6uNq5FWJP1imW1ZaaR/JQG+4csWiY1PnqGumGekZ2Vv0G1kltwUPkRhzaBqpJcxBqw&#10;mnT8SzV3DTMi1oLkOHOmyf0/WP5q/8YSWeZ0mlKiWYsaHe8/H798O379RPAMCeqMyzDuzmCk759B&#10;j0LHYp25Bf7eEQ2bhulaXFsLXSNYiQnGm8nF1QHHBZCiewklPsR2HiJQX9k2sId8EERHoQ5ncUTv&#10;CcfD2XyZouKUcPRN5tPFMp2F7BKWPVw31vnnAloSNjm1qH6EZ/tb54fQh5DwmgMly61UKhq2LjbK&#10;kj3DTtnG74T+U5jSpMvpcjaZDQz8FWIcvz9BtNJjyyvZ5nRxGaR0yEPEpj3lG+gLjA3c+b7oT3IU&#10;UB6QSAtDQ+MA4qYB+5GSDps5p+7DjllBiXqhUYxlOp2G7o/GdDafoGEvPcWlh2mOUDn1lAzbjR8m&#10;ZmesrBt8aZBfwzUKWMlIbUh1yAolCQY2bBTnNFxhIi7tGPXjF7D+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8Uj6rXAAAACAEAAA8AAAAAAAAAAQAgAAAAIgAAAGRycy9kb3ducmV2LnhtbFBLAQIU&#10;ABQAAAAIAIdO4kChbMkMLQIAAEoEAAAOAAAAAAAAAAEAIAAAACYBAABkcnMvZTJvRG9jLnhtbFBL&#10;BQYAAAAABgAGAFkBAADFBQAAAAA=&#10;">
                <v:fill on="t" focussize="0,0"/>
                <v:stroke color="#000000" miterlimit="8" joinstyle="miter"/>
                <v:imagedata o:title=""/>
                <o:lock v:ext="edit" aspectratio="f"/>
                <v:textbox>
                  <w:txbxContent>
                    <w:p>
                      <w:pPr>
                        <w:pStyle w:val="116"/>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注册号码：</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pPr>
                        <w:pStyle w:val="116"/>
                        <w:spacing w:line="240" w:lineRule="auto"/>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（签字或盖章）</w:t>
                      </w:r>
                    </w:p>
                    <w:p>
                      <w:pPr>
                        <w:pStyle w:val="116"/>
                        <w:spacing w:line="240" w:lineRule="auto"/>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pPr>
                        <w:pStyle w:val="116"/>
                        <w:spacing w:line="240" w:lineRule="auto"/>
                        <w:ind w:firstLine="496"/>
                        <w:rPr>
                          <w:rFonts w:hint="eastAsia" w:ascii="宋体" w:hAnsi="宋体" w:eastAsia="宋体" w:cs="宋体"/>
                        </w:rPr>
                      </w:pPr>
                      <w:r>
                        <w:rPr>
                          <w:rFonts w:hint="eastAsia" w:ascii="宋体" w:hAnsi="宋体" w:eastAsia="宋体" w:cs="宋体"/>
                        </w:rPr>
                        <w:t>年  月   日</w:t>
                      </w:r>
                    </w:p>
                  </w:txbxContent>
                </v:textbox>
              </v:shape>
            </w:pict>
          </mc:Fallback>
        </mc:AlternateConten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rPr>
          <w:snapToGrid w:val="0"/>
          <w:color w:val="auto"/>
          <w:spacing w:val="4"/>
          <w:sz w:val="24"/>
          <w:szCs w:val="24"/>
          <w:highlight w:val="none"/>
        </w:rPr>
      </w:pPr>
    </w:p>
    <w:p>
      <w:pPr>
        <w:topLinePunct/>
        <w:adjustRightInd w:val="0"/>
        <w:snapToGrid w:val="0"/>
        <w:spacing w:before="156" w:beforeLines="50" w:after="156" w:afterLines="50"/>
        <w:jc w:val="left"/>
        <w:rPr>
          <w:rFonts w:ascii="宋体" w:hAnsi="宋体"/>
          <w:snapToGrid w:val="0"/>
          <w:color w:val="auto"/>
          <w:spacing w:val="4"/>
          <w:kern w:val="0"/>
          <w:szCs w:val="21"/>
          <w:highlight w:val="none"/>
        </w:rPr>
      </w:pPr>
      <w:bookmarkStart w:id="103" w:name="_Toc3736"/>
      <w:bookmarkStart w:id="104" w:name="_Toc4339798"/>
      <w:bookmarkStart w:id="105" w:name="_Toc4489947"/>
      <w:bookmarkStart w:id="106" w:name="_Toc4486079"/>
      <w:bookmarkStart w:id="107" w:name="_Toc14697660"/>
      <w:bookmarkStart w:id="108" w:name="_Toc4340136"/>
      <w:r>
        <w:rPr>
          <w:rFonts w:hint="eastAsia" w:ascii="宋体" w:hAnsi="宋体"/>
          <w:snapToGrid w:val="0"/>
          <w:color w:val="auto"/>
          <w:spacing w:val="4"/>
          <w:kern w:val="0"/>
          <w:szCs w:val="21"/>
          <w:highlight w:val="none"/>
        </w:rPr>
        <w:t>注：按提供的格式或使用从工商管理部门购买的格式填写。</w:t>
      </w:r>
      <w:bookmarkEnd w:id="103"/>
      <w:bookmarkEnd w:id="104"/>
      <w:bookmarkEnd w:id="105"/>
      <w:bookmarkEnd w:id="106"/>
      <w:bookmarkEnd w:id="107"/>
      <w:bookmarkEnd w:id="108"/>
    </w:p>
    <w:p>
      <w:pPr>
        <w:topLinePunct/>
        <w:adjustRightInd w:val="0"/>
        <w:snapToGrid w:val="0"/>
        <w:spacing w:before="156" w:beforeLines="50" w:after="156" w:afterLines="50"/>
        <w:jc w:val="left"/>
        <w:outlineLvl w:val="2"/>
        <w:rPr>
          <w:rFonts w:ascii="宋体" w:hAnsi="宋体"/>
          <w:b/>
          <w:snapToGrid w:val="0"/>
          <w:color w:val="auto"/>
          <w:spacing w:val="4"/>
          <w:kern w:val="0"/>
          <w:sz w:val="24"/>
          <w:szCs w:val="24"/>
          <w:highlight w:val="none"/>
        </w:rPr>
      </w:pPr>
      <w:bookmarkStart w:id="109" w:name="_Toc504722514"/>
      <w:bookmarkStart w:id="110" w:name="_Toc29321"/>
      <w:r>
        <w:rPr>
          <w:rFonts w:ascii="宋体" w:hAnsi="宋体"/>
          <w:snapToGrid w:val="0"/>
          <w:color w:val="auto"/>
          <w:spacing w:val="4"/>
          <w:kern w:val="0"/>
          <w:sz w:val="24"/>
          <w:szCs w:val="24"/>
          <w:highlight w:val="none"/>
        </w:rPr>
        <w:br w:type="page"/>
      </w:r>
      <w:bookmarkStart w:id="111" w:name="_Toc14697661"/>
      <w:bookmarkStart w:id="112" w:name="_Toc24195"/>
      <w:bookmarkStart w:id="113" w:name="_Toc4489948"/>
      <w:r>
        <w:rPr>
          <w:rFonts w:hint="eastAsia" w:ascii="宋体" w:hAnsi="宋体"/>
          <w:b/>
          <w:snapToGrid w:val="0"/>
          <w:color w:val="auto"/>
          <w:spacing w:val="4"/>
          <w:kern w:val="0"/>
          <w:sz w:val="24"/>
          <w:szCs w:val="24"/>
          <w:highlight w:val="none"/>
        </w:rPr>
        <w:t>格式</w:t>
      </w:r>
      <w:r>
        <w:rPr>
          <w:rFonts w:hint="eastAsia" w:ascii="宋体" w:hAnsi="宋体"/>
          <w:b/>
          <w:snapToGrid w:val="0"/>
          <w:color w:val="auto"/>
          <w:spacing w:val="4"/>
          <w:kern w:val="0"/>
          <w:sz w:val="24"/>
          <w:szCs w:val="24"/>
          <w:highlight w:val="none"/>
          <w:lang w:val="en-US" w:eastAsia="zh-CN"/>
        </w:rPr>
        <w:t>六</w:t>
      </w:r>
      <w:r>
        <w:rPr>
          <w:rFonts w:hint="eastAsia" w:ascii="宋体" w:hAnsi="宋体"/>
          <w:b/>
          <w:snapToGrid w:val="0"/>
          <w:color w:val="auto"/>
          <w:spacing w:val="4"/>
          <w:kern w:val="0"/>
          <w:sz w:val="24"/>
          <w:szCs w:val="24"/>
          <w:highlight w:val="none"/>
        </w:rPr>
        <w:t>：施工组织架构图</w:t>
      </w:r>
      <w:bookmarkEnd w:id="109"/>
      <w:bookmarkEnd w:id="110"/>
      <w:bookmarkEnd w:id="111"/>
      <w:bookmarkEnd w:id="112"/>
      <w:bookmarkEnd w:id="113"/>
    </w:p>
    <w:p>
      <w:pPr>
        <w:topLinePunct/>
        <w:adjustRightInd w:val="0"/>
        <w:snapToGrid w:val="0"/>
        <w:spacing w:before="156" w:after="156" w:line="360" w:lineRule="auto"/>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施工组织架构图</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注：</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1、投标人应结合本工程的类型和特点，科学、合理地设置本项目的施工组织架构；</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bookmarkStart w:id="114" w:name="_Toc337720096"/>
      <w:bookmarkStart w:id="115" w:name="_Toc358370583"/>
      <w:bookmarkStart w:id="116" w:name="_Toc226209008"/>
      <w:bookmarkStart w:id="117" w:name="_Toc163337625"/>
      <w:bookmarkStart w:id="118" w:name="_Toc239216036"/>
      <w:bookmarkStart w:id="119" w:name="_Toc239311751"/>
      <w:bookmarkStart w:id="120" w:name="_Toc484958704"/>
      <w:bookmarkStart w:id="121" w:name="_Toc352623426"/>
      <w:bookmarkStart w:id="122" w:name="_Toc318924500"/>
      <w:bookmarkStart w:id="123" w:name="_Toc464131229"/>
      <w:bookmarkStart w:id="124" w:name="_Toc395261104"/>
      <w:bookmarkStart w:id="125" w:name="_Toc369536775"/>
      <w:bookmarkStart w:id="126" w:name="_Toc352240528"/>
      <w:bookmarkStart w:id="127" w:name="_Toc449308425"/>
      <w:r>
        <w:rPr>
          <w:rFonts w:hint="eastAsia" w:ascii="宋体" w:hAnsi="宋体"/>
          <w:snapToGrid w:val="0"/>
          <w:color w:val="auto"/>
          <w:spacing w:val="4"/>
          <w:kern w:val="0"/>
          <w:sz w:val="24"/>
          <w:szCs w:val="24"/>
          <w:highlight w:val="none"/>
        </w:rPr>
        <w:t>2、施工组织架构图由投标人</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snapToGrid w:val="0"/>
          <w:color w:val="auto"/>
          <w:spacing w:val="4"/>
          <w:kern w:val="0"/>
          <w:sz w:val="24"/>
          <w:szCs w:val="24"/>
          <w:highlight w:val="none"/>
        </w:rPr>
        <w:t>结合招标人对本工程的具体要求自行设定；</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3、可结合自身情况附相关</w:t>
      </w:r>
      <w:r>
        <w:rPr>
          <w:rFonts w:ascii="宋体" w:hAnsi="宋体"/>
          <w:snapToGrid w:val="0"/>
          <w:color w:val="auto"/>
          <w:spacing w:val="4"/>
          <w:kern w:val="0"/>
          <w:sz w:val="24"/>
          <w:szCs w:val="24"/>
          <w:highlight w:val="none"/>
        </w:rPr>
        <w:t>辅助说明资料。</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投标人：　　（盖章）</w:t>
      </w: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 xml:space="preserve">日   期：    年    月    日 </w:t>
      </w: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sectPr>
          <w:headerReference r:id="rId19" w:type="first"/>
          <w:footerReference r:id="rId22" w:type="first"/>
          <w:headerReference r:id="rId17" w:type="default"/>
          <w:footerReference r:id="rId20" w:type="default"/>
          <w:headerReference r:id="rId18" w:type="even"/>
          <w:footerReference r:id="rId21" w:type="even"/>
          <w:pgSz w:w="11907" w:h="16840"/>
          <w:pgMar w:top="1440" w:right="1440" w:bottom="1440" w:left="1440" w:header="851" w:footer="850" w:gutter="0"/>
          <w:pgBorders>
            <w:top w:val="none" w:sz="0" w:space="0"/>
            <w:left w:val="none" w:sz="0" w:space="0"/>
            <w:bottom w:val="none" w:sz="0" w:space="0"/>
            <w:right w:val="none" w:sz="0" w:space="0"/>
          </w:pgBorders>
          <w:cols w:space="0" w:num="1"/>
          <w:rtlGutter w:val="0"/>
          <w:docGrid w:type="lines" w:linePitch="312" w:charSpace="0"/>
        </w:sectPr>
      </w:pPr>
    </w:p>
    <w:p>
      <w:pPr>
        <w:topLinePunct/>
        <w:adjustRightInd w:val="0"/>
        <w:snapToGrid w:val="0"/>
        <w:spacing w:before="156" w:after="156" w:line="360" w:lineRule="auto"/>
        <w:rPr>
          <w:rFonts w:ascii="宋体" w:hAnsi="宋体"/>
          <w:b/>
          <w:bCs/>
          <w:color w:val="auto"/>
          <w:kern w:val="0"/>
          <w:sz w:val="24"/>
          <w:szCs w:val="24"/>
          <w:highlight w:val="none"/>
        </w:rPr>
      </w:pPr>
      <w:bookmarkStart w:id="128" w:name="_Toc14697662"/>
      <w:bookmarkStart w:id="129" w:name="_Toc4818"/>
      <w:r>
        <w:rPr>
          <w:rFonts w:hint="eastAsia" w:ascii="宋体" w:hAnsi="宋体"/>
          <w:b/>
          <w:bCs/>
          <w:color w:val="auto"/>
          <w:kern w:val="0"/>
          <w:sz w:val="24"/>
          <w:szCs w:val="24"/>
          <w:highlight w:val="none"/>
        </w:rPr>
        <w:t>格式</w:t>
      </w:r>
      <w:r>
        <w:rPr>
          <w:rFonts w:hint="eastAsia" w:ascii="宋体" w:hAnsi="宋体"/>
          <w:b/>
          <w:bCs/>
          <w:color w:val="auto"/>
          <w:kern w:val="0"/>
          <w:sz w:val="24"/>
          <w:szCs w:val="24"/>
          <w:highlight w:val="none"/>
          <w:lang w:val="en-US" w:eastAsia="zh-CN"/>
        </w:rPr>
        <w:t>七</w:t>
      </w:r>
      <w:r>
        <w:rPr>
          <w:rFonts w:hint="eastAsia" w:ascii="宋体" w:hAnsi="宋体"/>
          <w:b/>
          <w:bCs/>
          <w:color w:val="auto"/>
          <w:kern w:val="0"/>
          <w:sz w:val="24"/>
          <w:szCs w:val="24"/>
          <w:highlight w:val="none"/>
        </w:rPr>
        <w:t>：投入主要人员汇总表</w:t>
      </w:r>
      <w:bookmarkEnd w:id="128"/>
      <w:bookmarkEnd w:id="129"/>
    </w:p>
    <w:p>
      <w:pPr>
        <w:widowControl/>
        <w:topLinePunct/>
        <w:adjustRightInd w:val="0"/>
        <w:snapToGrid w:val="0"/>
        <w:spacing w:before="156" w:after="156" w:line="360" w:lineRule="auto"/>
        <w:jc w:val="center"/>
        <w:rPr>
          <w:rFonts w:ascii="宋体" w:hAnsi="宋体"/>
          <w:b/>
          <w:bCs/>
          <w:color w:val="auto"/>
          <w:kern w:val="0"/>
          <w:sz w:val="24"/>
          <w:szCs w:val="24"/>
          <w:highlight w:val="none"/>
        </w:rPr>
      </w:pPr>
      <w:r>
        <w:rPr>
          <w:rFonts w:hint="eastAsia" w:ascii="宋体" w:hAnsi="宋体"/>
          <w:b/>
          <w:snapToGrid w:val="0"/>
          <w:color w:val="auto"/>
          <w:spacing w:val="4"/>
          <w:kern w:val="0"/>
          <w:sz w:val="32"/>
          <w:szCs w:val="32"/>
          <w:highlight w:val="none"/>
        </w:rPr>
        <w:t>投入主要人员汇总表</w:t>
      </w:r>
    </w:p>
    <w:tbl>
      <w:tblPr>
        <w:tblStyle w:val="44"/>
        <w:tblpPr w:leftFromText="180" w:rightFromText="180" w:vertAnchor="text" w:horzAnchor="margin" w:tblpXSpec="center" w:tblpY="44"/>
        <w:tblOverlap w:val="never"/>
        <w:tblW w:w="9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725"/>
        <w:gridCol w:w="687"/>
        <w:gridCol w:w="788"/>
        <w:gridCol w:w="1050"/>
        <w:gridCol w:w="1187"/>
        <w:gridCol w:w="1050"/>
        <w:gridCol w:w="1113"/>
        <w:gridCol w:w="850"/>
        <w:gridCol w:w="110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blHeader/>
          <w:jc w:val="center"/>
        </w:trPr>
        <w:tc>
          <w:tcPr>
            <w:tcW w:w="488"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725"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姓名</w:t>
            </w:r>
          </w:p>
        </w:tc>
        <w:tc>
          <w:tcPr>
            <w:tcW w:w="687"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年龄</w:t>
            </w:r>
          </w:p>
        </w:tc>
        <w:tc>
          <w:tcPr>
            <w:tcW w:w="788"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工作年限</w:t>
            </w:r>
          </w:p>
        </w:tc>
        <w:tc>
          <w:tcPr>
            <w:tcW w:w="1050"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所学专业</w:t>
            </w:r>
          </w:p>
        </w:tc>
        <w:tc>
          <w:tcPr>
            <w:tcW w:w="1187"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职称、资格证书</w:t>
            </w:r>
          </w:p>
        </w:tc>
        <w:tc>
          <w:tcPr>
            <w:tcW w:w="1050"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原任职务</w:t>
            </w:r>
          </w:p>
        </w:tc>
        <w:tc>
          <w:tcPr>
            <w:tcW w:w="1113"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在本项目任职</w:t>
            </w:r>
          </w:p>
        </w:tc>
        <w:tc>
          <w:tcPr>
            <w:tcW w:w="850"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1100"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基本要求</w:t>
            </w:r>
          </w:p>
        </w:tc>
        <w:tc>
          <w:tcPr>
            <w:tcW w:w="670" w:type="dxa"/>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adjustRightInd w:val="0"/>
              <w:snapToGrid w:val="0"/>
              <w:spacing w:line="240" w:lineRule="exact"/>
              <w:jc w:val="center"/>
              <w:rPr>
                <w:rFonts w:ascii="宋体" w:hAnsi="宋体"/>
                <w:color w:val="auto"/>
                <w:szCs w:val="21"/>
                <w:highlight w:val="none"/>
              </w:rPr>
            </w:pPr>
          </w:p>
        </w:tc>
        <w:tc>
          <w:tcPr>
            <w:tcW w:w="788" w:type="dxa"/>
            <w:vAlign w:val="center"/>
          </w:tcPr>
          <w:p>
            <w:pPr>
              <w:adjustRightInd w:val="0"/>
              <w:snapToGrid w:val="0"/>
              <w:spacing w:line="240" w:lineRule="exact"/>
              <w:jc w:val="center"/>
              <w:rPr>
                <w:rFonts w:ascii="宋体" w:hAnsi="宋体"/>
                <w:color w:val="auto"/>
                <w:szCs w:val="21"/>
                <w:highlight w:val="none"/>
              </w:rPr>
            </w:pPr>
          </w:p>
        </w:tc>
        <w:tc>
          <w:tcPr>
            <w:tcW w:w="1050" w:type="dxa"/>
            <w:vAlign w:val="center"/>
          </w:tcPr>
          <w:p>
            <w:pPr>
              <w:adjustRightInd w:val="0"/>
              <w:snapToGrid w:val="0"/>
              <w:spacing w:line="240" w:lineRule="exact"/>
              <w:jc w:val="center"/>
              <w:rPr>
                <w:rFonts w:ascii="宋体" w:hAnsi="宋体"/>
                <w:color w:val="auto"/>
                <w:szCs w:val="21"/>
                <w:highlight w:val="none"/>
              </w:rPr>
            </w:pPr>
          </w:p>
        </w:tc>
        <w:tc>
          <w:tcPr>
            <w:tcW w:w="1187" w:type="dxa"/>
            <w:vAlign w:val="center"/>
          </w:tcPr>
          <w:p>
            <w:pPr>
              <w:adjustRightInd w:val="0"/>
              <w:snapToGrid w:val="0"/>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s="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adjustRightInd w:val="0"/>
              <w:snapToGrid w:val="0"/>
              <w:spacing w:line="240" w:lineRule="exact"/>
              <w:jc w:val="center"/>
              <w:rPr>
                <w:rFonts w:ascii="宋体" w:hAnsi="宋体"/>
                <w:color w:val="auto"/>
                <w:szCs w:val="21"/>
                <w:highlight w:val="none"/>
              </w:rPr>
            </w:pPr>
          </w:p>
        </w:tc>
        <w:tc>
          <w:tcPr>
            <w:tcW w:w="788" w:type="dxa"/>
            <w:vAlign w:val="center"/>
          </w:tcPr>
          <w:p>
            <w:pPr>
              <w:adjustRightInd w:val="0"/>
              <w:snapToGrid w:val="0"/>
              <w:spacing w:line="240" w:lineRule="exact"/>
              <w:jc w:val="center"/>
              <w:rPr>
                <w:rFonts w:ascii="宋体" w:hAnsi="宋体"/>
                <w:color w:val="auto"/>
                <w:szCs w:val="21"/>
                <w:highlight w:val="none"/>
              </w:rPr>
            </w:pPr>
          </w:p>
        </w:tc>
        <w:tc>
          <w:tcPr>
            <w:tcW w:w="1050" w:type="dxa"/>
            <w:vAlign w:val="center"/>
          </w:tcPr>
          <w:p>
            <w:pPr>
              <w:adjustRightInd w:val="0"/>
              <w:snapToGrid w:val="0"/>
              <w:spacing w:line="240" w:lineRule="exact"/>
              <w:jc w:val="center"/>
              <w:rPr>
                <w:rFonts w:ascii="宋体" w:hAnsi="宋体"/>
                <w:color w:val="auto"/>
                <w:szCs w:val="21"/>
                <w:highlight w:val="none"/>
              </w:rPr>
            </w:pPr>
          </w:p>
        </w:tc>
        <w:tc>
          <w:tcPr>
            <w:tcW w:w="1187" w:type="dxa"/>
            <w:vAlign w:val="center"/>
          </w:tcPr>
          <w:p>
            <w:pPr>
              <w:adjustRightInd w:val="0"/>
              <w:snapToGrid w:val="0"/>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s="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s="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8" w:type="dxa"/>
            <w:vAlign w:val="center"/>
          </w:tcPr>
          <w:p>
            <w:pPr>
              <w:spacing w:line="240" w:lineRule="exact"/>
              <w:jc w:val="center"/>
              <w:rPr>
                <w:rFonts w:ascii="宋体" w:hAnsi="宋体"/>
                <w:color w:val="auto"/>
                <w:szCs w:val="21"/>
                <w:highlight w:val="none"/>
              </w:rPr>
            </w:pPr>
          </w:p>
        </w:tc>
        <w:tc>
          <w:tcPr>
            <w:tcW w:w="725" w:type="dxa"/>
            <w:vAlign w:val="center"/>
          </w:tcPr>
          <w:p>
            <w:pPr>
              <w:widowControl/>
              <w:spacing w:line="240" w:lineRule="exact"/>
              <w:jc w:val="center"/>
              <w:rPr>
                <w:rFonts w:ascii="宋体" w:hAnsi="宋体" w:cs="宋体"/>
                <w:color w:val="auto"/>
                <w:kern w:val="0"/>
                <w:szCs w:val="21"/>
                <w:highlight w:val="none"/>
              </w:rPr>
            </w:pPr>
          </w:p>
        </w:tc>
        <w:tc>
          <w:tcPr>
            <w:tcW w:w="687" w:type="dxa"/>
            <w:vAlign w:val="center"/>
          </w:tcPr>
          <w:p>
            <w:pPr>
              <w:spacing w:line="240" w:lineRule="exact"/>
              <w:jc w:val="center"/>
              <w:rPr>
                <w:rFonts w:ascii="宋体" w:hAnsi="宋体"/>
                <w:color w:val="auto"/>
                <w:szCs w:val="21"/>
                <w:highlight w:val="none"/>
              </w:rPr>
            </w:pPr>
          </w:p>
        </w:tc>
        <w:tc>
          <w:tcPr>
            <w:tcW w:w="788"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87" w:type="dxa"/>
            <w:vAlign w:val="center"/>
          </w:tcPr>
          <w:p>
            <w:pPr>
              <w:spacing w:line="240" w:lineRule="exact"/>
              <w:jc w:val="center"/>
              <w:rPr>
                <w:rFonts w:ascii="宋体" w:hAnsi="宋体"/>
                <w:color w:val="auto"/>
                <w:szCs w:val="21"/>
                <w:highlight w:val="none"/>
              </w:rPr>
            </w:pPr>
          </w:p>
        </w:tc>
        <w:tc>
          <w:tcPr>
            <w:tcW w:w="1050" w:type="dxa"/>
            <w:vAlign w:val="center"/>
          </w:tcPr>
          <w:p>
            <w:pPr>
              <w:spacing w:line="240" w:lineRule="exact"/>
              <w:jc w:val="center"/>
              <w:rPr>
                <w:rFonts w:ascii="宋体" w:hAnsi="宋体"/>
                <w:color w:val="auto"/>
                <w:szCs w:val="21"/>
                <w:highlight w:val="none"/>
              </w:rPr>
            </w:pPr>
          </w:p>
        </w:tc>
        <w:tc>
          <w:tcPr>
            <w:tcW w:w="1113" w:type="dxa"/>
            <w:vAlign w:val="center"/>
          </w:tcPr>
          <w:p>
            <w:pPr>
              <w:adjustRightInd w:val="0"/>
              <w:snapToGrid w:val="0"/>
              <w:spacing w:line="240" w:lineRule="exact"/>
              <w:jc w:val="center"/>
              <w:rPr>
                <w:rFonts w:ascii="仿宋" w:hAnsi="仿宋" w:eastAsia="仿宋" w:cs="仿宋"/>
                <w:color w:val="auto"/>
                <w:szCs w:val="21"/>
                <w:highlight w:val="none"/>
              </w:rPr>
            </w:pPr>
          </w:p>
        </w:tc>
        <w:tc>
          <w:tcPr>
            <w:tcW w:w="850" w:type="dxa"/>
            <w:vAlign w:val="center"/>
          </w:tcPr>
          <w:p>
            <w:pPr>
              <w:spacing w:line="240" w:lineRule="exact"/>
              <w:jc w:val="center"/>
              <w:rPr>
                <w:rFonts w:ascii="仿宋" w:hAnsi="仿宋" w:eastAsia="仿宋" w:cs="仿宋"/>
                <w:color w:val="auto"/>
                <w:szCs w:val="21"/>
                <w:highlight w:val="none"/>
              </w:rPr>
            </w:pPr>
          </w:p>
        </w:tc>
        <w:tc>
          <w:tcPr>
            <w:tcW w:w="1100" w:type="dxa"/>
            <w:vAlign w:val="center"/>
          </w:tcPr>
          <w:p>
            <w:pPr>
              <w:adjustRightInd w:val="0"/>
              <w:snapToGrid w:val="0"/>
              <w:spacing w:line="240" w:lineRule="exact"/>
              <w:jc w:val="center"/>
              <w:rPr>
                <w:rFonts w:ascii="仿宋" w:hAnsi="仿宋" w:eastAsia="仿宋" w:cs="仿宋"/>
                <w:color w:val="auto"/>
                <w:szCs w:val="21"/>
                <w:highlight w:val="none"/>
              </w:rPr>
            </w:pPr>
          </w:p>
        </w:tc>
        <w:tc>
          <w:tcPr>
            <w:tcW w:w="670" w:type="dxa"/>
            <w:vAlign w:val="center"/>
          </w:tcPr>
          <w:p>
            <w:pPr>
              <w:spacing w:line="240" w:lineRule="exact"/>
              <w:jc w:val="center"/>
              <w:rPr>
                <w:rFonts w:ascii="宋体" w:hAnsi="宋体"/>
                <w:color w:val="auto"/>
                <w:sz w:val="18"/>
                <w:szCs w:val="18"/>
                <w:highlight w:val="none"/>
              </w:rPr>
            </w:pPr>
          </w:p>
        </w:tc>
      </w:tr>
    </w:tbl>
    <w:p>
      <w:pPr>
        <w:widowControl/>
        <w:shd w:val="clear" w:color="auto" w:fill="FFFFFF"/>
        <w:adjustRightInd w:val="0"/>
        <w:spacing w:line="360" w:lineRule="auto"/>
        <w:ind w:firstLine="361" w:firstLineChars="200"/>
        <w:jc w:val="left"/>
        <w:rPr>
          <w:rFonts w:ascii="宋体" w:hAnsi="宋体"/>
          <w:color w:val="auto"/>
          <w:sz w:val="18"/>
          <w:szCs w:val="18"/>
          <w:highlight w:val="none"/>
        </w:rPr>
      </w:pPr>
      <w:r>
        <w:rPr>
          <w:rFonts w:ascii="宋体" w:hAnsi="宋体" w:cs="宋体"/>
          <w:b/>
          <w:color w:val="auto"/>
          <w:kern w:val="0"/>
          <w:sz w:val="18"/>
          <w:szCs w:val="18"/>
          <w:highlight w:val="none"/>
        </w:rPr>
        <w:t>备注</w:t>
      </w:r>
      <w:r>
        <w:rPr>
          <w:rFonts w:ascii="宋体" w:hAnsi="宋体" w:cs="宋体"/>
          <w:color w:val="auto"/>
          <w:kern w:val="0"/>
          <w:sz w:val="18"/>
          <w:szCs w:val="18"/>
          <w:highlight w:val="none"/>
        </w:rPr>
        <w:t>：1、本表为项目经理部主要人员的基本要求，投标单位可根据自身情况增加专业技术管理人员，</w:t>
      </w:r>
      <w:r>
        <w:rPr>
          <w:rFonts w:hint="eastAsia" w:ascii="宋体" w:hAnsi="宋体"/>
          <w:color w:val="auto"/>
          <w:sz w:val="18"/>
          <w:szCs w:val="18"/>
          <w:highlight w:val="none"/>
        </w:rPr>
        <w:t>各岗位人员不得相互兼职。</w:t>
      </w:r>
    </w:p>
    <w:p>
      <w:pPr>
        <w:widowControl/>
        <w:shd w:val="clear" w:color="auto" w:fill="FFFFFF"/>
        <w:adjustRightInd w:val="0"/>
        <w:spacing w:line="360" w:lineRule="auto"/>
        <w:ind w:firstLine="360" w:firstLineChars="200"/>
        <w:jc w:val="left"/>
        <w:rPr>
          <w:rFonts w:ascii="宋体" w:hAnsi="宋体" w:cs="宋体"/>
          <w:color w:val="auto"/>
          <w:kern w:val="0"/>
          <w:sz w:val="18"/>
          <w:szCs w:val="18"/>
          <w:highlight w:val="none"/>
        </w:rPr>
      </w:pPr>
      <w:r>
        <w:rPr>
          <w:rFonts w:ascii="宋体" w:hAnsi="宋体" w:cs="宋体"/>
          <w:color w:val="auto"/>
          <w:kern w:val="0"/>
          <w:sz w:val="18"/>
          <w:szCs w:val="18"/>
          <w:highlight w:val="none"/>
        </w:rPr>
        <w:t>2、工作经</w:t>
      </w:r>
      <w:r>
        <w:rPr>
          <w:rFonts w:hint="eastAsia" w:ascii="宋体" w:hAnsi="宋体" w:cs="宋体"/>
          <w:color w:val="auto"/>
          <w:kern w:val="0"/>
          <w:sz w:val="18"/>
          <w:szCs w:val="18"/>
          <w:highlight w:val="none"/>
        </w:rPr>
        <w:t>验</w:t>
      </w:r>
      <w:r>
        <w:rPr>
          <w:rFonts w:ascii="宋体" w:hAnsi="宋体" w:cs="宋体"/>
          <w:color w:val="auto"/>
          <w:kern w:val="0"/>
          <w:sz w:val="18"/>
          <w:szCs w:val="18"/>
          <w:highlight w:val="none"/>
        </w:rPr>
        <w:t>以简历表</w:t>
      </w:r>
      <w:r>
        <w:rPr>
          <w:rFonts w:hint="eastAsia" w:ascii="宋体" w:hAnsi="宋体" w:cs="宋体"/>
          <w:color w:val="auto"/>
          <w:kern w:val="0"/>
          <w:sz w:val="18"/>
          <w:szCs w:val="18"/>
          <w:highlight w:val="none"/>
        </w:rPr>
        <w:t>中填报的“参加工作年限”</w:t>
      </w:r>
      <w:r>
        <w:rPr>
          <w:rFonts w:ascii="宋体" w:hAnsi="宋体" w:cs="宋体"/>
          <w:color w:val="auto"/>
          <w:kern w:val="0"/>
          <w:sz w:val="18"/>
          <w:szCs w:val="18"/>
          <w:highlight w:val="none"/>
        </w:rPr>
        <w:t>为准。</w:t>
      </w:r>
    </w:p>
    <w:p>
      <w:pPr>
        <w:widowControl/>
        <w:shd w:val="clear" w:color="auto" w:fill="FFFFFF"/>
        <w:adjustRightInd w:val="0"/>
        <w:spacing w:line="360" w:lineRule="auto"/>
        <w:ind w:firstLine="360" w:firstLineChars="200"/>
        <w:jc w:val="left"/>
        <w:rPr>
          <w:rFonts w:ascii="宋体" w:hAnsi="宋体" w:cs="宋体"/>
          <w:color w:val="auto"/>
          <w:kern w:val="0"/>
          <w:sz w:val="18"/>
          <w:szCs w:val="18"/>
          <w:highlight w:val="none"/>
        </w:rPr>
      </w:pPr>
      <w:r>
        <w:rPr>
          <w:rFonts w:ascii="宋体" w:hAnsi="宋体" w:cs="宋体"/>
          <w:color w:val="auto"/>
          <w:kern w:val="0"/>
          <w:sz w:val="18"/>
          <w:szCs w:val="18"/>
          <w:highlight w:val="none"/>
        </w:rPr>
        <w:t>3、本表项目经理部主要人员需提供</w:t>
      </w:r>
      <w:r>
        <w:rPr>
          <w:rFonts w:ascii="宋体" w:hAnsi="宋体" w:cs="宋体"/>
          <w:color w:val="auto"/>
          <w:kern w:val="0"/>
          <w:sz w:val="18"/>
          <w:szCs w:val="18"/>
          <w:highlight w:val="none"/>
          <w:u w:val="single"/>
        </w:rPr>
        <w:t>20</w:t>
      </w:r>
      <w:r>
        <w:rPr>
          <w:rFonts w:hint="eastAsia" w:ascii="宋体" w:hAnsi="宋体" w:cs="宋体"/>
          <w:color w:val="auto"/>
          <w:kern w:val="0"/>
          <w:sz w:val="18"/>
          <w:szCs w:val="18"/>
          <w:highlight w:val="none"/>
          <w:u w:val="single"/>
        </w:rPr>
        <w:t>23</w:t>
      </w:r>
      <w:r>
        <w:rPr>
          <w:rFonts w:ascii="宋体" w:hAnsi="宋体" w:cs="宋体"/>
          <w:color w:val="auto"/>
          <w:kern w:val="0"/>
          <w:sz w:val="18"/>
          <w:szCs w:val="18"/>
          <w:highlight w:val="none"/>
          <w:u w:val="single"/>
        </w:rPr>
        <w:t>年</w:t>
      </w:r>
      <w:r>
        <w:rPr>
          <w:rFonts w:hint="eastAsia" w:ascii="宋体" w:hAnsi="宋体" w:cs="宋体"/>
          <w:color w:val="auto"/>
          <w:kern w:val="0"/>
          <w:sz w:val="18"/>
          <w:szCs w:val="18"/>
          <w:highlight w:val="none"/>
          <w:u w:val="single"/>
          <w:lang w:val="en-US" w:eastAsia="zh-CN"/>
        </w:rPr>
        <w:t>7</w:t>
      </w:r>
      <w:r>
        <w:rPr>
          <w:rFonts w:hint="eastAsia" w:ascii="宋体" w:hAnsi="宋体" w:cs="宋体"/>
          <w:color w:val="auto"/>
          <w:kern w:val="0"/>
          <w:sz w:val="18"/>
          <w:szCs w:val="18"/>
          <w:highlight w:val="none"/>
          <w:u w:val="single"/>
        </w:rPr>
        <w:t>月</w:t>
      </w:r>
      <w:r>
        <w:rPr>
          <w:rFonts w:hint="eastAsia" w:ascii="宋体" w:hAnsi="宋体" w:cs="宋体"/>
          <w:color w:val="auto"/>
          <w:kern w:val="0"/>
          <w:sz w:val="18"/>
          <w:szCs w:val="18"/>
          <w:highlight w:val="none"/>
        </w:rPr>
        <w:t>的社保证明文件扫描件，</w:t>
      </w:r>
      <w:r>
        <w:rPr>
          <w:rFonts w:hint="eastAsia" w:ascii="宋体" w:hAnsi="宋体" w:cs="宋体"/>
          <w:color w:val="auto"/>
          <w:kern w:val="0"/>
          <w:sz w:val="18"/>
          <w:szCs w:val="18"/>
          <w:highlight w:val="none"/>
          <w:lang w:val="en-US" w:eastAsia="zh-CN"/>
        </w:rPr>
        <w:t>拟投入</w:t>
      </w:r>
      <w:r>
        <w:rPr>
          <w:rFonts w:hint="eastAsia" w:ascii="宋体" w:hAnsi="宋体" w:cs="宋体"/>
          <w:color w:val="auto"/>
          <w:kern w:val="0"/>
          <w:sz w:val="18"/>
          <w:szCs w:val="18"/>
          <w:highlight w:val="none"/>
        </w:rPr>
        <w:t>主要人员需提供的其他证明文件</w:t>
      </w:r>
      <w:r>
        <w:rPr>
          <w:rFonts w:hint="eastAsia" w:ascii="宋体" w:hAnsi="宋体" w:cs="宋体"/>
          <w:color w:val="auto"/>
          <w:kern w:val="0"/>
          <w:sz w:val="18"/>
          <w:szCs w:val="18"/>
          <w:highlight w:val="none"/>
          <w:lang w:val="en-US" w:eastAsia="zh-CN"/>
        </w:rPr>
        <w:t>扫描</w:t>
      </w:r>
      <w:r>
        <w:rPr>
          <w:rFonts w:hint="eastAsia" w:ascii="宋体" w:hAnsi="宋体" w:cs="宋体"/>
          <w:color w:val="auto"/>
          <w:kern w:val="0"/>
          <w:sz w:val="18"/>
          <w:szCs w:val="18"/>
          <w:highlight w:val="none"/>
        </w:rPr>
        <w:t>件详见上表备注要求和《技术标详细审查评分标准》项目管理机构部分要求。</w:t>
      </w:r>
    </w:p>
    <w:p>
      <w:pPr>
        <w:widowControl/>
        <w:shd w:val="clear" w:color="auto" w:fill="FFFFFF"/>
        <w:adjustRightInd w:val="0"/>
        <w:spacing w:line="360" w:lineRule="auto"/>
        <w:ind w:firstLine="360" w:firstLineChars="200"/>
        <w:jc w:val="left"/>
        <w:rPr>
          <w:rFonts w:ascii="宋体" w:hAnsi="宋体" w:cs="宋体"/>
          <w:color w:val="auto"/>
          <w:kern w:val="0"/>
          <w:sz w:val="18"/>
          <w:szCs w:val="18"/>
          <w:highlight w:val="none"/>
        </w:rPr>
      </w:pPr>
      <w:r>
        <w:rPr>
          <w:rFonts w:ascii="宋体" w:hAnsi="宋体" w:cs="宋体"/>
          <w:color w:val="auto"/>
          <w:kern w:val="0"/>
          <w:sz w:val="18"/>
          <w:szCs w:val="18"/>
          <w:highlight w:val="none"/>
        </w:rPr>
        <w:t>4、</w:t>
      </w:r>
      <w:r>
        <w:rPr>
          <w:rFonts w:hint="eastAsia" w:ascii="宋体" w:hAnsi="宋体" w:cs="宋体"/>
          <w:color w:val="auto"/>
          <w:kern w:val="0"/>
          <w:sz w:val="18"/>
          <w:szCs w:val="18"/>
          <w:highlight w:val="none"/>
        </w:rPr>
        <w:t>人员仅指投标人自身人员，如投标申请人为集团公司，则不含集团下属具有独立法人的子公司的人员，但包含非独立法人的分公司人员；同样下属具有独立法人的子公司也不得使用集团公司的人员。</w:t>
      </w:r>
    </w:p>
    <w:p>
      <w:pPr>
        <w:widowControl/>
        <w:shd w:val="clear" w:color="auto" w:fill="FFFFFF"/>
        <w:adjustRightInd w:val="0"/>
        <w:spacing w:line="360" w:lineRule="auto"/>
        <w:ind w:firstLine="360" w:firstLineChars="200"/>
        <w:jc w:val="left"/>
        <w:rPr>
          <w:rFonts w:ascii="宋体" w:hAnsi="宋体" w:cs="宋体"/>
          <w:color w:val="auto"/>
          <w:kern w:val="0"/>
          <w:sz w:val="18"/>
          <w:szCs w:val="18"/>
          <w:highlight w:val="none"/>
        </w:rPr>
      </w:pPr>
      <w:r>
        <w:rPr>
          <w:rFonts w:ascii="宋体" w:hAnsi="宋体" w:cs="宋体"/>
          <w:color w:val="auto"/>
          <w:kern w:val="0"/>
          <w:sz w:val="18"/>
          <w:szCs w:val="18"/>
          <w:highlight w:val="none"/>
        </w:rPr>
        <w:t>5、拟投入的项目部人员，未经招标人同意，中标后不得更换，否则按合同约定承担违约责任。</w:t>
      </w: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投标人：　　（盖章）</w:t>
      </w: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法定代表人或授权代理人(签字或盖章)：</w:t>
      </w:r>
    </w:p>
    <w:p>
      <w:pPr>
        <w:ind w:firstLine="3600" w:firstLineChars="1500"/>
        <w:rPr>
          <w:rFonts w:ascii="宋体" w:hAnsi="宋体"/>
          <w:color w:val="auto"/>
          <w:sz w:val="24"/>
          <w:highlight w:val="none"/>
        </w:rPr>
        <w:sectPr>
          <w:pgSz w:w="11907" w:h="16840"/>
          <w:pgMar w:top="1440" w:right="1440" w:bottom="1440" w:left="1440"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color w:val="auto"/>
          <w:sz w:val="24"/>
          <w:highlight w:val="none"/>
        </w:rPr>
        <w:t>日   期：    年    月    日</w:t>
      </w:r>
    </w:p>
    <w:p>
      <w:pPr>
        <w:widowControl/>
        <w:spacing w:before="100" w:beforeAutospacing="1" w:after="100" w:afterAutospacing="1"/>
        <w:jc w:val="left"/>
        <w:outlineLvl w:val="2"/>
        <w:rPr>
          <w:rFonts w:ascii="宋体" w:hAnsi="宋体"/>
          <w:b/>
          <w:bCs/>
          <w:color w:val="auto"/>
          <w:kern w:val="0"/>
          <w:sz w:val="24"/>
          <w:szCs w:val="24"/>
          <w:highlight w:val="none"/>
        </w:rPr>
      </w:pPr>
      <w:bookmarkStart w:id="130" w:name="_Toc14697663"/>
      <w:bookmarkStart w:id="131" w:name="_Toc469"/>
      <w:r>
        <w:rPr>
          <w:rFonts w:hint="eastAsia" w:ascii="宋体" w:hAnsi="宋体"/>
          <w:b/>
          <w:bCs/>
          <w:color w:val="auto"/>
          <w:kern w:val="0"/>
          <w:sz w:val="24"/>
          <w:szCs w:val="24"/>
          <w:highlight w:val="none"/>
        </w:rPr>
        <w:t>格式</w:t>
      </w:r>
      <w:r>
        <w:rPr>
          <w:rFonts w:hint="eastAsia" w:ascii="宋体" w:hAnsi="宋体"/>
          <w:b/>
          <w:bCs/>
          <w:color w:val="auto"/>
          <w:kern w:val="0"/>
          <w:sz w:val="24"/>
          <w:szCs w:val="24"/>
          <w:highlight w:val="none"/>
          <w:lang w:val="en-US" w:eastAsia="zh-CN"/>
        </w:rPr>
        <w:t>八</w:t>
      </w:r>
      <w:r>
        <w:rPr>
          <w:rFonts w:hint="eastAsia" w:ascii="宋体" w:hAnsi="宋体"/>
          <w:b/>
          <w:bCs/>
          <w:color w:val="auto"/>
          <w:kern w:val="0"/>
          <w:sz w:val="24"/>
          <w:szCs w:val="24"/>
          <w:highlight w:val="none"/>
        </w:rPr>
        <w:t>：主要人员简历表</w:t>
      </w:r>
      <w:bookmarkEnd w:id="130"/>
      <w:bookmarkEnd w:id="131"/>
    </w:p>
    <w:p>
      <w:pPr>
        <w:topLinePunct/>
        <w:adjustRightInd w:val="0"/>
        <w:snapToGrid w:val="0"/>
        <w:spacing w:before="156" w:after="156" w:line="360" w:lineRule="auto"/>
        <w:jc w:val="center"/>
        <w:rPr>
          <w:rFonts w:ascii="宋体" w:hAnsi="宋体"/>
          <w:b/>
          <w:snapToGrid w:val="0"/>
          <w:color w:val="auto"/>
          <w:spacing w:val="4"/>
          <w:kern w:val="0"/>
          <w:sz w:val="32"/>
          <w:szCs w:val="32"/>
          <w:highlight w:val="none"/>
        </w:rPr>
      </w:pPr>
      <w:r>
        <w:rPr>
          <w:rFonts w:hint="eastAsia" w:ascii="宋体" w:hAnsi="宋体"/>
          <w:b/>
          <w:snapToGrid w:val="0"/>
          <w:color w:val="auto"/>
          <w:spacing w:val="4"/>
          <w:kern w:val="0"/>
          <w:sz w:val="32"/>
          <w:szCs w:val="32"/>
          <w:highlight w:val="none"/>
        </w:rPr>
        <w:t>主要人员简历表</w:t>
      </w:r>
    </w:p>
    <w:tbl>
      <w:tblPr>
        <w:tblStyle w:val="44"/>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26"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姓名</w:t>
            </w:r>
          </w:p>
        </w:tc>
        <w:tc>
          <w:tcPr>
            <w:tcW w:w="2126" w:type="dxa"/>
            <w:gridSpan w:val="3"/>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c>
          <w:tcPr>
            <w:tcW w:w="1370" w:type="dxa"/>
            <w:gridSpan w:val="2"/>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性别</w:t>
            </w:r>
          </w:p>
        </w:tc>
        <w:tc>
          <w:tcPr>
            <w:tcW w:w="1701" w:type="dxa"/>
            <w:gridSpan w:val="2"/>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c>
          <w:tcPr>
            <w:tcW w:w="1182"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年龄</w:t>
            </w:r>
          </w:p>
        </w:tc>
        <w:tc>
          <w:tcPr>
            <w:tcW w:w="1620" w:type="dxa"/>
            <w:gridSpan w:val="2"/>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26" w:type="dxa"/>
            <w:vAlign w:val="center"/>
          </w:tcPr>
          <w:p>
            <w:pPr>
              <w:spacing w:line="360" w:lineRule="auto"/>
              <w:jc w:val="center"/>
              <w:rPr>
                <w:rFonts w:ascii="宋体" w:hAnsi="宋体"/>
                <w:b/>
                <w:color w:val="auto"/>
                <w:sz w:val="24"/>
                <w:szCs w:val="24"/>
                <w:highlight w:val="none"/>
              </w:rPr>
            </w:pPr>
            <w:r>
              <w:rPr>
                <w:rFonts w:ascii="宋体" w:hAnsi="宋体"/>
                <w:b/>
                <w:bCs/>
                <w:color w:val="auto"/>
                <w:szCs w:val="21"/>
                <w:highlight w:val="none"/>
              </w:rPr>
              <w:t>身份证号码</w:t>
            </w:r>
          </w:p>
        </w:tc>
        <w:tc>
          <w:tcPr>
            <w:tcW w:w="7999" w:type="dxa"/>
            <w:gridSpan w:val="10"/>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26"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18"/>
                <w:szCs w:val="18"/>
                <w:highlight w:val="none"/>
              </w:rPr>
              <w:t>在本项目任职</w:t>
            </w:r>
          </w:p>
        </w:tc>
        <w:tc>
          <w:tcPr>
            <w:tcW w:w="2126" w:type="dxa"/>
            <w:gridSpan w:val="3"/>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c>
          <w:tcPr>
            <w:tcW w:w="1370" w:type="dxa"/>
            <w:gridSpan w:val="2"/>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职称</w:t>
            </w:r>
          </w:p>
        </w:tc>
        <w:tc>
          <w:tcPr>
            <w:tcW w:w="1701" w:type="dxa"/>
            <w:gridSpan w:val="2"/>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c>
          <w:tcPr>
            <w:tcW w:w="1182"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学历</w:t>
            </w:r>
          </w:p>
        </w:tc>
        <w:tc>
          <w:tcPr>
            <w:tcW w:w="1620" w:type="dxa"/>
            <w:gridSpan w:val="2"/>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1526"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参加工作</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年限</w:t>
            </w:r>
          </w:p>
        </w:tc>
        <w:tc>
          <w:tcPr>
            <w:tcW w:w="2126" w:type="dxa"/>
            <w:gridSpan w:val="3"/>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c>
          <w:tcPr>
            <w:tcW w:w="1370" w:type="dxa"/>
            <w:gridSpan w:val="2"/>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r>
              <w:rPr>
                <w:rFonts w:hint="eastAsia" w:ascii="宋体" w:hAnsi="宋体"/>
                <w:b/>
                <w:snapToGrid w:val="0"/>
                <w:color w:val="auto"/>
                <w:spacing w:val="4"/>
                <w:kern w:val="0"/>
                <w:sz w:val="24"/>
                <w:szCs w:val="24"/>
                <w:highlight w:val="none"/>
              </w:rPr>
              <w:t>担任相应职务年限</w:t>
            </w:r>
          </w:p>
        </w:tc>
        <w:tc>
          <w:tcPr>
            <w:tcW w:w="4503" w:type="dxa"/>
            <w:gridSpan w:val="5"/>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26"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资格证书号</w:t>
            </w:r>
          </w:p>
        </w:tc>
        <w:tc>
          <w:tcPr>
            <w:tcW w:w="7999" w:type="dxa"/>
            <w:gridSpan w:val="10"/>
            <w:vAlign w:val="center"/>
          </w:tcPr>
          <w:p>
            <w:pPr>
              <w:keepNext/>
              <w:keepLines/>
              <w:topLinePunct/>
              <w:adjustRightInd w:val="0"/>
              <w:snapToGrid w:val="0"/>
              <w:spacing w:before="120" w:after="120" w:line="360" w:lineRule="auto"/>
              <w:jc w:val="center"/>
              <w:outlineLvl w:val="0"/>
              <w:rPr>
                <w:rFonts w:ascii="宋体" w:hAnsi="宋体"/>
                <w:b/>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9525" w:type="dxa"/>
            <w:gridSpan w:val="11"/>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r>
              <w:rPr>
                <w:rFonts w:hint="eastAsia" w:ascii="宋体" w:hAnsi="宋体"/>
                <w:b/>
                <w:snapToGrid w:val="0"/>
                <w:color w:val="auto"/>
                <w:spacing w:val="4"/>
                <w:kern w:val="0"/>
                <w:sz w:val="24"/>
                <w:szCs w:val="24"/>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48" w:type="dxa"/>
            <w:gridSpan w:val="2"/>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建设单位</w:t>
            </w:r>
          </w:p>
        </w:tc>
        <w:tc>
          <w:tcPr>
            <w:tcW w:w="1547"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549" w:type="dxa"/>
            <w:gridSpan w:val="2"/>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建设规模</w:t>
            </w:r>
          </w:p>
        </w:tc>
        <w:tc>
          <w:tcPr>
            <w:tcW w:w="1783" w:type="dxa"/>
            <w:gridSpan w:val="2"/>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开、竣工日期</w:t>
            </w:r>
          </w:p>
        </w:tc>
        <w:tc>
          <w:tcPr>
            <w:tcW w:w="1547" w:type="dxa"/>
            <w:gridSpan w:val="3"/>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在建或已完</w:t>
            </w:r>
          </w:p>
        </w:tc>
        <w:tc>
          <w:tcPr>
            <w:tcW w:w="1551" w:type="dxa"/>
            <w:vAlign w:val="center"/>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48" w:type="dxa"/>
            <w:gridSpan w:val="2"/>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c>
          <w:tcPr>
            <w:tcW w:w="1547" w:type="dxa"/>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c>
          <w:tcPr>
            <w:tcW w:w="1549" w:type="dxa"/>
            <w:gridSpan w:val="2"/>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c>
          <w:tcPr>
            <w:tcW w:w="1783" w:type="dxa"/>
            <w:gridSpan w:val="2"/>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c>
          <w:tcPr>
            <w:tcW w:w="1547" w:type="dxa"/>
            <w:gridSpan w:val="3"/>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c>
          <w:tcPr>
            <w:tcW w:w="1551" w:type="dxa"/>
            <w:vAlign w:val="center"/>
          </w:tcPr>
          <w:p>
            <w:pPr>
              <w:topLinePunct/>
              <w:adjustRightInd w:val="0"/>
              <w:snapToGrid w:val="0"/>
              <w:spacing w:line="360" w:lineRule="auto"/>
              <w:jc w:val="center"/>
              <w:rPr>
                <w:rFonts w:ascii="宋体" w:hAnsi="宋体"/>
                <w:b/>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48" w:type="dxa"/>
            <w:gridSpan w:val="2"/>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47" w:type="dxa"/>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49" w:type="dxa"/>
            <w:gridSpan w:val="2"/>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783" w:type="dxa"/>
            <w:gridSpan w:val="2"/>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47" w:type="dxa"/>
            <w:gridSpan w:val="3"/>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51" w:type="dxa"/>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48" w:type="dxa"/>
            <w:gridSpan w:val="2"/>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47" w:type="dxa"/>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49" w:type="dxa"/>
            <w:gridSpan w:val="2"/>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783" w:type="dxa"/>
            <w:gridSpan w:val="2"/>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47" w:type="dxa"/>
            <w:gridSpan w:val="3"/>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c>
          <w:tcPr>
            <w:tcW w:w="1551" w:type="dxa"/>
            <w:vAlign w:val="center"/>
          </w:tcPr>
          <w:p>
            <w:pPr>
              <w:topLinePunct/>
              <w:adjustRightInd w:val="0"/>
              <w:snapToGrid w:val="0"/>
              <w:spacing w:line="360" w:lineRule="auto"/>
              <w:jc w:val="center"/>
              <w:rPr>
                <w:rFonts w:ascii="宋体" w:hAnsi="宋体"/>
                <w:snapToGrid w:val="0"/>
                <w:color w:val="auto"/>
                <w:spacing w:val="4"/>
                <w:kern w:val="0"/>
                <w:sz w:val="24"/>
                <w:szCs w:val="24"/>
                <w:highlight w:val="none"/>
              </w:rPr>
            </w:pPr>
          </w:p>
        </w:tc>
      </w:tr>
    </w:tbl>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p>
    <w:p>
      <w:pPr>
        <w:topLinePunct/>
        <w:adjustRightInd w:val="0"/>
        <w:snapToGrid w:val="0"/>
        <w:spacing w:line="360" w:lineRule="auto"/>
        <w:ind w:firstLine="691" w:firstLineChars="279"/>
        <w:jc w:val="center"/>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投 标 人：（盖章）</w:t>
      </w:r>
    </w:p>
    <w:p>
      <w:pPr>
        <w:topLinePunct/>
        <w:adjustRightInd w:val="0"/>
        <w:snapToGrid w:val="0"/>
        <w:spacing w:line="360" w:lineRule="auto"/>
        <w:ind w:firstLine="691" w:firstLineChars="279"/>
        <w:jc w:val="center"/>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 xml:space="preserve">                   法定代表人或授权代理人（签字或盖章）：</w:t>
      </w:r>
    </w:p>
    <w:p>
      <w:pPr>
        <w:topLinePunct/>
        <w:adjustRightInd w:val="0"/>
        <w:snapToGrid w:val="0"/>
        <w:spacing w:line="360" w:lineRule="auto"/>
        <w:ind w:firstLine="691" w:firstLineChars="279"/>
        <w:jc w:val="center"/>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 xml:space="preserve">          日    期：    年    月    日 </w:t>
      </w:r>
    </w:p>
    <w:p>
      <w:pPr>
        <w:topLinePunct/>
        <w:adjustRightInd w:val="0"/>
        <w:snapToGrid w:val="0"/>
        <w:spacing w:line="360" w:lineRule="auto"/>
        <w:ind w:firstLine="691" w:firstLineChars="279"/>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sectPr>
          <w:pgSz w:w="11907" w:h="16840"/>
          <w:pgMar w:top="1440" w:right="1440" w:bottom="1440" w:left="1440" w:header="851" w:footer="850" w:gutter="0"/>
          <w:pgBorders>
            <w:top w:val="none" w:sz="0" w:space="0"/>
            <w:left w:val="none" w:sz="0" w:space="0"/>
            <w:bottom w:val="none" w:sz="0" w:space="0"/>
            <w:right w:val="none" w:sz="0" w:space="0"/>
          </w:pgBorders>
          <w:cols w:space="0" w:num="1"/>
          <w:rtlGutter w:val="0"/>
          <w:docGrid w:type="lines" w:linePitch="312" w:charSpace="0"/>
        </w:sectPr>
      </w:pPr>
    </w:p>
    <w:p>
      <w:pPr>
        <w:topLinePunct/>
        <w:adjustRightInd w:val="0"/>
        <w:snapToGrid w:val="0"/>
        <w:jc w:val="left"/>
        <w:outlineLvl w:val="2"/>
        <w:rPr>
          <w:rFonts w:ascii="宋体" w:hAnsi="宋体"/>
          <w:snapToGrid w:val="0"/>
          <w:color w:val="auto"/>
          <w:spacing w:val="4"/>
          <w:kern w:val="0"/>
          <w:sz w:val="24"/>
          <w:szCs w:val="24"/>
          <w:highlight w:val="none"/>
        </w:rPr>
      </w:pPr>
      <w:bookmarkStart w:id="132" w:name="_Toc8685"/>
      <w:bookmarkStart w:id="133" w:name="_Toc14697664"/>
      <w:r>
        <w:rPr>
          <w:rFonts w:hint="eastAsia" w:ascii="宋体" w:hAnsi="宋体"/>
          <w:snapToGrid w:val="0"/>
          <w:color w:val="auto"/>
          <w:spacing w:val="4"/>
          <w:kern w:val="0"/>
          <w:sz w:val="24"/>
          <w:szCs w:val="24"/>
          <w:highlight w:val="none"/>
        </w:rPr>
        <w:t>格式</w:t>
      </w:r>
      <w:r>
        <w:rPr>
          <w:rFonts w:hint="eastAsia" w:ascii="宋体" w:hAnsi="宋体"/>
          <w:snapToGrid w:val="0"/>
          <w:color w:val="auto"/>
          <w:spacing w:val="4"/>
          <w:kern w:val="0"/>
          <w:sz w:val="24"/>
          <w:szCs w:val="24"/>
          <w:highlight w:val="none"/>
          <w:lang w:val="en-US" w:eastAsia="zh-CN"/>
        </w:rPr>
        <w:t>九</w:t>
      </w:r>
      <w:r>
        <w:rPr>
          <w:rFonts w:hint="eastAsia" w:ascii="宋体" w:hAnsi="宋体"/>
          <w:snapToGrid w:val="0"/>
          <w:color w:val="auto"/>
          <w:spacing w:val="4"/>
          <w:kern w:val="0"/>
          <w:sz w:val="24"/>
          <w:szCs w:val="24"/>
          <w:highlight w:val="none"/>
        </w:rPr>
        <w:t>：已竣工验收的类似工程业绩表</w:t>
      </w:r>
      <w:bookmarkEnd w:id="132"/>
      <w:bookmarkEnd w:id="133"/>
    </w:p>
    <w:p>
      <w:pPr>
        <w:topLinePunct/>
        <w:adjustRightInd w:val="0"/>
        <w:snapToGrid w:val="0"/>
        <w:spacing w:before="156" w:after="156" w:line="360" w:lineRule="auto"/>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已竣工验收的类似工程业绩表</w:t>
      </w:r>
    </w:p>
    <w:tbl>
      <w:tblPr>
        <w:tblStyle w:val="4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8"/>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487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4365"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4878" w:type="dxa"/>
            <w:vAlign w:val="center"/>
          </w:tcPr>
          <w:p>
            <w:pPr>
              <w:jc w:val="center"/>
              <w:rPr>
                <w:rFonts w:ascii="宋体" w:hAnsi="宋体"/>
                <w:b/>
                <w:color w:val="auto"/>
                <w:sz w:val="24"/>
                <w:szCs w:val="24"/>
                <w:highlight w:val="none"/>
              </w:rPr>
            </w:pPr>
          </w:p>
        </w:tc>
        <w:tc>
          <w:tcPr>
            <w:tcW w:w="4365" w:type="dxa"/>
            <w:vAlign w:val="center"/>
          </w:tcPr>
          <w:p>
            <w:pPr>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4878" w:type="dxa"/>
            <w:vAlign w:val="center"/>
          </w:tcPr>
          <w:p>
            <w:pPr>
              <w:jc w:val="center"/>
              <w:rPr>
                <w:rFonts w:ascii="宋体" w:hAnsi="宋体"/>
                <w:b/>
                <w:color w:val="auto"/>
                <w:sz w:val="24"/>
                <w:szCs w:val="24"/>
                <w:highlight w:val="none"/>
              </w:rPr>
            </w:pPr>
          </w:p>
        </w:tc>
        <w:tc>
          <w:tcPr>
            <w:tcW w:w="4365" w:type="dxa"/>
            <w:vAlign w:val="center"/>
          </w:tcPr>
          <w:p>
            <w:pPr>
              <w:jc w:val="center"/>
              <w:rPr>
                <w:rFonts w:ascii="宋体" w:hAnsi="宋体"/>
                <w:b/>
                <w:color w:val="auto"/>
                <w:sz w:val="24"/>
                <w:szCs w:val="24"/>
                <w:highlight w:val="none"/>
              </w:rPr>
            </w:pPr>
          </w:p>
        </w:tc>
      </w:tr>
    </w:tbl>
    <w:p>
      <w:pPr>
        <w:spacing w:line="360" w:lineRule="auto"/>
        <w:rPr>
          <w:color w:val="auto"/>
          <w:highlight w:val="none"/>
        </w:rPr>
      </w:pPr>
      <w:r>
        <w:rPr>
          <w:rFonts w:hint="eastAsia"/>
          <w:color w:val="auto"/>
          <w:highlight w:val="none"/>
        </w:rPr>
        <w:t>注：</w:t>
      </w:r>
    </w:p>
    <w:p>
      <w:pPr>
        <w:spacing w:line="360" w:lineRule="auto"/>
        <w:ind w:firstLine="424" w:firstLineChars="202"/>
        <w:rPr>
          <w:rFonts w:ascii="宋体" w:hAnsi="宋体" w:cs="宋体"/>
          <w:color w:val="auto"/>
          <w:highlight w:val="none"/>
          <w:u w:val="single"/>
        </w:rPr>
      </w:pPr>
      <w:r>
        <w:rPr>
          <w:rFonts w:hint="eastAsia" w:ascii="宋体" w:hAnsi="宋体"/>
          <w:color w:val="auto"/>
          <w:szCs w:val="21"/>
          <w:highlight w:val="none"/>
        </w:rPr>
        <w:t>1、</w:t>
      </w:r>
      <w:r>
        <w:rPr>
          <w:rFonts w:hint="eastAsia" w:ascii="宋体" w:hAnsi="宋体" w:cs="宋体"/>
          <w:color w:val="auto"/>
          <w:highlight w:val="none"/>
          <w:u w:val="single"/>
        </w:rPr>
        <w:t>业绩取自广州市住房和城乡建设局企业诚信档案信息库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库内分别对应不同业绩的，以项目名称对应的业绩为准②项目名称存在对应业绩的，项目编号在库内不存在对应业绩，以项目名称对应的业绩为准③项目名称在库内不存在对应业绩，项目编号存在对应业绩的，以项目编号对应的业绩为准。评标委员会对业绩的评审以投标截止时间在库内业绩上传件为依据。</w:t>
      </w:r>
    </w:p>
    <w:p>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2、如无已竣工验收的同类工程业绩的，在项目栏中填写“无”，并需签名和盖公章提交。</w:t>
      </w:r>
    </w:p>
    <w:p>
      <w:pPr>
        <w:jc w:val="left"/>
        <w:rPr>
          <w:rFonts w:ascii="宋体" w:hAnsi="宋体"/>
          <w:color w:val="auto"/>
          <w:szCs w:val="21"/>
          <w:highlight w:val="none"/>
        </w:rPr>
      </w:pPr>
    </w:p>
    <w:p>
      <w:pPr>
        <w:topLinePunct/>
        <w:adjustRightInd w:val="0"/>
        <w:snapToGrid w:val="0"/>
        <w:spacing w:line="360" w:lineRule="auto"/>
        <w:rPr>
          <w:rFonts w:ascii="宋体" w:hAnsi="宋体"/>
          <w:snapToGrid w:val="0"/>
          <w:color w:val="auto"/>
          <w:spacing w:val="4"/>
          <w:kern w:val="0"/>
          <w:sz w:val="24"/>
          <w:szCs w:val="24"/>
          <w:highlight w:val="none"/>
        </w:rPr>
      </w:pP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投标人：　　（盖章）</w:t>
      </w:r>
    </w:p>
    <w:p>
      <w:pPr>
        <w:topLinePunct/>
        <w:adjustRightInd w:val="0"/>
        <w:snapToGrid w:val="0"/>
        <w:spacing w:line="360" w:lineRule="auto"/>
        <w:ind w:firstLine="3596" w:firstLineChars="145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3596" w:firstLineChars="1450"/>
        <w:rPr>
          <w:color w:val="auto"/>
          <w:highlight w:val="none"/>
        </w:rPr>
      </w:pPr>
      <w:r>
        <w:rPr>
          <w:rFonts w:hint="eastAsia" w:ascii="宋体" w:hAnsi="宋体"/>
          <w:snapToGrid w:val="0"/>
          <w:color w:val="auto"/>
          <w:spacing w:val="4"/>
          <w:kern w:val="0"/>
          <w:sz w:val="24"/>
          <w:szCs w:val="24"/>
          <w:highlight w:val="none"/>
        </w:rPr>
        <w:t>日   期：    年    月    日</w:t>
      </w:r>
    </w:p>
    <w:p>
      <w:pPr>
        <w:widowControl/>
        <w:shd w:val="clear"/>
        <w:topLinePunct/>
        <w:adjustRightInd w:val="0"/>
        <w:snapToGrid w:val="0"/>
        <w:spacing w:after="200"/>
        <w:jc w:val="left"/>
        <w:outlineLvl w:val="2"/>
        <w:rPr>
          <w:color w:val="auto"/>
          <w:spacing w:val="4"/>
          <w:kern w:val="0"/>
          <w:sz w:val="24"/>
          <w:szCs w:val="24"/>
          <w:highlight w:val="none"/>
        </w:rPr>
      </w:pPr>
      <w:r>
        <w:rPr>
          <w:rFonts w:ascii="宋体" w:hAnsi="宋体" w:eastAsia="黑体"/>
          <w:b/>
          <w:snapToGrid w:val="0"/>
          <w:color w:val="auto"/>
          <w:spacing w:val="4"/>
          <w:kern w:val="0"/>
          <w:sz w:val="24"/>
          <w:szCs w:val="24"/>
          <w:highlight w:val="none"/>
        </w:rPr>
        <w:br w:type="page"/>
      </w:r>
      <w:bookmarkStart w:id="134" w:name="_Toc29476919"/>
      <w:bookmarkStart w:id="135" w:name="_Toc40024393"/>
      <w:bookmarkStart w:id="136" w:name="_Toc1902"/>
      <w:r>
        <w:rPr>
          <w:rFonts w:hint="eastAsia"/>
          <w:color w:val="auto"/>
          <w:spacing w:val="4"/>
          <w:kern w:val="0"/>
          <w:sz w:val="24"/>
          <w:szCs w:val="24"/>
          <w:highlight w:val="none"/>
        </w:rPr>
        <w:t>格式十：</w:t>
      </w:r>
      <w:bookmarkEnd w:id="134"/>
      <w:bookmarkEnd w:id="135"/>
      <w:bookmarkEnd w:id="136"/>
      <w:r>
        <w:rPr>
          <w:rFonts w:hint="eastAsia"/>
          <w:color w:val="auto"/>
          <w:spacing w:val="4"/>
          <w:kern w:val="0"/>
          <w:sz w:val="24"/>
          <w:szCs w:val="24"/>
          <w:highlight w:val="none"/>
        </w:rPr>
        <w:t>响应招标文件所附施工组织设计要点的承诺书</w:t>
      </w:r>
    </w:p>
    <w:p>
      <w:pPr>
        <w:shd w:val="clear" w:color="auto" w:fill="auto"/>
        <w:topLinePunct/>
        <w:adjustRightInd w:val="0"/>
        <w:snapToGrid w:val="0"/>
        <w:spacing w:line="360" w:lineRule="auto"/>
        <w:jc w:val="center"/>
        <w:rPr>
          <w:rFonts w:hint="eastAsia" w:ascii="宋体" w:hAnsi="宋体"/>
          <w:b/>
          <w:bCs/>
          <w:color w:val="auto"/>
          <w:sz w:val="36"/>
          <w:szCs w:val="36"/>
          <w:highlight w:val="none"/>
        </w:rPr>
      </w:pPr>
    </w:p>
    <w:p>
      <w:pPr>
        <w:shd w:val="clear" w:color="auto" w:fill="auto"/>
        <w:topLinePunct/>
        <w:adjustRightInd w:val="0"/>
        <w:snapToGrid w:val="0"/>
        <w:spacing w:line="360" w:lineRule="auto"/>
        <w:jc w:val="center"/>
        <w:rPr>
          <w:rFonts w:hint="eastAsia" w:ascii="宋体" w:hAnsi="宋体" w:cs="宋体"/>
          <w:b/>
          <w:bCs/>
          <w:snapToGrid w:val="0"/>
          <w:color w:val="auto"/>
          <w:spacing w:val="4"/>
          <w:kern w:val="0"/>
          <w:sz w:val="32"/>
          <w:szCs w:val="36"/>
          <w:highlight w:val="none"/>
        </w:rPr>
      </w:pPr>
      <w:r>
        <w:rPr>
          <w:rFonts w:hint="eastAsia" w:ascii="宋体" w:hAnsi="宋体"/>
          <w:b/>
          <w:bCs/>
          <w:color w:val="auto"/>
          <w:sz w:val="36"/>
          <w:szCs w:val="36"/>
          <w:highlight w:val="none"/>
        </w:rPr>
        <w:t>响应招标文件所附施工组织设计要点的承诺书</w:t>
      </w:r>
    </w:p>
    <w:p>
      <w:pPr>
        <w:shd w:val="clear" w:color="auto" w:fill="auto"/>
        <w:spacing w:before="312" w:beforeLines="100" w:after="156" w:afterLines="50" w:line="360" w:lineRule="auto"/>
        <w:rPr>
          <w:rFonts w:ascii="宋体" w:hAnsi="宋体"/>
          <w:color w:val="auto"/>
          <w:sz w:val="24"/>
          <w:szCs w:val="24"/>
          <w:highlight w:val="none"/>
          <w:u w:val="singl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hd w:val="clear" w:color="auto" w:fill="auto"/>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，将按招标</w:t>
      </w:r>
      <w:r>
        <w:rPr>
          <w:rFonts w:ascii="宋体" w:hAnsi="宋体"/>
          <w:color w:val="auto"/>
          <w:sz w:val="24"/>
          <w:szCs w:val="24"/>
          <w:highlight w:val="none"/>
        </w:rPr>
        <w:t>文件</w:t>
      </w:r>
      <w:r>
        <w:rPr>
          <w:rFonts w:hint="eastAsia" w:ascii="宋体" w:hAnsi="宋体"/>
          <w:color w:val="auto"/>
          <w:sz w:val="24"/>
          <w:szCs w:val="24"/>
          <w:highlight w:val="none"/>
        </w:rPr>
        <w:t>所附的本工程</w:t>
      </w:r>
      <w:r>
        <w:rPr>
          <w:rFonts w:hint="eastAsia" w:ascii="宋体" w:hAnsi="宋体"/>
          <w:color w:val="auto"/>
          <w:sz w:val="24"/>
          <w:szCs w:val="24"/>
          <w:highlight w:val="none"/>
          <w:u w:val="single"/>
        </w:rPr>
        <w:t xml:space="preserve"> 施工组织设计要点 </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 xml:space="preserve"> 施工组织设计要点 </w:t>
      </w:r>
      <w:r>
        <w:rPr>
          <w:rFonts w:hint="eastAsia" w:ascii="宋体" w:hAnsi="宋体"/>
          <w:color w:val="auto"/>
          <w:sz w:val="24"/>
          <w:szCs w:val="24"/>
          <w:highlight w:val="none"/>
        </w:rPr>
        <w:t>基础上编制详细的施工组织设计，并报经监理单位和建设单位审批后实施。</w:t>
      </w:r>
    </w:p>
    <w:p>
      <w:pPr>
        <w:widowControl/>
        <w:shd w:val="clear" w:color="auto" w:fill="auto"/>
        <w:topLinePunct/>
        <w:adjustRightInd w:val="0"/>
        <w:snapToGrid w:val="0"/>
        <w:spacing w:after="200" w:line="360" w:lineRule="auto"/>
        <w:ind w:firstLine="3596" w:firstLineChars="1450"/>
        <w:jc w:val="left"/>
        <w:rPr>
          <w:rFonts w:hint="eastAsia"/>
          <w:color w:val="auto"/>
          <w:spacing w:val="4"/>
          <w:kern w:val="0"/>
          <w:sz w:val="24"/>
          <w:szCs w:val="24"/>
          <w:highlight w:val="none"/>
        </w:rPr>
      </w:pPr>
    </w:p>
    <w:p>
      <w:pPr>
        <w:widowControl/>
        <w:shd w:val="clear" w:color="auto" w:fill="auto"/>
        <w:topLinePunct/>
        <w:adjustRightInd w:val="0"/>
        <w:snapToGrid w:val="0"/>
        <w:spacing w:after="200" w:line="360" w:lineRule="auto"/>
        <w:ind w:firstLine="3596" w:firstLineChars="1450"/>
        <w:jc w:val="left"/>
        <w:rPr>
          <w:rFonts w:hint="eastAsia"/>
          <w:color w:val="auto"/>
          <w:spacing w:val="4"/>
          <w:kern w:val="0"/>
          <w:sz w:val="24"/>
          <w:szCs w:val="24"/>
          <w:highlight w:val="none"/>
        </w:rPr>
      </w:pPr>
    </w:p>
    <w:p>
      <w:pPr>
        <w:widowControl/>
        <w:shd w:val="clear" w:color="auto" w:fill="auto"/>
        <w:topLinePunct/>
        <w:adjustRightInd w:val="0"/>
        <w:snapToGrid w:val="0"/>
        <w:spacing w:after="200" w:line="360" w:lineRule="auto"/>
        <w:ind w:firstLine="3596" w:firstLineChars="1450"/>
        <w:jc w:val="left"/>
        <w:rPr>
          <w:rFonts w:hint="eastAsia"/>
          <w:color w:val="auto"/>
          <w:spacing w:val="4"/>
          <w:kern w:val="0"/>
          <w:sz w:val="24"/>
          <w:szCs w:val="24"/>
          <w:highlight w:val="none"/>
        </w:rPr>
      </w:pPr>
    </w:p>
    <w:p>
      <w:pPr>
        <w:widowControl/>
        <w:shd w:val="clear" w:color="auto" w:fill="auto"/>
        <w:topLinePunct/>
        <w:adjustRightInd w:val="0"/>
        <w:snapToGrid w:val="0"/>
        <w:spacing w:after="200" w:line="360" w:lineRule="auto"/>
        <w:ind w:firstLine="3596" w:firstLineChars="1450"/>
        <w:jc w:val="left"/>
        <w:rPr>
          <w:color w:val="auto"/>
          <w:spacing w:val="4"/>
          <w:kern w:val="0"/>
          <w:sz w:val="24"/>
          <w:szCs w:val="24"/>
          <w:highlight w:val="none"/>
        </w:rPr>
      </w:pPr>
      <w:r>
        <w:rPr>
          <w:rFonts w:hint="eastAsia"/>
          <w:color w:val="auto"/>
          <w:spacing w:val="4"/>
          <w:kern w:val="0"/>
          <w:sz w:val="24"/>
          <w:szCs w:val="24"/>
          <w:highlight w:val="none"/>
        </w:rPr>
        <w:t>投标人：　　（盖章）</w:t>
      </w:r>
    </w:p>
    <w:p>
      <w:pPr>
        <w:widowControl/>
        <w:shd w:val="clear" w:color="auto" w:fill="auto"/>
        <w:topLinePunct/>
        <w:adjustRightInd w:val="0"/>
        <w:snapToGrid w:val="0"/>
        <w:spacing w:after="200" w:line="360" w:lineRule="auto"/>
        <w:ind w:firstLine="3596" w:firstLineChars="1450"/>
        <w:jc w:val="left"/>
        <w:rPr>
          <w:color w:val="auto"/>
          <w:spacing w:val="4"/>
          <w:kern w:val="0"/>
          <w:sz w:val="24"/>
          <w:szCs w:val="24"/>
          <w:highlight w:val="none"/>
        </w:rPr>
      </w:pPr>
      <w:r>
        <w:rPr>
          <w:rFonts w:hint="eastAsia"/>
          <w:color w:val="auto"/>
          <w:spacing w:val="4"/>
          <w:kern w:val="0"/>
          <w:sz w:val="24"/>
          <w:szCs w:val="24"/>
          <w:highlight w:val="none"/>
        </w:rPr>
        <w:t>法定代表人或授权代理人</w:t>
      </w:r>
      <w:r>
        <w:rPr>
          <w:color w:val="auto"/>
          <w:spacing w:val="4"/>
          <w:kern w:val="0"/>
          <w:sz w:val="24"/>
          <w:szCs w:val="24"/>
          <w:highlight w:val="none"/>
        </w:rPr>
        <w:t>(</w:t>
      </w:r>
      <w:r>
        <w:rPr>
          <w:rFonts w:hint="eastAsia"/>
          <w:color w:val="auto"/>
          <w:spacing w:val="4"/>
          <w:kern w:val="0"/>
          <w:sz w:val="24"/>
          <w:szCs w:val="24"/>
          <w:highlight w:val="none"/>
        </w:rPr>
        <w:t>签字或盖章</w:t>
      </w:r>
      <w:r>
        <w:rPr>
          <w:color w:val="auto"/>
          <w:spacing w:val="4"/>
          <w:kern w:val="0"/>
          <w:sz w:val="24"/>
          <w:szCs w:val="24"/>
          <w:highlight w:val="none"/>
        </w:rPr>
        <w:t>)</w:t>
      </w:r>
      <w:r>
        <w:rPr>
          <w:rFonts w:hint="eastAsia"/>
          <w:color w:val="auto"/>
          <w:spacing w:val="4"/>
          <w:kern w:val="0"/>
          <w:sz w:val="24"/>
          <w:szCs w:val="24"/>
          <w:highlight w:val="none"/>
        </w:rPr>
        <w:t>：</w:t>
      </w:r>
    </w:p>
    <w:p>
      <w:pPr>
        <w:widowControl/>
        <w:shd w:val="clear" w:color="auto" w:fill="auto"/>
        <w:topLinePunct/>
        <w:adjustRightInd w:val="0"/>
        <w:snapToGrid w:val="0"/>
        <w:spacing w:after="200" w:line="360" w:lineRule="auto"/>
        <w:ind w:firstLine="3596" w:firstLineChars="1450"/>
        <w:jc w:val="left"/>
        <w:rPr>
          <w:rFonts w:hint="eastAsia"/>
          <w:color w:val="auto"/>
          <w:spacing w:val="4"/>
          <w:kern w:val="0"/>
          <w:sz w:val="24"/>
          <w:szCs w:val="24"/>
          <w:highlight w:val="none"/>
        </w:rPr>
      </w:pPr>
      <w:r>
        <w:rPr>
          <w:rFonts w:hint="eastAsia"/>
          <w:color w:val="auto"/>
          <w:spacing w:val="4"/>
          <w:kern w:val="0"/>
          <w:sz w:val="24"/>
          <w:szCs w:val="24"/>
          <w:highlight w:val="none"/>
        </w:rPr>
        <w:t>日</w:t>
      </w:r>
      <w:r>
        <w:rPr>
          <w:color w:val="auto"/>
          <w:spacing w:val="4"/>
          <w:kern w:val="0"/>
          <w:sz w:val="24"/>
          <w:szCs w:val="24"/>
          <w:highlight w:val="none"/>
        </w:rPr>
        <w:t xml:space="preserve">   </w:t>
      </w:r>
      <w:r>
        <w:rPr>
          <w:rFonts w:hint="eastAsia"/>
          <w:color w:val="auto"/>
          <w:spacing w:val="4"/>
          <w:kern w:val="0"/>
          <w:sz w:val="24"/>
          <w:szCs w:val="24"/>
          <w:highlight w:val="none"/>
        </w:rPr>
        <w:t>期：</w:t>
      </w:r>
      <w:r>
        <w:rPr>
          <w:color w:val="auto"/>
          <w:spacing w:val="4"/>
          <w:kern w:val="0"/>
          <w:sz w:val="24"/>
          <w:szCs w:val="24"/>
          <w:highlight w:val="none"/>
        </w:rPr>
        <w:t xml:space="preserve">    </w:t>
      </w:r>
      <w:r>
        <w:rPr>
          <w:rFonts w:hint="eastAsia"/>
          <w:color w:val="auto"/>
          <w:spacing w:val="4"/>
          <w:kern w:val="0"/>
          <w:sz w:val="24"/>
          <w:szCs w:val="24"/>
          <w:highlight w:val="none"/>
        </w:rPr>
        <w:t>年</w:t>
      </w:r>
      <w:r>
        <w:rPr>
          <w:color w:val="auto"/>
          <w:spacing w:val="4"/>
          <w:kern w:val="0"/>
          <w:sz w:val="24"/>
          <w:szCs w:val="24"/>
          <w:highlight w:val="none"/>
        </w:rPr>
        <w:t xml:space="preserve">    </w:t>
      </w:r>
      <w:r>
        <w:rPr>
          <w:rFonts w:hint="eastAsia"/>
          <w:color w:val="auto"/>
          <w:spacing w:val="4"/>
          <w:kern w:val="0"/>
          <w:sz w:val="24"/>
          <w:szCs w:val="24"/>
          <w:highlight w:val="none"/>
        </w:rPr>
        <w:t>月</w:t>
      </w:r>
      <w:r>
        <w:rPr>
          <w:color w:val="auto"/>
          <w:spacing w:val="4"/>
          <w:kern w:val="0"/>
          <w:sz w:val="24"/>
          <w:szCs w:val="24"/>
          <w:highlight w:val="none"/>
        </w:rPr>
        <w:t xml:space="preserve">    </w:t>
      </w:r>
      <w:r>
        <w:rPr>
          <w:rFonts w:hint="eastAsia"/>
          <w:color w:val="auto"/>
          <w:spacing w:val="4"/>
          <w:kern w:val="0"/>
          <w:sz w:val="24"/>
          <w:szCs w:val="24"/>
          <w:highlight w:val="none"/>
        </w:rPr>
        <w:t>日</w:t>
      </w:r>
    </w:p>
    <w:p>
      <w:pPr>
        <w:rPr>
          <w:rFonts w:hint="eastAsia"/>
          <w:color w:val="auto"/>
          <w:spacing w:val="4"/>
          <w:kern w:val="0"/>
          <w:sz w:val="24"/>
          <w:szCs w:val="24"/>
          <w:highlight w:val="none"/>
        </w:rPr>
      </w:pPr>
      <w:r>
        <w:rPr>
          <w:rFonts w:hint="eastAsia"/>
          <w:color w:val="auto"/>
          <w:spacing w:val="4"/>
          <w:kern w:val="0"/>
          <w:sz w:val="24"/>
          <w:szCs w:val="24"/>
          <w:highlight w:val="none"/>
        </w:rPr>
        <w:br w:type="page"/>
      </w:r>
    </w:p>
    <w:p>
      <w:pPr>
        <w:shd w:val="clear" w:color="auto" w:fill="auto"/>
        <w:topLinePunct/>
        <w:adjustRightInd w:val="0"/>
        <w:snapToGrid w:val="0"/>
        <w:spacing w:line="360" w:lineRule="auto"/>
        <w:rPr>
          <w:rFonts w:hint="eastAsia" w:eastAsia="黑体"/>
          <w:snapToGrid w:val="0"/>
          <w:color w:val="auto"/>
          <w:spacing w:val="4"/>
          <w:sz w:val="36"/>
          <w:szCs w:val="36"/>
          <w:highlight w:val="none"/>
        </w:rPr>
      </w:pPr>
      <w:r>
        <w:rPr>
          <w:rFonts w:hint="eastAsia" w:eastAsia="黑体"/>
          <w:snapToGrid w:val="0"/>
          <w:color w:val="auto"/>
          <w:spacing w:val="4"/>
          <w:sz w:val="36"/>
          <w:szCs w:val="36"/>
          <w:highlight w:val="none"/>
        </w:rPr>
        <w:t>附：施工组织设计要点</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由投标人有针对性的描述，各部分文字直接简炼，不得出现大量宣传性及无实质性意义或直接引用范本照搬照套的文字。</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施工组织设计包括但不限于以下方面内容：</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一、</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工程概况</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二、</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项目实施条件分析</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三、</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项目管理目标</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四、</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项目组织结构</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五、</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现场管理和施工总平面图</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六、</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施工部署和施工准备工作</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   项目管理总体安排；</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   施工和管理人员的准备和拟投入的最高人数和平均人数；</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   施工现场准备和施工程序；</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4、   施工准备工作组织和时间安排。</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七、</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施工组织方案</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施工流向和施工顺序；</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施工阶段划分；</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施工方法和施工机械选择；</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4、</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安全生产和文明施工设计；</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5、</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环境管理；</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6、</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1"/>
          <w:highlight w:val="none"/>
        </w:rPr>
        <w:t>报装、报建方案</w:t>
      </w:r>
      <w:r>
        <w:rPr>
          <w:rFonts w:hint="eastAsia" w:ascii="宋体" w:hAnsi="宋体" w:eastAsia="宋体" w:cs="宋体"/>
          <w:snapToGrid w:val="0"/>
          <w:color w:val="auto"/>
          <w:spacing w:val="4"/>
          <w:sz w:val="24"/>
          <w:szCs w:val="24"/>
          <w:highlight w:val="none"/>
        </w:rPr>
        <w:t>；</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7、</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1"/>
          <w:highlight w:val="none"/>
        </w:rPr>
        <w:t>调试方案</w:t>
      </w:r>
      <w:r>
        <w:rPr>
          <w:rFonts w:hint="eastAsia" w:ascii="宋体" w:hAnsi="宋体" w:eastAsia="宋体" w:cs="宋体"/>
          <w:snapToGrid w:val="0"/>
          <w:color w:val="auto"/>
          <w:spacing w:val="4"/>
          <w:sz w:val="24"/>
          <w:szCs w:val="24"/>
          <w:highlight w:val="none"/>
        </w:rPr>
        <w:t>；</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 xml:space="preserve">8、   </w:t>
      </w:r>
      <w:r>
        <w:rPr>
          <w:rFonts w:hint="eastAsia" w:ascii="宋体" w:hAnsi="宋体" w:eastAsia="宋体" w:cs="宋体"/>
          <w:snapToGrid w:val="0"/>
          <w:color w:val="auto"/>
          <w:spacing w:val="4"/>
          <w:sz w:val="24"/>
          <w:szCs w:val="21"/>
          <w:highlight w:val="none"/>
        </w:rPr>
        <w:t>施工方案；</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9、</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其他。</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八、</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施工技术组织措施计划</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施工总进度计划和单项工程施工进度计划（附表1）；</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   保证进度的措施；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保证质量的措施；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4、</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保证安全生产和文明施工目标的措施；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5、   保证季节施工的措施；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6、</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保证环境的措施；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7、</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成品保护措施。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以上各项措施应包括技术措施、组织措施、经济措施及合同措施。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九、</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资源供应保障计划</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劳动力需求计划（附表2）；</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主要材料、设备采购计划表（附表3）；</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   主要材料、设备选用表；</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4、</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主要机械设备及大型工具、器具需求计划（附表4）；</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5、</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资金使用计划（附表5）；</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6、</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材料设备供应保障措施。</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十、</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项目风险预测和管理</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风险管理重点；</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风险防范对策；</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风险管理责任。</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十一、</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信息管理</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与项目组织相适应的信息流通系统；</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与招标人的项目信息管理处理系统软硬件相配套的资源配置；</w:t>
      </w:r>
    </w:p>
    <w:p>
      <w:pPr>
        <w:widowControl/>
        <w:shd w:val="clear" w:color="auto" w:fill="auto"/>
        <w:topLinePunct/>
        <w:adjustRightInd w:val="0"/>
        <w:snapToGrid w:val="0"/>
        <w:spacing w:line="360" w:lineRule="auto"/>
        <w:ind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w:t>
      </w:r>
      <w:r>
        <w:rPr>
          <w:rFonts w:hint="eastAsia" w:ascii="宋体" w:hAnsi="宋体" w:eastAsia="宋体" w:cs="宋体"/>
          <w:snapToGrid w:val="0"/>
          <w:color w:val="auto"/>
          <w:spacing w:val="4"/>
          <w:sz w:val="24"/>
          <w:szCs w:val="24"/>
          <w:highlight w:val="none"/>
        </w:rPr>
        <w:tab/>
      </w:r>
      <w:r>
        <w:rPr>
          <w:rFonts w:hint="eastAsia" w:ascii="宋体" w:hAnsi="宋体" w:eastAsia="宋体" w:cs="宋体"/>
          <w:snapToGrid w:val="0"/>
          <w:color w:val="auto"/>
          <w:spacing w:val="4"/>
          <w:sz w:val="24"/>
          <w:szCs w:val="24"/>
          <w:highlight w:val="none"/>
        </w:rPr>
        <w:t>信息管理实施规划。</w:t>
      </w:r>
    </w:p>
    <w:p>
      <w:pPr>
        <w:shd w:val="clear" w:color="auto" w:fill="auto"/>
        <w:autoSpaceDE w:val="0"/>
        <w:autoSpaceDN w:val="0"/>
        <w:adjustRightInd w:val="0"/>
        <w:spacing w:line="36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十二、建筑垃圾处理方案</w:t>
      </w:r>
    </w:p>
    <w:p>
      <w:pPr>
        <w:widowControl/>
        <w:shd w:val="clear" w:color="auto" w:fill="auto"/>
        <w:topLinePunct/>
        <w:adjustRightInd w:val="0"/>
        <w:snapToGrid w:val="0"/>
        <w:spacing w:line="360" w:lineRule="auto"/>
        <w:ind w:firstLine="496" w:firstLineChars="200"/>
        <w:jc w:val="left"/>
        <w:outlineLvl w:val="9"/>
        <w:rPr>
          <w:rFonts w:hint="eastAsia" w:ascii="宋体" w:hAnsi="宋体" w:eastAsia="宋体" w:cs="宋体"/>
          <w:snapToGrid w:val="0"/>
          <w:color w:val="auto"/>
          <w:spacing w:val="4"/>
          <w:sz w:val="24"/>
          <w:szCs w:val="24"/>
          <w:highlight w:val="none"/>
          <w:lang w:bidi="ar"/>
        </w:rPr>
      </w:pPr>
      <w:r>
        <w:rPr>
          <w:rFonts w:hint="eastAsia" w:ascii="宋体" w:hAnsi="宋体" w:eastAsia="宋体" w:cs="宋体"/>
          <w:snapToGrid w:val="0"/>
          <w:color w:val="auto"/>
          <w:spacing w:val="4"/>
          <w:sz w:val="24"/>
          <w:szCs w:val="24"/>
          <w:highlight w:val="none"/>
          <w:lang w:bidi="ar"/>
        </w:rPr>
        <w:t>1、  工程概况和施工单位基本信息；</w:t>
      </w:r>
    </w:p>
    <w:p>
      <w:pPr>
        <w:widowControl/>
        <w:shd w:val="clear" w:color="auto" w:fill="auto"/>
        <w:topLinePunct/>
        <w:adjustRightInd w:val="0"/>
        <w:snapToGrid w:val="0"/>
        <w:spacing w:line="360" w:lineRule="auto"/>
        <w:ind w:firstLine="496" w:firstLineChars="200"/>
        <w:jc w:val="left"/>
        <w:outlineLvl w:val="9"/>
        <w:rPr>
          <w:rFonts w:hint="eastAsia" w:ascii="宋体" w:hAnsi="宋体" w:eastAsia="宋体" w:cs="宋体"/>
          <w:snapToGrid w:val="0"/>
          <w:color w:val="auto"/>
          <w:spacing w:val="4"/>
          <w:sz w:val="24"/>
          <w:szCs w:val="24"/>
          <w:highlight w:val="none"/>
          <w:lang w:bidi="ar"/>
        </w:rPr>
      </w:pPr>
      <w:r>
        <w:rPr>
          <w:rFonts w:hint="eastAsia" w:ascii="宋体" w:hAnsi="宋体" w:eastAsia="宋体" w:cs="宋体"/>
          <w:snapToGrid w:val="0"/>
          <w:color w:val="auto"/>
          <w:spacing w:val="4"/>
          <w:sz w:val="24"/>
          <w:szCs w:val="24"/>
          <w:highlight w:val="none"/>
          <w:lang w:bidi="ar"/>
        </w:rPr>
        <w:t>2、  建筑垃圾产生量与种类；</w:t>
      </w:r>
    </w:p>
    <w:p>
      <w:pPr>
        <w:widowControl/>
        <w:shd w:val="clear" w:color="auto" w:fill="auto"/>
        <w:topLinePunct/>
        <w:adjustRightInd w:val="0"/>
        <w:snapToGrid w:val="0"/>
        <w:spacing w:line="360" w:lineRule="auto"/>
        <w:ind w:firstLine="496" w:firstLineChars="200"/>
        <w:jc w:val="left"/>
        <w:outlineLvl w:val="9"/>
        <w:rPr>
          <w:rFonts w:hint="eastAsia" w:ascii="宋体" w:hAnsi="宋体" w:eastAsia="宋体" w:cs="宋体"/>
          <w:snapToGrid w:val="0"/>
          <w:color w:val="auto"/>
          <w:spacing w:val="4"/>
          <w:sz w:val="24"/>
          <w:szCs w:val="24"/>
          <w:highlight w:val="none"/>
          <w:lang w:bidi="ar"/>
        </w:rPr>
      </w:pPr>
      <w:r>
        <w:rPr>
          <w:rFonts w:hint="eastAsia" w:ascii="宋体" w:hAnsi="宋体" w:eastAsia="宋体" w:cs="宋体"/>
          <w:snapToGrid w:val="0"/>
          <w:color w:val="auto"/>
          <w:spacing w:val="4"/>
          <w:sz w:val="24"/>
          <w:szCs w:val="24"/>
          <w:highlight w:val="none"/>
          <w:lang w:bidi="ar"/>
        </w:rPr>
        <w:t>3、  建筑垃圾源头减量、分类收集、综合利用、污染防治的措施和目标；</w:t>
      </w:r>
    </w:p>
    <w:p>
      <w:pPr>
        <w:widowControl/>
        <w:shd w:val="clear" w:color="auto" w:fill="auto"/>
        <w:topLinePunct/>
        <w:adjustRightInd w:val="0"/>
        <w:snapToGrid w:val="0"/>
        <w:spacing w:line="360" w:lineRule="auto"/>
        <w:ind w:firstLine="496" w:firstLineChars="200"/>
        <w:jc w:val="left"/>
        <w:outlineLvl w:val="9"/>
        <w:rPr>
          <w:rFonts w:hint="eastAsia" w:ascii="宋体" w:hAnsi="宋体" w:eastAsia="宋体" w:cs="宋体"/>
          <w:snapToGrid w:val="0"/>
          <w:color w:val="auto"/>
          <w:spacing w:val="4"/>
          <w:sz w:val="24"/>
          <w:szCs w:val="24"/>
          <w:highlight w:val="none"/>
          <w:lang w:bidi="ar"/>
        </w:rPr>
      </w:pPr>
      <w:r>
        <w:rPr>
          <w:rFonts w:hint="eastAsia" w:ascii="宋体" w:hAnsi="宋体" w:eastAsia="宋体" w:cs="宋体"/>
          <w:snapToGrid w:val="0"/>
          <w:color w:val="auto"/>
          <w:spacing w:val="4"/>
          <w:sz w:val="24"/>
          <w:szCs w:val="24"/>
          <w:highlight w:val="none"/>
          <w:lang w:bidi="ar"/>
        </w:rPr>
        <w:t>4、  需要外运的建筑垃圾种类、数量与运输的时间、路线、方式和运输单位；</w:t>
      </w:r>
    </w:p>
    <w:p>
      <w:pPr>
        <w:widowControl/>
        <w:shd w:val="clear" w:color="auto" w:fill="auto"/>
        <w:topLinePunct/>
        <w:adjustRightInd w:val="0"/>
        <w:snapToGrid w:val="0"/>
        <w:spacing w:line="360" w:lineRule="auto"/>
        <w:ind w:firstLine="496" w:firstLineChars="200"/>
        <w:jc w:val="left"/>
        <w:outlineLvl w:val="9"/>
        <w:rPr>
          <w:rFonts w:hint="eastAsia" w:ascii="宋体" w:hAnsi="宋体" w:eastAsia="宋体" w:cs="宋体"/>
          <w:snapToGrid w:val="0"/>
          <w:color w:val="auto"/>
          <w:spacing w:val="4"/>
          <w:sz w:val="24"/>
          <w:szCs w:val="24"/>
          <w:highlight w:val="none"/>
          <w:lang w:bidi="ar"/>
        </w:rPr>
      </w:pPr>
      <w:r>
        <w:rPr>
          <w:rFonts w:hint="eastAsia" w:ascii="宋体" w:hAnsi="宋体" w:eastAsia="宋体" w:cs="宋体"/>
          <w:snapToGrid w:val="0"/>
          <w:color w:val="auto"/>
          <w:spacing w:val="4"/>
          <w:sz w:val="24"/>
          <w:szCs w:val="24"/>
          <w:highlight w:val="none"/>
          <w:lang w:bidi="ar"/>
        </w:rPr>
        <w:t>5、  建筑垃圾回填、消纳、综合利用场所名称；</w:t>
      </w:r>
    </w:p>
    <w:p>
      <w:pPr>
        <w:widowControl/>
        <w:shd w:val="clear" w:color="auto" w:fill="auto"/>
        <w:topLinePunct/>
        <w:autoSpaceDE/>
        <w:autoSpaceDN/>
        <w:adjustRightInd w:val="0"/>
        <w:snapToGrid w:val="0"/>
        <w:spacing w:line="360" w:lineRule="auto"/>
        <w:ind w:left="0" w:firstLine="496" w:firstLineChars="20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lang w:bidi="ar"/>
        </w:rPr>
        <w:t>6、  法律、法规规定的其他内容。</w:t>
      </w:r>
    </w:p>
    <w:p>
      <w:pPr>
        <w:shd w:val="clear" w:color="auto" w:fill="auto"/>
        <w:autoSpaceDE w:val="0"/>
        <w:autoSpaceDN w:val="0"/>
        <w:adjustRightInd w:val="0"/>
        <w:spacing w:line="360" w:lineRule="auto"/>
        <w:ind w:left="540"/>
        <w:rPr>
          <w:rFonts w:hint="eastAsia" w:ascii="宋体" w:hAnsi="宋体" w:eastAsia="宋体" w:cs="宋体"/>
          <w:color w:val="auto"/>
          <w:spacing w:val="4"/>
          <w:kern w:val="0"/>
          <w:sz w:val="24"/>
          <w:szCs w:val="24"/>
          <w:highlight w:val="none"/>
        </w:rPr>
      </w:pPr>
      <w:r>
        <w:rPr>
          <w:rFonts w:hint="eastAsia" w:ascii="宋体" w:hAnsi="宋体" w:eastAsia="宋体" w:cs="宋体"/>
          <w:color w:val="auto"/>
          <w:sz w:val="24"/>
          <w:szCs w:val="24"/>
          <w:highlight w:val="none"/>
        </w:rPr>
        <w:t>十三、</w:t>
      </w:r>
      <w:r>
        <w:rPr>
          <w:rFonts w:hint="eastAsia" w:ascii="宋体" w:hAnsi="宋体" w:eastAsia="宋体" w:cs="宋体"/>
          <w:color w:val="auto"/>
          <w:spacing w:val="4"/>
          <w:kern w:val="0"/>
          <w:sz w:val="24"/>
          <w:szCs w:val="24"/>
          <w:highlight w:val="none"/>
          <w:u w:val="single"/>
        </w:rPr>
        <w:t>其它</w:t>
      </w:r>
    </w:p>
    <w:p>
      <w:pPr>
        <w:numPr>
          <w:ilvl w:val="0"/>
          <w:numId w:val="4"/>
        </w:numPr>
        <w:shd w:val="clear" w:color="auto" w:fill="auto"/>
        <w:autoSpaceDE w:val="0"/>
        <w:autoSpaceDN w:val="0"/>
        <w:adjustRightInd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pacing w:val="4"/>
          <w:kern w:val="0"/>
          <w:sz w:val="24"/>
          <w:highlight w:val="none"/>
          <w:u w:val="single"/>
        </w:rPr>
        <w:t>质保期服务方案；</w:t>
      </w:r>
    </w:p>
    <w:p>
      <w:pPr>
        <w:widowControl/>
        <w:shd w:val="clear" w:color="auto" w:fill="auto"/>
        <w:topLinePunct/>
        <w:adjustRightInd w:val="0"/>
        <w:snapToGrid w:val="0"/>
        <w:spacing w:line="360" w:lineRule="auto"/>
        <w:ind w:firstLine="0" w:firstLineChars="0"/>
        <w:jc w:val="left"/>
        <w:rPr>
          <w:rFonts w:eastAsia="Times New Roman"/>
          <w:b/>
          <w:snapToGrid w:val="0"/>
          <w:color w:val="auto"/>
          <w:spacing w:val="4"/>
          <w:sz w:val="24"/>
          <w:szCs w:val="24"/>
          <w:highlight w:val="none"/>
        </w:rPr>
      </w:pPr>
      <w:r>
        <w:rPr>
          <w:rFonts w:ascii="宋体" w:hAnsi="宋体"/>
          <w:snapToGrid w:val="0"/>
          <w:color w:val="auto"/>
          <w:spacing w:val="4"/>
          <w:kern w:val="0"/>
          <w:sz w:val="24"/>
          <w:szCs w:val="24"/>
          <w:highlight w:val="none"/>
        </w:rPr>
        <w:br w:type="page"/>
      </w:r>
      <w:bookmarkStart w:id="137" w:name="_Toc4489946"/>
      <w:bookmarkStart w:id="138" w:name="_Toc8019"/>
      <w:bookmarkStart w:id="139" w:name="_Toc4340135"/>
      <w:bookmarkStart w:id="140" w:name="_Toc4339797"/>
      <w:r>
        <w:rPr>
          <w:rFonts w:hint="eastAsia" w:cs="宋体"/>
          <w:b/>
          <w:snapToGrid w:val="0"/>
          <w:color w:val="auto"/>
          <w:spacing w:val="4"/>
          <w:sz w:val="24"/>
          <w:szCs w:val="24"/>
          <w:highlight w:val="none"/>
        </w:rPr>
        <w:t>附表</w:t>
      </w:r>
      <w:r>
        <w:rPr>
          <w:rFonts w:hint="eastAsia" w:eastAsia="Times New Roman"/>
          <w:b/>
          <w:snapToGrid w:val="0"/>
          <w:color w:val="auto"/>
          <w:spacing w:val="4"/>
          <w:sz w:val="24"/>
          <w:szCs w:val="24"/>
          <w:highlight w:val="none"/>
        </w:rPr>
        <w:t>1</w:t>
      </w:r>
      <w:r>
        <w:rPr>
          <w:rFonts w:hint="eastAsia" w:cs="宋体"/>
          <w:b/>
          <w:snapToGrid w:val="0"/>
          <w:color w:val="auto"/>
          <w:spacing w:val="4"/>
          <w:sz w:val="24"/>
          <w:szCs w:val="24"/>
          <w:highlight w:val="none"/>
        </w:rPr>
        <w:t>：施工进度计划表</w:t>
      </w:r>
    </w:p>
    <w:p>
      <w:pPr>
        <w:shd w:val="clear" w:color="auto" w:fill="auto"/>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施工进度计划表</w:t>
      </w:r>
    </w:p>
    <w:tbl>
      <w:tblPr>
        <w:tblStyle w:val="44"/>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48" w:type="dxa"/>
            <w:vMerge w:val="restart"/>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20" w:type="dxa"/>
            <w:vMerge w:val="restart"/>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工程项目</w:t>
            </w:r>
          </w:p>
        </w:tc>
        <w:tc>
          <w:tcPr>
            <w:tcW w:w="876" w:type="dxa"/>
            <w:vMerge w:val="restart"/>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w:t>
            </w:r>
          </w:p>
        </w:tc>
        <w:tc>
          <w:tcPr>
            <w:tcW w:w="720" w:type="dxa"/>
            <w:vMerge w:val="restart"/>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开工时间</w:t>
            </w:r>
          </w:p>
        </w:tc>
        <w:tc>
          <w:tcPr>
            <w:tcW w:w="776" w:type="dxa"/>
            <w:vMerge w:val="restart"/>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完工时间</w:t>
            </w:r>
          </w:p>
        </w:tc>
        <w:tc>
          <w:tcPr>
            <w:tcW w:w="4860" w:type="dxa"/>
            <w:gridSpan w:val="9"/>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48"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1620"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876"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720"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776"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4860" w:type="dxa"/>
            <w:gridSpan w:val="9"/>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648"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1620"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876"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720"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776" w:type="dxa"/>
            <w:vMerge w:val="continue"/>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20"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施工准备</w:t>
            </w: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20"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20"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20"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20"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20" w:type="dxa"/>
            <w:vAlign w:val="center"/>
          </w:tcPr>
          <w:p>
            <w:pPr>
              <w:shd w:val="clear" w:color="auto" w:fill="auto"/>
              <w:jc w:val="center"/>
              <w:rPr>
                <w:rFonts w:hint="eastAsia" w:ascii="宋体" w:hAnsi="宋体" w:eastAsia="宋体" w:cs="宋体"/>
                <w:color w:val="auto"/>
                <w:sz w:val="21"/>
                <w:szCs w:val="21"/>
                <w:highlight w:val="none"/>
              </w:rPr>
            </w:pP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20" w:type="dxa"/>
            <w:vAlign w:val="center"/>
          </w:tcPr>
          <w:p>
            <w:pPr>
              <w:shd w:val="clear" w:color="auto" w:fill="auto"/>
              <w:jc w:val="center"/>
              <w:rPr>
                <w:rFonts w:hint="eastAsia" w:ascii="宋体" w:hAnsi="宋体" w:eastAsia="宋体" w:cs="宋体"/>
                <w:color w:val="auto"/>
                <w:sz w:val="21"/>
                <w:szCs w:val="21"/>
                <w:highlight w:val="none"/>
              </w:rPr>
            </w:pP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20" w:type="dxa"/>
            <w:vAlign w:val="center"/>
          </w:tcPr>
          <w:p>
            <w:pPr>
              <w:shd w:val="clear" w:color="auto" w:fill="auto"/>
              <w:jc w:val="center"/>
              <w:rPr>
                <w:rFonts w:hint="eastAsia" w:ascii="宋体" w:hAnsi="宋体" w:eastAsia="宋体" w:cs="宋体"/>
                <w:color w:val="auto"/>
                <w:sz w:val="21"/>
                <w:szCs w:val="21"/>
                <w:highlight w:val="none"/>
              </w:rPr>
            </w:pP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20" w:type="dxa"/>
            <w:vAlign w:val="center"/>
          </w:tcPr>
          <w:p>
            <w:pPr>
              <w:shd w:val="clear" w:color="auto" w:fill="auto"/>
              <w:jc w:val="center"/>
              <w:rPr>
                <w:rFonts w:hint="eastAsia" w:ascii="宋体" w:hAnsi="宋体" w:eastAsia="宋体" w:cs="宋体"/>
                <w:color w:val="auto"/>
                <w:sz w:val="21"/>
                <w:szCs w:val="21"/>
                <w:highlight w:val="none"/>
              </w:rPr>
            </w:pP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20" w:type="dxa"/>
            <w:vAlign w:val="center"/>
          </w:tcPr>
          <w:p>
            <w:pPr>
              <w:shd w:val="clear" w:color="auto" w:fill="auto"/>
              <w:jc w:val="center"/>
              <w:rPr>
                <w:rFonts w:hint="eastAsia" w:ascii="宋体" w:hAnsi="宋体" w:eastAsia="宋体" w:cs="宋体"/>
                <w:color w:val="auto"/>
                <w:sz w:val="21"/>
                <w:szCs w:val="21"/>
                <w:highlight w:val="none"/>
              </w:rPr>
            </w:pP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20" w:type="dxa"/>
            <w:vAlign w:val="center"/>
          </w:tcPr>
          <w:p>
            <w:pPr>
              <w:shd w:val="clear" w:color="auto" w:fill="auto"/>
              <w:jc w:val="center"/>
              <w:rPr>
                <w:rFonts w:hint="eastAsia" w:ascii="宋体" w:hAnsi="宋体" w:eastAsia="宋体" w:cs="宋体"/>
                <w:color w:val="auto"/>
                <w:sz w:val="21"/>
                <w:szCs w:val="21"/>
                <w:highlight w:val="none"/>
              </w:rPr>
            </w:pP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8"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20" w:type="dxa"/>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76" w:type="dxa"/>
            <w:vAlign w:val="center"/>
          </w:tcPr>
          <w:p>
            <w:pPr>
              <w:shd w:val="clear" w:color="auto" w:fill="auto"/>
              <w:jc w:val="center"/>
              <w:rPr>
                <w:rFonts w:hint="eastAsia" w:ascii="宋体" w:hAnsi="宋体" w:eastAsia="宋体" w:cs="宋体"/>
                <w:color w:val="auto"/>
                <w:sz w:val="21"/>
                <w:szCs w:val="21"/>
                <w:highlight w:val="none"/>
              </w:rPr>
            </w:pPr>
          </w:p>
        </w:tc>
        <w:tc>
          <w:tcPr>
            <w:tcW w:w="720" w:type="dxa"/>
            <w:vAlign w:val="center"/>
          </w:tcPr>
          <w:p>
            <w:pPr>
              <w:shd w:val="clear" w:color="auto" w:fill="auto"/>
              <w:jc w:val="center"/>
              <w:rPr>
                <w:rFonts w:hint="eastAsia" w:ascii="宋体" w:hAnsi="宋体" w:eastAsia="宋体" w:cs="宋体"/>
                <w:color w:val="auto"/>
                <w:sz w:val="21"/>
                <w:szCs w:val="21"/>
                <w:highlight w:val="none"/>
              </w:rPr>
            </w:pPr>
          </w:p>
        </w:tc>
        <w:tc>
          <w:tcPr>
            <w:tcW w:w="776"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c>
          <w:tcPr>
            <w:tcW w:w="540" w:type="dxa"/>
            <w:vAlign w:val="center"/>
          </w:tcPr>
          <w:p>
            <w:pPr>
              <w:shd w:val="clear" w:color="auto" w:fill="auto"/>
              <w:jc w:val="center"/>
              <w:rPr>
                <w:rFonts w:hint="eastAsia" w:ascii="宋体" w:hAnsi="宋体" w:eastAsia="宋体" w:cs="宋体"/>
                <w:color w:val="auto"/>
                <w:sz w:val="21"/>
                <w:szCs w:val="21"/>
                <w:highlight w:val="none"/>
              </w:rPr>
            </w:pPr>
          </w:p>
        </w:tc>
      </w:tr>
    </w:tbl>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投标人：　　（盖章）</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w:t>
      </w:r>
    </w:p>
    <w:p>
      <w:pPr>
        <w:widowControl/>
        <w:shd w:val="clear" w:color="auto" w:fill="auto"/>
        <w:topLinePunct/>
        <w:adjustRightInd w:val="0"/>
        <w:snapToGrid w:val="0"/>
        <w:spacing w:line="360" w:lineRule="auto"/>
        <w:jc w:val="left"/>
        <w:rPr>
          <w:b/>
          <w:snapToGrid w:val="0"/>
          <w:color w:val="auto"/>
          <w:spacing w:val="4"/>
          <w:sz w:val="24"/>
          <w:szCs w:val="24"/>
          <w:highlight w:val="none"/>
        </w:rPr>
      </w:pPr>
      <w:r>
        <w:rPr>
          <w:rFonts w:eastAsia="黑体"/>
          <w:b/>
          <w:bCs/>
          <w:snapToGrid w:val="0"/>
          <w:color w:val="auto"/>
          <w:spacing w:val="4"/>
          <w:sz w:val="24"/>
          <w:szCs w:val="24"/>
          <w:highlight w:val="none"/>
        </w:rPr>
        <w:br w:type="page"/>
      </w:r>
      <w:r>
        <w:rPr>
          <w:rFonts w:hint="eastAsia" w:cs="宋体"/>
          <w:b/>
          <w:snapToGrid w:val="0"/>
          <w:color w:val="auto"/>
          <w:spacing w:val="4"/>
          <w:sz w:val="24"/>
          <w:szCs w:val="24"/>
          <w:highlight w:val="none"/>
        </w:rPr>
        <w:t>附表2：投入劳动力计划表</w:t>
      </w:r>
    </w:p>
    <w:p>
      <w:pPr>
        <w:shd w:val="clear" w:color="auto" w:fill="auto"/>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投入劳动力计划表</w:t>
      </w:r>
    </w:p>
    <w:tbl>
      <w:tblPr>
        <w:tblStyle w:val="44"/>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440"/>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21" w:type="dxa"/>
            <w:vMerge w:val="restart"/>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1440" w:type="dxa"/>
            <w:vMerge w:val="restart"/>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投入总数量</w:t>
            </w:r>
          </w:p>
        </w:tc>
        <w:tc>
          <w:tcPr>
            <w:tcW w:w="6825" w:type="dxa"/>
            <w:gridSpan w:val="6"/>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vAlign w:val="center"/>
          </w:tcPr>
          <w:p>
            <w:pPr>
              <w:shd w:val="clear" w:color="auto" w:fill="auto"/>
              <w:jc w:val="center"/>
              <w:rPr>
                <w:rFonts w:hint="eastAsia" w:ascii="宋体" w:hAnsi="宋体" w:eastAsia="宋体" w:cs="宋体"/>
                <w:color w:val="auto"/>
                <w:szCs w:val="21"/>
                <w:highlight w:val="none"/>
              </w:rPr>
            </w:pPr>
          </w:p>
        </w:tc>
        <w:tc>
          <w:tcPr>
            <w:tcW w:w="721" w:type="dxa"/>
            <w:vMerge w:val="continue"/>
            <w:vAlign w:val="center"/>
          </w:tcPr>
          <w:p>
            <w:pPr>
              <w:shd w:val="clear" w:color="auto" w:fill="auto"/>
              <w:jc w:val="center"/>
              <w:rPr>
                <w:rFonts w:hint="eastAsia" w:ascii="宋体" w:hAnsi="宋体" w:eastAsia="宋体" w:cs="宋体"/>
                <w:color w:val="auto"/>
                <w:szCs w:val="21"/>
                <w:highlight w:val="none"/>
              </w:rPr>
            </w:pPr>
          </w:p>
        </w:tc>
        <w:tc>
          <w:tcPr>
            <w:tcW w:w="1440" w:type="dxa"/>
            <w:vMerge w:val="continue"/>
            <w:vAlign w:val="center"/>
          </w:tcPr>
          <w:p>
            <w:pPr>
              <w:shd w:val="clear" w:color="auto" w:fill="auto"/>
              <w:jc w:val="center"/>
              <w:rPr>
                <w:rFonts w:hint="eastAsia" w:ascii="宋体" w:hAnsi="宋体" w:eastAsia="宋体" w:cs="宋体"/>
                <w:color w:val="auto"/>
                <w:szCs w:val="21"/>
                <w:highlight w:val="none"/>
              </w:rPr>
            </w:pPr>
          </w:p>
        </w:tc>
        <w:tc>
          <w:tcPr>
            <w:tcW w:w="6825" w:type="dxa"/>
            <w:gridSpan w:val="6"/>
            <w:tcBorders>
              <w:bottom w:val="nil"/>
            </w:tcBorders>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vAlign w:val="center"/>
          </w:tcPr>
          <w:p>
            <w:pPr>
              <w:shd w:val="clear" w:color="auto" w:fill="auto"/>
              <w:jc w:val="center"/>
              <w:rPr>
                <w:rFonts w:hint="eastAsia" w:ascii="宋体" w:hAnsi="宋体" w:eastAsia="宋体" w:cs="宋体"/>
                <w:color w:val="auto"/>
                <w:szCs w:val="21"/>
                <w:highlight w:val="none"/>
              </w:rPr>
            </w:pPr>
          </w:p>
        </w:tc>
        <w:tc>
          <w:tcPr>
            <w:tcW w:w="721" w:type="dxa"/>
            <w:vMerge w:val="continue"/>
            <w:vAlign w:val="center"/>
          </w:tcPr>
          <w:p>
            <w:pPr>
              <w:shd w:val="clear" w:color="auto" w:fill="auto"/>
              <w:jc w:val="center"/>
              <w:rPr>
                <w:rFonts w:hint="eastAsia" w:ascii="宋体" w:hAnsi="宋体" w:eastAsia="宋体" w:cs="宋体"/>
                <w:color w:val="auto"/>
                <w:szCs w:val="21"/>
                <w:highlight w:val="none"/>
              </w:rPr>
            </w:pPr>
          </w:p>
        </w:tc>
        <w:tc>
          <w:tcPr>
            <w:tcW w:w="1440" w:type="dxa"/>
            <w:vMerge w:val="continue"/>
            <w:vAlign w:val="center"/>
          </w:tcPr>
          <w:p>
            <w:pPr>
              <w:shd w:val="clear" w:color="auto" w:fill="auto"/>
              <w:jc w:val="center"/>
              <w:rPr>
                <w:rFonts w:hint="eastAsia" w:ascii="宋体" w:hAnsi="宋体" w:eastAsia="宋体" w:cs="宋体"/>
                <w:color w:val="auto"/>
                <w:szCs w:val="21"/>
                <w:highlight w:val="none"/>
              </w:rPr>
            </w:pPr>
          </w:p>
        </w:tc>
        <w:tc>
          <w:tcPr>
            <w:tcW w:w="1137" w:type="dxa"/>
            <w:tcBorders>
              <w:top w:val="single" w:color="auto" w:sz="4" w:space="0"/>
            </w:tcBorders>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1138"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113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1138"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113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1138"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21" w:type="dxa"/>
            <w:vAlign w:val="center"/>
          </w:tcPr>
          <w:p>
            <w:pPr>
              <w:shd w:val="clear" w:color="auto" w:fill="auto"/>
              <w:jc w:val="center"/>
              <w:rPr>
                <w:rFonts w:hint="eastAsia" w:ascii="宋体" w:hAnsi="宋体" w:eastAsia="宋体" w:cs="宋体"/>
                <w:color w:val="auto"/>
                <w:szCs w:val="21"/>
                <w:highlight w:val="none"/>
              </w:rPr>
            </w:pPr>
          </w:p>
        </w:tc>
        <w:tc>
          <w:tcPr>
            <w:tcW w:w="1440"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21" w:type="dxa"/>
            <w:vAlign w:val="center"/>
          </w:tcPr>
          <w:p>
            <w:pPr>
              <w:shd w:val="clear" w:color="auto" w:fill="auto"/>
              <w:jc w:val="center"/>
              <w:rPr>
                <w:rFonts w:hint="eastAsia" w:ascii="宋体" w:hAnsi="宋体" w:eastAsia="宋体" w:cs="宋体"/>
                <w:color w:val="auto"/>
                <w:szCs w:val="21"/>
                <w:highlight w:val="none"/>
              </w:rPr>
            </w:pPr>
          </w:p>
        </w:tc>
        <w:tc>
          <w:tcPr>
            <w:tcW w:w="1440"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21" w:type="dxa"/>
            <w:vAlign w:val="center"/>
          </w:tcPr>
          <w:p>
            <w:pPr>
              <w:shd w:val="clear" w:color="auto" w:fill="auto"/>
              <w:jc w:val="center"/>
              <w:rPr>
                <w:rFonts w:hint="eastAsia" w:ascii="宋体" w:hAnsi="宋体" w:eastAsia="宋体" w:cs="宋体"/>
                <w:color w:val="auto"/>
                <w:szCs w:val="21"/>
                <w:highlight w:val="none"/>
              </w:rPr>
            </w:pPr>
          </w:p>
        </w:tc>
        <w:tc>
          <w:tcPr>
            <w:tcW w:w="1440"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21" w:type="dxa"/>
            <w:vAlign w:val="center"/>
          </w:tcPr>
          <w:p>
            <w:pPr>
              <w:shd w:val="clear" w:color="auto" w:fill="auto"/>
              <w:jc w:val="center"/>
              <w:rPr>
                <w:rFonts w:hint="eastAsia" w:ascii="宋体" w:hAnsi="宋体" w:eastAsia="宋体" w:cs="宋体"/>
                <w:color w:val="auto"/>
                <w:szCs w:val="21"/>
                <w:highlight w:val="none"/>
              </w:rPr>
            </w:pPr>
          </w:p>
        </w:tc>
        <w:tc>
          <w:tcPr>
            <w:tcW w:w="1440"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21" w:type="dxa"/>
            <w:vAlign w:val="center"/>
          </w:tcPr>
          <w:p>
            <w:pPr>
              <w:shd w:val="clear" w:color="auto" w:fill="auto"/>
              <w:jc w:val="center"/>
              <w:rPr>
                <w:rFonts w:hint="eastAsia" w:ascii="宋体" w:hAnsi="宋体" w:eastAsia="宋体" w:cs="宋体"/>
                <w:color w:val="auto"/>
                <w:szCs w:val="21"/>
                <w:highlight w:val="none"/>
              </w:rPr>
            </w:pPr>
          </w:p>
        </w:tc>
        <w:tc>
          <w:tcPr>
            <w:tcW w:w="1440"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7"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21" w:type="dxa"/>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40"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c>
          <w:tcPr>
            <w:tcW w:w="1137" w:type="dxa"/>
            <w:vAlign w:val="center"/>
          </w:tcPr>
          <w:p>
            <w:pPr>
              <w:shd w:val="clear" w:color="auto" w:fill="auto"/>
              <w:jc w:val="center"/>
              <w:rPr>
                <w:rFonts w:hint="eastAsia" w:ascii="宋体" w:hAnsi="宋体" w:eastAsia="宋体" w:cs="宋体"/>
                <w:color w:val="auto"/>
                <w:szCs w:val="21"/>
                <w:highlight w:val="none"/>
              </w:rPr>
            </w:pPr>
          </w:p>
        </w:tc>
        <w:tc>
          <w:tcPr>
            <w:tcW w:w="1138" w:type="dxa"/>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jc w:val="left"/>
        <w:rPr>
          <w:color w:val="auto"/>
          <w:szCs w:val="21"/>
          <w:highlight w:val="none"/>
        </w:rPr>
      </w:pPr>
      <w:r>
        <w:rPr>
          <w:rFonts w:hint="eastAsia"/>
          <w:color w:val="auto"/>
          <w:szCs w:val="21"/>
          <w:highlight w:val="none"/>
        </w:rPr>
        <w:t>注：本表后应附投入劳动力计划柱状图。</w:t>
      </w: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投标人：　　（盖章）</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r>
        <w:rPr>
          <w:rFonts w:eastAsia="Times New Roman"/>
          <w:snapToGrid w:val="0"/>
          <w:color w:val="auto"/>
          <w:spacing w:val="4"/>
          <w:sz w:val="24"/>
          <w:szCs w:val="24"/>
          <w:highlight w:val="none"/>
        </w:rPr>
        <w:t xml:space="preserve"> </w:t>
      </w:r>
    </w:p>
    <w:p>
      <w:pPr>
        <w:shd w:val="clear" w:color="auto" w:fill="auto"/>
        <w:topLinePunct/>
        <w:adjustRightInd w:val="0"/>
        <w:snapToGrid w:val="0"/>
        <w:spacing w:after="156" w:afterLines="50"/>
        <w:jc w:val="left"/>
        <w:outlineLvl w:val="2"/>
        <w:rPr>
          <w:rFonts w:eastAsia="黑体"/>
          <w:snapToGrid w:val="0"/>
          <w:color w:val="auto"/>
          <w:spacing w:val="4"/>
          <w:sz w:val="24"/>
          <w:szCs w:val="24"/>
          <w:highlight w:val="none"/>
        </w:rPr>
        <w:sectPr>
          <w:pgSz w:w="11907" w:h="16840"/>
          <w:pgMar w:top="1440" w:right="1440" w:bottom="1440" w:left="1440"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pPr>
        <w:widowControl/>
        <w:shd w:val="clear" w:color="auto" w:fill="auto"/>
        <w:topLinePunct/>
        <w:adjustRightInd w:val="0"/>
        <w:snapToGrid w:val="0"/>
        <w:spacing w:line="360" w:lineRule="auto"/>
        <w:jc w:val="left"/>
        <w:rPr>
          <w:b/>
          <w:snapToGrid w:val="0"/>
          <w:color w:val="auto"/>
          <w:spacing w:val="4"/>
          <w:sz w:val="24"/>
          <w:szCs w:val="24"/>
          <w:highlight w:val="none"/>
        </w:rPr>
      </w:pPr>
      <w:r>
        <w:rPr>
          <w:rFonts w:hint="eastAsia" w:eastAsia="黑体"/>
          <w:b/>
          <w:bCs/>
          <w:snapToGrid w:val="0"/>
          <w:color w:val="auto"/>
          <w:spacing w:val="4"/>
          <w:sz w:val="24"/>
          <w:szCs w:val="24"/>
          <w:highlight w:val="none"/>
        </w:rPr>
        <w:t>附表3：主要材料、设备采购计划表</w:t>
      </w:r>
    </w:p>
    <w:p>
      <w:pPr>
        <w:shd w:val="clear" w:color="auto" w:fill="auto"/>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主要材料、设备采购计划表</w:t>
      </w:r>
    </w:p>
    <w:tbl>
      <w:tblPr>
        <w:tblStyle w:val="44"/>
        <w:tblW w:w="9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713"/>
        <w:gridCol w:w="749"/>
        <w:gridCol w:w="802"/>
        <w:gridCol w:w="1364"/>
        <w:gridCol w:w="1289"/>
        <w:gridCol w:w="1417"/>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672"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序号</w:t>
            </w:r>
          </w:p>
        </w:tc>
        <w:tc>
          <w:tcPr>
            <w:tcW w:w="1713"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材料设备名称</w:t>
            </w:r>
          </w:p>
        </w:tc>
        <w:tc>
          <w:tcPr>
            <w:tcW w:w="749"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规格型号</w:t>
            </w:r>
          </w:p>
        </w:tc>
        <w:tc>
          <w:tcPr>
            <w:tcW w:w="802"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计量单位</w:t>
            </w:r>
          </w:p>
        </w:tc>
        <w:tc>
          <w:tcPr>
            <w:tcW w:w="1364"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暂定数量</w:t>
            </w:r>
          </w:p>
        </w:tc>
        <w:tc>
          <w:tcPr>
            <w:tcW w:w="1289"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采购合同签订时间</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到货时间</w:t>
            </w:r>
          </w:p>
        </w:tc>
        <w:tc>
          <w:tcPr>
            <w:tcW w:w="1081"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11"/>
              <w:jc w:val="center"/>
              <w:textAlignment w:val="auto"/>
              <w:rPr>
                <w:snapToGrid w:val="0"/>
                <w:color w:val="auto"/>
                <w:kern w:val="0"/>
                <w:highlight w:val="none"/>
              </w:rPr>
            </w:pPr>
            <w:r>
              <w:rPr>
                <w:rFonts w:hint="eastAsia"/>
                <w:snapToGrid w:val="0"/>
                <w:color w:val="auto"/>
                <w:kern w:val="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713"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74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80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364"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28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417"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081" w:type="dxa"/>
            <w:vAlign w:val="center"/>
          </w:tcPr>
          <w:p>
            <w:pPr>
              <w:shd w:val="clear" w:color="auto" w:fill="auto"/>
              <w:adjustRightInd w:val="0"/>
              <w:snapToGrid w:val="0"/>
              <w:spacing w:line="360" w:lineRule="auto"/>
              <w:ind w:right="11"/>
              <w:jc w:val="center"/>
              <w:rPr>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713"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74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80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364"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28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417"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081" w:type="dxa"/>
            <w:vAlign w:val="center"/>
          </w:tcPr>
          <w:p>
            <w:pPr>
              <w:shd w:val="clear" w:color="auto" w:fill="auto"/>
              <w:adjustRightInd w:val="0"/>
              <w:snapToGrid w:val="0"/>
              <w:spacing w:line="360" w:lineRule="auto"/>
              <w:ind w:right="11"/>
              <w:jc w:val="center"/>
              <w:rPr>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713"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74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80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364"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28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417"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081" w:type="dxa"/>
            <w:vAlign w:val="center"/>
          </w:tcPr>
          <w:p>
            <w:pPr>
              <w:shd w:val="clear" w:color="auto" w:fill="auto"/>
              <w:adjustRightInd w:val="0"/>
              <w:snapToGrid w:val="0"/>
              <w:spacing w:line="360" w:lineRule="auto"/>
              <w:ind w:right="11"/>
              <w:jc w:val="center"/>
              <w:rPr>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713"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74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80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364"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28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417"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081" w:type="dxa"/>
            <w:vAlign w:val="center"/>
          </w:tcPr>
          <w:p>
            <w:pPr>
              <w:shd w:val="clear" w:color="auto" w:fill="auto"/>
              <w:adjustRightInd w:val="0"/>
              <w:snapToGrid w:val="0"/>
              <w:spacing w:line="360" w:lineRule="auto"/>
              <w:ind w:right="11"/>
              <w:jc w:val="center"/>
              <w:rPr>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713"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74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80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364"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28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417"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081" w:type="dxa"/>
            <w:vAlign w:val="center"/>
          </w:tcPr>
          <w:p>
            <w:pPr>
              <w:shd w:val="clear" w:color="auto" w:fill="auto"/>
              <w:adjustRightInd w:val="0"/>
              <w:snapToGrid w:val="0"/>
              <w:spacing w:line="360" w:lineRule="auto"/>
              <w:ind w:right="11"/>
              <w:jc w:val="center"/>
              <w:rPr>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713"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74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802"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364"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289"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417" w:type="dxa"/>
            <w:vAlign w:val="center"/>
          </w:tcPr>
          <w:p>
            <w:pPr>
              <w:shd w:val="clear" w:color="auto" w:fill="auto"/>
              <w:adjustRightInd w:val="0"/>
              <w:snapToGrid w:val="0"/>
              <w:spacing w:line="360" w:lineRule="auto"/>
              <w:ind w:right="11"/>
              <w:jc w:val="center"/>
              <w:rPr>
                <w:snapToGrid w:val="0"/>
                <w:color w:val="auto"/>
                <w:kern w:val="0"/>
                <w:highlight w:val="none"/>
              </w:rPr>
            </w:pPr>
          </w:p>
        </w:tc>
        <w:tc>
          <w:tcPr>
            <w:tcW w:w="1081" w:type="dxa"/>
            <w:vAlign w:val="center"/>
          </w:tcPr>
          <w:p>
            <w:pPr>
              <w:shd w:val="clear" w:color="auto" w:fill="auto"/>
              <w:adjustRightInd w:val="0"/>
              <w:snapToGrid w:val="0"/>
              <w:spacing w:line="360" w:lineRule="auto"/>
              <w:ind w:right="11"/>
              <w:jc w:val="center"/>
              <w:rPr>
                <w:snapToGrid w:val="0"/>
                <w:color w:val="auto"/>
                <w:kern w:val="0"/>
                <w:highlight w:val="none"/>
              </w:rPr>
            </w:pPr>
          </w:p>
        </w:tc>
      </w:tr>
    </w:tbl>
    <w:p>
      <w:pPr>
        <w:shd w:val="clear" w:color="auto" w:fill="auto"/>
        <w:jc w:val="both"/>
        <w:rPr>
          <w:color w:val="auto"/>
          <w:szCs w:val="21"/>
          <w:highlight w:val="none"/>
        </w:rPr>
      </w:pPr>
    </w:p>
    <w:p>
      <w:pPr>
        <w:shd w:val="clear" w:color="auto" w:fill="auto"/>
        <w:jc w:val="left"/>
        <w:rPr>
          <w:color w:val="auto"/>
          <w:szCs w:val="21"/>
          <w:highlight w:val="none"/>
        </w:rPr>
      </w:pPr>
    </w:p>
    <w:p>
      <w:pPr>
        <w:shd w:val="clear" w:color="auto" w:fill="auto"/>
        <w:jc w:val="left"/>
        <w:rPr>
          <w:color w:val="auto"/>
          <w:szCs w:val="21"/>
          <w:highlight w:val="none"/>
        </w:rPr>
      </w:pPr>
    </w:p>
    <w:p>
      <w:pPr>
        <w:shd w:val="clear" w:color="auto" w:fill="auto"/>
        <w:jc w:val="left"/>
        <w:rPr>
          <w:color w:val="auto"/>
          <w:szCs w:val="21"/>
          <w:highlight w:val="none"/>
        </w:rPr>
      </w:pPr>
    </w:p>
    <w:p>
      <w:pPr>
        <w:shd w:val="clear" w:color="auto" w:fill="auto"/>
        <w:jc w:val="left"/>
        <w:rPr>
          <w:color w:val="auto"/>
          <w:szCs w:val="21"/>
          <w:highlight w:val="none"/>
        </w:rPr>
      </w:pPr>
    </w:p>
    <w:p>
      <w:pPr>
        <w:widowControl/>
        <w:shd w:val="clear" w:color="auto" w:fill="auto"/>
        <w:topLinePunct/>
        <w:adjustRightInd w:val="0"/>
        <w:snapToGrid w:val="0"/>
        <w:spacing w:line="360" w:lineRule="auto"/>
        <w:ind w:firstLine="3915" w:firstLineChars="1579"/>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投标人：　　（盖章）</w:t>
      </w:r>
    </w:p>
    <w:p>
      <w:pPr>
        <w:widowControl/>
        <w:shd w:val="clear" w:color="auto" w:fill="auto"/>
        <w:topLinePunct/>
        <w:adjustRightInd w:val="0"/>
        <w:snapToGrid w:val="0"/>
        <w:spacing w:line="360" w:lineRule="auto"/>
        <w:ind w:firstLine="3915" w:firstLineChars="1579"/>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w:t>
      </w:r>
    </w:p>
    <w:p>
      <w:pPr>
        <w:widowControl/>
        <w:shd w:val="clear" w:color="auto" w:fill="auto"/>
        <w:topLinePunct/>
        <w:adjustRightInd w:val="0"/>
        <w:snapToGrid w:val="0"/>
        <w:spacing w:line="360" w:lineRule="auto"/>
        <w:ind w:firstLine="3968" w:firstLineChars="160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sectPr>
          <w:footerReference r:id="rId23" w:type="default"/>
          <w:pgSz w:w="11907" w:h="16840"/>
          <w:pgMar w:top="1440" w:right="1440" w:bottom="1440" w:left="1440"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pPr>
        <w:widowControl/>
        <w:shd w:val="clear" w:color="auto" w:fill="auto"/>
        <w:topLinePunct/>
        <w:adjustRightInd w:val="0"/>
        <w:snapToGrid w:val="0"/>
        <w:spacing w:line="360" w:lineRule="auto"/>
        <w:jc w:val="left"/>
        <w:rPr>
          <w:b/>
          <w:snapToGrid w:val="0"/>
          <w:color w:val="auto"/>
          <w:spacing w:val="4"/>
          <w:sz w:val="24"/>
          <w:szCs w:val="24"/>
          <w:highlight w:val="none"/>
        </w:rPr>
      </w:pPr>
      <w:r>
        <w:rPr>
          <w:rFonts w:hint="eastAsia" w:eastAsia="黑体"/>
          <w:b/>
          <w:bCs/>
          <w:snapToGrid w:val="0"/>
          <w:color w:val="auto"/>
          <w:spacing w:val="4"/>
          <w:sz w:val="24"/>
          <w:szCs w:val="24"/>
          <w:highlight w:val="none"/>
        </w:rPr>
        <w:t>附表4：投入主要施工机械设备表</w:t>
      </w:r>
    </w:p>
    <w:p>
      <w:pPr>
        <w:shd w:val="clear" w:color="auto" w:fill="auto"/>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投入主要施工机械设备表</w:t>
      </w:r>
    </w:p>
    <w:tbl>
      <w:tblPr>
        <w:tblStyle w:val="44"/>
        <w:tblW w:w="9663"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1808"/>
        <w:gridCol w:w="2100"/>
        <w:gridCol w:w="900"/>
        <w:gridCol w:w="900"/>
        <w:gridCol w:w="1080"/>
        <w:gridCol w:w="816"/>
        <w:gridCol w:w="134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2523" w:type="dxa"/>
            <w:gridSpan w:val="2"/>
            <w:vMerge w:val="restart"/>
            <w:vAlign w:val="center"/>
          </w:tcPr>
          <w:p>
            <w:pPr>
              <w:shd w:val="clear" w:color="auto" w:fill="auto"/>
              <w:jc w:val="center"/>
              <w:rPr>
                <w:color w:val="auto"/>
                <w:szCs w:val="21"/>
                <w:highlight w:val="none"/>
              </w:rPr>
            </w:pPr>
            <w:r>
              <w:rPr>
                <w:rFonts w:hint="eastAsia"/>
                <w:color w:val="auto"/>
                <w:szCs w:val="21"/>
                <w:highlight w:val="none"/>
              </w:rPr>
              <w:t>名称及型号</w:t>
            </w:r>
          </w:p>
        </w:tc>
        <w:tc>
          <w:tcPr>
            <w:tcW w:w="7140" w:type="dxa"/>
            <w:gridSpan w:val="6"/>
            <w:vAlign w:val="center"/>
          </w:tcPr>
          <w:p>
            <w:pPr>
              <w:shd w:val="clear" w:color="auto" w:fill="auto"/>
              <w:jc w:val="center"/>
              <w:rPr>
                <w:color w:val="auto"/>
                <w:szCs w:val="21"/>
                <w:highlight w:val="none"/>
              </w:rPr>
            </w:pPr>
            <w:r>
              <w:rPr>
                <w:rFonts w:hint="eastAsia"/>
                <w:color w:val="auto"/>
                <w:szCs w:val="21"/>
                <w:highlight w:val="none"/>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2523" w:type="dxa"/>
            <w:gridSpan w:val="2"/>
            <w:vMerge w:val="continue"/>
            <w:vAlign w:val="center"/>
          </w:tcPr>
          <w:p>
            <w:pPr>
              <w:shd w:val="clear" w:color="auto" w:fill="auto"/>
              <w:jc w:val="center"/>
              <w:rPr>
                <w:color w:val="auto"/>
                <w:szCs w:val="21"/>
                <w:highlight w:val="none"/>
              </w:rPr>
            </w:pPr>
          </w:p>
        </w:tc>
        <w:tc>
          <w:tcPr>
            <w:tcW w:w="2100" w:type="dxa"/>
            <w:vAlign w:val="center"/>
          </w:tcPr>
          <w:p>
            <w:pPr>
              <w:shd w:val="clear" w:color="auto" w:fill="auto"/>
              <w:jc w:val="center"/>
              <w:rPr>
                <w:color w:val="auto"/>
                <w:szCs w:val="21"/>
                <w:highlight w:val="none"/>
              </w:rPr>
            </w:pPr>
            <w:r>
              <w:rPr>
                <w:rFonts w:hint="eastAsia"/>
                <w:color w:val="auto"/>
                <w:szCs w:val="21"/>
                <w:highlight w:val="none"/>
              </w:rPr>
              <w:t>机械最少投入数量</w:t>
            </w:r>
          </w:p>
        </w:tc>
        <w:tc>
          <w:tcPr>
            <w:tcW w:w="5040" w:type="dxa"/>
            <w:gridSpan w:val="5"/>
            <w:vAlign w:val="center"/>
          </w:tcPr>
          <w:p>
            <w:pPr>
              <w:shd w:val="clear" w:color="auto" w:fill="auto"/>
              <w:jc w:val="center"/>
              <w:rPr>
                <w:color w:val="auto"/>
                <w:szCs w:val="21"/>
                <w:highlight w:val="none"/>
              </w:rPr>
            </w:pPr>
            <w:r>
              <w:rPr>
                <w:rFonts w:hint="eastAsia"/>
                <w:color w:val="auto"/>
                <w:szCs w:val="21"/>
                <w:highlight w:val="none"/>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trPr>
        <w:tc>
          <w:tcPr>
            <w:tcW w:w="2523" w:type="dxa"/>
            <w:gridSpan w:val="2"/>
            <w:vAlign w:val="center"/>
          </w:tcPr>
          <w:p>
            <w:pPr>
              <w:shd w:val="clear" w:color="auto" w:fill="auto"/>
              <w:jc w:val="center"/>
              <w:rPr>
                <w:color w:val="auto"/>
                <w:szCs w:val="21"/>
                <w:highlight w:val="none"/>
              </w:rPr>
            </w:pPr>
            <w:r>
              <w:rPr>
                <w:rFonts w:hint="eastAsia"/>
                <w:color w:val="auto"/>
                <w:szCs w:val="21"/>
                <w:highlight w:val="none"/>
              </w:rPr>
              <w:t>名</w:t>
            </w:r>
            <w:r>
              <w:rPr>
                <w:color w:val="auto"/>
                <w:szCs w:val="21"/>
                <w:highlight w:val="none"/>
              </w:rPr>
              <w:t xml:space="preserve">     </w:t>
            </w:r>
            <w:r>
              <w:rPr>
                <w:rFonts w:hint="eastAsia"/>
                <w:color w:val="auto"/>
                <w:szCs w:val="21"/>
                <w:highlight w:val="none"/>
              </w:rPr>
              <w:t>称</w:t>
            </w:r>
          </w:p>
        </w:tc>
        <w:tc>
          <w:tcPr>
            <w:tcW w:w="2100" w:type="dxa"/>
            <w:vAlign w:val="center"/>
          </w:tcPr>
          <w:p>
            <w:pPr>
              <w:shd w:val="clear" w:color="auto" w:fill="auto"/>
              <w:jc w:val="center"/>
              <w:rPr>
                <w:color w:val="auto"/>
                <w:szCs w:val="21"/>
                <w:highlight w:val="none"/>
              </w:rPr>
            </w:pPr>
            <w:r>
              <w:rPr>
                <w:rFonts w:hint="eastAsia"/>
                <w:color w:val="auto"/>
                <w:szCs w:val="21"/>
                <w:highlight w:val="none"/>
              </w:rPr>
              <w:t>数量（台套）</w:t>
            </w:r>
          </w:p>
        </w:tc>
        <w:tc>
          <w:tcPr>
            <w:tcW w:w="900" w:type="dxa"/>
            <w:vAlign w:val="center"/>
          </w:tcPr>
          <w:p>
            <w:pPr>
              <w:shd w:val="clear" w:color="auto" w:fill="auto"/>
              <w:jc w:val="center"/>
              <w:rPr>
                <w:color w:val="auto"/>
                <w:szCs w:val="21"/>
                <w:highlight w:val="none"/>
              </w:rPr>
            </w:pPr>
            <w:r>
              <w:rPr>
                <w:rFonts w:hint="eastAsia"/>
                <w:color w:val="auto"/>
                <w:szCs w:val="21"/>
                <w:highlight w:val="none"/>
              </w:rPr>
              <w:t>小计</w:t>
            </w:r>
          </w:p>
        </w:tc>
        <w:tc>
          <w:tcPr>
            <w:tcW w:w="900" w:type="dxa"/>
            <w:vAlign w:val="center"/>
          </w:tcPr>
          <w:p>
            <w:pPr>
              <w:shd w:val="clear" w:color="auto" w:fill="auto"/>
              <w:jc w:val="center"/>
              <w:rPr>
                <w:color w:val="auto"/>
                <w:szCs w:val="21"/>
                <w:highlight w:val="none"/>
              </w:rPr>
            </w:pPr>
            <w:r>
              <w:rPr>
                <w:rFonts w:hint="eastAsia"/>
                <w:color w:val="auto"/>
                <w:szCs w:val="21"/>
                <w:highlight w:val="none"/>
              </w:rPr>
              <w:t>新购</w:t>
            </w:r>
          </w:p>
        </w:tc>
        <w:tc>
          <w:tcPr>
            <w:tcW w:w="1080" w:type="dxa"/>
            <w:vAlign w:val="center"/>
          </w:tcPr>
          <w:p>
            <w:pPr>
              <w:shd w:val="clear" w:color="auto" w:fill="auto"/>
              <w:jc w:val="center"/>
              <w:rPr>
                <w:color w:val="auto"/>
                <w:szCs w:val="21"/>
                <w:highlight w:val="none"/>
              </w:rPr>
            </w:pPr>
            <w:r>
              <w:rPr>
                <w:rFonts w:hint="eastAsia"/>
                <w:color w:val="auto"/>
                <w:szCs w:val="21"/>
                <w:highlight w:val="none"/>
              </w:rPr>
              <w:t>自有</w:t>
            </w:r>
          </w:p>
        </w:tc>
        <w:tc>
          <w:tcPr>
            <w:tcW w:w="816" w:type="dxa"/>
            <w:vAlign w:val="center"/>
          </w:tcPr>
          <w:p>
            <w:pPr>
              <w:shd w:val="clear" w:color="auto" w:fill="auto"/>
              <w:jc w:val="center"/>
              <w:rPr>
                <w:color w:val="auto"/>
                <w:szCs w:val="21"/>
                <w:highlight w:val="none"/>
              </w:rPr>
            </w:pPr>
            <w:r>
              <w:rPr>
                <w:rFonts w:hint="eastAsia"/>
                <w:color w:val="auto"/>
                <w:szCs w:val="21"/>
                <w:highlight w:val="none"/>
              </w:rPr>
              <w:t>租赁</w:t>
            </w:r>
          </w:p>
        </w:tc>
        <w:tc>
          <w:tcPr>
            <w:tcW w:w="1344" w:type="dxa"/>
            <w:vAlign w:val="center"/>
          </w:tcPr>
          <w:p>
            <w:pPr>
              <w:shd w:val="clear" w:color="auto" w:fill="auto"/>
              <w:jc w:val="center"/>
              <w:rPr>
                <w:color w:val="auto"/>
                <w:szCs w:val="21"/>
                <w:highlight w:val="none"/>
              </w:rPr>
            </w:pPr>
            <w:r>
              <w:rPr>
                <w:rFonts w:hint="eastAsia"/>
                <w:color w:val="auto"/>
                <w:szCs w:val="21"/>
                <w:highlight w:val="none"/>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715" w:type="dxa"/>
            <w:vMerge w:val="restart"/>
            <w:vAlign w:val="center"/>
          </w:tcPr>
          <w:p>
            <w:pPr>
              <w:shd w:val="clear" w:color="auto" w:fill="auto"/>
              <w:jc w:val="center"/>
              <w:rPr>
                <w:color w:val="auto"/>
                <w:szCs w:val="21"/>
                <w:highlight w:val="none"/>
              </w:rPr>
            </w:pPr>
            <w:r>
              <w:rPr>
                <w:rFonts w:hint="eastAsia"/>
                <w:color w:val="auto"/>
                <w:szCs w:val="21"/>
                <w:highlight w:val="none"/>
              </w:rPr>
              <w:t>施工机械设备</w:t>
            </w: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01"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kern w:val="0"/>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jc w:val="center"/>
        </w:trPr>
        <w:tc>
          <w:tcPr>
            <w:tcW w:w="715" w:type="dxa"/>
            <w:vMerge w:val="restart"/>
            <w:vAlign w:val="center"/>
          </w:tcPr>
          <w:p>
            <w:pPr>
              <w:shd w:val="clear" w:color="auto" w:fill="auto"/>
              <w:jc w:val="center"/>
              <w:rPr>
                <w:color w:val="auto"/>
                <w:szCs w:val="21"/>
                <w:highlight w:val="none"/>
              </w:rPr>
            </w:pPr>
            <w:r>
              <w:rPr>
                <w:rFonts w:hint="eastAsia"/>
                <w:color w:val="auto"/>
                <w:szCs w:val="21"/>
                <w:highlight w:val="none"/>
              </w:rPr>
              <w:t>其他设备</w:t>
            </w:r>
          </w:p>
        </w:tc>
        <w:tc>
          <w:tcPr>
            <w:tcW w:w="1808" w:type="dxa"/>
            <w:vAlign w:val="center"/>
          </w:tcPr>
          <w:p>
            <w:pPr>
              <w:shd w:val="clear" w:color="auto" w:fill="auto"/>
              <w:jc w:val="center"/>
              <w:rPr>
                <w:color w:val="auto"/>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sz w:val="24"/>
                <w:szCs w:val="21"/>
                <w:highlight w:val="none"/>
              </w:rPr>
            </w:pPr>
          </w:p>
        </w:tc>
        <w:tc>
          <w:tcPr>
            <w:tcW w:w="2100" w:type="dxa"/>
            <w:vAlign w:val="center"/>
          </w:tcPr>
          <w:p>
            <w:pPr>
              <w:shd w:val="clear" w:color="auto" w:fill="auto"/>
              <w:jc w:val="center"/>
              <w:rPr>
                <w:color w:val="auto"/>
                <w:sz w:val="24"/>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jc w:val="center"/>
        </w:trPr>
        <w:tc>
          <w:tcPr>
            <w:tcW w:w="715" w:type="dxa"/>
            <w:vMerge w:val="continue"/>
            <w:vAlign w:val="center"/>
          </w:tcPr>
          <w:p>
            <w:pPr>
              <w:shd w:val="clear" w:color="auto" w:fill="auto"/>
              <w:jc w:val="center"/>
              <w:rPr>
                <w:color w:val="auto"/>
                <w:szCs w:val="21"/>
                <w:highlight w:val="none"/>
              </w:rPr>
            </w:pPr>
          </w:p>
        </w:tc>
        <w:tc>
          <w:tcPr>
            <w:tcW w:w="1808" w:type="dxa"/>
            <w:vAlign w:val="center"/>
          </w:tcPr>
          <w:p>
            <w:pPr>
              <w:shd w:val="clear" w:color="auto" w:fill="auto"/>
              <w:jc w:val="center"/>
              <w:rPr>
                <w:color w:val="auto"/>
                <w:szCs w:val="21"/>
                <w:highlight w:val="none"/>
              </w:rPr>
            </w:pPr>
            <w:r>
              <w:rPr>
                <w:color w:val="auto"/>
                <w:szCs w:val="21"/>
                <w:highlight w:val="none"/>
              </w:rPr>
              <w:t>…</w:t>
            </w:r>
          </w:p>
        </w:tc>
        <w:tc>
          <w:tcPr>
            <w:tcW w:w="21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900" w:type="dxa"/>
            <w:vAlign w:val="center"/>
          </w:tcPr>
          <w:p>
            <w:pPr>
              <w:shd w:val="clear" w:color="auto" w:fill="auto"/>
              <w:jc w:val="center"/>
              <w:rPr>
                <w:color w:val="auto"/>
                <w:szCs w:val="21"/>
                <w:highlight w:val="none"/>
              </w:rPr>
            </w:pPr>
          </w:p>
        </w:tc>
        <w:tc>
          <w:tcPr>
            <w:tcW w:w="1080" w:type="dxa"/>
            <w:vAlign w:val="center"/>
          </w:tcPr>
          <w:p>
            <w:pPr>
              <w:shd w:val="clear" w:color="auto" w:fill="auto"/>
              <w:jc w:val="center"/>
              <w:rPr>
                <w:color w:val="auto"/>
                <w:szCs w:val="21"/>
                <w:highlight w:val="none"/>
              </w:rPr>
            </w:pPr>
          </w:p>
        </w:tc>
        <w:tc>
          <w:tcPr>
            <w:tcW w:w="816" w:type="dxa"/>
            <w:vAlign w:val="center"/>
          </w:tcPr>
          <w:p>
            <w:pPr>
              <w:shd w:val="clear" w:color="auto" w:fill="auto"/>
              <w:jc w:val="center"/>
              <w:rPr>
                <w:color w:val="auto"/>
                <w:szCs w:val="21"/>
                <w:highlight w:val="none"/>
              </w:rPr>
            </w:pPr>
          </w:p>
        </w:tc>
        <w:tc>
          <w:tcPr>
            <w:tcW w:w="1344" w:type="dxa"/>
            <w:vAlign w:val="center"/>
          </w:tcPr>
          <w:p>
            <w:pPr>
              <w:shd w:val="clear" w:color="auto" w:fill="auto"/>
              <w:jc w:val="center"/>
              <w:rPr>
                <w:color w:val="auto"/>
                <w:szCs w:val="21"/>
                <w:highlight w:val="none"/>
              </w:rPr>
            </w:pPr>
          </w:p>
        </w:tc>
      </w:tr>
    </w:tbl>
    <w:p>
      <w:pPr>
        <w:widowControl/>
        <w:shd w:val="clear" w:color="auto" w:fill="auto"/>
        <w:topLinePunct/>
        <w:adjustRightInd w:val="0"/>
        <w:snapToGrid w:val="0"/>
        <w:jc w:val="left"/>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注：1、设备名称及要求数量由投标人视本工程具体情况结合招标人对本工程的具体要求自行配备；</w:t>
      </w:r>
    </w:p>
    <w:p>
      <w:pPr>
        <w:shd w:val="clear" w:color="auto" w:fill="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2、投入的设备如为自有，须附购货发票、报关单（如为进口）；如为租用，须附租赁合同及上述证明资料，并准备原件待查。</w:t>
      </w:r>
    </w:p>
    <w:p>
      <w:pPr>
        <w:widowControl/>
        <w:shd w:val="clear" w:color="auto" w:fill="auto"/>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投标人：　　（盖章）</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shd w:val="clear" w:color="auto" w:fill="auto"/>
        <w:topLinePunct/>
        <w:adjustRightInd w:val="0"/>
        <w:snapToGrid w:val="0"/>
        <w:spacing w:line="360" w:lineRule="auto"/>
        <w:jc w:val="left"/>
        <w:rPr>
          <w:b/>
          <w:snapToGrid w:val="0"/>
          <w:color w:val="auto"/>
          <w:spacing w:val="4"/>
          <w:sz w:val="24"/>
          <w:szCs w:val="24"/>
          <w:highlight w:val="none"/>
        </w:rPr>
      </w:pPr>
      <w:r>
        <w:rPr>
          <w:rFonts w:eastAsia="黑体"/>
          <w:b/>
          <w:bCs/>
          <w:snapToGrid w:val="0"/>
          <w:color w:val="auto"/>
          <w:spacing w:val="4"/>
          <w:sz w:val="24"/>
          <w:szCs w:val="24"/>
          <w:highlight w:val="none"/>
        </w:rPr>
        <w:br w:type="page"/>
      </w:r>
      <w:r>
        <w:rPr>
          <w:rFonts w:hint="eastAsia" w:eastAsia="黑体"/>
          <w:b/>
          <w:bCs/>
          <w:snapToGrid w:val="0"/>
          <w:color w:val="auto"/>
          <w:spacing w:val="4"/>
          <w:sz w:val="24"/>
          <w:szCs w:val="24"/>
          <w:highlight w:val="none"/>
        </w:rPr>
        <w:t>附表5：资金使用计划表</w:t>
      </w:r>
    </w:p>
    <w:p>
      <w:pPr>
        <w:shd w:val="clear" w:color="auto" w:fill="auto"/>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资金使用计划表</w:t>
      </w:r>
    </w:p>
    <w:tbl>
      <w:tblPr>
        <w:tblStyle w:val="44"/>
        <w:tblW w:w="9116" w:type="dxa"/>
        <w:jc w:val="center"/>
        <w:tblInd w:w="0" w:type="dxa"/>
        <w:tblLayout w:type="fixed"/>
        <w:tblCellMar>
          <w:top w:w="0" w:type="dxa"/>
          <w:left w:w="108" w:type="dxa"/>
          <w:bottom w:w="0" w:type="dxa"/>
          <w:right w:w="108" w:type="dxa"/>
        </w:tblCellMar>
      </w:tblPr>
      <w:tblGrid>
        <w:gridCol w:w="2285"/>
        <w:gridCol w:w="2277"/>
        <w:gridCol w:w="2277"/>
        <w:gridCol w:w="2277"/>
      </w:tblGrid>
      <w:tr>
        <w:tblPrEx>
          <w:tblLayout w:type="fixed"/>
          <w:tblCellMar>
            <w:top w:w="0" w:type="dxa"/>
            <w:left w:w="108" w:type="dxa"/>
            <w:bottom w:w="0" w:type="dxa"/>
            <w:right w:w="108" w:type="dxa"/>
          </w:tblCellMar>
        </w:tblPrEx>
        <w:trPr>
          <w:jc w:val="center"/>
        </w:trPr>
        <w:tc>
          <w:tcPr>
            <w:tcW w:w="2285" w:type="dxa"/>
            <w:vMerge w:val="restart"/>
            <w:tcBorders>
              <w:top w:val="single" w:color="auto" w:sz="4"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从开工月算起的时间（月）</w:t>
            </w:r>
          </w:p>
        </w:tc>
        <w:tc>
          <w:tcPr>
            <w:tcW w:w="4554" w:type="dxa"/>
            <w:gridSpan w:val="2"/>
            <w:tcBorders>
              <w:top w:val="single" w:color="auto" w:sz="4"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资金使用计划</w:t>
            </w:r>
          </w:p>
        </w:tc>
        <w:tc>
          <w:tcPr>
            <w:tcW w:w="2277" w:type="dxa"/>
            <w:vMerge w:val="restart"/>
            <w:tcBorders>
              <w:top w:val="single" w:color="auto" w:sz="4"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备注</w:t>
            </w:r>
          </w:p>
        </w:tc>
      </w:tr>
      <w:tr>
        <w:tblPrEx>
          <w:tblLayout w:type="fixed"/>
          <w:tblCellMar>
            <w:top w:w="0" w:type="dxa"/>
            <w:left w:w="108" w:type="dxa"/>
            <w:bottom w:w="0" w:type="dxa"/>
            <w:right w:w="108" w:type="dxa"/>
          </w:tblCellMar>
        </w:tblPrEx>
        <w:trPr>
          <w:jc w:val="center"/>
        </w:trPr>
        <w:tc>
          <w:tcPr>
            <w:tcW w:w="2285" w:type="dxa"/>
            <w:vMerge w:val="continue"/>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ind w:left="479"/>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分期（%）</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累计（%）</w:t>
            </w:r>
          </w:p>
        </w:tc>
        <w:tc>
          <w:tcPr>
            <w:tcW w:w="2277" w:type="dxa"/>
            <w:vMerge w:val="continue"/>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ind w:left="479"/>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预付款</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第1月</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第2月</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第3月</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第4月</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保修期</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合计</w:t>
            </w: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c>
          <w:tcPr>
            <w:tcW w:w="2277" w:type="dxa"/>
            <w:tcBorders>
              <w:top w:val="single" w:color="auto" w:sz="6" w:space="0"/>
              <w:left w:val="single" w:color="auto" w:sz="6" w:space="0"/>
              <w:bottom w:val="single" w:color="auto" w:sz="6"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r>
        <w:tblPrEx>
          <w:tblLayout w:type="fixed"/>
          <w:tblCellMar>
            <w:top w:w="0" w:type="dxa"/>
            <w:left w:w="108" w:type="dxa"/>
            <w:bottom w:w="0" w:type="dxa"/>
            <w:right w:w="108" w:type="dxa"/>
          </w:tblCellMar>
        </w:tblPrEx>
        <w:trPr>
          <w:jc w:val="center"/>
        </w:trPr>
        <w:tc>
          <w:tcPr>
            <w:tcW w:w="2285" w:type="dxa"/>
            <w:tcBorders>
              <w:top w:val="single" w:color="auto" w:sz="6" w:space="0"/>
              <w:left w:val="single" w:color="auto" w:sz="4" w:space="0"/>
              <w:bottom w:val="single" w:color="auto" w:sz="4" w:space="0"/>
              <w:right w:val="single" w:color="auto" w:sz="6"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说明</w:t>
            </w:r>
          </w:p>
        </w:tc>
        <w:tc>
          <w:tcPr>
            <w:tcW w:w="6831" w:type="dxa"/>
            <w:gridSpan w:val="3"/>
            <w:tcBorders>
              <w:top w:val="single" w:color="auto" w:sz="6" w:space="0"/>
              <w:left w:val="single" w:color="auto" w:sz="6" w:space="0"/>
              <w:bottom w:val="single" w:color="auto" w:sz="4" w:space="0"/>
              <w:right w:val="single" w:color="auto" w:sz="4" w:space="0"/>
            </w:tcBorders>
            <w:vAlign w:val="center"/>
          </w:tcPr>
          <w:p>
            <w:pPr>
              <w:widowControl/>
              <w:shd w:val="clear" w:color="auto" w:fill="auto"/>
              <w:topLinePunct/>
              <w:adjustRightInd w:val="0"/>
              <w:snapToGrid w:val="0"/>
              <w:spacing w:line="360" w:lineRule="auto"/>
              <w:jc w:val="center"/>
              <w:rPr>
                <w:rFonts w:hint="eastAsia" w:ascii="宋体" w:hAnsi="宋体" w:eastAsia="宋体" w:cs="宋体"/>
                <w:snapToGrid w:val="0"/>
                <w:color w:val="auto"/>
                <w:spacing w:val="4"/>
                <w:sz w:val="24"/>
                <w:szCs w:val="24"/>
                <w:highlight w:val="none"/>
              </w:rPr>
            </w:pPr>
          </w:p>
        </w:tc>
      </w:tr>
    </w:tbl>
    <w:p>
      <w:pPr>
        <w:widowControl/>
        <w:shd w:val="clear" w:color="auto" w:fill="auto"/>
        <w:topLinePunct/>
        <w:adjustRightInd w:val="0"/>
        <w:snapToGrid w:val="0"/>
        <w:spacing w:line="360" w:lineRule="auto"/>
        <w:jc w:val="left"/>
        <w:rPr>
          <w:rFonts w:eastAsia="黑体"/>
          <w:snapToGrid w:val="0"/>
          <w:color w:val="auto"/>
          <w:spacing w:val="4"/>
          <w:sz w:val="24"/>
          <w:szCs w:val="24"/>
          <w:highlight w:val="none"/>
        </w:rPr>
      </w:pPr>
      <w:r>
        <w:rPr>
          <w:rFonts w:hint="eastAsia" w:ascii="宋体" w:hAnsi="宋体" w:cs="宋体"/>
          <w:snapToGrid w:val="0"/>
          <w:color w:val="auto"/>
          <w:spacing w:val="4"/>
          <w:sz w:val="24"/>
          <w:szCs w:val="24"/>
          <w:highlight w:val="none"/>
        </w:rPr>
        <w:t>注：本表不得出现具体金额，仅以百分比表示。</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投标人：　　（盖章）</w:t>
      </w:r>
    </w:p>
    <w:p>
      <w:pPr>
        <w:widowControl/>
        <w:shd w:val="clear" w:color="auto" w:fill="auto"/>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cs="宋体"/>
          <w:snapToGrid w:val="0"/>
          <w:color w:val="auto"/>
          <w:spacing w:val="4"/>
          <w:sz w:val="24"/>
          <w:szCs w:val="24"/>
          <w:highlight w:val="none"/>
        </w:rPr>
        <w:t>：</w:t>
      </w:r>
    </w:p>
    <w:p>
      <w:pPr>
        <w:topLinePunct/>
        <w:adjustRightInd w:val="0"/>
        <w:snapToGrid w:val="0"/>
        <w:ind w:firstLine="4216" w:firstLineChars="1700"/>
        <w:jc w:val="left"/>
        <w:outlineLvl w:val="2"/>
        <w:rPr>
          <w:rFonts w:ascii="宋体" w:hAnsi="宋体"/>
          <w:b/>
          <w:snapToGrid w:val="0"/>
          <w:color w:val="auto"/>
          <w:spacing w:val="4"/>
          <w:kern w:val="0"/>
          <w:sz w:val="24"/>
          <w:szCs w:val="24"/>
          <w:highlight w:val="none"/>
        </w:rPr>
      </w:pPr>
      <w:r>
        <w:rPr>
          <w:rFonts w:hint="eastAsia"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cs="宋体"/>
          <w:snapToGrid w:val="0"/>
          <w:color w:val="auto"/>
          <w:spacing w:val="4"/>
          <w:sz w:val="24"/>
          <w:szCs w:val="24"/>
          <w:highlight w:val="none"/>
        </w:rPr>
        <w:t>日</w:t>
      </w:r>
      <w:bookmarkStart w:id="141" w:name="_Toc31709"/>
      <w:r>
        <w:rPr>
          <w:rFonts w:ascii="宋体" w:hAnsi="宋体"/>
          <w:b/>
          <w:snapToGrid w:val="0"/>
          <w:color w:val="auto"/>
          <w:spacing w:val="4"/>
          <w:kern w:val="0"/>
          <w:sz w:val="24"/>
          <w:szCs w:val="24"/>
          <w:highlight w:val="none"/>
        </w:rPr>
        <w:br w:type="page"/>
      </w:r>
      <w:r>
        <w:rPr>
          <w:rFonts w:hint="eastAsia" w:ascii="宋体" w:hAnsi="宋体"/>
          <w:b/>
          <w:snapToGrid w:val="0"/>
          <w:color w:val="auto"/>
          <w:spacing w:val="4"/>
          <w:kern w:val="0"/>
          <w:sz w:val="24"/>
          <w:szCs w:val="24"/>
          <w:highlight w:val="none"/>
        </w:rPr>
        <w:t>格式十</w:t>
      </w:r>
      <w:r>
        <w:rPr>
          <w:rFonts w:hint="eastAsia" w:ascii="宋体" w:hAnsi="宋体"/>
          <w:b/>
          <w:snapToGrid w:val="0"/>
          <w:color w:val="auto"/>
          <w:spacing w:val="4"/>
          <w:kern w:val="0"/>
          <w:sz w:val="24"/>
          <w:szCs w:val="24"/>
          <w:highlight w:val="none"/>
          <w:lang w:val="en-US" w:eastAsia="zh-CN"/>
        </w:rPr>
        <w:t>一</w:t>
      </w:r>
      <w:r>
        <w:rPr>
          <w:rFonts w:hint="eastAsia" w:ascii="宋体" w:hAnsi="宋体"/>
          <w:b/>
          <w:snapToGrid w:val="0"/>
          <w:color w:val="auto"/>
          <w:spacing w:val="4"/>
          <w:kern w:val="0"/>
          <w:sz w:val="24"/>
          <w:szCs w:val="24"/>
          <w:highlight w:val="none"/>
        </w:rPr>
        <w:t>：承诺书</w:t>
      </w:r>
      <w:bookmarkEnd w:id="141"/>
    </w:p>
    <w:p>
      <w:pPr>
        <w:topLinePunct/>
        <w:adjustRightInd w:val="0"/>
        <w:snapToGrid w:val="0"/>
        <w:spacing w:before="156" w:after="156" w:line="360" w:lineRule="auto"/>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承 诺 书</w:t>
      </w:r>
    </w:p>
    <w:p>
      <w:pPr>
        <w:topLinePunct/>
        <w:adjustRightInd w:val="0"/>
        <w:snapToGrid w:val="0"/>
        <w:spacing w:line="360" w:lineRule="auto"/>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致：</w:t>
      </w:r>
      <w:r>
        <w:rPr>
          <w:rFonts w:hint="eastAsia" w:ascii="宋体" w:hAnsi="宋体" w:eastAsia="宋体" w:cs="宋体"/>
          <w:snapToGrid w:val="0"/>
          <w:color w:val="auto"/>
          <w:spacing w:val="4"/>
          <w:kern w:val="0"/>
          <w:sz w:val="24"/>
          <w:szCs w:val="24"/>
          <w:highlight w:val="none"/>
          <w:lang w:eastAsia="zh-CN"/>
        </w:rPr>
        <w:t>广州市林业和园林绿化工程建设中心</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经详细阅读本工程招标文件、招标答疑纪要和踏勘现场，我司已理解招标人对本招标项目工程管理的高标准及严格要求，在此，我司郑重作出以下承诺：</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w:t>
      </w:r>
      <w:bookmarkStart w:id="142" w:name="_Toc444607390"/>
      <w:bookmarkStart w:id="143" w:name="_Toc24085"/>
      <w:bookmarkStart w:id="144" w:name="_Toc11044"/>
      <w:r>
        <w:rPr>
          <w:rFonts w:hint="eastAsia" w:ascii="宋体" w:hAnsi="宋体" w:eastAsia="宋体" w:cs="宋体"/>
          <w:snapToGrid w:val="0"/>
          <w:color w:val="auto"/>
          <w:spacing w:val="4"/>
          <w:kern w:val="0"/>
          <w:sz w:val="24"/>
          <w:szCs w:val="24"/>
          <w:highlight w:val="none"/>
        </w:rPr>
        <w:t>施工期间现</w:t>
      </w:r>
      <w:bookmarkEnd w:id="142"/>
      <w:r>
        <w:rPr>
          <w:rFonts w:hint="eastAsia" w:ascii="宋体" w:hAnsi="宋体" w:eastAsia="宋体" w:cs="宋体"/>
          <w:snapToGrid w:val="0"/>
          <w:color w:val="auto"/>
          <w:spacing w:val="4"/>
          <w:kern w:val="0"/>
          <w:sz w:val="24"/>
          <w:szCs w:val="24"/>
          <w:highlight w:val="none"/>
        </w:rPr>
        <w:t>场条件发生的任何阻碍而影响投标承诺的竣工日期。</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四、经认真进行市场调查，我司承诺本招标项目材料、设备来源有保证，可按投标承诺及时组织到货，无需代换，图纸、资料和设计文件中所要求的条件我司全部能够满足。</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2"/>
          <w:kern w:val="0"/>
          <w:position w:val="2"/>
          <w:sz w:val="24"/>
          <w:szCs w:val="24"/>
          <w:highlight w:val="none"/>
        </w:rPr>
      </w:pPr>
      <w:r>
        <w:rPr>
          <w:rFonts w:hint="eastAsia" w:ascii="宋体" w:hAnsi="宋体" w:eastAsia="宋体" w:cs="宋体"/>
          <w:snapToGrid w:val="0"/>
          <w:color w:val="auto"/>
          <w:spacing w:val="4"/>
          <w:kern w:val="0"/>
          <w:sz w:val="24"/>
          <w:szCs w:val="24"/>
          <w:highlight w:val="none"/>
        </w:rPr>
        <w:t>五、</w:t>
      </w:r>
      <w:r>
        <w:rPr>
          <w:rFonts w:hint="eastAsia" w:ascii="宋体" w:hAnsi="宋体" w:eastAsia="宋体" w:cs="宋体"/>
          <w:snapToGrid w:val="0"/>
          <w:color w:val="auto"/>
          <w:spacing w:val="2"/>
          <w:kern w:val="0"/>
          <w:position w:val="2"/>
          <w:sz w:val="24"/>
          <w:szCs w:val="24"/>
          <w:highlight w:val="none"/>
        </w:rPr>
        <w:t>鉴于本工程的重要性、复杂性和工期的紧迫性，为确保按时、按质完成本工程的施工任务，我司经慎重考虑，承诺按招标文件的要求投入人员。否则，按合同约定处理，并承担违约责任。</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六、我司已充分阅读并理解招标文件第三章合同格式的所有内容，且对合同条款相关疑问已在投标阶段时提出。如果我司的投标被接受，将保证按招标文件规定的时间及合同条款与贵局签订合同，且在办理合同签订手续时积极主动配合招标人，不提出任何违反招标文件合同条款精神的任何书面要求和疑问。</w:t>
      </w:r>
    </w:p>
    <w:p>
      <w:pPr>
        <w:topLinePunct/>
        <w:adjustRightInd w:val="0"/>
        <w:snapToGrid w:val="0"/>
        <w:spacing w:line="360" w:lineRule="auto"/>
        <w:ind w:firstLine="472" w:firstLineChars="200"/>
        <w:jc w:val="left"/>
        <w:rPr>
          <w:rFonts w:hint="eastAsia" w:ascii="宋体" w:hAnsi="宋体" w:eastAsia="宋体" w:cs="宋体"/>
          <w:snapToGrid w:val="0"/>
          <w:color w:val="auto"/>
          <w:spacing w:val="-2"/>
          <w:kern w:val="0"/>
          <w:sz w:val="24"/>
          <w:szCs w:val="24"/>
          <w:highlight w:val="none"/>
        </w:rPr>
      </w:pPr>
      <w:r>
        <w:rPr>
          <w:rFonts w:hint="eastAsia" w:ascii="宋体" w:hAnsi="宋体" w:eastAsia="宋体" w:cs="宋体"/>
          <w:snapToGrid w:val="0"/>
          <w:color w:val="auto"/>
          <w:spacing w:val="-2"/>
          <w:kern w:val="0"/>
          <w:sz w:val="24"/>
          <w:szCs w:val="24"/>
          <w:highlight w:val="none"/>
        </w:rPr>
        <w:t>七、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东省建设工程施工扬尘污染防治管理办法（试行）》（粤办函〔2017〕708号）、《广东省住房和城乡建设厅关于采取切实措施坚决遏制施工扬尘污染的紧急通知》（粤建电发〔2018〕20号）、《广东省房屋建筑和市政基础设施工程用工实名管理暂行办法》（粤建规范〔2018〕1号）、</w:t>
      </w:r>
      <w:bookmarkEnd w:id="143"/>
      <w:bookmarkEnd w:id="144"/>
      <w:r>
        <w:rPr>
          <w:rFonts w:hint="eastAsia" w:ascii="宋体" w:hAnsi="宋体" w:eastAsia="宋体" w:cs="宋体"/>
          <w:bCs/>
          <w:color w:val="auto"/>
          <w:kern w:val="0"/>
          <w:sz w:val="24"/>
          <w:szCs w:val="24"/>
          <w:highlight w:val="none"/>
          <w:u w:val="single"/>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《广州市住房和城乡建设局等9部门关于印发广州市建设工程绿色施工围蔽指导图集（V2.0版）的通知 》（穗建质〔2020〕1号）</w:t>
      </w:r>
      <w:r>
        <w:rPr>
          <w:rFonts w:hint="eastAsia" w:ascii="宋体" w:hAnsi="宋体" w:eastAsia="宋体" w:cs="宋体"/>
          <w:snapToGrid w:val="0"/>
          <w:color w:val="auto"/>
          <w:spacing w:val="-2"/>
          <w:kern w:val="0"/>
          <w:sz w:val="24"/>
          <w:szCs w:val="24"/>
          <w:highlight w:val="none"/>
        </w:rPr>
        <w:t>、《广州市提</w:t>
      </w:r>
      <w:r>
        <w:rPr>
          <w:rFonts w:hint="eastAsia" w:ascii="宋体" w:hAnsi="宋体" w:eastAsia="宋体" w:cs="宋体"/>
          <w:bCs/>
          <w:snapToGrid w:val="0"/>
          <w:color w:val="auto"/>
          <w:spacing w:val="4"/>
          <w:kern w:val="0"/>
          <w:sz w:val="24"/>
          <w:szCs w:val="24"/>
          <w:highlight w:val="none"/>
        </w:rPr>
        <w:t>升建设工程安全文明施工管理水平的工作指引》（穗建质</w:t>
      </w:r>
      <w:r>
        <w:rPr>
          <w:rFonts w:hint="eastAsia" w:ascii="宋体" w:hAnsi="宋体" w:eastAsia="宋体" w:cs="宋体"/>
          <w:snapToGrid w:val="0"/>
          <w:color w:val="auto"/>
          <w:spacing w:val="-2"/>
          <w:kern w:val="0"/>
          <w:sz w:val="24"/>
          <w:szCs w:val="24"/>
          <w:highlight w:val="none"/>
        </w:rPr>
        <w:t>〔</w:t>
      </w:r>
      <w:r>
        <w:rPr>
          <w:rFonts w:hint="eastAsia" w:ascii="宋体" w:hAnsi="宋体" w:eastAsia="宋体" w:cs="宋体"/>
          <w:bCs/>
          <w:snapToGrid w:val="0"/>
          <w:color w:val="auto"/>
          <w:spacing w:val="4"/>
          <w:kern w:val="0"/>
          <w:sz w:val="24"/>
          <w:szCs w:val="24"/>
          <w:highlight w:val="none"/>
        </w:rPr>
        <w:t>2017</w:t>
      </w:r>
      <w:r>
        <w:rPr>
          <w:rFonts w:hint="eastAsia" w:ascii="宋体" w:hAnsi="宋体" w:eastAsia="宋体" w:cs="宋体"/>
          <w:snapToGrid w:val="0"/>
          <w:color w:val="auto"/>
          <w:spacing w:val="-2"/>
          <w:kern w:val="0"/>
          <w:sz w:val="24"/>
          <w:szCs w:val="24"/>
          <w:highlight w:val="none"/>
        </w:rPr>
        <w:t>〕</w:t>
      </w:r>
      <w:r>
        <w:rPr>
          <w:rFonts w:hint="eastAsia" w:ascii="宋体" w:hAnsi="宋体" w:eastAsia="宋体" w:cs="宋体"/>
          <w:bCs/>
          <w:snapToGrid w:val="0"/>
          <w:color w:val="auto"/>
          <w:spacing w:val="4"/>
          <w:kern w:val="0"/>
          <w:sz w:val="24"/>
          <w:szCs w:val="24"/>
          <w:highlight w:val="none"/>
        </w:rPr>
        <w:t>815号）</w:t>
      </w:r>
      <w:r>
        <w:rPr>
          <w:rFonts w:hint="eastAsia" w:ascii="宋体" w:hAnsi="宋体" w:eastAsia="宋体" w:cs="宋体"/>
          <w:snapToGrid w:val="0"/>
          <w:color w:val="auto"/>
          <w:spacing w:val="-2"/>
          <w:kern w:val="0"/>
          <w:sz w:val="24"/>
          <w:szCs w:val="24"/>
          <w:highlight w:val="none"/>
        </w:rPr>
        <w:t>和《广州市建筑工程安全生产措施费管理办法》（穗建筑〔2003〕106号）等各项规定和招标文件要求。否则，愿意无条件接受招标人的任何处罚，直至被清退出场，并为此承担相应的法律责任。</w:t>
      </w:r>
    </w:p>
    <w:p>
      <w:pPr>
        <w:topLinePunct/>
        <w:adjustRightInd w:val="0"/>
        <w:snapToGrid w:val="0"/>
        <w:spacing w:line="360" w:lineRule="auto"/>
        <w:ind w:firstLine="472" w:firstLineChars="200"/>
        <w:jc w:val="left"/>
        <w:rPr>
          <w:rFonts w:hint="eastAsia" w:ascii="宋体" w:hAnsi="宋体" w:eastAsia="宋体" w:cs="宋体"/>
          <w:bCs/>
          <w:snapToGrid w:val="0"/>
          <w:color w:val="auto"/>
          <w:spacing w:val="-2"/>
          <w:kern w:val="0"/>
          <w:sz w:val="24"/>
          <w:szCs w:val="24"/>
          <w:highlight w:val="none"/>
        </w:rPr>
      </w:pPr>
      <w:r>
        <w:rPr>
          <w:rFonts w:hint="eastAsia" w:ascii="宋体" w:hAnsi="宋体" w:eastAsia="宋体" w:cs="宋体"/>
          <w:bCs/>
          <w:snapToGrid w:val="0"/>
          <w:color w:val="auto"/>
          <w:spacing w:val="-2"/>
          <w:kern w:val="0"/>
          <w:sz w:val="24"/>
          <w:szCs w:val="24"/>
          <w:highlight w:val="none"/>
        </w:rPr>
        <w:t>八、</w:t>
      </w:r>
      <w:r>
        <w:rPr>
          <w:rFonts w:hint="eastAsia" w:ascii="宋体" w:hAnsi="宋体" w:eastAsia="宋体" w:cs="宋体"/>
          <w:snapToGrid w:val="0"/>
          <w:color w:val="auto"/>
          <w:spacing w:val="-2"/>
          <w:kern w:val="0"/>
          <w:sz w:val="24"/>
          <w:szCs w:val="24"/>
          <w:highlight w:val="none"/>
        </w:rPr>
        <w:t>我司保证本工程竣工验收、竣</w:t>
      </w:r>
      <w:bookmarkStart w:id="145" w:name="_Toc12740"/>
      <w:bookmarkStart w:id="146" w:name="_Toc29194"/>
      <w:r>
        <w:rPr>
          <w:rFonts w:hint="eastAsia" w:ascii="宋体" w:hAnsi="宋体" w:eastAsia="宋体" w:cs="宋体"/>
          <w:snapToGrid w:val="0"/>
          <w:color w:val="auto"/>
          <w:spacing w:val="-2"/>
          <w:kern w:val="0"/>
          <w:sz w:val="24"/>
          <w:szCs w:val="24"/>
          <w:highlight w:val="none"/>
        </w:rPr>
        <w:t>工资料和竣工备案管理完</w:t>
      </w:r>
      <w:bookmarkEnd w:id="145"/>
      <w:bookmarkEnd w:id="146"/>
      <w:r>
        <w:rPr>
          <w:rFonts w:hint="eastAsia" w:ascii="宋体" w:hAnsi="宋体" w:eastAsia="宋体" w:cs="宋体"/>
          <w:snapToGrid w:val="0"/>
          <w:color w:val="auto"/>
          <w:spacing w:val="-2"/>
          <w:kern w:val="0"/>
          <w:sz w:val="24"/>
          <w:szCs w:val="24"/>
          <w:highlight w:val="none"/>
        </w:rPr>
        <w:t>全符合</w:t>
      </w:r>
      <w:bookmarkStart w:id="147" w:name="_Toc7603"/>
      <w:bookmarkStart w:id="148" w:name="_Toc1899"/>
      <w:r>
        <w:rPr>
          <w:rFonts w:hint="eastAsia" w:ascii="宋体" w:hAnsi="宋体" w:eastAsia="宋体" w:cs="宋体"/>
          <w:snapToGrid w:val="0"/>
          <w:color w:val="auto"/>
          <w:spacing w:val="-2"/>
          <w:kern w:val="0"/>
          <w:sz w:val="24"/>
          <w:szCs w:val="24"/>
          <w:highlight w:val="none"/>
        </w:rPr>
        <w:t>国家、省、市政府、</w:t>
      </w:r>
      <w:bookmarkEnd w:id="147"/>
      <w:bookmarkEnd w:id="148"/>
      <w:r>
        <w:rPr>
          <w:rFonts w:hint="eastAsia" w:ascii="宋体" w:hAnsi="宋体" w:eastAsia="宋体" w:cs="宋体"/>
          <w:snapToGrid w:val="0"/>
          <w:color w:val="auto"/>
          <w:spacing w:val="-2"/>
          <w:kern w:val="0"/>
          <w:sz w:val="24"/>
          <w:szCs w:val="24"/>
          <w:highlight w:val="none"/>
        </w:rPr>
        <w:t>主管部门颁布的竣工验收和档案管理各项规定及招标文件中提出的各项管理要求。</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九、我司保证在本项目投标中不存在围标、串标等违法、违规行为，如经招标监管部门查实存在上述行为，我司同意对由此造成的后果承担相应的法律责任。</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十、如果我司中标</w:t>
      </w:r>
      <w:bookmarkStart w:id="149" w:name="_Toc12063"/>
      <w:bookmarkStart w:id="150" w:name="_Toc4034"/>
      <w:r>
        <w:rPr>
          <w:rFonts w:hint="eastAsia" w:ascii="宋体" w:hAnsi="宋体" w:eastAsia="宋体" w:cs="宋体"/>
          <w:snapToGrid w:val="0"/>
          <w:color w:val="auto"/>
          <w:spacing w:val="4"/>
          <w:kern w:val="0"/>
          <w:sz w:val="24"/>
          <w:szCs w:val="24"/>
          <w:highlight w:val="none"/>
        </w:rPr>
        <w:t>，我司保证实际投入本项目的人员、材料、机</w:t>
      </w:r>
      <w:bookmarkEnd w:id="149"/>
      <w:bookmarkEnd w:id="150"/>
      <w:r>
        <w:rPr>
          <w:rFonts w:hint="eastAsia" w:ascii="宋体" w:hAnsi="宋体" w:eastAsia="宋体" w:cs="宋体"/>
          <w:snapToGrid w:val="0"/>
          <w:color w:val="auto"/>
          <w:spacing w:val="4"/>
          <w:kern w:val="0"/>
          <w:sz w:val="24"/>
          <w:szCs w:val="24"/>
          <w:highlight w:val="none"/>
        </w:rPr>
        <w:t>械、设备与我司递交的投标文件一致，且不低于本项目招标文件的要求。否则我司将被视为存在弄虚作假骗取中标情形，贵局有权拒绝我司参与后续工程投标。</w:t>
      </w:r>
    </w:p>
    <w:p>
      <w:pPr>
        <w:topLinePunct/>
        <w:adjustRightInd w:val="0"/>
        <w:snapToGrid w:val="0"/>
        <w:spacing w:line="360" w:lineRule="auto"/>
        <w:ind w:firstLine="496" w:firstLineChars="200"/>
        <w:jc w:val="left"/>
        <w:rPr>
          <w:rFonts w:hint="eastAsia" w:ascii="宋体" w:hAnsi="宋体" w:eastAsia="宋体" w:cs="宋体"/>
          <w:bCs/>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一、如果我司中标，我司保证按招标文件第五章中“主要人员配置要求表”中的人员在进场前准时参加招标人组织的面试考核。若不满足招标文件要求或考核不通过，我司承诺无条件按招标人的要求进行更换，直至招标人满意为止。</w:t>
      </w:r>
      <w:r>
        <w:rPr>
          <w:rFonts w:hint="eastAsia" w:ascii="宋体" w:hAnsi="宋体" w:eastAsia="宋体" w:cs="宋体"/>
          <w:bCs/>
          <w:snapToGrid w:val="0"/>
          <w:color w:val="auto"/>
          <w:spacing w:val="4"/>
          <w:kern w:val="0"/>
          <w:sz w:val="24"/>
          <w:szCs w:val="24"/>
          <w:highlight w:val="none"/>
        </w:rPr>
        <w:t>经招</w:t>
      </w:r>
      <w:bookmarkStart w:id="151" w:name="_Toc18749"/>
      <w:bookmarkStart w:id="152" w:name="_Toc7328"/>
      <w:r>
        <w:rPr>
          <w:rFonts w:hint="eastAsia" w:ascii="宋体" w:hAnsi="宋体" w:eastAsia="宋体" w:cs="宋体"/>
          <w:bCs/>
          <w:snapToGrid w:val="0"/>
          <w:color w:val="auto"/>
          <w:spacing w:val="4"/>
          <w:kern w:val="0"/>
          <w:sz w:val="24"/>
          <w:szCs w:val="24"/>
          <w:highlight w:val="none"/>
        </w:rPr>
        <w:t>标人和总监理工程师考核，</w:t>
      </w:r>
      <w:bookmarkEnd w:id="151"/>
      <w:bookmarkEnd w:id="152"/>
      <w:r>
        <w:rPr>
          <w:rFonts w:hint="eastAsia" w:ascii="宋体" w:hAnsi="宋体" w:eastAsia="宋体" w:cs="宋体"/>
          <w:bCs/>
          <w:snapToGrid w:val="0"/>
          <w:color w:val="auto"/>
          <w:spacing w:val="4"/>
          <w:kern w:val="0"/>
          <w:sz w:val="24"/>
          <w:szCs w:val="24"/>
          <w:highlight w:val="none"/>
        </w:rPr>
        <w:t>我司未按投标文件投入主要人员或经过更换后的人员不能满足本项目要求的，我</w:t>
      </w:r>
      <w:bookmarkStart w:id="153" w:name="_Toc24951"/>
      <w:bookmarkStart w:id="154" w:name="_Toc19075"/>
      <w:r>
        <w:rPr>
          <w:rFonts w:hint="eastAsia" w:ascii="宋体" w:hAnsi="宋体" w:eastAsia="宋体" w:cs="宋体"/>
          <w:bCs/>
          <w:snapToGrid w:val="0"/>
          <w:color w:val="auto"/>
          <w:spacing w:val="4"/>
          <w:kern w:val="0"/>
          <w:sz w:val="24"/>
          <w:szCs w:val="24"/>
          <w:highlight w:val="none"/>
        </w:rPr>
        <w:t>司承诺除无条件按招标人的要求更换外，还</w:t>
      </w:r>
      <w:bookmarkEnd w:id="153"/>
      <w:bookmarkEnd w:id="154"/>
      <w:r>
        <w:rPr>
          <w:rFonts w:hint="eastAsia" w:ascii="宋体" w:hAnsi="宋体" w:eastAsia="宋体" w:cs="宋体"/>
          <w:bCs/>
          <w:snapToGrid w:val="0"/>
          <w:color w:val="auto"/>
          <w:spacing w:val="4"/>
          <w:kern w:val="0"/>
          <w:sz w:val="24"/>
          <w:szCs w:val="24"/>
          <w:highlight w:val="none"/>
        </w:rPr>
        <w:t>应按合同约定的金额向招标人支付违约金。</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十二、如果我司中标，对招标人、监理人为确保工程质量管理和工程进度而下达的调整项目经理部组成人员的指令、通知，我司承诺无条件地在限期内执行并调整到位。</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十三、如果我司中标，我司承诺如出现施工进度、质量、投入不满足需要，</w:t>
      </w:r>
      <w:bookmarkStart w:id="155" w:name="_Toc437847563"/>
      <w:bookmarkStart w:id="156" w:name="_Toc437848353"/>
      <w:bookmarkStart w:id="157" w:name="_Toc443494113"/>
      <w:bookmarkStart w:id="158" w:name="_Toc443490944"/>
      <w:bookmarkStart w:id="159" w:name="_Toc437848141"/>
      <w:r>
        <w:rPr>
          <w:rFonts w:hint="eastAsia" w:ascii="宋体" w:hAnsi="宋体" w:eastAsia="宋体" w:cs="宋体"/>
          <w:snapToGrid w:val="0"/>
          <w:color w:val="auto"/>
          <w:spacing w:val="4"/>
          <w:kern w:val="0"/>
          <w:sz w:val="24"/>
          <w:szCs w:val="24"/>
          <w:highlight w:val="none"/>
        </w:rPr>
        <w:t>严重影响施工现场推进或招标人认为必要的</w:t>
      </w:r>
      <w:bookmarkEnd w:id="155"/>
      <w:bookmarkEnd w:id="156"/>
      <w:bookmarkEnd w:id="157"/>
      <w:bookmarkEnd w:id="158"/>
      <w:bookmarkEnd w:id="159"/>
      <w:r>
        <w:rPr>
          <w:rFonts w:hint="eastAsia" w:ascii="宋体" w:hAnsi="宋体" w:eastAsia="宋体" w:cs="宋体"/>
          <w:snapToGrid w:val="0"/>
          <w:color w:val="auto"/>
          <w:spacing w:val="4"/>
          <w:kern w:val="0"/>
          <w:sz w:val="24"/>
          <w:szCs w:val="24"/>
          <w:highlight w:val="none"/>
        </w:rPr>
        <w:t>其</w:t>
      </w:r>
      <w:bookmarkStart w:id="160" w:name="_Toc386995907"/>
      <w:bookmarkStart w:id="161" w:name="_Toc3873"/>
      <w:r>
        <w:rPr>
          <w:rFonts w:hint="eastAsia" w:ascii="宋体" w:hAnsi="宋体" w:eastAsia="宋体" w:cs="宋体"/>
          <w:snapToGrid w:val="0"/>
          <w:color w:val="auto"/>
          <w:spacing w:val="4"/>
          <w:kern w:val="0"/>
          <w:sz w:val="24"/>
          <w:szCs w:val="24"/>
          <w:highlight w:val="none"/>
        </w:rPr>
        <w:t>他情形，招标人还有权视现场情况要求我司法定代表人驻场办公，直至招标人同意退场为止，否则我司愿承担有关违约责任。</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十四、如果我司中标，我司保证在规定时间内按招标人要求提交详细的施工组织设计并应用于实际施工过程中，且保证该施工组织设</w:t>
      </w:r>
      <w:bookmarkEnd w:id="160"/>
      <w:bookmarkEnd w:id="161"/>
      <w:r>
        <w:rPr>
          <w:rFonts w:hint="eastAsia" w:ascii="宋体" w:hAnsi="宋体" w:eastAsia="宋体" w:cs="宋体"/>
          <w:snapToGrid w:val="0"/>
          <w:color w:val="auto"/>
          <w:spacing w:val="4"/>
          <w:kern w:val="0"/>
          <w:sz w:val="24"/>
          <w:szCs w:val="24"/>
          <w:highlight w:val="none"/>
        </w:rPr>
        <w:t>计</w:t>
      </w:r>
      <w:bookmarkStart w:id="162" w:name="_Toc464131244"/>
      <w:bookmarkStart w:id="163" w:name="_Toc426030442"/>
      <w:bookmarkStart w:id="164" w:name="_Toc405383088"/>
      <w:r>
        <w:rPr>
          <w:rFonts w:hint="eastAsia" w:ascii="宋体" w:hAnsi="宋体" w:eastAsia="宋体" w:cs="宋体"/>
          <w:snapToGrid w:val="0"/>
          <w:color w:val="auto"/>
          <w:spacing w:val="4"/>
          <w:kern w:val="0"/>
          <w:sz w:val="24"/>
          <w:szCs w:val="24"/>
          <w:highlight w:val="none"/>
        </w:rPr>
        <w:t>不低于本投标</w:t>
      </w:r>
      <w:bookmarkEnd w:id="162"/>
      <w:bookmarkEnd w:id="163"/>
      <w:bookmarkEnd w:id="164"/>
      <w:r>
        <w:rPr>
          <w:rFonts w:hint="eastAsia" w:ascii="宋体" w:hAnsi="宋体" w:eastAsia="宋体" w:cs="宋体"/>
          <w:snapToGrid w:val="0"/>
          <w:color w:val="auto"/>
          <w:spacing w:val="4"/>
          <w:kern w:val="0"/>
          <w:sz w:val="24"/>
          <w:szCs w:val="24"/>
          <w:highlight w:val="none"/>
        </w:rPr>
        <w:t>文件中施工组织设计</w:t>
      </w:r>
      <w:bookmarkStart w:id="165" w:name="_Toc420914100"/>
      <w:r>
        <w:rPr>
          <w:rFonts w:hint="eastAsia" w:ascii="宋体" w:hAnsi="宋体" w:eastAsia="宋体" w:cs="宋体"/>
          <w:snapToGrid w:val="0"/>
          <w:color w:val="auto"/>
          <w:spacing w:val="4"/>
          <w:kern w:val="0"/>
          <w:sz w:val="24"/>
          <w:szCs w:val="24"/>
          <w:highlight w:val="none"/>
        </w:rPr>
        <w:t>所承诺的标准，并无条件根据招标人的要求修改完善。如违反上述承诺，由此引起的质量、工期、安全等相关责任完全由我司承担，愿意无条件接受招标人的任何处罚，直至被清退出场，并为此承担相应的法律责任。</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1"/>
          <w:highlight w:val="none"/>
        </w:rPr>
      </w:pPr>
      <w:r>
        <w:rPr>
          <w:rFonts w:hint="eastAsia" w:ascii="宋体" w:hAnsi="宋体" w:eastAsia="宋体" w:cs="宋体"/>
          <w:snapToGrid w:val="0"/>
          <w:color w:val="auto"/>
          <w:spacing w:val="4"/>
          <w:kern w:val="0"/>
          <w:sz w:val="24"/>
          <w:szCs w:val="24"/>
          <w:highlight w:val="none"/>
        </w:rPr>
        <w:t>十五、</w:t>
      </w:r>
      <w:r>
        <w:rPr>
          <w:rFonts w:hint="eastAsia" w:ascii="宋体" w:hAnsi="宋体" w:eastAsia="宋体" w:cs="宋体"/>
          <w:snapToGrid w:val="0"/>
          <w:color w:val="auto"/>
          <w:spacing w:val="-4"/>
          <w:kern w:val="0"/>
          <w:sz w:val="24"/>
          <w:szCs w:val="21"/>
          <w:highlight w:val="none"/>
        </w:rPr>
        <w:t>如我司中标，我司承诺本项目的主要材料设备的选用严格按照发包人看样定板的规定执行，选用的材料设备的品牌、档次、</w:t>
      </w:r>
      <w:bookmarkEnd w:id="165"/>
      <w:r>
        <w:rPr>
          <w:rFonts w:hint="eastAsia" w:ascii="宋体" w:hAnsi="宋体" w:eastAsia="宋体" w:cs="宋体"/>
          <w:snapToGrid w:val="0"/>
          <w:color w:val="auto"/>
          <w:spacing w:val="-4"/>
          <w:kern w:val="0"/>
          <w:sz w:val="24"/>
          <w:szCs w:val="21"/>
          <w:highlight w:val="none"/>
        </w:rPr>
        <w:t>技术参数需满足或优于标文件要求，且不以任何理由调整中标的材料、设备价格。</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十六、我公司承诺选用绿色生产达标企业生产的混凝土。</w:t>
      </w:r>
    </w:p>
    <w:p>
      <w:pPr>
        <w:topLinePunct/>
        <w:adjustRightInd w:val="0"/>
        <w:snapToGrid w:val="0"/>
        <w:spacing w:line="360" w:lineRule="auto"/>
        <w:ind w:firstLine="496" w:firstLineChars="200"/>
        <w:jc w:val="left"/>
        <w:rPr>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十七、如果我司中标，我司承诺严格按照合同和招投标文件规定履行义务，并同意招标人将其履行合同、招投标文件义务的履约情况和不诚信行为（包括但不限于由招标人作出的组织的考核、考评通报、违约责任处理决定等）在招标人网站和建设项目业主网站及其他媒体上公开披露，由此造成的一切损失和不利后果均由我司自行承担。</w:t>
      </w:r>
    </w:p>
    <w:p>
      <w:pPr>
        <w:topLinePunct/>
        <w:adjustRightInd w:val="0"/>
        <w:snapToGrid w:val="0"/>
        <w:spacing w:line="360" w:lineRule="auto"/>
        <w:rPr>
          <w:rFonts w:ascii="宋体" w:hAnsi="宋体"/>
          <w:snapToGrid w:val="0"/>
          <w:color w:val="auto"/>
          <w:spacing w:val="4"/>
          <w:kern w:val="0"/>
          <w:sz w:val="24"/>
          <w:szCs w:val="24"/>
          <w:highlight w:val="none"/>
        </w:rPr>
      </w:pPr>
    </w:p>
    <w:p>
      <w:pPr>
        <w:topLinePunct/>
        <w:adjustRightInd w:val="0"/>
        <w:snapToGrid w:val="0"/>
        <w:spacing w:line="360" w:lineRule="auto"/>
        <w:ind w:firstLine="3472" w:firstLineChars="14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投标人：　　　（盖章）</w:t>
      </w:r>
    </w:p>
    <w:p>
      <w:pPr>
        <w:topLinePunct/>
        <w:adjustRightInd w:val="0"/>
        <w:snapToGrid w:val="0"/>
        <w:spacing w:line="360" w:lineRule="auto"/>
        <w:ind w:firstLine="3472" w:firstLineChars="1400"/>
        <w:rPr>
          <w:rFonts w:ascii="宋体" w:hAnsi="宋体"/>
          <w:snapToGrid w:val="0"/>
          <w:color w:val="auto"/>
          <w:spacing w:val="4"/>
          <w:kern w:val="0"/>
          <w:sz w:val="24"/>
          <w:szCs w:val="24"/>
          <w:highlight w:val="none"/>
        </w:rPr>
      </w:pPr>
      <w:r>
        <w:rPr>
          <w:rFonts w:hint="eastAsia" w:ascii="宋体" w:hAnsi="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3472" w:firstLineChars="1400"/>
        <w:rPr>
          <w:rFonts w:ascii="宋体" w:hAnsi="宋体"/>
          <w:b/>
          <w:color w:val="auto"/>
          <w:kern w:val="0"/>
          <w:sz w:val="27"/>
          <w:szCs w:val="27"/>
          <w:highlight w:val="none"/>
        </w:rPr>
      </w:pPr>
      <w:r>
        <w:rPr>
          <w:rFonts w:hint="eastAsia" w:ascii="宋体" w:hAnsi="宋体"/>
          <w:snapToGrid w:val="0"/>
          <w:color w:val="auto"/>
          <w:spacing w:val="4"/>
          <w:kern w:val="0"/>
          <w:sz w:val="24"/>
          <w:szCs w:val="24"/>
          <w:highlight w:val="none"/>
        </w:rPr>
        <w:t>日期：    年    月    日</w:t>
      </w:r>
      <w:r>
        <w:rPr>
          <w:rFonts w:ascii="宋体" w:hAnsi="宋体"/>
          <w:color w:val="auto"/>
          <w:kern w:val="0"/>
          <w:sz w:val="27"/>
          <w:szCs w:val="27"/>
          <w:highlight w:val="none"/>
        </w:rPr>
        <w:br w:type="page"/>
      </w:r>
      <w:bookmarkStart w:id="166" w:name="_Toc14697667"/>
      <w:bookmarkStart w:id="167" w:name="_Toc22930"/>
      <w:r>
        <w:rPr>
          <w:rFonts w:hint="eastAsia" w:ascii="宋体" w:hAnsi="宋体"/>
          <w:b/>
          <w:color w:val="auto"/>
          <w:kern w:val="0"/>
          <w:sz w:val="27"/>
          <w:szCs w:val="27"/>
          <w:highlight w:val="none"/>
        </w:rPr>
        <w:t>格式十</w:t>
      </w:r>
      <w:r>
        <w:rPr>
          <w:rFonts w:hint="eastAsia" w:ascii="宋体" w:hAnsi="宋体"/>
          <w:b/>
          <w:color w:val="auto"/>
          <w:kern w:val="0"/>
          <w:sz w:val="27"/>
          <w:szCs w:val="27"/>
          <w:highlight w:val="none"/>
          <w:lang w:val="en-US" w:eastAsia="zh-CN"/>
        </w:rPr>
        <w:t>二</w:t>
      </w:r>
      <w:r>
        <w:rPr>
          <w:rFonts w:hint="eastAsia" w:ascii="宋体" w:hAnsi="宋体"/>
          <w:b/>
          <w:color w:val="auto"/>
          <w:kern w:val="0"/>
          <w:sz w:val="27"/>
          <w:szCs w:val="27"/>
          <w:highlight w:val="none"/>
        </w:rPr>
        <w:t>：主要设备的质保和维护维修承诺书</w:t>
      </w:r>
      <w:bookmarkEnd w:id="166"/>
      <w:bookmarkEnd w:id="167"/>
    </w:p>
    <w:p>
      <w:pPr>
        <w:topLinePunct/>
        <w:adjustRightInd w:val="0"/>
        <w:snapToGrid w:val="0"/>
        <w:spacing w:before="156" w:beforeLines="50" w:after="156" w:line="360" w:lineRule="auto"/>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主要设备的质保和维护维修承诺书</w:t>
      </w:r>
    </w:p>
    <w:p>
      <w:pPr>
        <w:topLinePunct/>
        <w:adjustRightInd w:val="0"/>
        <w:snapToGrid w:val="0"/>
        <w:spacing w:line="360" w:lineRule="auto"/>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致：</w:t>
      </w:r>
      <w:r>
        <w:rPr>
          <w:rFonts w:hint="eastAsia" w:ascii="宋体" w:hAnsi="宋体" w:eastAsia="宋体" w:cs="宋体"/>
          <w:snapToGrid w:val="0"/>
          <w:color w:val="auto"/>
          <w:spacing w:val="4"/>
          <w:kern w:val="0"/>
          <w:sz w:val="24"/>
          <w:szCs w:val="24"/>
          <w:highlight w:val="none"/>
          <w:lang w:eastAsia="zh-CN"/>
        </w:rPr>
        <w:t>广州市林业和园林绿化工程建设中心</w:t>
      </w:r>
    </w:p>
    <w:p>
      <w:pPr>
        <w:topLinePunct/>
        <w:adjustRightInd w:val="0"/>
        <w:snapToGrid w:val="0"/>
        <w:spacing w:line="360" w:lineRule="auto"/>
        <w:ind w:firstLine="496" w:firstLineChars="2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我司已充分阅读本项目招标文件并充分了解本项目对质量保证及售后服务的严格要求。如果我司的投标被接受，我司保证按以下服务计划和服务内容进行本项目的质量保证期内服务：</w:t>
      </w:r>
    </w:p>
    <w:p>
      <w:pPr>
        <w:spacing w:line="360" w:lineRule="auto"/>
        <w:ind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1.我司提供主要设备</w:t>
      </w:r>
      <w:r>
        <w:rPr>
          <w:rFonts w:hint="eastAsia" w:ascii="宋体" w:hAnsi="宋体" w:eastAsia="宋体" w:cs="宋体"/>
          <w:color w:val="auto"/>
          <w:sz w:val="24"/>
          <w:highlight w:val="none"/>
          <w:u w:val="single"/>
        </w:rPr>
        <w:t xml:space="preserve">     </w:t>
      </w:r>
      <w:r>
        <w:rPr>
          <w:rFonts w:hint="eastAsia" w:ascii="宋体" w:hAnsi="宋体" w:eastAsia="宋体" w:cs="宋体"/>
          <w:snapToGrid w:val="0"/>
          <w:color w:val="auto"/>
          <w:spacing w:val="4"/>
          <w:sz w:val="24"/>
          <w:szCs w:val="24"/>
          <w:highlight w:val="none"/>
        </w:rPr>
        <w:t>年（不少于2年）厂商免费质保和维护维修服务。</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2.竣工验收合格后三个月内，针对项目特点及实际情况编制使用手册、培训手册以及培训计划。</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3.质保期内免费提供设备的维修及保养服务，定期派工程师到现场巡查。</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4.质保期内设备本身质量出现问题或由于设备本身质量原因造成的任何损伤或损坏，我司承诺及时给予免费维修或免费换，由此引起的施工费、人工费、材料费等其他一切费用由我司负责。新更换的零部件的质保期则从更换之日起计。</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5. 我司保证所选用厂家设有固定的售后服务机构，保证在收到业主维修通知后及时安排技术人员到现场进行维修，相关的维修必须连续进行，直至故障完全修复为止。若不能及时排除故障，我司立即采取切实有效的补救措施（包括免费提供应急设备），全力防止损失的扩大。</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6.从工程竣工验收合格正式运行之日起的质量保证期（含潜在缺陷质量保证期）内，由于设备材料因素造成的损坏，均由我司免费维修、更换，由于人为（非我司人员）和自然灾害造成的损坏，收取成本费用。</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7.在质量保证期结束前，我司承诺与招标人代表对合同项下设备进行全面的检查，对任何缺陷由我司负责修理。在修理之后，将缺陷原因、修理的内容、完成修理及恢复正常的时间和日期等情况报告给招标人。</w:t>
      </w:r>
    </w:p>
    <w:p>
      <w:pPr>
        <w:spacing w:line="360" w:lineRule="auto"/>
        <w:ind w:right="-53" w:firstLine="420"/>
        <w:jc w:val="lef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8.在质量保证期内,我司承诺在有足够的备品备件供应，并随时优惠提供易损，优惠提供产品更新、改造服务。</w:t>
      </w:r>
    </w:p>
    <w:p>
      <w:pPr>
        <w:topLinePunct/>
        <w:adjustRightInd w:val="0"/>
        <w:snapToGrid w:val="0"/>
        <w:spacing w:line="360" w:lineRule="auto"/>
        <w:ind w:firstLine="420"/>
        <w:jc w:val="left"/>
        <w:rPr>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9.如我司未按承诺完成保修责任，招标人可另行聘请其他专业单位进行维修，其费用从质量保证金中扣取（不足部分由我司另行支</w:t>
      </w:r>
      <w:bookmarkStart w:id="168" w:name="_Toc426030445"/>
      <w:r>
        <w:rPr>
          <w:rFonts w:hint="eastAsia" w:ascii="宋体" w:hAnsi="宋体" w:eastAsia="宋体" w:cs="宋体"/>
          <w:snapToGrid w:val="0"/>
          <w:color w:val="auto"/>
          <w:spacing w:val="4"/>
          <w:kern w:val="0"/>
          <w:sz w:val="24"/>
          <w:szCs w:val="24"/>
          <w:highlight w:val="none"/>
        </w:rPr>
        <w:t>付）。</w:t>
      </w:r>
    </w:p>
    <w:p>
      <w:pPr>
        <w:topLinePunct/>
        <w:adjustRightInd w:val="0"/>
        <w:snapToGrid w:val="0"/>
        <w:spacing w:line="360" w:lineRule="auto"/>
        <w:rPr>
          <w:snapToGrid w:val="0"/>
          <w:color w:val="auto"/>
          <w:spacing w:val="4"/>
          <w:kern w:val="0"/>
          <w:sz w:val="24"/>
          <w:szCs w:val="24"/>
          <w:highlight w:val="none"/>
        </w:rPr>
      </w:pPr>
    </w:p>
    <w:p>
      <w:pPr>
        <w:pStyle w:val="2"/>
        <w:ind w:left="0" w:leftChars="0" w:firstLine="0" w:firstLineChars="0"/>
        <w:rPr>
          <w:color w:val="auto"/>
          <w:highlight w:val="none"/>
        </w:rPr>
      </w:pPr>
    </w:p>
    <w:p>
      <w:pPr>
        <w:topLinePunct/>
        <w:adjustRightInd w:val="0"/>
        <w:snapToGrid w:val="0"/>
        <w:spacing w:line="360" w:lineRule="auto"/>
        <w:ind w:firstLine="3472" w:firstLineChars="1400"/>
        <w:rPr>
          <w:snapToGrid w:val="0"/>
          <w:color w:val="auto"/>
          <w:spacing w:val="4"/>
          <w:kern w:val="0"/>
          <w:sz w:val="24"/>
          <w:szCs w:val="24"/>
          <w:highlight w:val="none"/>
        </w:rPr>
      </w:pPr>
      <w:r>
        <w:rPr>
          <w:rFonts w:hint="eastAsia"/>
          <w:snapToGrid w:val="0"/>
          <w:color w:val="auto"/>
          <w:spacing w:val="4"/>
          <w:kern w:val="0"/>
          <w:sz w:val="24"/>
          <w:szCs w:val="24"/>
          <w:highlight w:val="none"/>
        </w:rPr>
        <w:t>投标人：　</w:t>
      </w:r>
      <w:r>
        <w:rPr>
          <w:rFonts w:hint="eastAsia" w:ascii="宋体" w:hAnsi="宋体"/>
          <w:snapToGrid w:val="0"/>
          <w:color w:val="auto"/>
          <w:spacing w:val="4"/>
          <w:kern w:val="0"/>
          <w:sz w:val="24"/>
          <w:szCs w:val="24"/>
          <w:highlight w:val="none"/>
        </w:rPr>
        <w:t>　</w:t>
      </w:r>
      <w:r>
        <w:rPr>
          <w:rFonts w:hint="eastAsia"/>
          <w:snapToGrid w:val="0"/>
          <w:color w:val="auto"/>
          <w:spacing w:val="4"/>
          <w:kern w:val="0"/>
          <w:sz w:val="24"/>
          <w:szCs w:val="24"/>
          <w:highlight w:val="none"/>
        </w:rPr>
        <w:t>　（</w:t>
      </w:r>
      <w:bookmarkEnd w:id="168"/>
      <w:r>
        <w:rPr>
          <w:rFonts w:hint="eastAsia"/>
          <w:snapToGrid w:val="0"/>
          <w:color w:val="auto"/>
          <w:spacing w:val="4"/>
          <w:kern w:val="0"/>
          <w:sz w:val="24"/>
          <w:szCs w:val="24"/>
          <w:highlight w:val="none"/>
        </w:rPr>
        <w:t>盖章）</w:t>
      </w:r>
    </w:p>
    <w:p>
      <w:pPr>
        <w:topLinePunct/>
        <w:adjustRightInd w:val="0"/>
        <w:snapToGrid w:val="0"/>
        <w:spacing w:line="360" w:lineRule="auto"/>
        <w:ind w:firstLine="3472" w:firstLineChars="1400"/>
        <w:rPr>
          <w:snapToGrid w:val="0"/>
          <w:color w:val="auto"/>
          <w:spacing w:val="4"/>
          <w:kern w:val="0"/>
          <w:sz w:val="24"/>
          <w:szCs w:val="24"/>
          <w:highlight w:val="none"/>
        </w:rPr>
      </w:pPr>
      <w:r>
        <w:rPr>
          <w:rFonts w:hint="eastAsia"/>
          <w:snapToGrid w:val="0"/>
          <w:color w:val="auto"/>
          <w:spacing w:val="4"/>
          <w:kern w:val="0"/>
          <w:sz w:val="24"/>
          <w:szCs w:val="24"/>
          <w:highlight w:val="none"/>
        </w:rPr>
        <w:t>法定代表人或授权代理人(签字或盖章)：</w:t>
      </w:r>
    </w:p>
    <w:p>
      <w:pPr>
        <w:topLinePunct/>
        <w:adjustRightInd w:val="0"/>
        <w:snapToGrid w:val="0"/>
        <w:spacing w:line="360" w:lineRule="auto"/>
        <w:ind w:firstLine="3472" w:firstLineChars="1400"/>
        <w:rPr>
          <w:snapToGrid w:val="0"/>
          <w:color w:val="auto"/>
          <w:spacing w:val="4"/>
          <w:kern w:val="0"/>
          <w:sz w:val="24"/>
          <w:szCs w:val="24"/>
          <w:highlight w:val="none"/>
        </w:rPr>
      </w:pPr>
      <w:r>
        <w:rPr>
          <w:rFonts w:hint="eastAsia"/>
          <w:snapToGrid w:val="0"/>
          <w:color w:val="auto"/>
          <w:spacing w:val="4"/>
          <w:kern w:val="0"/>
          <w:sz w:val="24"/>
          <w:szCs w:val="24"/>
          <w:highlight w:val="none"/>
        </w:rPr>
        <w:t>日期：    年</w:t>
      </w:r>
      <w:r>
        <w:rPr>
          <w:rFonts w:hint="eastAsia"/>
          <w:snapToGrid w:val="0"/>
          <w:color w:val="auto"/>
          <w:spacing w:val="4"/>
          <w:kern w:val="0"/>
          <w:sz w:val="24"/>
          <w:szCs w:val="24"/>
          <w:highlight w:val="none"/>
          <w:lang w:val="en-US" w:eastAsia="zh-CN"/>
        </w:rPr>
        <w:t xml:space="preserve"> </w:t>
      </w:r>
      <w:r>
        <w:rPr>
          <w:rFonts w:hint="eastAsia"/>
          <w:snapToGrid w:val="0"/>
          <w:color w:val="auto"/>
          <w:spacing w:val="4"/>
          <w:kern w:val="0"/>
          <w:sz w:val="24"/>
          <w:szCs w:val="24"/>
          <w:highlight w:val="none"/>
        </w:rPr>
        <w:t xml:space="preserve">  月  </w:t>
      </w:r>
      <w:r>
        <w:rPr>
          <w:rFonts w:hint="eastAsia"/>
          <w:snapToGrid w:val="0"/>
          <w:color w:val="auto"/>
          <w:spacing w:val="4"/>
          <w:kern w:val="0"/>
          <w:sz w:val="24"/>
          <w:szCs w:val="24"/>
          <w:highlight w:val="none"/>
          <w:lang w:val="en-US" w:eastAsia="zh-CN"/>
        </w:rPr>
        <w:t xml:space="preserve"> </w:t>
      </w:r>
      <w:r>
        <w:rPr>
          <w:rFonts w:hint="eastAsia"/>
          <w:snapToGrid w:val="0"/>
          <w:color w:val="auto"/>
          <w:spacing w:val="4"/>
          <w:kern w:val="0"/>
          <w:sz w:val="24"/>
          <w:szCs w:val="24"/>
          <w:highlight w:val="none"/>
        </w:rPr>
        <w:t>日</w:t>
      </w:r>
    </w:p>
    <w:p>
      <w:pPr>
        <w:widowControl/>
        <w:spacing w:before="100" w:beforeAutospacing="1" w:after="100" w:afterAutospacing="1"/>
        <w:jc w:val="left"/>
        <w:outlineLvl w:val="2"/>
        <w:rPr>
          <w:rFonts w:ascii="宋体" w:hAnsi="宋体"/>
          <w:color w:val="auto"/>
          <w:kern w:val="0"/>
          <w:sz w:val="24"/>
          <w:szCs w:val="24"/>
          <w:highlight w:val="none"/>
        </w:rPr>
      </w:pPr>
      <w:r>
        <w:rPr>
          <w:rFonts w:hint="eastAsia" w:ascii="宋体" w:hAnsi="宋体"/>
          <w:b/>
          <w:color w:val="auto"/>
          <w:kern w:val="0"/>
          <w:sz w:val="24"/>
          <w:szCs w:val="24"/>
          <w:highlight w:val="none"/>
        </w:rPr>
        <w:br w:type="page"/>
      </w:r>
      <w:bookmarkStart w:id="169" w:name="_Toc14697668"/>
      <w:bookmarkStart w:id="170" w:name="_Toc1675"/>
      <w:r>
        <w:rPr>
          <w:rFonts w:hint="eastAsia" w:ascii="宋体" w:hAnsi="宋体"/>
          <w:b/>
          <w:color w:val="auto"/>
          <w:kern w:val="0"/>
          <w:sz w:val="24"/>
          <w:szCs w:val="24"/>
          <w:highlight w:val="none"/>
        </w:rPr>
        <w:t>格式十</w:t>
      </w:r>
      <w:r>
        <w:rPr>
          <w:rFonts w:hint="eastAsia" w:ascii="宋体" w:hAnsi="宋体"/>
          <w:b/>
          <w:color w:val="auto"/>
          <w:kern w:val="0"/>
          <w:sz w:val="24"/>
          <w:szCs w:val="24"/>
          <w:highlight w:val="none"/>
          <w:lang w:val="en-US" w:eastAsia="zh-CN"/>
        </w:rPr>
        <w:t>三</w:t>
      </w:r>
      <w:r>
        <w:rPr>
          <w:rFonts w:hint="eastAsia" w:ascii="宋体" w:hAnsi="宋体"/>
          <w:b/>
          <w:color w:val="auto"/>
          <w:kern w:val="0"/>
          <w:sz w:val="24"/>
          <w:szCs w:val="24"/>
          <w:highlight w:val="none"/>
        </w:rPr>
        <w:t>：参与编制技术标投标文件人员名单</w:t>
      </w:r>
      <w:bookmarkEnd w:id="169"/>
      <w:bookmarkEnd w:id="170"/>
    </w:p>
    <w:p>
      <w:pPr>
        <w:autoSpaceDE w:val="0"/>
        <w:autoSpaceDN w:val="0"/>
        <w:adjustRightInd w:val="0"/>
        <w:rPr>
          <w:color w:val="auto"/>
          <w:szCs w:val="21"/>
          <w:highlight w:val="none"/>
        </w:rPr>
      </w:pPr>
    </w:p>
    <w:p>
      <w:pPr>
        <w:tabs>
          <w:tab w:val="left" w:pos="720"/>
        </w:tabs>
        <w:snapToGrid w:val="0"/>
        <w:spacing w:line="360" w:lineRule="auto"/>
        <w:jc w:val="center"/>
        <w:rPr>
          <w:b/>
          <w:color w:val="auto"/>
          <w:szCs w:val="21"/>
          <w:highlight w:val="none"/>
        </w:rPr>
      </w:pPr>
      <w:r>
        <w:rPr>
          <w:rFonts w:hint="eastAsia"/>
          <w:b/>
          <w:color w:val="auto"/>
          <w:szCs w:val="21"/>
          <w:highlight w:val="none"/>
        </w:rPr>
        <w:t>参与编制技术标投标文件人员名单</w:t>
      </w:r>
    </w:p>
    <w:tbl>
      <w:tblPr>
        <w:tblStyle w:val="44"/>
        <w:tblW w:w="10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674"/>
        <w:gridCol w:w="2839"/>
        <w:gridCol w:w="2723"/>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0331"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44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6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注：参与编制技术标投标文件所有人员名单应包括如编制技术投标方案、负责清样校对、负责打印及复印等所有人员在内的人员名单。</w:t>
      </w:r>
    </w:p>
    <w:p>
      <w:pPr>
        <w:topLinePunct/>
        <w:adjustRightInd w:val="0"/>
        <w:snapToGrid w:val="0"/>
        <w:spacing w:line="360" w:lineRule="auto"/>
        <w:ind w:firstLine="496" w:firstLineChars="200"/>
        <w:rPr>
          <w:rFonts w:ascii="宋体" w:hAnsi="宋体"/>
          <w:snapToGrid w:val="0"/>
          <w:color w:val="auto"/>
          <w:spacing w:val="4"/>
          <w:kern w:val="0"/>
          <w:sz w:val="24"/>
          <w:szCs w:val="24"/>
          <w:highlight w:val="none"/>
        </w:rPr>
      </w:pPr>
    </w:p>
    <w:p>
      <w:pPr>
        <w:rPr>
          <w:color w:val="auto"/>
          <w:highlight w:val="none"/>
        </w:rPr>
      </w:pPr>
      <w:r>
        <w:rPr>
          <w:rFonts w:ascii="宋体" w:hAnsi="宋体"/>
          <w:b/>
          <w:color w:val="auto"/>
          <w:highlight w:val="none"/>
        </w:rPr>
        <w:br w:type="page"/>
      </w:r>
    </w:p>
    <w:bookmarkEnd w:id="137"/>
    <w:bookmarkEnd w:id="138"/>
    <w:bookmarkEnd w:id="139"/>
    <w:bookmarkEnd w:id="140"/>
    <w:p>
      <w:pPr>
        <w:pStyle w:val="117"/>
        <w:spacing w:before="156" w:after="156"/>
        <w:jc w:val="both"/>
        <w:rPr>
          <w:rFonts w:ascii="宋体" w:hAnsi="宋体" w:eastAsia="宋体"/>
          <w:color w:val="auto"/>
          <w:spacing w:val="0"/>
          <w:sz w:val="24"/>
          <w:szCs w:val="24"/>
          <w:highlight w:val="none"/>
        </w:rPr>
      </w:pPr>
      <w:r>
        <w:rPr>
          <w:rFonts w:hint="eastAsia" w:ascii="宋体" w:hAnsi="宋体" w:eastAsia="宋体"/>
          <w:color w:val="auto"/>
          <w:spacing w:val="0"/>
          <w:sz w:val="24"/>
          <w:szCs w:val="24"/>
          <w:highlight w:val="none"/>
        </w:rPr>
        <w:t>格式十</w:t>
      </w:r>
      <w:r>
        <w:rPr>
          <w:rFonts w:hint="eastAsia" w:ascii="宋体" w:hAnsi="宋体" w:eastAsia="宋体"/>
          <w:color w:val="auto"/>
          <w:spacing w:val="0"/>
          <w:sz w:val="24"/>
          <w:szCs w:val="24"/>
          <w:highlight w:val="none"/>
          <w:lang w:val="en-US" w:eastAsia="zh-CN"/>
        </w:rPr>
        <w:t>四</w:t>
      </w:r>
      <w:r>
        <w:rPr>
          <w:rFonts w:hint="eastAsia" w:ascii="宋体" w:hAnsi="宋体" w:eastAsia="宋体"/>
          <w:color w:val="auto"/>
          <w:spacing w:val="0"/>
          <w:sz w:val="24"/>
          <w:szCs w:val="24"/>
          <w:highlight w:val="none"/>
        </w:rPr>
        <w:t>：危险性较大的分部分项工程清单及超过一定规模的危险性较大的分部分项工程清单</w:t>
      </w:r>
    </w:p>
    <w:p>
      <w:pPr>
        <w:pStyle w:val="117"/>
        <w:spacing w:before="156" w:beforeLines="50" w:after="156" w:line="240" w:lineRule="auto"/>
        <w:rPr>
          <w:rFonts w:ascii="宋体" w:hAnsi="宋体" w:eastAsia="宋体"/>
          <w:color w:val="auto"/>
          <w:sz w:val="32"/>
          <w:szCs w:val="32"/>
          <w:highlight w:val="none"/>
        </w:rPr>
      </w:pPr>
      <w:r>
        <w:rPr>
          <w:rFonts w:hint="eastAsia" w:ascii="宋体" w:hAnsi="宋体" w:eastAsia="宋体"/>
          <w:color w:val="auto"/>
          <w:sz w:val="32"/>
          <w:szCs w:val="32"/>
          <w:highlight w:val="none"/>
        </w:rPr>
        <w:t>危险性较大的分部分项工程清单及</w:t>
      </w:r>
    </w:p>
    <w:p>
      <w:pPr>
        <w:pStyle w:val="117"/>
        <w:spacing w:before="156" w:beforeLines="50" w:after="156" w:line="240" w:lineRule="auto"/>
        <w:rPr>
          <w:rFonts w:ascii="宋体" w:hAnsi="宋体" w:eastAsia="宋体"/>
          <w:color w:val="auto"/>
          <w:sz w:val="32"/>
          <w:szCs w:val="32"/>
          <w:highlight w:val="none"/>
        </w:rPr>
      </w:pPr>
      <w:r>
        <w:rPr>
          <w:rFonts w:hint="eastAsia" w:ascii="宋体" w:hAnsi="宋体" w:eastAsia="宋体"/>
          <w:color w:val="auto"/>
          <w:sz w:val="32"/>
          <w:szCs w:val="32"/>
          <w:highlight w:val="none"/>
        </w:rPr>
        <w:t>超过一定规模的危险性较大的分部分项工程清单</w:t>
      </w:r>
    </w:p>
    <w:p>
      <w:pPr>
        <w:pStyle w:val="110"/>
        <w:numPr>
          <w:ilvl w:val="0"/>
          <w:numId w:val="5"/>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0"/>
        <w:numPr>
          <w:ilvl w:val="0"/>
          <w:numId w:val="5"/>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0"/>
        <w:numPr>
          <w:ilvl w:val="0"/>
          <w:numId w:val="6"/>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投标单位同意建设单位在清单中标识的该项请在对应项打“√”标识，并与投标文件中提供相应的安全管理措施。</w:t>
      </w:r>
    </w:p>
    <w:p>
      <w:pPr>
        <w:pStyle w:val="110"/>
        <w:numPr>
          <w:ilvl w:val="0"/>
          <w:numId w:val="6"/>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投标单位对清单中认为需要补充的该项请在对应项打“√”标识，并与投标文件中提供相应的安全管理措施。</w:t>
      </w:r>
    </w:p>
    <w:p>
      <w:pPr>
        <w:pStyle w:val="110"/>
        <w:numPr>
          <w:ilvl w:val="0"/>
          <w:numId w:val="6"/>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投标单位不同意建设单位在清单中标识的该项请在对应项打“×”标识，并在备注栏填上相关说明。</w:t>
      </w:r>
    </w:p>
    <w:p>
      <w:pPr>
        <w:pStyle w:val="110"/>
        <w:numPr>
          <w:ilvl w:val="0"/>
          <w:numId w:val="5"/>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投标单位应当在投标时根据招标人提供的下述第5点清单，在投标施工组织中编制专项施工方案。</w:t>
      </w:r>
    </w:p>
    <w:p>
      <w:pPr>
        <w:pStyle w:val="110"/>
        <w:numPr>
          <w:ilvl w:val="0"/>
          <w:numId w:val="5"/>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0"/>
        <w:numPr>
          <w:ilvl w:val="0"/>
          <w:numId w:val="5"/>
        </w:numPr>
        <w:autoSpaceDE w:val="0"/>
        <w:autoSpaceDN w:val="0"/>
        <w:adjustRightInd w:val="0"/>
        <w:spacing w:line="276" w:lineRule="auto"/>
        <w:ind w:firstLineChars="0"/>
        <w:jc w:val="left"/>
        <w:rPr>
          <w:rFonts w:ascii="宋体" w:hAnsi="宋体"/>
          <w:color w:val="auto"/>
          <w:szCs w:val="21"/>
          <w:highlight w:val="none"/>
        </w:rPr>
      </w:pPr>
      <w:r>
        <w:rPr>
          <w:rFonts w:hint="eastAsia" w:ascii="宋体" w:hAnsi="宋体"/>
          <w:color w:val="auto"/>
          <w:szCs w:val="21"/>
          <w:highlight w:val="none"/>
        </w:rPr>
        <w:t>危险性较大的分部分项工程清单及超过一定规模的危险性较大的分部分项工程清单：</w:t>
      </w:r>
    </w:p>
    <w:tbl>
      <w:tblPr>
        <w:tblStyle w:val="44"/>
        <w:tblW w:w="90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5"/>
        <w:gridCol w:w="1362"/>
        <w:gridCol w:w="1188"/>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vAlign w:val="center"/>
          </w:tcPr>
          <w:p>
            <w:pPr>
              <w:spacing w:line="276" w:lineRule="auto"/>
              <w:jc w:val="center"/>
              <w:rPr>
                <w:rFonts w:ascii="宋体" w:hAnsi="宋体"/>
                <w:b/>
                <w:color w:val="auto"/>
                <w:szCs w:val="21"/>
                <w:highlight w:val="none"/>
              </w:rPr>
            </w:pPr>
            <w:r>
              <w:rPr>
                <w:rFonts w:hint="eastAsia" w:ascii="宋体" w:hAnsi="宋体"/>
                <w:b/>
                <w:color w:val="auto"/>
                <w:szCs w:val="21"/>
                <w:highlight w:val="none"/>
              </w:rPr>
              <w:t>一、危险性较大的分部分项工程清单</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建设单位</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投标单位</w:t>
            </w:r>
          </w:p>
        </w:tc>
        <w:tc>
          <w:tcPr>
            <w:tcW w:w="85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一、基坑支护</w:t>
            </w:r>
          </w:p>
        </w:tc>
        <w:tc>
          <w:tcPr>
            <w:tcW w:w="1362" w:type="dxa"/>
            <w:vAlign w:val="center"/>
          </w:tcPr>
          <w:p>
            <w:pPr>
              <w:spacing w:before="40" w:after="40" w:line="300" w:lineRule="exact"/>
              <w:jc w:val="center"/>
              <w:rPr>
                <w:rFonts w:ascii="宋体" w:hAnsi="宋体"/>
                <w:color w:val="auto"/>
                <w:szCs w:val="21"/>
                <w:highlight w:val="none"/>
              </w:rPr>
            </w:pPr>
            <w:r>
              <w:rPr>
                <w:rFonts w:ascii="宋体" w:hAnsi="宋体"/>
                <w:color w:val="auto"/>
                <w:szCs w:val="21"/>
                <w:highlight w:val="none"/>
              </w:rPr>
              <w:t>(</w:t>
            </w:r>
            <w:r>
              <w:rPr>
                <w:rFonts w:hint="eastAsia"/>
                <w:color w:val="auto"/>
                <w:szCs w:val="21"/>
                <w:highlight w:val="none"/>
              </w:rPr>
              <w:t xml:space="preserve"> √ </w:t>
            </w:r>
            <w:r>
              <w:rPr>
                <w:rFonts w:ascii="宋体" w:hAnsi="宋体"/>
                <w:color w:val="auto"/>
                <w:szCs w:val="21"/>
                <w:highlight w:val="none"/>
              </w:rPr>
              <w:t>)</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（一）开挖深度超过3m（含3m）的基坑（槽）的土方开挖、支护、降水工程。</w:t>
            </w:r>
          </w:p>
        </w:tc>
        <w:tc>
          <w:tcPr>
            <w:tcW w:w="1362" w:type="dxa"/>
            <w:vAlign w:val="center"/>
          </w:tcPr>
          <w:p>
            <w:pPr>
              <w:spacing w:before="40" w:after="40" w:line="300" w:lineRule="exact"/>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（二）开挖深度虽未超过3m，但地质条件、周围环境和地下管线复杂，或影响毗邻建、构筑物安全的基坑（槽）的土方开挖、支护、降水工程。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w:t>
            </w:r>
            <w:r>
              <w:rPr>
                <w:rFonts w:hint="eastAsia"/>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362" w:type="dxa"/>
            <w:vAlign w:val="center"/>
          </w:tcPr>
          <w:p>
            <w:pPr>
              <w:spacing w:before="40" w:after="40" w:line="30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color w:val="auto"/>
                <w:szCs w:val="21"/>
                <w:highlight w:val="none"/>
              </w:rPr>
              <w:t xml:space="preserve">√ </w:t>
            </w:r>
            <w:r>
              <w:rPr>
                <w:rFonts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362" w:type="dxa"/>
            <w:vAlign w:val="center"/>
          </w:tcPr>
          <w:p>
            <w:pPr>
              <w:spacing w:before="40" w:after="40" w:line="30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s="宋体"/>
                <w:color w:val="auto"/>
                <w:szCs w:val="21"/>
                <w:highlight w:val="none"/>
              </w:rPr>
              <w:t>（二）采用起重机械进行安装的工程。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（一）搭设高度24m及以上的落地式钢管脚手架工程（包括采光井、电梯井脚手架）。</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（二）附着式升降脚手架工程。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（三）悬挑式脚手架工程。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（四）高处作业吊篮。</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（五）卸料平台、操作平台工程。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（六）异型脚手架工程。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五、拆除工程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可能影响行人、交通、电力设施、通讯设施或其它建、构筑物安全的拆除工程。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　六、暗挖工程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七、其它</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（一）建筑幕墙安装工程。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（二）钢结构、网架和索膜结构安装工程。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（三）人工挖孔桩工程。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（四）水下作业工程。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（五）装配式建筑混凝土预制构件安装工程。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vAlign w:val="center"/>
          </w:tcPr>
          <w:p>
            <w:pPr>
              <w:widowControl/>
              <w:spacing w:line="276" w:lineRule="auto"/>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一、深基坑工程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开挖深度超过5m（含5m）的基坑（槽）的土方开挖、支护、降水工程。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ind w:firstLine="48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362" w:type="dxa"/>
            <w:vAlign w:val="center"/>
          </w:tcPr>
          <w:p>
            <w:pPr>
              <w:spacing w:line="276" w:lineRule="auto"/>
              <w:ind w:firstLine="315" w:firstLineChars="150"/>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ind w:firstLine="48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362" w:type="dxa"/>
            <w:vAlign w:val="center"/>
          </w:tcPr>
          <w:p>
            <w:pPr>
              <w:spacing w:line="276" w:lineRule="auto"/>
              <w:ind w:firstLine="315" w:firstLineChars="150"/>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ind w:firstLine="48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ind w:firstLine="480"/>
              <w:jc w:val="left"/>
              <w:rPr>
                <w:rFonts w:ascii="宋体" w:hAnsi="宋体"/>
                <w:color w:val="auto"/>
                <w:szCs w:val="21"/>
                <w:highlight w:val="none"/>
              </w:rPr>
            </w:pPr>
            <w:r>
              <w:rPr>
                <w:rFonts w:hint="eastAsia" w:ascii="宋体" w:hAnsi="宋体"/>
                <w:color w:val="auto"/>
                <w:szCs w:val="21"/>
                <w:highlight w:val="none"/>
              </w:rPr>
              <w:t>（二）混凝土模板支撑工程：搭设高度8m及以上，或搭设跨度18m及以上，或施工总荷载（设计值）15kN/m2及以上，或集中线荷载（设计值）20kN/m及以上。</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（三）承重支撑体系：用于钢结构安装等满堂支撑体系，承受单点集中荷载7kN及以上。</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　三、起重吊装及起重机械安装拆卸工程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（一）采用非常规起重设备、方法，且单件起吊重量在100kN及以上的起重吊装工程。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（二）起重量300kN及以上，或搭设总高度200m及以上，或搭设基础标高在200m及以上的起重机械安装和拆卸工程。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（一）搭设高度50m及以上的落地式钢管脚手架工程。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（二）提升高度在150m及以上的附着式升降脚手架工程或附着式升降操作平台工程。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（三）分段架体搭设高度20m及以上的悬挑式脚手架工程。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五、拆除工程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（一）码头、桥梁、高架、烟囱、水塔或拆除中容易引起有毒有害气（液）体或粉尘扩散、易燃易爆事故发生的特殊建、构筑物的拆除工程。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（二）文物保护建筑、优秀历史建筑或历史文化风貌区影响范围内的拆除工程。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六、暗挖工程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七、其它</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（一）施工高度50m及以上的建筑幕墙安装工程。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（二）跨度36m及以上的钢结构安装工程，或跨度60m及以上的网架和索膜结构安装工程。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（三）开挖深度16m及以上的人工挖孔桩工程。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（四）水下作业工程。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（五）重量1000kN及以上的大型结构整体顶升、平移、转体等施工工艺。</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5" w:type="dxa"/>
          </w:tcPr>
          <w:p>
            <w:pPr>
              <w:spacing w:line="276" w:lineRule="auto"/>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36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118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    )</w:t>
            </w:r>
          </w:p>
        </w:tc>
        <w:tc>
          <w:tcPr>
            <w:tcW w:w="858" w:type="dxa"/>
            <w:vAlign w:val="center"/>
          </w:tcPr>
          <w:p>
            <w:pPr>
              <w:spacing w:line="276" w:lineRule="auto"/>
              <w:jc w:val="center"/>
              <w:rPr>
                <w:rFonts w:ascii="宋体" w:hAnsi="宋体"/>
                <w:color w:val="auto"/>
                <w:szCs w:val="21"/>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投标人名称（盖法人公章）：</w:t>
      </w:r>
    </w:p>
    <w:p>
      <w:pPr>
        <w:spacing w:line="36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pPr>
        <w:tabs>
          <w:tab w:val="left" w:pos="720"/>
        </w:tabs>
        <w:snapToGrid w:val="0"/>
        <w:spacing w:before="120" w:after="120" w:line="360" w:lineRule="auto"/>
        <w:ind w:firstLine="3120" w:firstLineChars="1300"/>
        <w:rPr>
          <w:rFonts w:ascii="宋体" w:hAnsi="宋体" w:cs="仿宋_GB2312"/>
          <w:color w:val="auto"/>
          <w:sz w:val="24"/>
          <w:szCs w:val="24"/>
          <w:highlight w:val="none"/>
        </w:rPr>
      </w:pPr>
      <w:r>
        <w:rPr>
          <w:rFonts w:hint="eastAsia" w:ascii="宋体" w:hAnsi="宋体" w:cs="宋体"/>
          <w:color w:val="auto"/>
          <w:sz w:val="24"/>
          <w:szCs w:val="20"/>
          <w:highlight w:val="none"/>
        </w:rPr>
        <w:t>日  期：   年   月   日</w:t>
      </w:r>
    </w:p>
    <w:p>
      <w:pPr>
        <w:rPr>
          <w:rFonts w:ascii="宋体" w:hAnsi="宋体" w:cs="仿宋_GB2312"/>
          <w:color w:val="auto"/>
          <w:sz w:val="24"/>
          <w:szCs w:val="24"/>
          <w:highlight w:val="none"/>
        </w:rPr>
      </w:pPr>
      <w:r>
        <w:rPr>
          <w:rFonts w:ascii="宋体" w:hAnsi="宋体" w:cs="仿宋_GB2312"/>
          <w:color w:val="auto"/>
          <w:sz w:val="24"/>
          <w:szCs w:val="24"/>
          <w:highlight w:val="none"/>
        </w:rPr>
        <w:br w:type="page"/>
      </w:r>
    </w:p>
    <w:p>
      <w:pPr>
        <w:pStyle w:val="2"/>
        <w:rPr>
          <w:color w:val="auto"/>
          <w:highlight w:val="none"/>
        </w:rPr>
      </w:pPr>
    </w:p>
    <w:p>
      <w:pPr>
        <w:topLinePunct/>
        <w:adjustRightInd w:val="0"/>
        <w:snapToGrid w:val="0"/>
        <w:spacing w:line="360" w:lineRule="auto"/>
        <w:jc w:val="center"/>
        <w:outlineLvl w:val="0"/>
        <w:rPr>
          <w:rFonts w:ascii="宋体" w:hAnsi="宋体"/>
          <w:snapToGrid w:val="0"/>
          <w:color w:val="auto"/>
          <w:spacing w:val="4"/>
          <w:kern w:val="0"/>
          <w:sz w:val="24"/>
          <w:szCs w:val="24"/>
          <w:highlight w:val="none"/>
        </w:rPr>
      </w:pPr>
      <w:bookmarkStart w:id="171" w:name="_Toc21343"/>
      <w:bookmarkStart w:id="172" w:name="_Toc7019447"/>
      <w:bookmarkStart w:id="173" w:name="_Toc5194"/>
      <w:bookmarkStart w:id="174" w:name="_Toc14697669"/>
      <w:r>
        <w:rPr>
          <w:rFonts w:hint="eastAsia" w:ascii="宋体" w:hAnsi="宋体"/>
          <w:b/>
          <w:snapToGrid w:val="0"/>
          <w:color w:val="auto"/>
          <w:spacing w:val="4"/>
          <w:kern w:val="0"/>
          <w:sz w:val="30"/>
          <w:szCs w:val="30"/>
          <w:highlight w:val="none"/>
        </w:rPr>
        <w:t>二、经济标投标文件格式</w:t>
      </w:r>
      <w:bookmarkEnd w:id="171"/>
      <w:bookmarkEnd w:id="172"/>
      <w:bookmarkEnd w:id="173"/>
      <w:bookmarkEnd w:id="174"/>
    </w:p>
    <w:p>
      <w:pPr>
        <w:rPr>
          <w:rFonts w:ascii="宋体" w:hAnsi="宋体"/>
          <w:b/>
          <w:color w:val="auto"/>
          <w:sz w:val="24"/>
          <w:szCs w:val="24"/>
          <w:highlight w:val="none"/>
        </w:rPr>
      </w:pPr>
      <w:r>
        <w:rPr>
          <w:rFonts w:ascii="宋体" w:hAnsi="宋体"/>
          <w:b/>
          <w:color w:val="auto"/>
          <w:highlight w:val="none"/>
        </w:rPr>
        <w:br w:type="page"/>
      </w:r>
      <w:r>
        <w:rPr>
          <w:rFonts w:hint="eastAsia" w:ascii="宋体" w:hAnsi="宋体"/>
          <w:b/>
          <w:color w:val="auto"/>
          <w:sz w:val="24"/>
          <w:szCs w:val="24"/>
          <w:highlight w:val="none"/>
        </w:rPr>
        <w:t>格式一：经济标封面</w:t>
      </w: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jc w:val="center"/>
        <w:rPr>
          <w:rFonts w:ascii="宋体" w:hAnsi="宋体"/>
          <w:snapToGrid w:val="0"/>
          <w:color w:val="auto"/>
          <w:spacing w:val="4"/>
          <w:kern w:val="0"/>
          <w:sz w:val="36"/>
          <w:szCs w:val="36"/>
          <w:highlight w:val="none"/>
          <w:u w:val="single"/>
        </w:rPr>
      </w:pPr>
      <w:r>
        <w:rPr>
          <w:rFonts w:hint="eastAsia" w:ascii="宋体" w:hAnsi="宋体"/>
          <w:snapToGrid w:val="0"/>
          <w:color w:val="auto"/>
          <w:spacing w:val="4"/>
          <w:kern w:val="0"/>
          <w:sz w:val="36"/>
          <w:szCs w:val="36"/>
          <w:highlight w:val="none"/>
          <w:u w:val="single"/>
        </w:rPr>
        <w:t>[工程名称]</w:t>
      </w: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jc w:val="center"/>
        <w:rPr>
          <w:rFonts w:ascii="宋体" w:hAnsi="宋体"/>
          <w:snapToGrid w:val="0"/>
          <w:color w:val="auto"/>
          <w:spacing w:val="4"/>
          <w:kern w:val="0"/>
          <w:sz w:val="84"/>
          <w:szCs w:val="84"/>
          <w:highlight w:val="none"/>
        </w:rPr>
      </w:pPr>
      <w:r>
        <w:rPr>
          <w:rFonts w:hint="eastAsia" w:ascii="宋体" w:hAnsi="宋体"/>
          <w:snapToGrid w:val="0"/>
          <w:color w:val="auto"/>
          <w:spacing w:val="4"/>
          <w:kern w:val="0"/>
          <w:sz w:val="84"/>
          <w:szCs w:val="84"/>
          <w:highlight w:val="none"/>
        </w:rPr>
        <w:t>投标文件</w:t>
      </w:r>
    </w:p>
    <w:p>
      <w:pPr>
        <w:topLinePunct/>
        <w:adjustRightInd w:val="0"/>
        <w:snapToGrid w:val="0"/>
        <w:spacing w:line="360" w:lineRule="auto"/>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第二册 （经济标书）</w:t>
      </w: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496" w:firstLineChars="200"/>
        <w:jc w:val="center"/>
        <w:rPr>
          <w:rFonts w:ascii="宋体" w:hAnsi="宋体"/>
          <w:snapToGrid w:val="0"/>
          <w:color w:val="auto"/>
          <w:spacing w:val="4"/>
          <w:kern w:val="0"/>
          <w:sz w:val="24"/>
          <w:szCs w:val="24"/>
          <w:highlight w:val="none"/>
        </w:rPr>
      </w:pPr>
    </w:p>
    <w:p>
      <w:pPr>
        <w:topLinePunct/>
        <w:adjustRightInd w:val="0"/>
        <w:snapToGrid w:val="0"/>
        <w:spacing w:line="360" w:lineRule="auto"/>
        <w:ind w:firstLine="616" w:firstLineChars="200"/>
        <w:jc w:val="left"/>
        <w:rPr>
          <w:rFonts w:ascii="宋体" w:hAnsi="宋体"/>
          <w:snapToGrid w:val="0"/>
          <w:color w:val="auto"/>
          <w:spacing w:val="4"/>
          <w:kern w:val="0"/>
          <w:sz w:val="30"/>
          <w:szCs w:val="30"/>
          <w:highlight w:val="none"/>
        </w:rPr>
      </w:pPr>
      <w:r>
        <w:rPr>
          <w:rFonts w:hint="eastAsia" w:ascii="宋体" w:hAnsi="宋体"/>
          <w:snapToGrid w:val="0"/>
          <w:color w:val="auto"/>
          <w:spacing w:val="4"/>
          <w:kern w:val="0"/>
          <w:sz w:val="30"/>
          <w:szCs w:val="30"/>
          <w:highlight w:val="none"/>
        </w:rPr>
        <w:t>投标人：</w:t>
      </w:r>
      <w:r>
        <w:rPr>
          <w:rFonts w:hint="eastAsia" w:ascii="宋体" w:hAnsi="宋体"/>
          <w:snapToGrid w:val="0"/>
          <w:color w:val="auto"/>
          <w:spacing w:val="4"/>
          <w:kern w:val="0"/>
          <w:sz w:val="30"/>
          <w:szCs w:val="30"/>
          <w:highlight w:val="none"/>
          <w:u w:val="single"/>
        </w:rPr>
        <w:t xml:space="preserve">       （填写投标人单位名称）       （盖章）</w:t>
      </w:r>
    </w:p>
    <w:p>
      <w:pPr>
        <w:topLinePunct/>
        <w:adjustRightInd w:val="0"/>
        <w:snapToGrid w:val="0"/>
        <w:spacing w:line="360" w:lineRule="auto"/>
        <w:ind w:firstLine="616" w:firstLineChars="200"/>
        <w:jc w:val="left"/>
        <w:rPr>
          <w:rFonts w:ascii="宋体" w:hAnsi="宋体"/>
          <w:snapToGrid w:val="0"/>
          <w:color w:val="auto"/>
          <w:spacing w:val="4"/>
          <w:kern w:val="0"/>
          <w:sz w:val="30"/>
          <w:szCs w:val="30"/>
          <w:highlight w:val="none"/>
        </w:rPr>
      </w:pPr>
      <w:r>
        <w:rPr>
          <w:rFonts w:hint="eastAsia" w:ascii="宋体" w:hAnsi="宋体"/>
          <w:snapToGrid w:val="0"/>
          <w:color w:val="auto"/>
          <w:spacing w:val="4"/>
          <w:kern w:val="0"/>
          <w:sz w:val="30"/>
          <w:szCs w:val="30"/>
          <w:highlight w:val="none"/>
        </w:rPr>
        <w:t>法定代表人或其委托代理人：</w:t>
      </w:r>
      <w:r>
        <w:rPr>
          <w:rFonts w:hint="eastAsia" w:ascii="宋体" w:hAnsi="宋体"/>
          <w:snapToGrid w:val="0"/>
          <w:color w:val="auto"/>
          <w:spacing w:val="4"/>
          <w:kern w:val="0"/>
          <w:sz w:val="30"/>
          <w:szCs w:val="30"/>
          <w:highlight w:val="none"/>
          <w:u w:val="single"/>
        </w:rPr>
        <w:t xml:space="preserve">            （签字或盖章）</w:t>
      </w:r>
    </w:p>
    <w:p>
      <w:pPr>
        <w:topLinePunct/>
        <w:adjustRightInd w:val="0"/>
        <w:snapToGrid w:val="0"/>
        <w:spacing w:line="360" w:lineRule="auto"/>
        <w:ind w:firstLine="616" w:firstLineChars="200"/>
        <w:jc w:val="left"/>
        <w:rPr>
          <w:rFonts w:ascii="宋体" w:hAnsi="宋体"/>
          <w:snapToGrid w:val="0"/>
          <w:color w:val="auto"/>
          <w:spacing w:val="4"/>
          <w:kern w:val="0"/>
          <w:sz w:val="30"/>
          <w:szCs w:val="30"/>
          <w:highlight w:val="none"/>
        </w:rPr>
      </w:pPr>
      <w:r>
        <w:rPr>
          <w:rFonts w:hint="eastAsia" w:ascii="宋体" w:hAnsi="宋体"/>
          <w:snapToGrid w:val="0"/>
          <w:color w:val="auto"/>
          <w:spacing w:val="4"/>
          <w:kern w:val="0"/>
          <w:sz w:val="30"/>
          <w:szCs w:val="30"/>
          <w:highlight w:val="none"/>
        </w:rPr>
        <w:t>日  期：</w:t>
      </w:r>
      <w:r>
        <w:rPr>
          <w:rFonts w:hint="eastAsia" w:ascii="宋体" w:hAnsi="宋体"/>
          <w:snapToGrid w:val="0"/>
          <w:color w:val="auto"/>
          <w:spacing w:val="4"/>
          <w:kern w:val="0"/>
          <w:sz w:val="30"/>
          <w:szCs w:val="30"/>
          <w:highlight w:val="none"/>
          <w:u w:val="single"/>
        </w:rPr>
        <w:t xml:space="preserve">                                </w:t>
      </w:r>
      <w:r>
        <w:rPr>
          <w:rFonts w:hint="eastAsia" w:ascii="宋体" w:hAnsi="宋体"/>
          <w:snapToGrid w:val="0"/>
          <w:color w:val="auto"/>
          <w:spacing w:val="4"/>
          <w:kern w:val="0"/>
          <w:sz w:val="30"/>
          <w:szCs w:val="30"/>
          <w:highlight w:val="none"/>
          <w:u w:val="single"/>
          <w:lang w:val="en-US" w:eastAsia="zh-CN"/>
        </w:rPr>
        <w:t xml:space="preserve">   </w:t>
      </w:r>
      <w:r>
        <w:rPr>
          <w:rFonts w:hint="eastAsia" w:ascii="宋体" w:hAnsi="宋体"/>
          <w:snapToGrid w:val="0"/>
          <w:color w:val="auto"/>
          <w:spacing w:val="4"/>
          <w:kern w:val="0"/>
          <w:sz w:val="30"/>
          <w:szCs w:val="30"/>
          <w:highlight w:val="none"/>
          <w:u w:val="single"/>
        </w:rPr>
        <w:t xml:space="preserve">        </w:t>
      </w:r>
    </w:p>
    <w:p>
      <w:pPr>
        <w:rPr>
          <w:rFonts w:ascii="宋体" w:hAnsi="宋体"/>
          <w:b/>
          <w:color w:val="auto"/>
          <w:sz w:val="24"/>
          <w:szCs w:val="24"/>
          <w:highlight w:val="none"/>
        </w:rPr>
      </w:pPr>
      <w:r>
        <w:rPr>
          <w:rFonts w:ascii="宋体" w:hAnsi="宋体"/>
          <w:color w:val="auto"/>
          <w:highlight w:val="none"/>
        </w:rPr>
        <w:br w:type="page"/>
      </w:r>
      <w:r>
        <w:rPr>
          <w:rFonts w:hint="eastAsia" w:ascii="宋体" w:hAnsi="宋体"/>
          <w:b/>
          <w:color w:val="auto"/>
          <w:sz w:val="24"/>
          <w:szCs w:val="24"/>
          <w:highlight w:val="none"/>
        </w:rPr>
        <w:t>格式二：工程量清单计价表</w:t>
      </w:r>
    </w:p>
    <w:p>
      <w:pPr>
        <w:topLinePunct/>
        <w:adjustRightInd w:val="0"/>
        <w:snapToGrid w:val="0"/>
        <w:spacing w:line="360" w:lineRule="auto"/>
        <w:ind w:firstLine="498" w:firstLineChars="200"/>
        <w:rPr>
          <w:rFonts w:ascii="宋体" w:hAnsi="宋体"/>
          <w:b/>
          <w:snapToGrid w:val="0"/>
          <w:color w:val="auto"/>
          <w:spacing w:val="4"/>
          <w:kern w:val="0"/>
          <w:sz w:val="24"/>
          <w:szCs w:val="24"/>
          <w:highlight w:val="none"/>
        </w:rPr>
      </w:pPr>
    </w:p>
    <w:p>
      <w:pPr>
        <w:topLinePunct/>
        <w:adjustRightInd w:val="0"/>
        <w:snapToGrid w:val="0"/>
        <w:spacing w:before="156" w:after="156" w:line="360" w:lineRule="auto"/>
        <w:ind w:firstLine="617"/>
        <w:jc w:val="center"/>
        <w:rPr>
          <w:rFonts w:ascii="宋体" w:hAnsi="宋体"/>
          <w:b/>
          <w:snapToGrid w:val="0"/>
          <w:color w:val="auto"/>
          <w:spacing w:val="4"/>
          <w:kern w:val="0"/>
          <w:sz w:val="36"/>
          <w:szCs w:val="36"/>
          <w:highlight w:val="none"/>
        </w:rPr>
      </w:pPr>
      <w:r>
        <w:rPr>
          <w:rFonts w:hint="eastAsia" w:ascii="宋体" w:hAnsi="宋体"/>
          <w:b/>
          <w:snapToGrid w:val="0"/>
          <w:color w:val="auto"/>
          <w:spacing w:val="4"/>
          <w:kern w:val="0"/>
          <w:sz w:val="36"/>
          <w:szCs w:val="36"/>
          <w:highlight w:val="none"/>
        </w:rPr>
        <w:t>工程量清单计价表</w:t>
      </w:r>
    </w:p>
    <w:p>
      <w:pPr>
        <w:topLinePunct/>
        <w:adjustRightInd w:val="0"/>
        <w:snapToGrid w:val="0"/>
        <w:spacing w:line="360" w:lineRule="auto"/>
        <w:ind w:firstLine="498" w:firstLineChars="200"/>
        <w:rPr>
          <w:rFonts w:ascii="宋体" w:hAnsi="宋体"/>
          <w:b/>
          <w:snapToGrid w:val="0"/>
          <w:color w:val="auto"/>
          <w:spacing w:val="4"/>
          <w:kern w:val="0"/>
          <w:sz w:val="24"/>
          <w:szCs w:val="24"/>
          <w:highlight w:val="none"/>
        </w:rPr>
      </w:pPr>
    </w:p>
    <w:p>
      <w:pPr>
        <w:topLinePunct/>
        <w:adjustRightInd w:val="0"/>
        <w:snapToGrid w:val="0"/>
        <w:spacing w:line="360" w:lineRule="auto"/>
        <w:ind w:firstLine="498" w:firstLineChars="200"/>
        <w:rPr>
          <w:rFonts w:ascii="宋体" w:hAnsi="宋体"/>
          <w:snapToGrid w:val="0"/>
          <w:color w:val="auto"/>
          <w:spacing w:val="4"/>
          <w:kern w:val="0"/>
          <w:sz w:val="24"/>
          <w:szCs w:val="24"/>
          <w:highlight w:val="none"/>
        </w:rPr>
      </w:pPr>
      <w:r>
        <w:rPr>
          <w:rFonts w:hint="eastAsia" w:ascii="宋体" w:hAnsi="宋体"/>
          <w:b/>
          <w:snapToGrid w:val="0"/>
          <w:color w:val="auto"/>
          <w:spacing w:val="4"/>
          <w:kern w:val="0"/>
          <w:sz w:val="24"/>
          <w:szCs w:val="24"/>
          <w:highlight w:val="none"/>
        </w:rPr>
        <w:t>本部分内容详见招标文件第七章工程量清单。</w:t>
      </w:r>
    </w:p>
    <w:p>
      <w:pPr>
        <w:rPr>
          <w:rFonts w:ascii="宋体" w:hAnsi="宋体"/>
          <w:b/>
          <w:color w:val="auto"/>
          <w:sz w:val="24"/>
          <w:szCs w:val="24"/>
          <w:highlight w:val="none"/>
        </w:rPr>
      </w:pPr>
      <w:r>
        <w:rPr>
          <w:rFonts w:ascii="宋体" w:hAnsi="宋体"/>
          <w:color w:val="auto"/>
          <w:highlight w:val="none"/>
        </w:rPr>
        <w:br w:type="page"/>
      </w:r>
      <w:r>
        <w:rPr>
          <w:rFonts w:hint="eastAsia" w:ascii="宋体" w:hAnsi="宋体"/>
          <w:b/>
          <w:color w:val="auto"/>
          <w:sz w:val="24"/>
          <w:szCs w:val="24"/>
          <w:highlight w:val="none"/>
        </w:rPr>
        <w:t>格式三：参与编制经济标投标文件人员名单</w:t>
      </w:r>
    </w:p>
    <w:p>
      <w:pPr>
        <w:tabs>
          <w:tab w:val="left" w:pos="720"/>
        </w:tabs>
        <w:snapToGrid w:val="0"/>
        <w:spacing w:line="360" w:lineRule="auto"/>
        <w:jc w:val="center"/>
        <w:rPr>
          <w:rFonts w:ascii="宋体" w:hAnsi="宋体"/>
          <w:color w:val="auto"/>
          <w:sz w:val="24"/>
          <w:highlight w:val="none"/>
        </w:rPr>
      </w:pPr>
    </w:p>
    <w:p>
      <w:pPr>
        <w:topLinePunct/>
        <w:adjustRightInd w:val="0"/>
        <w:snapToGrid w:val="0"/>
        <w:spacing w:before="156" w:after="156" w:line="360" w:lineRule="auto"/>
        <w:ind w:firstLine="617"/>
        <w:jc w:val="center"/>
        <w:rPr>
          <w:rFonts w:ascii="宋体" w:hAnsi="宋体"/>
          <w:snapToGrid w:val="0"/>
          <w:color w:val="auto"/>
          <w:spacing w:val="4"/>
          <w:kern w:val="0"/>
          <w:sz w:val="36"/>
          <w:szCs w:val="36"/>
          <w:highlight w:val="none"/>
        </w:rPr>
      </w:pPr>
      <w:r>
        <w:rPr>
          <w:rFonts w:hint="eastAsia" w:ascii="宋体" w:hAnsi="宋体"/>
          <w:snapToGrid w:val="0"/>
          <w:color w:val="auto"/>
          <w:spacing w:val="4"/>
          <w:kern w:val="0"/>
          <w:sz w:val="36"/>
          <w:szCs w:val="36"/>
          <w:highlight w:val="none"/>
        </w:rPr>
        <w:t>参与编制经济标投标文件人员名单</w:t>
      </w:r>
    </w:p>
    <w:tbl>
      <w:tblPr>
        <w:tblStyle w:val="4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4" w:hRule="atLeast"/>
        </w:trPr>
        <w:tc>
          <w:tcPr>
            <w:tcW w:w="9464" w:type="dxa"/>
            <w:gridSpan w:val="5"/>
            <w:vAlign w:val="center"/>
          </w:tcPr>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382" w:type="dxa"/>
            <w:vAlign w:val="center"/>
          </w:tcPr>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2341" w:type="dxa"/>
            <w:vAlign w:val="center"/>
          </w:tcPr>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所承担工作</w:t>
            </w:r>
          </w:p>
        </w:tc>
        <w:tc>
          <w:tcPr>
            <w:tcW w:w="2245" w:type="dxa"/>
            <w:vAlign w:val="center"/>
          </w:tcPr>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身份证号码</w:t>
            </w:r>
          </w:p>
        </w:tc>
        <w:tc>
          <w:tcPr>
            <w:tcW w:w="2304" w:type="dxa"/>
            <w:vAlign w:val="center"/>
          </w:tcPr>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192" w:type="dxa"/>
            <w:vAlign w:val="center"/>
          </w:tcPr>
          <w:p>
            <w:pPr>
              <w:tabs>
                <w:tab w:val="left" w:pos="720"/>
              </w:tabs>
              <w:snapToGrid w:val="0"/>
              <w:spacing w:line="360" w:lineRule="auto"/>
              <w:jc w:val="center"/>
              <w:rPr>
                <w:rFonts w:ascii="宋体" w:hAnsi="宋体"/>
                <w:color w:val="auto"/>
                <w:sz w:val="24"/>
                <w:highlight w:val="none"/>
              </w:rPr>
            </w:pPr>
          </w:p>
        </w:tc>
        <w:tc>
          <w:tcPr>
            <w:tcW w:w="1382" w:type="dxa"/>
            <w:vAlign w:val="center"/>
          </w:tcPr>
          <w:p>
            <w:pPr>
              <w:tabs>
                <w:tab w:val="left" w:pos="720"/>
              </w:tabs>
              <w:snapToGrid w:val="0"/>
              <w:spacing w:line="360" w:lineRule="auto"/>
              <w:jc w:val="center"/>
              <w:rPr>
                <w:rFonts w:ascii="宋体" w:hAnsi="宋体"/>
                <w:color w:val="auto"/>
                <w:sz w:val="24"/>
                <w:highlight w:val="none"/>
              </w:rPr>
            </w:pPr>
          </w:p>
        </w:tc>
        <w:tc>
          <w:tcPr>
            <w:tcW w:w="2341" w:type="dxa"/>
            <w:vAlign w:val="center"/>
          </w:tcPr>
          <w:p>
            <w:pPr>
              <w:tabs>
                <w:tab w:val="left" w:pos="720"/>
              </w:tabs>
              <w:snapToGrid w:val="0"/>
              <w:spacing w:line="360" w:lineRule="auto"/>
              <w:jc w:val="center"/>
              <w:rPr>
                <w:rFonts w:ascii="宋体" w:hAnsi="宋体"/>
                <w:color w:val="auto"/>
                <w:sz w:val="24"/>
                <w:highlight w:val="none"/>
              </w:rPr>
            </w:pPr>
          </w:p>
        </w:tc>
        <w:tc>
          <w:tcPr>
            <w:tcW w:w="2245" w:type="dxa"/>
            <w:vAlign w:val="center"/>
          </w:tcPr>
          <w:p>
            <w:pPr>
              <w:tabs>
                <w:tab w:val="left" w:pos="720"/>
              </w:tabs>
              <w:snapToGrid w:val="0"/>
              <w:spacing w:line="360" w:lineRule="auto"/>
              <w:jc w:val="center"/>
              <w:rPr>
                <w:rFonts w:ascii="宋体" w:hAnsi="宋体"/>
                <w:color w:val="auto"/>
                <w:sz w:val="24"/>
                <w:highlight w:val="none"/>
              </w:rPr>
            </w:pPr>
          </w:p>
        </w:tc>
        <w:tc>
          <w:tcPr>
            <w:tcW w:w="2304" w:type="dxa"/>
            <w:vAlign w:val="center"/>
          </w:tcPr>
          <w:p>
            <w:pPr>
              <w:tabs>
                <w:tab w:val="left" w:pos="720"/>
              </w:tabs>
              <w:snapToGrid w:val="0"/>
              <w:spacing w:line="360" w:lineRule="auto"/>
              <w:jc w:val="center"/>
              <w:rPr>
                <w:rFonts w:ascii="宋体" w:hAnsi="宋体"/>
                <w:color w:val="auto"/>
                <w:sz w:val="24"/>
                <w:highlight w:val="none"/>
              </w:rPr>
            </w:pPr>
          </w:p>
        </w:tc>
      </w:tr>
    </w:tbl>
    <w:p>
      <w:pPr>
        <w:tabs>
          <w:tab w:val="left" w:pos="720"/>
        </w:tabs>
        <w:snapToGrid w:val="0"/>
        <w:spacing w:line="360" w:lineRule="auto"/>
        <w:rPr>
          <w:rFonts w:ascii="宋体" w:hAnsi="宋体"/>
          <w:color w:val="auto"/>
          <w:sz w:val="24"/>
          <w:highlight w:val="none"/>
        </w:rPr>
      </w:pPr>
    </w:p>
    <w:p>
      <w:pPr>
        <w:autoSpaceDE w:val="0"/>
        <w:autoSpaceDN w:val="0"/>
        <w:adjustRightInd w:val="0"/>
        <w:spacing w:line="360" w:lineRule="auto"/>
        <w:ind w:firstLine="368"/>
        <w:rPr>
          <w:rFonts w:ascii="宋体" w:hAnsi="宋体"/>
          <w:color w:val="auto"/>
          <w:szCs w:val="21"/>
          <w:highlight w:val="none"/>
        </w:rPr>
      </w:pPr>
      <w:r>
        <w:rPr>
          <w:rFonts w:hint="eastAsia" w:ascii="宋体" w:hAnsi="宋体"/>
          <w:color w:val="auto"/>
          <w:highlight w:val="none"/>
        </w:rPr>
        <w:t>注：参与编制经济标书所有人员名单应包括如编制各种专业工程量清单投标报价、负责清样校对、负责打印及复印等所有人员在内的人员名单。</w:t>
      </w:r>
      <w:r>
        <w:rPr>
          <w:rFonts w:ascii="宋体" w:hAnsi="宋体"/>
          <w:bCs/>
          <w:color w:val="auto"/>
          <w:sz w:val="24"/>
          <w:highlight w:val="none"/>
        </w:rPr>
        <w:t xml:space="preserve"> </w:t>
      </w:r>
    </w:p>
    <w:p>
      <w:pPr>
        <w:autoSpaceDE w:val="0"/>
        <w:autoSpaceDN w:val="0"/>
        <w:adjustRightInd w:val="0"/>
        <w:rPr>
          <w:rFonts w:ascii="宋体" w:hAnsi="宋体"/>
          <w:b/>
          <w:color w:val="auto"/>
          <w:sz w:val="24"/>
          <w:szCs w:val="24"/>
          <w:highlight w:val="none"/>
        </w:rPr>
      </w:pPr>
      <w:r>
        <w:rPr>
          <w:rFonts w:ascii="宋体" w:hAnsi="宋体"/>
          <w:color w:val="auto"/>
          <w:sz w:val="24"/>
          <w:highlight w:val="none"/>
        </w:rPr>
        <w:br w:type="page"/>
      </w:r>
      <w:r>
        <w:rPr>
          <w:rFonts w:hint="eastAsia" w:ascii="宋体" w:hAnsi="宋体"/>
          <w:b/>
          <w:color w:val="auto"/>
          <w:sz w:val="24"/>
          <w:szCs w:val="24"/>
          <w:highlight w:val="none"/>
        </w:rPr>
        <w:t>格式四：对投标文件编制的承诺</w:t>
      </w:r>
    </w:p>
    <w:p>
      <w:pPr>
        <w:autoSpaceDE w:val="0"/>
        <w:autoSpaceDN w:val="0"/>
        <w:adjustRightInd w:val="0"/>
        <w:rPr>
          <w:rFonts w:ascii="宋体" w:hAnsi="宋体"/>
          <w:color w:val="auto"/>
          <w:szCs w:val="21"/>
          <w:highlight w:val="none"/>
        </w:rPr>
      </w:pPr>
    </w:p>
    <w:p>
      <w:pPr>
        <w:spacing w:line="360" w:lineRule="auto"/>
        <w:jc w:val="center"/>
        <w:rPr>
          <w:rFonts w:ascii="宋体" w:hAnsi="宋体"/>
          <w:color w:val="auto"/>
          <w:kern w:val="0"/>
          <w:sz w:val="32"/>
          <w:szCs w:val="32"/>
          <w:highlight w:val="none"/>
        </w:rPr>
      </w:pPr>
      <w:r>
        <w:rPr>
          <w:rFonts w:hint="eastAsia" w:ascii="宋体" w:hAnsi="宋体"/>
          <w:b/>
          <w:color w:val="auto"/>
          <w:kern w:val="0"/>
          <w:sz w:val="32"/>
          <w:szCs w:val="32"/>
          <w:highlight w:val="none"/>
        </w:rPr>
        <w:t>对投标文件编制的承诺</w:t>
      </w:r>
    </w:p>
    <w:p>
      <w:pPr>
        <w:spacing w:line="360" w:lineRule="auto"/>
        <w:ind w:left="-2" w:leftChars="-1" w:firstLine="540" w:firstLineChars="225"/>
        <w:rPr>
          <w:rFonts w:ascii="宋体" w:hAnsi="宋体"/>
          <w:color w:val="auto"/>
          <w:kern w:val="0"/>
          <w:sz w:val="24"/>
          <w:szCs w:val="20"/>
          <w:highlight w:val="none"/>
        </w:rPr>
      </w:pPr>
      <w:r>
        <w:rPr>
          <w:rFonts w:hint="eastAsia" w:ascii="宋体" w:hAnsi="宋体"/>
          <w:color w:val="auto"/>
          <w:kern w:val="0"/>
          <w:sz w:val="24"/>
          <w:szCs w:val="20"/>
          <w:highlight w:val="none"/>
        </w:rPr>
        <w:t>本公司授权</w:t>
      </w:r>
      <w:r>
        <w:rPr>
          <w:rFonts w:hint="eastAsia" w:ascii="宋体" w:hAnsi="宋体"/>
          <w:color w:val="auto"/>
          <w:kern w:val="0"/>
          <w:sz w:val="24"/>
          <w:szCs w:val="20"/>
          <w:highlight w:val="none"/>
          <w:u w:val="single"/>
        </w:rPr>
        <w:t xml:space="preserve">         （身份证号：               ）</w:t>
      </w:r>
      <w:r>
        <w:rPr>
          <w:rFonts w:hint="eastAsia" w:ascii="宋体" w:hAnsi="宋体"/>
          <w:color w:val="auto"/>
          <w:kern w:val="0"/>
          <w:sz w:val="24"/>
          <w:szCs w:val="20"/>
          <w:highlight w:val="none"/>
        </w:rPr>
        <w:t>负责对投标文件的编制及内容进行解释、说明，并承诺以下事项：</w:t>
      </w:r>
    </w:p>
    <w:p>
      <w:pPr>
        <w:spacing w:line="360" w:lineRule="auto"/>
        <w:ind w:left="-2" w:leftChars="-1" w:firstLine="540" w:firstLineChars="225"/>
        <w:rPr>
          <w:rFonts w:ascii="宋体" w:hAnsi="宋体"/>
          <w:color w:val="auto"/>
          <w:kern w:val="0"/>
          <w:sz w:val="24"/>
          <w:szCs w:val="20"/>
          <w:highlight w:val="none"/>
        </w:rPr>
      </w:pPr>
      <w:r>
        <w:rPr>
          <w:rFonts w:hint="eastAsia" w:ascii="宋体" w:hAnsi="宋体"/>
          <w:color w:val="auto"/>
          <w:kern w:val="0"/>
          <w:sz w:val="24"/>
          <w:szCs w:val="20"/>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color w:val="auto"/>
          <w:kern w:val="0"/>
          <w:sz w:val="24"/>
          <w:szCs w:val="20"/>
          <w:highlight w:val="none"/>
        </w:rPr>
      </w:pPr>
      <w:r>
        <w:rPr>
          <w:rFonts w:hint="eastAsia" w:ascii="宋体" w:hAnsi="宋体"/>
          <w:color w:val="auto"/>
          <w:kern w:val="0"/>
          <w:sz w:val="24"/>
          <w:szCs w:val="20"/>
          <w:highlight w:val="none"/>
        </w:rPr>
        <w:t>2.在本项目开标至评标结束前，努力确保被授权人在项目评标所在地附近；</w:t>
      </w:r>
    </w:p>
    <w:p>
      <w:pPr>
        <w:spacing w:line="360" w:lineRule="auto"/>
        <w:ind w:left="-2" w:leftChars="-1" w:firstLine="540" w:firstLineChars="225"/>
        <w:rPr>
          <w:rFonts w:ascii="宋体" w:hAnsi="宋体"/>
          <w:color w:val="auto"/>
          <w:kern w:val="0"/>
          <w:sz w:val="24"/>
          <w:szCs w:val="20"/>
          <w:highlight w:val="none"/>
        </w:rPr>
      </w:pPr>
      <w:r>
        <w:rPr>
          <w:rFonts w:hint="eastAsia" w:ascii="宋体" w:hAnsi="宋体"/>
          <w:color w:val="auto"/>
          <w:kern w:val="0"/>
          <w:sz w:val="24"/>
          <w:szCs w:val="20"/>
          <w:highlight w:val="none"/>
        </w:rPr>
        <w:t>3.从评标委员会要求澄清起二小时内，被授权人应如实地书面澄清。</w:t>
      </w:r>
    </w:p>
    <w:p>
      <w:pPr>
        <w:spacing w:line="360" w:lineRule="auto"/>
        <w:ind w:left="-2" w:leftChars="-1" w:firstLine="540" w:firstLineChars="225"/>
        <w:rPr>
          <w:rFonts w:ascii="宋体" w:hAnsi="宋体"/>
          <w:color w:val="auto"/>
          <w:kern w:val="0"/>
          <w:sz w:val="24"/>
          <w:szCs w:val="20"/>
          <w:highlight w:val="none"/>
        </w:rPr>
      </w:pPr>
      <w:r>
        <w:rPr>
          <w:rFonts w:hint="eastAsia" w:ascii="宋体" w:hAnsi="宋体"/>
          <w:color w:val="auto"/>
          <w:kern w:val="0"/>
          <w:sz w:val="24"/>
          <w:szCs w:val="20"/>
          <w:highlight w:val="none"/>
        </w:rPr>
        <w:t>如由于未遵守上述承诺内容之一导致无法进行澄清的，我公司认可和接受评标委员会作出的评审结论。</w:t>
      </w:r>
    </w:p>
    <w:p>
      <w:pPr>
        <w:spacing w:line="360" w:lineRule="auto"/>
        <w:rPr>
          <w:rFonts w:ascii="宋体" w:hAnsi="宋体"/>
          <w:color w:val="auto"/>
          <w:kern w:val="0"/>
          <w:sz w:val="24"/>
          <w:szCs w:val="20"/>
          <w:highlight w:val="none"/>
        </w:rPr>
      </w:pPr>
    </w:p>
    <w:p>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附件：《投标文件编制情况》</w:t>
      </w:r>
    </w:p>
    <w:p>
      <w:pPr>
        <w:spacing w:line="360" w:lineRule="auto"/>
        <w:ind w:right="90" w:firstLine="3480" w:firstLineChars="1450"/>
        <w:rPr>
          <w:rFonts w:ascii="宋体" w:hAnsi="宋体"/>
          <w:color w:val="auto"/>
          <w:sz w:val="24"/>
          <w:szCs w:val="24"/>
          <w:highlight w:val="none"/>
          <w:u w:val="single"/>
        </w:rPr>
      </w:pPr>
      <w:r>
        <w:rPr>
          <w:rFonts w:hint="eastAsia" w:ascii="宋体" w:hAnsi="宋体"/>
          <w:color w:val="auto"/>
          <w:sz w:val="24"/>
          <w:szCs w:val="24"/>
          <w:highlight w:val="none"/>
        </w:rPr>
        <w:t>投标人名称（盖法人公章）：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2400" w:firstLineChars="10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rFonts w:ascii="宋体" w:hAnsi="宋体"/>
          <w:color w:val="auto"/>
          <w:sz w:val="24"/>
          <w:szCs w:val="24"/>
          <w:highlight w:val="none"/>
        </w:rPr>
      </w:pPr>
      <w:r>
        <w:rPr>
          <w:rFonts w:hint="eastAsia" w:ascii="宋体" w:hAnsi="宋体"/>
          <w:color w:val="auto"/>
          <w:sz w:val="24"/>
          <w:szCs w:val="24"/>
          <w:highlight w:val="none"/>
        </w:rPr>
        <w:t>日期：      年   月   日</w:t>
      </w:r>
    </w:p>
    <w:p>
      <w:pPr>
        <w:spacing w:line="360" w:lineRule="auto"/>
        <w:rPr>
          <w:rFonts w:ascii="宋体" w:hAnsi="宋体"/>
          <w:b/>
          <w:color w:val="auto"/>
          <w:kern w:val="0"/>
          <w:sz w:val="32"/>
          <w:szCs w:val="32"/>
          <w:highlight w:val="none"/>
        </w:rPr>
      </w:pPr>
    </w:p>
    <w:p>
      <w:pPr>
        <w:spacing w:line="360" w:lineRule="auto"/>
        <w:ind w:firstLine="643" w:firstLineChars="200"/>
        <w:jc w:val="center"/>
        <w:rPr>
          <w:rFonts w:ascii="宋体" w:hAnsi="宋体"/>
          <w:color w:val="auto"/>
          <w:kern w:val="0"/>
          <w:sz w:val="18"/>
          <w:szCs w:val="18"/>
          <w:highlight w:val="none"/>
        </w:rPr>
      </w:pPr>
      <w:r>
        <w:rPr>
          <w:rFonts w:hint="eastAsia" w:ascii="宋体" w:hAnsi="宋体"/>
          <w:b/>
          <w:color w:val="auto"/>
          <w:kern w:val="0"/>
          <w:sz w:val="32"/>
          <w:szCs w:val="32"/>
          <w:highlight w:val="none"/>
        </w:rPr>
        <w:t>投标文件编制情况</w:t>
      </w:r>
    </w:p>
    <w:tbl>
      <w:tblPr>
        <w:tblStyle w:val="44"/>
        <w:tblW w:w="8956" w:type="dxa"/>
        <w:jc w:val="center"/>
        <w:tblInd w:w="0" w:type="dxa"/>
        <w:tblLayout w:type="fixed"/>
        <w:tblCellMar>
          <w:top w:w="0" w:type="dxa"/>
          <w:left w:w="108" w:type="dxa"/>
          <w:bottom w:w="0" w:type="dxa"/>
          <w:right w:w="108" w:type="dxa"/>
        </w:tblCellMar>
      </w:tblPr>
      <w:tblGrid>
        <w:gridCol w:w="8956"/>
      </w:tblGrid>
      <w:tr>
        <w:tblPrEx>
          <w:tblLayout w:type="fixed"/>
          <w:tblCellMar>
            <w:top w:w="0" w:type="dxa"/>
            <w:left w:w="108" w:type="dxa"/>
            <w:bottom w:w="0" w:type="dxa"/>
            <w:right w:w="108" w:type="dxa"/>
          </w:tblCellMar>
        </w:tblPrEx>
        <w:trPr>
          <w:trHeight w:val="2819" w:hRule="atLeast"/>
          <w:jc w:val="center"/>
        </w:trPr>
        <w:tc>
          <w:tcPr>
            <w:tcW w:w="8956" w:type="dxa"/>
          </w:tcPr>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1.投标文件报价编制方式:□自行编制的，编制的负责人：</w:t>
            </w:r>
            <w:r>
              <w:rPr>
                <w:rFonts w:hint="eastAsia" w:ascii="宋体" w:hAnsi="宋体"/>
                <w:color w:val="auto"/>
                <w:sz w:val="24"/>
                <w:szCs w:val="20"/>
                <w:highlight w:val="none"/>
                <w:u w:val="single"/>
              </w:rPr>
              <w:t>（盖造价工程师执业专用章或全国建设工程造价员章，执业单位应与投标人一致）</w:t>
            </w:r>
            <w:r>
              <w:rPr>
                <w:rFonts w:hint="eastAsia" w:ascii="宋体" w:hAnsi="宋体"/>
                <w:color w:val="auto"/>
                <w:sz w:val="24"/>
                <w:szCs w:val="20"/>
                <w:highlight w:val="none"/>
              </w:rPr>
              <w:t>。□委托编制的，受委托单位</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，编制的负责人：</w:t>
            </w:r>
            <w:r>
              <w:rPr>
                <w:rFonts w:hint="eastAsia" w:ascii="宋体" w:hAnsi="宋体"/>
                <w:color w:val="auto"/>
                <w:sz w:val="24"/>
                <w:szCs w:val="20"/>
                <w:highlight w:val="none"/>
                <w:u w:val="single"/>
              </w:rPr>
              <w:t>（盖造价工程师执业专用章或全国建设工程造价员章，执业单位应与受委托单位一致）</w:t>
            </w:r>
            <w:r>
              <w:rPr>
                <w:rFonts w:hint="eastAsia" w:ascii="宋体" w:hAnsi="宋体"/>
                <w:color w:val="auto"/>
                <w:sz w:val="24"/>
                <w:szCs w:val="20"/>
                <w:highlight w:val="none"/>
              </w:rPr>
              <w:t>。</w:t>
            </w:r>
          </w:p>
          <w:p>
            <w:pPr>
              <w:spacing w:line="360" w:lineRule="auto"/>
              <w:ind w:firstLine="480" w:firstLineChars="200"/>
              <w:rPr>
                <w:rFonts w:hint="eastAsia" w:ascii="宋体" w:hAnsi="宋体" w:eastAsia="宋体"/>
                <w:color w:val="auto"/>
                <w:sz w:val="24"/>
                <w:szCs w:val="20"/>
                <w:highlight w:val="none"/>
                <w:lang w:eastAsia="zh-CN"/>
              </w:rPr>
            </w:pPr>
            <w:r>
              <w:rPr>
                <w:rFonts w:hint="eastAsia" w:ascii="宋体" w:hAnsi="宋体"/>
                <w:color w:val="auto"/>
                <w:sz w:val="24"/>
                <w:szCs w:val="20"/>
                <w:highlight w:val="none"/>
              </w:rPr>
              <w:t>2.投标文件加密打包的电脑情况投标文件加密打包的电脑</w:t>
            </w:r>
            <w:r>
              <w:rPr>
                <w:rFonts w:hint="eastAsia" w:ascii="宋体" w:hAnsi="宋体"/>
                <w:color w:val="auto"/>
                <w:sz w:val="24"/>
                <w:szCs w:val="20"/>
                <w:highlight w:val="none"/>
                <w:lang w:eastAsia="zh-CN"/>
              </w:rPr>
              <w:t>：□</w:t>
            </w:r>
            <w:r>
              <w:rPr>
                <w:rFonts w:hint="eastAsia" w:ascii="宋体" w:hAnsi="宋体"/>
                <w:color w:val="auto"/>
                <w:sz w:val="24"/>
                <w:szCs w:val="20"/>
                <w:highlight w:val="none"/>
              </w:rPr>
              <w:t>自有</w:t>
            </w:r>
            <w:r>
              <w:rPr>
                <w:rFonts w:hint="eastAsia" w:ascii="宋体" w:hAnsi="宋体"/>
                <w:color w:val="auto"/>
                <w:sz w:val="24"/>
                <w:szCs w:val="20"/>
                <w:highlight w:val="none"/>
                <w:lang w:eastAsia="zh-CN"/>
              </w:rPr>
              <w:t>；</w:t>
            </w:r>
            <w:r>
              <w:rPr>
                <w:rFonts w:hint="eastAsia" w:ascii="宋体" w:hAnsi="宋体"/>
                <w:color w:val="auto"/>
                <w:sz w:val="24"/>
                <w:szCs w:val="20"/>
                <w:highlight w:val="none"/>
              </w:rPr>
              <w:t>□外包</w:t>
            </w:r>
            <w:r>
              <w:rPr>
                <w:rFonts w:hint="eastAsia" w:ascii="宋体" w:hAnsi="宋体"/>
                <w:color w:val="auto"/>
                <w:sz w:val="24"/>
                <w:szCs w:val="20"/>
                <w:highlight w:val="none"/>
                <w:lang w:eastAsia="zh-CN"/>
              </w:rPr>
              <w:t>；</w:t>
            </w:r>
            <w:r>
              <w:rPr>
                <w:rFonts w:hint="eastAsia" w:ascii="宋体" w:hAnsi="宋体"/>
                <w:color w:val="auto"/>
                <w:sz w:val="24"/>
                <w:szCs w:val="20"/>
                <w:highlight w:val="none"/>
              </w:rPr>
              <w:t>□其他</w:t>
            </w:r>
            <w:r>
              <w:rPr>
                <w:rFonts w:hint="eastAsia" w:ascii="宋体" w:hAnsi="宋体"/>
                <w:color w:val="auto"/>
                <w:sz w:val="24"/>
                <w:szCs w:val="20"/>
                <w:highlight w:val="none"/>
                <w:lang w:eastAsia="zh-CN"/>
              </w:rPr>
              <w:t>。</w:t>
            </w:r>
          </w:p>
          <w:p>
            <w:pPr>
              <w:spacing w:line="360" w:lineRule="auto"/>
              <w:rPr>
                <w:rFonts w:ascii="宋体" w:hAnsi="宋体"/>
                <w:color w:val="auto"/>
                <w:sz w:val="24"/>
                <w:szCs w:val="20"/>
                <w:highlight w:val="none"/>
              </w:rPr>
            </w:pPr>
            <w:r>
              <w:rPr>
                <w:rFonts w:hint="eastAsia" w:ascii="宋体" w:hAnsi="宋体"/>
                <w:color w:val="auto"/>
                <w:sz w:val="24"/>
                <w:szCs w:val="20"/>
                <w:highlight w:val="none"/>
              </w:rPr>
              <w:t>电脑类型</w:t>
            </w:r>
          </w:p>
          <w:p>
            <w:pPr>
              <w:spacing w:line="360" w:lineRule="auto"/>
              <w:rPr>
                <w:rFonts w:ascii="宋体" w:hAnsi="宋体"/>
                <w:color w:val="auto"/>
                <w:sz w:val="24"/>
                <w:szCs w:val="20"/>
                <w:highlight w:val="none"/>
              </w:rPr>
            </w:pPr>
            <w:r>
              <w:rPr>
                <w:rFonts w:hint="eastAsia" w:ascii="宋体" w:hAnsi="宋体"/>
                <w:color w:val="auto"/>
                <w:sz w:val="24"/>
                <w:szCs w:val="20"/>
                <w:highlight w:val="none"/>
              </w:rPr>
              <w:t>电脑所属单位</w:t>
            </w:r>
          </w:p>
          <w:p>
            <w:pPr>
              <w:spacing w:line="360" w:lineRule="auto"/>
              <w:rPr>
                <w:rFonts w:ascii="宋体" w:hAnsi="宋体"/>
                <w:color w:val="auto"/>
                <w:sz w:val="24"/>
                <w:szCs w:val="20"/>
                <w:highlight w:val="none"/>
              </w:rPr>
            </w:pPr>
            <w:r>
              <w:rPr>
                <w:rFonts w:hint="eastAsia" w:ascii="宋体" w:hAnsi="宋体"/>
                <w:color w:val="auto"/>
                <w:sz w:val="24"/>
                <w:szCs w:val="20"/>
                <w:highlight w:val="none"/>
              </w:rPr>
              <w:t>电脑所在地址        （如××市××区(县) ××街（路）××号××大厦××房）</w:t>
            </w:r>
          </w:p>
        </w:tc>
      </w:tr>
    </w:tbl>
    <w:p>
      <w:pPr>
        <w:spacing w:line="320" w:lineRule="exact"/>
        <w:rPr>
          <w:rFonts w:ascii="仿宋_GB2312" w:hAnsi="楷体" w:eastAsia="仿宋_GB2312"/>
          <w:color w:val="auto"/>
          <w:szCs w:val="21"/>
          <w:highlight w:val="none"/>
        </w:rPr>
      </w:pPr>
    </w:p>
    <w:p>
      <w:pPr>
        <w:tabs>
          <w:tab w:val="left" w:pos="720"/>
        </w:tabs>
        <w:snapToGrid w:val="0"/>
        <w:spacing w:line="360" w:lineRule="auto"/>
        <w:jc w:val="center"/>
        <w:rPr>
          <w:rStyle w:val="60"/>
          <w:color w:val="auto"/>
          <w:highlight w:val="none"/>
        </w:rPr>
      </w:pPr>
      <w:r>
        <w:rPr>
          <w:color w:val="auto"/>
          <w:sz w:val="24"/>
          <w:szCs w:val="24"/>
          <w:highlight w:val="none"/>
        </w:rPr>
        <w:br w:type="page"/>
      </w:r>
      <w:bookmarkStart w:id="175" w:name="_Toc2272568"/>
      <w:bookmarkStart w:id="176" w:name="_Toc21525513"/>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175"/>
      <w:bookmarkEnd w:id="176"/>
    </w:p>
    <w:p>
      <w:pPr>
        <w:widowControl/>
        <w:topLinePunct/>
        <w:adjustRightInd w:val="0"/>
        <w:snapToGrid w:val="0"/>
        <w:spacing w:after="200" w:line="360" w:lineRule="auto"/>
        <w:ind w:firstLine="424" w:firstLineChars="177"/>
        <w:jc w:val="left"/>
        <w:rPr>
          <w:color w:val="auto"/>
          <w:sz w:val="24"/>
          <w:szCs w:val="24"/>
          <w:highlight w:val="none"/>
        </w:rPr>
      </w:pPr>
      <w:r>
        <w:rPr>
          <w:rFonts w:hint="eastAsia"/>
          <w:color w:val="auto"/>
          <w:sz w:val="24"/>
          <w:szCs w:val="24"/>
          <w:highlight w:val="none"/>
        </w:rPr>
        <w:t>下列文件应被认</w:t>
      </w:r>
      <w:bookmarkStart w:id="177" w:name="_Toc392692104"/>
      <w:bookmarkStart w:id="178" w:name="_Toc392863103"/>
      <w:r>
        <w:rPr>
          <w:rFonts w:hint="eastAsia"/>
          <w:color w:val="auto"/>
          <w:sz w:val="24"/>
          <w:szCs w:val="24"/>
          <w:highlight w:val="none"/>
        </w:rPr>
        <w:t>为是组成本章内容的</w:t>
      </w:r>
      <w:bookmarkEnd w:id="177"/>
      <w:bookmarkEnd w:id="178"/>
      <w:r>
        <w:rPr>
          <w:rFonts w:hint="eastAsia"/>
          <w:color w:val="auto"/>
          <w:sz w:val="24"/>
          <w:szCs w:val="24"/>
          <w:highlight w:val="none"/>
        </w:rPr>
        <w:t>一部分，并互为补充和解释，如各文件存在冲突之处，以如下排列次序在前者优先适用：</w:t>
      </w:r>
    </w:p>
    <w:p>
      <w:pPr>
        <w:widowControl/>
        <w:topLinePunct/>
        <w:adjustRightInd w:val="0"/>
        <w:snapToGrid w:val="0"/>
        <w:spacing w:line="360" w:lineRule="auto"/>
        <w:ind w:firstLine="424" w:firstLineChars="177"/>
        <w:jc w:val="left"/>
        <w:rPr>
          <w:color w:val="auto"/>
          <w:sz w:val="24"/>
          <w:szCs w:val="24"/>
          <w:highlight w:val="none"/>
        </w:rPr>
      </w:pPr>
      <w:r>
        <w:rPr>
          <w:rFonts w:hint="eastAsia"/>
          <w:color w:val="auto"/>
          <w:sz w:val="24"/>
          <w:szCs w:val="24"/>
          <w:highlight w:val="none"/>
        </w:rPr>
        <w:t>1、遵照招标人相关规定要求；</w:t>
      </w:r>
    </w:p>
    <w:p>
      <w:pPr>
        <w:widowControl/>
        <w:topLinePunct/>
        <w:adjustRightInd w:val="0"/>
        <w:snapToGrid w:val="0"/>
        <w:spacing w:line="360" w:lineRule="auto"/>
        <w:ind w:firstLine="424" w:firstLineChars="177"/>
        <w:jc w:val="left"/>
        <w:rPr>
          <w:color w:val="auto"/>
          <w:sz w:val="24"/>
          <w:szCs w:val="24"/>
          <w:highlight w:val="none"/>
        </w:rPr>
      </w:pPr>
      <w:r>
        <w:rPr>
          <w:rFonts w:hint="eastAsia"/>
          <w:color w:val="auto"/>
          <w:sz w:val="24"/>
          <w:szCs w:val="24"/>
          <w:highlight w:val="none"/>
        </w:rPr>
        <w:t>2、采用图纸中规定的其它技术和验收标准；</w:t>
      </w:r>
    </w:p>
    <w:p>
      <w:pPr>
        <w:spacing w:line="360" w:lineRule="auto"/>
        <w:ind w:firstLine="424" w:firstLineChars="177"/>
        <w:rPr>
          <w:color w:val="auto"/>
          <w:sz w:val="24"/>
          <w:szCs w:val="24"/>
          <w:highlight w:val="none"/>
        </w:rPr>
      </w:pPr>
      <w:r>
        <w:rPr>
          <w:rFonts w:hint="eastAsia"/>
          <w:color w:val="auto"/>
          <w:sz w:val="24"/>
          <w:szCs w:val="24"/>
          <w:highlight w:val="none"/>
        </w:rPr>
        <w:t>3、采用中华人民共和国现行技术和验收规范。</w:t>
      </w:r>
    </w:p>
    <w:p>
      <w:pPr>
        <w:ind w:firstLine="424" w:firstLineChars="177"/>
        <w:rPr>
          <w:rFonts w:hint="eastAsia"/>
          <w:color w:val="auto"/>
          <w:sz w:val="24"/>
          <w:szCs w:val="24"/>
          <w:highlight w:val="none"/>
        </w:rPr>
      </w:pPr>
    </w:p>
    <w:p>
      <w:pPr>
        <w:keepNext/>
        <w:keepLines/>
        <w:spacing w:before="240" w:after="120" w:line="360" w:lineRule="auto"/>
        <w:ind w:firstLine="533" w:firstLineChars="177"/>
        <w:jc w:val="center"/>
        <w:outlineLvl w:val="1"/>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一、项目施工准备事项</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1、施工总平面布置</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根据本项目规划建设内容，由承包人统筹考虑总平面布置，并按广州市安全文明施工管理相关要求执行。若因影响后续施工而产生二次或多次临建设施搬迁，承包人必须无条件服从施工安排，并恢复原状，由此引起的恢复费用，发包人不做任何补偿。</w:t>
      </w:r>
    </w:p>
    <w:p>
      <w:pPr>
        <w:topLinePunct/>
        <w:adjustRightInd w:val="0"/>
        <w:snapToGrid w:val="0"/>
        <w:spacing w:line="360" w:lineRule="auto"/>
        <w:ind w:firstLine="438" w:firstLineChars="177"/>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2、三通一平部署</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（1）临水临电接驳</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本项目场址位于白</w:t>
      </w:r>
      <w:bookmarkStart w:id="179" w:name="_Hlk142485596"/>
      <w:r>
        <w:rPr>
          <w:rFonts w:hint="eastAsia" w:ascii="宋体" w:hAnsi="宋体" w:cs="宋体"/>
          <w:color w:val="auto"/>
          <w:spacing w:val="4"/>
          <w:kern w:val="0"/>
          <w:sz w:val="24"/>
          <w:szCs w:val="24"/>
          <w:highlight w:val="none"/>
        </w:rPr>
        <w:t>云区齐心路与白云中一路之间，原白云公园内，</w:t>
      </w:r>
      <w:bookmarkEnd w:id="179"/>
      <w:r>
        <w:rPr>
          <w:rFonts w:hint="eastAsia" w:ascii="宋体" w:hAnsi="宋体" w:cs="宋体"/>
          <w:color w:val="auto"/>
          <w:spacing w:val="4"/>
          <w:sz w:val="24"/>
          <w:szCs w:val="24"/>
          <w:highlight w:val="none"/>
        </w:rPr>
        <w:t>临水需要在项目附近市政给水主管进行接驳。临时用电需要在附近的原有供配电所引出。</w:t>
      </w:r>
    </w:p>
    <w:p>
      <w:pPr>
        <w:topLinePunct/>
        <w:adjustRightInd w:val="0"/>
        <w:snapToGrid w:val="0"/>
        <w:spacing w:line="360" w:lineRule="auto"/>
        <w:ind w:right="11"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围蔽及临时道路</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1）围蔽的要求及范围</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要求：施工期间对施工区域及周边用地范围按建设主管部门及发包人的要求进行围蔽。</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2）临时道路：</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投标人自行踏勘现场。从外路引入施工便道的施工费用计入三通一平费用。</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（3）临时排水及排污</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由承包人自行修建临时排污设施，且必须设置污水处理系统，符合广州市建筑污水排放标准，费用含于投标报价中，不再另行计取。</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3、视频监控系统安装工程</w:t>
      </w:r>
    </w:p>
    <w:p>
      <w:pPr>
        <w:topLinePunct/>
        <w:adjustRightInd w:val="0"/>
        <w:snapToGrid w:val="0"/>
        <w:spacing w:line="360" w:lineRule="auto"/>
        <w:ind w:firstLine="438" w:firstLineChars="177"/>
        <w:rPr>
          <w:color w:val="auto"/>
          <w:highlight w:val="none"/>
        </w:rPr>
      </w:pPr>
      <w:r>
        <w:rPr>
          <w:rFonts w:hint="eastAsia" w:ascii="宋体" w:hAnsi="宋体" w:cs="宋体"/>
          <w:color w:val="auto"/>
          <w:spacing w:val="4"/>
          <w:kern w:val="0"/>
          <w:sz w:val="24"/>
          <w:szCs w:val="24"/>
          <w:highlight w:val="none"/>
        </w:rPr>
        <w:t>施工现场的视频监控系统应满足《广州市建委关于广州市建筑工地安装视频监控装置的通知》（穗建筑[2006]551号）、《关于全面启动广州市社会治安视频监控系统建设有关问题的通知》（穗视频建字【2006】1号）和《广州市住房和城乡建设委员会关于全市建设工地纳入视频监管的通知》（穗建质[2017]1166号）的要求。</w:t>
      </w:r>
    </w:p>
    <w:p>
      <w:pPr>
        <w:keepNext/>
        <w:keepLines/>
        <w:spacing w:before="240" w:after="120" w:line="360" w:lineRule="auto"/>
        <w:ind w:firstLine="533" w:firstLineChars="177"/>
        <w:jc w:val="center"/>
        <w:outlineLvl w:val="1"/>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二、项目管理目标</w:t>
      </w:r>
    </w:p>
    <w:p>
      <w:pPr>
        <w:widowControl/>
        <w:topLinePunct/>
        <w:adjustRightInd w:val="0"/>
        <w:snapToGrid w:val="0"/>
        <w:spacing w:line="360" w:lineRule="auto"/>
        <w:ind w:firstLine="441" w:firstLineChars="177"/>
        <w:jc w:val="left"/>
        <w:rPr>
          <w:rFonts w:hint="eastAsia"/>
          <w:b/>
          <w:snapToGrid w:val="0"/>
          <w:color w:val="auto"/>
          <w:spacing w:val="4"/>
          <w:kern w:val="0"/>
          <w:sz w:val="24"/>
          <w:szCs w:val="24"/>
          <w:highlight w:val="none"/>
        </w:rPr>
      </w:pPr>
      <w:r>
        <w:rPr>
          <w:rFonts w:hint="eastAsia"/>
          <w:b/>
          <w:snapToGrid w:val="0"/>
          <w:color w:val="auto"/>
          <w:spacing w:val="4"/>
          <w:kern w:val="0"/>
          <w:sz w:val="24"/>
          <w:szCs w:val="24"/>
          <w:highlight w:val="none"/>
        </w:rPr>
        <w:t>（一）工期进度目标</w:t>
      </w:r>
    </w:p>
    <w:p>
      <w:pPr>
        <w:pStyle w:val="11"/>
        <w:spacing w:before="0" w:beforeAutospacing="0" w:after="0" w:afterAutospacing="0" w:line="360" w:lineRule="auto"/>
        <w:ind w:firstLine="542" w:firstLineChars="200"/>
        <w:rPr>
          <w:rFonts w:hint="eastAsia" w:cs="宋体"/>
          <w:b/>
          <w:bCs/>
          <w:color w:val="auto"/>
          <w:szCs w:val="28"/>
          <w:highlight w:val="none"/>
        </w:rPr>
      </w:pPr>
      <w:r>
        <w:rPr>
          <w:rFonts w:hint="eastAsia" w:cs="宋体"/>
          <w:b/>
          <w:bCs/>
          <w:color w:val="auto"/>
          <w:szCs w:val="28"/>
          <w:highlight w:val="none"/>
        </w:rPr>
        <w:t>工期暂定为</w:t>
      </w:r>
      <w:r>
        <w:rPr>
          <w:rFonts w:hint="eastAsia" w:cs="宋体"/>
          <w:b/>
          <w:bCs/>
          <w:color w:val="auto"/>
          <w:szCs w:val="28"/>
          <w:highlight w:val="none"/>
          <w:lang w:val="en-US" w:eastAsia="zh-CN"/>
        </w:rPr>
        <w:t>365</w:t>
      </w:r>
      <w:r>
        <w:rPr>
          <w:rFonts w:hint="eastAsia" w:cs="宋体"/>
          <w:b/>
          <w:bCs/>
          <w:color w:val="auto"/>
          <w:szCs w:val="28"/>
          <w:highlight w:val="none"/>
        </w:rPr>
        <w:t>日历天（具体开工日期以总监理工程师发出的开工令为准）</w:t>
      </w:r>
    </w:p>
    <w:p>
      <w:pPr>
        <w:pStyle w:val="11"/>
        <w:numPr>
          <w:ilvl w:val="0"/>
          <w:numId w:val="0"/>
        </w:numPr>
        <w:spacing w:before="0" w:beforeAutospacing="0" w:after="0" w:afterAutospacing="0" w:line="360" w:lineRule="auto"/>
        <w:ind w:firstLine="498" w:firstLineChars="200"/>
        <w:rPr>
          <w:rFonts w:hint="eastAsia" w:ascii="宋体" w:hAnsi="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lang w:val="en-US" w:eastAsia="zh-CN" w:bidi="ar-SA"/>
        </w:rPr>
        <w:t>（二）</w:t>
      </w:r>
      <w:r>
        <w:rPr>
          <w:rFonts w:hint="eastAsia" w:ascii="宋体" w:hAnsi="宋体" w:cs="宋体"/>
          <w:b/>
          <w:bCs/>
          <w:color w:val="auto"/>
          <w:spacing w:val="4"/>
          <w:kern w:val="0"/>
          <w:sz w:val="24"/>
          <w:szCs w:val="24"/>
          <w:highlight w:val="none"/>
        </w:rPr>
        <w:t>质量目标</w:t>
      </w:r>
    </w:p>
    <w:p>
      <w:pPr>
        <w:pStyle w:val="11"/>
        <w:numPr>
          <w:ilvl w:val="0"/>
          <w:numId w:val="0"/>
        </w:numPr>
        <w:spacing w:before="0" w:beforeAutospacing="0" w:after="0" w:afterAutospacing="0" w:line="360" w:lineRule="auto"/>
        <w:ind w:firstLine="480" w:firstLineChars="200"/>
        <w:rPr>
          <w:rFonts w:hint="eastAsia" w:ascii="宋体" w:hAnsi="宋体" w:cs="宋体"/>
          <w:b/>
          <w:bCs/>
          <w:snapToGrid w:val="0"/>
          <w:color w:val="auto"/>
          <w:kern w:val="0"/>
          <w:sz w:val="24"/>
          <w:highlight w:val="none"/>
          <w:lang w:val="zh-CN"/>
        </w:rPr>
      </w:pPr>
      <w:r>
        <w:rPr>
          <w:rFonts w:hint="eastAsia" w:ascii="宋体" w:hAnsi="宋体" w:cs="宋体"/>
          <w:bCs/>
          <w:snapToGrid w:val="0"/>
          <w:color w:val="auto"/>
          <w:kern w:val="0"/>
          <w:sz w:val="24"/>
          <w:szCs w:val="22"/>
          <w:highlight w:val="none"/>
        </w:rPr>
        <w:t>工程建设质量目标：一次验收合格</w:t>
      </w:r>
      <w:r>
        <w:rPr>
          <w:rFonts w:hint="eastAsia" w:ascii="宋体" w:hAnsi="宋体" w:cs="宋体"/>
          <w:b/>
          <w:bCs/>
          <w:snapToGrid w:val="0"/>
          <w:color w:val="auto"/>
          <w:kern w:val="0"/>
          <w:sz w:val="24"/>
          <w:highlight w:val="none"/>
          <w:lang w:val="zh-CN"/>
        </w:rPr>
        <w:t>。</w:t>
      </w:r>
    </w:p>
    <w:p>
      <w:pPr>
        <w:pStyle w:val="11"/>
        <w:numPr>
          <w:ilvl w:val="0"/>
          <w:numId w:val="0"/>
        </w:numPr>
        <w:spacing w:before="0" w:beforeAutospacing="0" w:after="0" w:afterAutospacing="0" w:line="360" w:lineRule="auto"/>
        <w:ind w:firstLine="498" w:firstLineChars="200"/>
        <w:rPr>
          <w:rFonts w:hint="eastAsia" w:ascii="宋体" w:hAnsi="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lang w:val="en-US" w:eastAsia="zh-CN" w:bidi="ar-SA"/>
        </w:rPr>
        <w:t>（三）</w:t>
      </w:r>
      <w:r>
        <w:rPr>
          <w:rFonts w:hint="eastAsia" w:ascii="宋体" w:hAnsi="宋体" w:cs="宋体"/>
          <w:b/>
          <w:bCs/>
          <w:color w:val="auto"/>
          <w:spacing w:val="4"/>
          <w:kern w:val="0"/>
          <w:sz w:val="24"/>
          <w:szCs w:val="24"/>
          <w:highlight w:val="none"/>
        </w:rPr>
        <w:t>职业健康安全管理目标</w:t>
      </w:r>
    </w:p>
    <w:p>
      <w:pPr>
        <w:pStyle w:val="11"/>
        <w:numPr>
          <w:ilvl w:val="0"/>
          <w:numId w:val="0"/>
        </w:numPr>
        <w:spacing w:before="0" w:beforeAutospacing="0" w:after="0" w:afterAutospacing="0" w:line="360" w:lineRule="auto"/>
        <w:ind w:firstLine="480" w:firstLineChars="200"/>
        <w:rPr>
          <w:rFonts w:hint="eastAsia"/>
          <w:color w:val="auto"/>
          <w:sz w:val="24"/>
          <w:szCs w:val="24"/>
          <w:highlight w:val="none"/>
        </w:rPr>
      </w:pPr>
      <w:r>
        <w:rPr>
          <w:rFonts w:hint="eastAsia"/>
          <w:color w:val="auto"/>
          <w:sz w:val="24"/>
          <w:szCs w:val="24"/>
          <w:highlight w:val="none"/>
        </w:rPr>
        <w:t>杜绝发生一般事故等级及以上的伤亡事故且工伤责任事故死亡人数为零。</w:t>
      </w:r>
    </w:p>
    <w:p>
      <w:pPr>
        <w:pStyle w:val="11"/>
        <w:numPr>
          <w:ilvl w:val="0"/>
          <w:numId w:val="0"/>
        </w:numPr>
        <w:spacing w:before="0" w:beforeAutospacing="0" w:after="0" w:afterAutospacing="0" w:line="360" w:lineRule="auto"/>
        <w:ind w:firstLine="498" w:firstLineChars="200"/>
        <w:rPr>
          <w:rFonts w:hint="eastAsia" w:ascii="宋体" w:hAnsi="宋体" w:eastAsia="宋体" w:cs="宋体"/>
          <w:b/>
          <w:bCs/>
          <w:color w:val="auto"/>
          <w:spacing w:val="4"/>
          <w:kern w:val="0"/>
          <w:sz w:val="24"/>
          <w:szCs w:val="24"/>
          <w:highlight w:val="none"/>
          <w:lang w:val="en-US" w:eastAsia="zh-CN" w:bidi="ar-SA"/>
        </w:rPr>
      </w:pPr>
      <w:r>
        <w:rPr>
          <w:rFonts w:hint="eastAsia" w:ascii="宋体" w:hAnsi="宋体" w:eastAsia="宋体" w:cs="宋体"/>
          <w:b/>
          <w:bCs/>
          <w:color w:val="auto"/>
          <w:spacing w:val="4"/>
          <w:kern w:val="0"/>
          <w:sz w:val="24"/>
          <w:szCs w:val="24"/>
          <w:highlight w:val="none"/>
          <w:lang w:val="en-US" w:eastAsia="zh-CN" w:bidi="ar-SA"/>
        </w:rPr>
        <w:t>（四）环境管理目标：</w:t>
      </w:r>
    </w:p>
    <w:p>
      <w:pPr>
        <w:pStyle w:val="11"/>
        <w:numPr>
          <w:ilvl w:val="0"/>
          <w:numId w:val="0"/>
        </w:numPr>
        <w:spacing w:before="0" w:beforeAutospacing="0" w:after="0" w:afterAutospacing="0"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snapToGrid w:val="0"/>
          <w:color w:val="auto"/>
          <w:kern w:val="0"/>
          <w:sz w:val="24"/>
          <w:highlight w:val="none"/>
        </w:rPr>
        <w:t>严格执行</w:t>
      </w:r>
      <w:r>
        <w:rPr>
          <w:rFonts w:hint="eastAsia" w:ascii="宋体" w:hAnsi="宋体" w:cs="宋体"/>
          <w:bCs/>
          <w:snapToGrid w:val="0"/>
          <w:color w:val="auto"/>
          <w:kern w:val="0"/>
          <w:sz w:val="24"/>
          <w:highlight w:val="none"/>
        </w:rPr>
        <w:t>《广州市建设工程现场文明施工管理办法》（穗建质〔2008〕937号）、《关于进一步规范建设工程施工现场围蔽的通知》（穗建质〔2008〕1008号）、《广州市住房和城乡建设局等8部门关于印发广州市建设工程扬尘防治“6个100%”管理标准图集（V2.0版）的通知》和《广州市住房和城乡建设局等9部门关于印发广州市建设工程绿色施工围蔽指导图集（V2.0版）的通知 》（穗建质〔2020〕1号）等。</w:t>
      </w:r>
    </w:p>
    <w:p>
      <w:pPr>
        <w:pStyle w:val="11"/>
        <w:numPr>
          <w:ilvl w:val="0"/>
          <w:numId w:val="0"/>
        </w:numPr>
        <w:spacing w:before="0" w:beforeAutospacing="0" w:after="0" w:afterAutospacing="0" w:line="360" w:lineRule="auto"/>
        <w:ind w:firstLine="498" w:firstLineChars="200"/>
        <w:rPr>
          <w:rFonts w:hint="eastAsia" w:ascii="宋体" w:hAnsi="宋体" w:eastAsia="宋体" w:cs="宋体"/>
          <w:b/>
          <w:bCs/>
          <w:color w:val="auto"/>
          <w:spacing w:val="4"/>
          <w:kern w:val="0"/>
          <w:sz w:val="24"/>
          <w:szCs w:val="24"/>
          <w:highlight w:val="none"/>
          <w:lang w:val="en-US" w:eastAsia="zh-CN" w:bidi="ar-SA"/>
        </w:rPr>
      </w:pPr>
      <w:r>
        <w:rPr>
          <w:rFonts w:hint="eastAsia" w:ascii="宋体" w:hAnsi="宋体" w:eastAsia="宋体" w:cs="宋体"/>
          <w:b/>
          <w:bCs/>
          <w:color w:val="auto"/>
          <w:spacing w:val="4"/>
          <w:kern w:val="0"/>
          <w:sz w:val="24"/>
          <w:szCs w:val="24"/>
          <w:highlight w:val="none"/>
          <w:lang w:val="en-US" w:eastAsia="zh-CN" w:bidi="ar-SA"/>
        </w:rPr>
        <w:t>（五）投资控制（结算）目标</w:t>
      </w:r>
    </w:p>
    <w:p>
      <w:pPr>
        <w:pStyle w:val="11"/>
        <w:numPr>
          <w:ilvl w:val="0"/>
          <w:numId w:val="0"/>
        </w:numPr>
        <w:ind w:leftChars="200" w:firstLine="248" w:firstLineChars="100"/>
        <w:rPr>
          <w:rFonts w:hint="eastAsia" w:ascii="宋体" w:hAnsi="宋体" w:cs="宋体"/>
          <w:b/>
          <w:bCs/>
          <w:color w:val="auto"/>
          <w:kern w:val="0"/>
          <w:sz w:val="30"/>
          <w:szCs w:val="30"/>
          <w:highlight w:val="none"/>
        </w:rPr>
      </w:pPr>
      <w:r>
        <w:rPr>
          <w:rFonts w:hint="eastAsia" w:ascii="宋体" w:hAnsi="宋体" w:cs="宋体"/>
          <w:color w:val="auto"/>
          <w:spacing w:val="4"/>
          <w:kern w:val="0"/>
          <w:sz w:val="24"/>
          <w:szCs w:val="24"/>
          <w:highlight w:val="none"/>
        </w:rPr>
        <w:t>投资控制目标：结算金额控制在</w:t>
      </w:r>
      <w:r>
        <w:rPr>
          <w:rFonts w:hint="eastAsia" w:cs="宋体"/>
          <w:color w:val="auto"/>
          <w:spacing w:val="4"/>
          <w:kern w:val="0"/>
          <w:sz w:val="24"/>
          <w:szCs w:val="24"/>
          <w:highlight w:val="none"/>
          <w:lang w:val="en-US" w:eastAsia="zh-CN"/>
        </w:rPr>
        <w:t>概算批复</w:t>
      </w:r>
      <w:r>
        <w:rPr>
          <w:rFonts w:hint="eastAsia" w:ascii="宋体" w:hAnsi="宋体" w:cs="宋体"/>
          <w:color w:val="auto"/>
          <w:spacing w:val="4"/>
          <w:kern w:val="0"/>
          <w:sz w:val="24"/>
          <w:szCs w:val="24"/>
          <w:highlight w:val="none"/>
        </w:rPr>
        <w:t>价以内。</w:t>
      </w:r>
      <w:bookmarkStart w:id="180" w:name="_Toc41306283"/>
    </w:p>
    <w:p>
      <w:pPr>
        <w:keepNext/>
        <w:keepLines/>
        <w:spacing w:before="240" w:after="120" w:line="360" w:lineRule="auto"/>
        <w:ind w:firstLine="533" w:firstLineChars="177"/>
        <w:jc w:val="center"/>
        <w:outlineLvl w:val="1"/>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三、项目管理重点、难点</w:t>
      </w:r>
      <w:bookmarkEnd w:id="180"/>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本工程位于云区齐心路与白云中一路之间，原白云公园内，周围人流、车流量大，受关注度高，施工过程中需打造保护自然资源和生态环境、节能、节材、节水、节地、减少环境污染与智能化系统建设，项目周期内围绕“以人为本”、“人-建筑-自然”三者和谐统一的基本理念，确保项目现场的安全文明施工管理是项目的难点。</w:t>
      </w:r>
    </w:p>
    <w:p>
      <w:pPr>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2、施工时广州市儿童公园会正常对外开放，会存在交叉现象，因此，施工期间现场管理、围蔽施工是本工程的重点。</w:t>
      </w:r>
    </w:p>
    <w:p>
      <w:pPr>
        <w:adjustRightInd w:val="0"/>
        <w:snapToGrid w:val="0"/>
        <w:spacing w:line="360" w:lineRule="auto"/>
        <w:ind w:firstLine="424" w:firstLineChars="177"/>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材料管理是质量管理的重中之重。因此，严格实行材料看样定板制度，对进场材料严格按照定板标准组织监理验收并按相关规定进行材料检测，必须是百分百合格且与样板一致的材料才准进场使用。成套设备严格执行开箱验收制度，组织监理严格按照设计图纸和主要材料设备技术需求书列明的参数核对设备信息，确保进场设备符合设计要求。</w:t>
      </w:r>
    </w:p>
    <w:p>
      <w:pPr>
        <w:adjustRightInd w:val="0"/>
        <w:snapToGrid w:val="0"/>
        <w:spacing w:line="360" w:lineRule="auto"/>
        <w:ind w:firstLine="424" w:firstLineChars="177"/>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、现场临设场地需统一规划，各专业的平行施工较多，因此，工序衔接、专业之间的配合及运输的使用管理、现场材料进场堆放等诸多方面需要现场管理组重点协调，是现场管理的一项重点工作。</w:t>
      </w:r>
    </w:p>
    <w:p>
      <w:pPr>
        <w:keepNext/>
        <w:keepLines/>
        <w:spacing w:before="240" w:after="120" w:line="360" w:lineRule="auto"/>
        <w:ind w:firstLine="533" w:firstLineChars="177"/>
        <w:jc w:val="center"/>
        <w:outlineLvl w:val="1"/>
        <w:rPr>
          <w:rFonts w:hint="eastAsia" w:ascii="宋体" w:hAnsi="宋体" w:cs="宋体"/>
          <w:b/>
          <w:bCs/>
          <w:color w:val="auto"/>
          <w:kern w:val="0"/>
          <w:sz w:val="30"/>
          <w:szCs w:val="30"/>
          <w:highlight w:val="none"/>
        </w:rPr>
      </w:pPr>
      <w:bookmarkStart w:id="181" w:name="_Toc41306284"/>
      <w:r>
        <w:rPr>
          <w:rFonts w:hint="eastAsia" w:ascii="宋体" w:hAnsi="宋体" w:cs="宋体"/>
          <w:b/>
          <w:bCs/>
          <w:color w:val="auto"/>
          <w:kern w:val="0"/>
          <w:sz w:val="30"/>
          <w:szCs w:val="30"/>
          <w:highlight w:val="none"/>
        </w:rPr>
        <w:t>四、项目管理要求</w:t>
      </w:r>
      <w:bookmarkEnd w:id="181"/>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82" w:name="_Toc41306285"/>
      <w:r>
        <w:rPr>
          <w:rFonts w:hint="eastAsia" w:ascii="宋体" w:hAnsi="宋体" w:cs="宋体"/>
          <w:b/>
          <w:bCs/>
          <w:color w:val="auto"/>
          <w:spacing w:val="4"/>
          <w:kern w:val="0"/>
          <w:sz w:val="24"/>
          <w:szCs w:val="24"/>
          <w:highlight w:val="none"/>
        </w:rPr>
        <w:t>（一）专业工程实施能力要求</w:t>
      </w:r>
      <w:bookmarkEnd w:id="182"/>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本项目包含</w:t>
      </w:r>
      <w:bookmarkStart w:id="183" w:name="_Hlk142485837"/>
      <w:r>
        <w:rPr>
          <w:rFonts w:hint="eastAsia" w:ascii="宋体" w:hAnsi="宋体" w:cs="宋体"/>
          <w:color w:val="auto"/>
          <w:spacing w:val="4"/>
          <w:kern w:val="0"/>
          <w:sz w:val="24"/>
          <w:szCs w:val="24"/>
          <w:highlight w:val="none"/>
        </w:rPr>
        <w:t>建筑部分、园建部分、园林电气、给排水、绿化、园路等</w:t>
      </w:r>
      <w:bookmarkEnd w:id="183"/>
      <w:r>
        <w:rPr>
          <w:rFonts w:hint="eastAsia" w:ascii="宋体" w:hAnsi="宋体" w:cs="宋体"/>
          <w:color w:val="auto"/>
          <w:spacing w:val="4"/>
          <w:kern w:val="0"/>
          <w:sz w:val="24"/>
          <w:szCs w:val="24"/>
          <w:highlight w:val="none"/>
        </w:rPr>
        <w:t>工程。由于上述专业工程较复杂、专业性较强，故中标人须具备完成上述专业工程的能力。否则，中标人须根据国家、住房和城乡建设部和省市相关规定委托给具备相应专业承包能力且经招标人、监理单位共同认可的专业承包单位实施，中标单位在选定专业分包单位时，应择优选择至少三家具有资质的专业分包单位供招标人、监理单位考察和评审。</w:t>
      </w:r>
    </w:p>
    <w:p>
      <w:pPr>
        <w:keepNext/>
        <w:keepLines/>
        <w:spacing w:before="161" w:beforeLines="50" w:after="120" w:line="360" w:lineRule="auto"/>
        <w:ind w:firstLine="441" w:firstLineChars="177"/>
        <w:jc w:val="left"/>
        <w:outlineLvl w:val="2"/>
        <w:rPr>
          <w:rFonts w:hint="eastAsia" w:ascii="宋体" w:hAnsi="宋体" w:eastAsia="宋体" w:cs="宋体"/>
          <w:b/>
          <w:bCs/>
          <w:color w:val="auto"/>
          <w:spacing w:val="4"/>
          <w:kern w:val="0"/>
          <w:sz w:val="24"/>
          <w:szCs w:val="24"/>
          <w:highlight w:val="none"/>
          <w:lang w:eastAsia="zh-CN"/>
        </w:rPr>
      </w:pPr>
      <w:bookmarkStart w:id="184" w:name="_Toc41306286"/>
      <w:r>
        <w:rPr>
          <w:rFonts w:hint="eastAsia" w:ascii="宋体" w:hAnsi="宋体" w:cs="宋体"/>
          <w:b/>
          <w:bCs/>
          <w:color w:val="auto"/>
          <w:spacing w:val="4"/>
          <w:kern w:val="0"/>
          <w:sz w:val="24"/>
          <w:szCs w:val="24"/>
          <w:highlight w:val="none"/>
        </w:rPr>
        <w:t>（二）深化设计管理要求</w:t>
      </w:r>
      <w:bookmarkEnd w:id="184"/>
      <w:r>
        <w:rPr>
          <w:rFonts w:hint="eastAsia" w:ascii="宋体" w:hAnsi="宋体" w:cs="宋体"/>
          <w:b/>
          <w:bCs/>
          <w:color w:val="auto"/>
          <w:spacing w:val="4"/>
          <w:kern w:val="0"/>
          <w:sz w:val="24"/>
          <w:szCs w:val="24"/>
          <w:highlight w:val="none"/>
          <w:lang w:eastAsia="zh-CN"/>
        </w:rPr>
        <w:t>（</w:t>
      </w:r>
      <w:r>
        <w:rPr>
          <w:rFonts w:hint="eastAsia" w:ascii="宋体" w:hAnsi="宋体" w:cs="宋体"/>
          <w:b/>
          <w:bCs/>
          <w:color w:val="auto"/>
          <w:spacing w:val="4"/>
          <w:kern w:val="0"/>
          <w:sz w:val="24"/>
          <w:szCs w:val="24"/>
          <w:highlight w:val="none"/>
          <w:lang w:val="en-US" w:eastAsia="zh-CN"/>
        </w:rPr>
        <w:t>若有</w:t>
      </w:r>
      <w:r>
        <w:rPr>
          <w:rFonts w:hint="eastAsia" w:ascii="宋体" w:hAnsi="宋体" w:cs="宋体"/>
          <w:b/>
          <w:bCs/>
          <w:color w:val="auto"/>
          <w:spacing w:val="4"/>
          <w:kern w:val="0"/>
          <w:sz w:val="24"/>
          <w:szCs w:val="24"/>
          <w:highlight w:val="none"/>
          <w:lang w:eastAsia="zh-CN"/>
        </w:rPr>
        <w:t>）</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（1）深化设计内容。本项目以下专业工程由承包人负责深化设计：</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①建筑部分、园建部分、园林电气、给排水、绿化、园路等深化、承诺书中明确的需深化的内容等；</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②其他专业工程，具体以发包人要求为准。</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（2）深化设计能力要求。承包人应具备相应的专业工程深化设计能力及深化设计业绩，如承包人不具备，则应经发包人同意依法委托给具有相应能力的单位实施。</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（3）深化设计工作要点</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①深化设计是在不改变原施工图设计功能、结构体系和设计意图的前提下，以提高施工图的可操作性和便于施工为目的，对施工图进行深化、优化和完善、力求节约投资的技术工作。有关费用已包含在合同总价中。</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②承包人进行深化设计时，应以设计院出的设计图纸为依据，如没有合理的原因，不能进行改动；深化设计图纸报经监理单位、和发包人同意批准后，报经设计单位及施工图审查单位进行审核同意后方可实施，没有以上</w:t>
      </w:r>
      <w:r>
        <w:rPr>
          <w:rFonts w:hint="eastAsia" w:cs="宋体"/>
          <w:color w:val="auto"/>
          <w:spacing w:val="4"/>
          <w:kern w:val="0"/>
          <w:sz w:val="24"/>
          <w:szCs w:val="24"/>
          <w:highlight w:val="none"/>
        </w:rPr>
        <w:t>2</w:t>
      </w:r>
      <w:r>
        <w:rPr>
          <w:rFonts w:hint="eastAsia" w:ascii="宋体" w:hAnsi="宋体" w:cs="宋体"/>
          <w:color w:val="auto"/>
          <w:spacing w:val="4"/>
          <w:kern w:val="0"/>
          <w:sz w:val="24"/>
          <w:szCs w:val="24"/>
          <w:highlight w:val="none"/>
        </w:rPr>
        <w:t>个单位的盖章，所出深化设计图纸不能作为施工图纸。如承包人的深化设计图纸达不到要求，发包人有权要求承包人对深化设计人员进行调整更换或另委托深化设计单位。</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③深化设计选用的材料厂家及品牌应是承包人根据招标文件《主要设备材料品牌</w:t>
      </w:r>
      <w:r>
        <w:rPr>
          <w:rFonts w:hint="eastAsia" w:cs="宋体"/>
          <w:color w:val="auto"/>
          <w:spacing w:val="4"/>
          <w:kern w:val="0"/>
          <w:sz w:val="24"/>
          <w:szCs w:val="24"/>
          <w:highlight w:val="none"/>
        </w:rPr>
        <w:t>/</w:t>
      </w:r>
      <w:r>
        <w:rPr>
          <w:rFonts w:hint="eastAsia" w:ascii="宋体" w:hAnsi="宋体" w:cs="宋体"/>
          <w:color w:val="auto"/>
          <w:spacing w:val="4"/>
          <w:kern w:val="0"/>
          <w:sz w:val="24"/>
          <w:szCs w:val="24"/>
          <w:highlight w:val="none"/>
        </w:rPr>
        <w:t>生产厂家推荐表》规定提交的投标文件上列明的材料厂家及品牌。如经考察，投标人选用的材料不满足工程需要，发包人有权在《主要设备材料品牌</w:t>
      </w:r>
      <w:r>
        <w:rPr>
          <w:rFonts w:hint="eastAsia" w:cs="宋体"/>
          <w:color w:val="auto"/>
          <w:spacing w:val="4"/>
          <w:kern w:val="0"/>
          <w:sz w:val="24"/>
          <w:szCs w:val="24"/>
          <w:highlight w:val="none"/>
        </w:rPr>
        <w:t>/</w:t>
      </w:r>
      <w:r>
        <w:rPr>
          <w:rFonts w:hint="eastAsia" w:ascii="宋体" w:hAnsi="宋体" w:cs="宋体"/>
          <w:color w:val="auto"/>
          <w:spacing w:val="4"/>
          <w:kern w:val="0"/>
          <w:sz w:val="24"/>
          <w:szCs w:val="24"/>
          <w:highlight w:val="none"/>
        </w:rPr>
        <w:t>生产厂家推荐表》中选择其他满足规定的材料厂家及品牌，合同价款不作调整。</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④深化设计须结合施工工艺要求，与各相关专业工程充分沟通，不得影响其他专业或系统的结构体系和使用功能等。</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⑤除节点设计和装配损耗之外，任何影响主要材料用量的设计变更或深化设计，承包人只有建议权，承包人有责任提出包括安全性、稳定性、合理性的设计调整方案，报设计单位审核，最后报发包人批准后由设计单位出具正式的优化设计图纸和设计变更，否则由此引起的增加造价由承包人承担。为方便施工的节点设计和装配损耗等导致的材料用量增加等由承包人承担，发包人不另行增加费用。</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⑥本项目要求设立驻场深化设计部。承包人必须按投标文件中承诺的深化设计人员及发包人要求，派人进行驻场设计。相关人员的要求及管理按合同约定执行。</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⑦深化设计的计量计价原则：在满足招标技术要求（包括强制性条款、推荐品牌要求）的前提下，深化设计引起的材质、参数（含规格、型号等</w:t>
      </w:r>
      <w:r>
        <w:rPr>
          <w:rFonts w:hint="eastAsia" w:cs="宋体"/>
          <w:color w:val="auto"/>
          <w:spacing w:val="4"/>
          <w:kern w:val="0"/>
          <w:sz w:val="24"/>
          <w:szCs w:val="24"/>
          <w:highlight w:val="none"/>
        </w:rPr>
        <w:t>）</w:t>
      </w:r>
      <w:r>
        <w:rPr>
          <w:rFonts w:hint="eastAsia" w:ascii="宋体" w:hAnsi="宋体" w:cs="宋体"/>
          <w:color w:val="auto"/>
          <w:spacing w:val="4"/>
          <w:kern w:val="0"/>
          <w:sz w:val="24"/>
          <w:szCs w:val="24"/>
          <w:highlight w:val="none"/>
        </w:rPr>
        <w:t>的调整均不作为调价的依据。</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⑧根据本项目的特点，承包人需对深化设计进度、质量作出明确承诺，如承包人未能按进度计划或质量完成深化设计，影响到工程质量或工期时将承担合同相应的违约责任。</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（4）深化设计工作流程</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①深化设计工作方案报审：中标后，深化设计工作开展前，承包人须报深化设计工作方案给监理单位、发包人审核，审核通过后方可正式开展深化设计工作。深化设计工作方案包括但不限于深化设计人员（含驻场设计人员）、深化设计的工作计划及具体的深化设计管理实施方案、工作流程。</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②专家评审会：进场</w:t>
      </w:r>
      <w:r>
        <w:rPr>
          <w:rFonts w:hint="eastAsia" w:cs="宋体"/>
          <w:color w:val="auto"/>
          <w:spacing w:val="4"/>
          <w:kern w:val="0"/>
          <w:sz w:val="24"/>
          <w:szCs w:val="24"/>
          <w:highlight w:val="none"/>
        </w:rPr>
        <w:t>2-3</w:t>
      </w:r>
      <w:r>
        <w:rPr>
          <w:rFonts w:hint="eastAsia" w:ascii="宋体" w:hAnsi="宋体" w:cs="宋体"/>
          <w:color w:val="auto"/>
          <w:spacing w:val="4"/>
          <w:kern w:val="0"/>
          <w:sz w:val="24"/>
          <w:szCs w:val="24"/>
          <w:highlight w:val="none"/>
        </w:rPr>
        <w:t>天内，组织一次专家评审会，对其所提交的投标文件（包括图纸、技术方案、设备清单等）进行认真、详细、严格的评审，作为深化设计的指导意见。</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③深化设计工作开展：深化设计须由承包人深化设计负责人统筹安排各项工作，并随时接受监理单位、发包人及设计单位的监督检查。</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④深化设计文件审核：深化设计图纸（含造价文件）完成后，报主体设计单位</w:t>
      </w:r>
      <w:r>
        <w:rPr>
          <w:rFonts w:hint="eastAsia" w:cs="宋体"/>
          <w:color w:val="auto"/>
          <w:spacing w:val="4"/>
          <w:kern w:val="0"/>
          <w:sz w:val="24"/>
          <w:szCs w:val="24"/>
          <w:highlight w:val="none"/>
        </w:rPr>
        <w:t>（</w:t>
      </w:r>
      <w:r>
        <w:rPr>
          <w:rFonts w:hint="eastAsia" w:ascii="宋体" w:hAnsi="宋体" w:cs="宋体"/>
          <w:color w:val="auto"/>
          <w:spacing w:val="4"/>
          <w:kern w:val="0"/>
          <w:sz w:val="24"/>
          <w:szCs w:val="24"/>
          <w:highlight w:val="none"/>
        </w:rPr>
        <w:t>原设计单位</w:t>
      </w:r>
      <w:r>
        <w:rPr>
          <w:rFonts w:hint="eastAsia" w:cs="宋体"/>
          <w:color w:val="auto"/>
          <w:spacing w:val="4"/>
          <w:kern w:val="0"/>
          <w:sz w:val="24"/>
          <w:szCs w:val="24"/>
          <w:highlight w:val="none"/>
        </w:rPr>
        <w:t>）</w:t>
      </w:r>
      <w:r>
        <w:rPr>
          <w:rFonts w:hint="eastAsia" w:ascii="宋体" w:hAnsi="宋体" w:cs="宋体"/>
          <w:color w:val="auto"/>
          <w:spacing w:val="4"/>
          <w:kern w:val="0"/>
          <w:sz w:val="24"/>
          <w:szCs w:val="24"/>
          <w:highlight w:val="none"/>
        </w:rPr>
        <w:t>、监理单位、发包人审核，并根据修改意见相应调整深化设计图纸。</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⑤施工图报审：经发包人同意后，按规定报施工图审查单位审查并办理施工图审查备案手续。</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⑥深化设计图纸审批：施工图审查合格并经发包人及项目业主审批同意后，作为施工图实施。深化设计图纸份数为</w:t>
      </w:r>
      <w:r>
        <w:rPr>
          <w:rFonts w:hint="eastAsia" w:cs="宋体"/>
          <w:color w:val="auto"/>
          <w:spacing w:val="4"/>
          <w:kern w:val="0"/>
          <w:sz w:val="24"/>
          <w:szCs w:val="24"/>
          <w:highlight w:val="none"/>
        </w:rPr>
        <w:t>20</w:t>
      </w:r>
      <w:r>
        <w:rPr>
          <w:rFonts w:hint="eastAsia" w:ascii="宋体" w:hAnsi="宋体" w:cs="宋体"/>
          <w:color w:val="auto"/>
          <w:spacing w:val="4"/>
          <w:kern w:val="0"/>
          <w:sz w:val="24"/>
          <w:szCs w:val="24"/>
          <w:highlight w:val="none"/>
        </w:rPr>
        <w:t>份。</w:t>
      </w:r>
    </w:p>
    <w:p>
      <w:pPr>
        <w:topLinePunct/>
        <w:adjustRightInd w:val="0"/>
        <w:snapToGrid w:val="0"/>
        <w:spacing w:line="360" w:lineRule="auto"/>
        <w:ind w:firstLine="438" w:firstLineChars="177"/>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⑦技术交底及图纸会审：深化设计图纸和文件经过审核确认后，应进行相应技术交底及图纸会审。</w:t>
      </w:r>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85" w:name="_Toc41306287"/>
      <w:r>
        <w:rPr>
          <w:rFonts w:hint="eastAsia" w:ascii="宋体" w:hAnsi="宋体" w:cs="宋体"/>
          <w:b/>
          <w:bCs/>
          <w:color w:val="auto"/>
          <w:spacing w:val="4"/>
          <w:kern w:val="0"/>
          <w:sz w:val="24"/>
          <w:szCs w:val="24"/>
          <w:highlight w:val="none"/>
        </w:rPr>
        <w:t>（三）质量管理要求</w:t>
      </w:r>
      <w:bookmarkEnd w:id="185"/>
    </w:p>
    <w:p>
      <w:pPr>
        <w:topLinePunct/>
        <w:adjustRightInd w:val="0"/>
        <w:snapToGrid w:val="0"/>
        <w:spacing w:line="360" w:lineRule="auto"/>
        <w:ind w:firstLine="438" w:firstLineChars="177"/>
        <w:rPr>
          <w:rFonts w:hint="eastAsia" w:ascii="宋体" w:hAnsi="宋体" w:cs="宋体"/>
          <w:color w:val="auto"/>
          <w:kern w:val="0"/>
          <w:sz w:val="24"/>
          <w:szCs w:val="24"/>
          <w:highlight w:val="none"/>
        </w:rPr>
      </w:pPr>
      <w:r>
        <w:rPr>
          <w:rFonts w:hint="eastAsia" w:ascii="宋体" w:hAnsi="宋体" w:cs="宋体"/>
          <w:color w:val="auto"/>
          <w:spacing w:val="4"/>
          <w:kern w:val="0"/>
          <w:sz w:val="24"/>
          <w:szCs w:val="24"/>
          <w:highlight w:val="none"/>
        </w:rPr>
        <w:t>1、质量目标</w:t>
      </w:r>
      <w:r>
        <w:rPr>
          <w:rFonts w:hint="eastAsia" w:ascii="宋体" w:hAnsi="宋体" w:cs="宋体"/>
          <w:color w:val="auto"/>
          <w:spacing w:val="4"/>
          <w:kern w:val="0"/>
          <w:sz w:val="24"/>
          <w:szCs w:val="24"/>
          <w:highlight w:val="none"/>
          <w:lang w:eastAsia="zh-CN"/>
        </w:rPr>
        <w:t>：</w:t>
      </w:r>
      <w:r>
        <w:rPr>
          <w:rFonts w:hint="eastAsia" w:ascii="新宋体" w:hAnsi="新宋体" w:eastAsia="新宋体" w:cs="宋体"/>
          <w:color w:val="auto"/>
          <w:sz w:val="24"/>
          <w:szCs w:val="24"/>
          <w:highlight w:val="none"/>
        </w:rPr>
        <w:t>一次验收合格</w:t>
      </w:r>
      <w:r>
        <w:rPr>
          <w:rFonts w:hint="eastAsia" w:ascii="宋体" w:hAnsi="宋体" w:cs="宋体"/>
          <w:color w:val="auto"/>
          <w:kern w:val="0"/>
          <w:sz w:val="24"/>
          <w:szCs w:val="24"/>
          <w:highlight w:val="none"/>
        </w:rPr>
        <w:t>。</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2、质量管理体系</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承包人应当完善质量管理制度，建立质量控制流程，进行全面质量管理（TQC），以《质量管理体系标准要求》（</w:t>
      </w:r>
      <w:r>
        <w:rPr>
          <w:rFonts w:hint="eastAsia" w:cs="宋体"/>
          <w:color w:val="auto"/>
          <w:spacing w:val="4"/>
          <w:kern w:val="0"/>
          <w:sz w:val="24"/>
          <w:szCs w:val="24"/>
          <w:highlight w:val="none"/>
        </w:rPr>
        <w:t>GB/T19000-2008</w:t>
      </w:r>
      <w:r>
        <w:rPr>
          <w:rFonts w:hint="eastAsia" w:ascii="宋体" w:hAnsi="宋体" w:cs="宋体"/>
          <w:color w:val="auto"/>
          <w:spacing w:val="4"/>
          <w:kern w:val="0"/>
          <w:sz w:val="24"/>
          <w:szCs w:val="24"/>
          <w:highlight w:val="none"/>
        </w:rPr>
        <w:t>）为标准，建立并保持一个有效的工程质量管理体系。为此，承包人必须做到（不限于）：</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（1）建立完整的质量保证体系，建立并完善各项目质量管理检查制度及企业质量管理文件等；</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（2）承包人提交监理工程师批准的施工组织设计或者施工方案必须附有完备的工程质量保证措施；</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（3）单项工程开工前，承包人必须按要求进行三级技术交底，组织学习有关规程、标准、规范和工艺要求，在施工中必须按规程及工艺进行操作，并邀请监理人参加。承包人应将交底过程资料报监理人备案。</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w:t>
      </w:r>
      <w:r>
        <w:rPr>
          <w:rFonts w:hint="eastAsia" w:ascii="宋体" w:hAnsi="宋体" w:cs="宋体"/>
          <w:color w:val="auto"/>
          <w:kern w:val="0"/>
          <w:sz w:val="24"/>
          <w:szCs w:val="24"/>
          <w:highlight w:val="none"/>
        </w:rPr>
        <w:t>承包人须承担对招标人独立发包的专业承包单位的总承包协调管理责任、工作面移交和协调管理责任、成品保护责任，质量、安全、进度、技术资料管理的管理责任，并按规定安排总承包管理费用，承包人应提供水电、施工机具及临建等相关设备机具的配合。</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3、质量通病防治</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承包人必须严格执行有关质量通病治理措施、工程建设强制性标准和有关节能、环境保护、绿色施工的规定。承包人须针对本项目制定工程质量通病防治措施方案。</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4、材料、设备质量保证</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所用材料设备必须符合设计要求和国家有关规范与规定。承包人须确保使用的材料设备是合格的、全新的、未使用过的，凡材料设备质量不符合要求，承包人须停工和返工，返工费用由承包人承担，工期不予顺延。</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5、人员持证上岗</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承包人投入的施工作业人员必须具备相应的上岗证，如特种人员，还须具备特种人员作业证书，以确保施工质量。所有人员必须带证上岗，随时接受发包人、监理人检查，否则按合同约定承担违约责任。</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6、按图施工</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承包人必须严格按审查批准的施工方案和设计图纸施工，不得擅自修改施工方案及设计图纸。</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7、检验与检查</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必须加强质量自检，做好施工过程数据记录及隐蔽工程验收等工作。监理人、发包人、行政主管部门将严格按相关规范和规定对工程质量进行检查验收，未经验收的工程不得进入下一道工序。监理人、发包人、行政主管部门检查或检验不能免除或减轻承包人按照合同约定应当承担的责任。</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8、现场保护</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承包人应加强工程材料、设备、半成品、成品的现场保护工作，项目移交之前造成的遗失或损坏由中标单位自行承担。</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9、工程技术档案管理</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或发现原始记录数据不存在、不真实、不完整，经监理单位确认，发包人有权拒绝相应部分工程的工程量计量与支付，并视情节轻重，由承包人按照合同专用条款的约定承担违约责任。</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10、特殊管理措施</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为了确保工程质量，发包人有权在工程施工过程中实施包括但不限于以下特殊质量管理措施，承包人无条件执行，相关费用已包含在合同总价中，发包人不另行补偿：本工程按照发包人制定的《建设项目样板引路实施细则》，实行工程质量样板引路。</w:t>
      </w:r>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86" w:name="_Toc41306288"/>
      <w:r>
        <w:rPr>
          <w:rFonts w:hint="eastAsia" w:ascii="宋体" w:hAnsi="宋体" w:cs="宋体"/>
          <w:b/>
          <w:bCs/>
          <w:color w:val="auto"/>
          <w:spacing w:val="4"/>
          <w:kern w:val="0"/>
          <w:sz w:val="24"/>
          <w:szCs w:val="24"/>
          <w:highlight w:val="none"/>
        </w:rPr>
        <w:t>（四）工人工资及预付款支付管理要求</w:t>
      </w:r>
      <w:bookmarkEnd w:id="186"/>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中标后，承包人必须建设主管部门要求设立工人工资支付专用账户，通过工人工资支付专用账户，依法按时足额将工人工资直接支付到工人的工资个人账户，并按月将工人工资支付明细表报发包人备案，作为次月工程进度款的支付条件之一。承包人应当建立用工管理台账，真实、准确记录工人名册、劳动合同、劳务合同、工程进度、工时、劳务承包款和工人工资支付情况等信息，并保存两年以上备查。</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2.本工程由广州市财政局分年度安排资金，资金支付金额以有权审批部门审批金额为准。</w:t>
      </w:r>
    </w:p>
    <w:p>
      <w:pPr>
        <w:topLinePunct/>
        <w:adjustRightInd w:val="0"/>
        <w:snapToGrid w:val="0"/>
        <w:spacing w:line="360" w:lineRule="auto"/>
        <w:ind w:firstLine="438" w:firstLineChars="177"/>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承包人在收到发包人工程预付款后，应及时向作业班组、分包单位、供应商支付备料款等相关费用。承包人如挪用预付款，或未及时向作业班组、分包单位、供应商支付备料款导致工期延误的，发包人一经查实，将对承包人按合同约定处严重违约责任。</w:t>
      </w:r>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87" w:name="_Toc41306289"/>
      <w:r>
        <w:rPr>
          <w:rFonts w:hint="eastAsia" w:ascii="宋体" w:hAnsi="宋体" w:cs="宋体"/>
          <w:b/>
          <w:bCs/>
          <w:color w:val="auto"/>
          <w:spacing w:val="4"/>
          <w:kern w:val="0"/>
          <w:sz w:val="24"/>
          <w:szCs w:val="24"/>
          <w:highlight w:val="none"/>
        </w:rPr>
        <w:t>（五）进度管理要求</w:t>
      </w:r>
      <w:bookmarkEnd w:id="187"/>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1、进场前核实现场条件</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承包人必须在收到发包人进场通知后，对开工条件进行全面摸查、分析，作出全面开工、或局部开工、或不具备开工条件的判断，并书面向监理人、招标人报告。如工程具备开工条件，承包人应就全面开工或局部开工的实际条件，合理安排相匹配的人员、材料、机械设备进场，对于大型机械设备还须报监理人、发包人批准进场方案后方能进场；如工程不具备开工条件，承包人应在收到发包人进场通知后5天内以书面形式向发包人提出延期进场的要求并说明理由，报监理单位和发包人批准后方可延期进场，否则发包人不承担由此造成承包人的损失。</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2、进度计划编制和资源投入</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承包人进场后须根据项目实施总控计划、施工图纸和现场实际情况编制切实可行的实施进度计划，并按照监理工程师、甲方的要求随时修订和调整，采取一切可能的措施，确保按批准的进度计划实施工程。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发包人不予支付。</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3、工期计划</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根据节点工期要求编制各节点机械设备、劳动力、材料投入计划并进行考核，对材料、机械设备、劳动力投入不足等情况追究施工方的违约责任。</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承包人在施工过程中需要为政府部门、建设单位、监理单位、检测单位的检查、检测预留足够的时间，其时间相应计入总工期中，不作为工期调整的依据。</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承包人在施工过程中需要给各专业分包单位的施工及调试和成品保护预留足够的时间，其时间相应计入总工期中，不作为工期调整地依据。</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（4）招标图纸与施工图纸的局部差异、地质条件变化、地下障碍物等不作为工期调整的依据，对地质条件变化、地下障碍物的处理及排除风险作为施工风险由施工方承担。</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4、进度计划修订与调整</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在工程实施过程中，如因不可抗力、工程设计有重大变更等非承包人原因导致工期确需调整的，承包人应及时向监理单位和发包人提出工期调整及人员、机械设备投入调整的报告，经监理单位和发包人批准后方可执行，且承包人不得因此向发包人提出人员、机械设备等窝工费用的索赔。</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5、进度月报</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承包人须于每月最后一日前向总监理工程师提供综合报表（内容包括但不限于如下计划、报表或报告），经总监理工程师审核，并报发包人批准后实施： </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（1）施工、安装、试验以及其他发包人工作等进展情况的图表和说明；</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（2）材料、设备、货物的采购和制造商名称、地点以及进入现场情况；</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（3）合同变更费用统计和安全统计；</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（4）实际进度与计划进度的对比，以及为消除延误正在或准备采取的措施。</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6、非发包人原因工期延误的处理</w:t>
      </w:r>
    </w:p>
    <w:p>
      <w:pPr>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在非发包人延误工期的情况下，如果监理人或发包人书面指出承包人实施合同工程或其任何部分的进度过慢，迟于进度计划或不能按期竣工，则承包人应按照采取一切改进措施，加快工程进度。如果承包人在接到监理工程师或发包人通知后的14 天内，未能采取加快工程进度的措施，致使实际进度进一步延迟；或承包人虽然采取了改进措施，仍无法按期竣工，监理人应立即报告发包人，并抄送承包人。发包人可按照合同规定解除合同，也可将合同工程中的一部分工作交由第三方完成，由此增加的一切费用由承包人承担。即使承包人承担增加的费用，也不能免除其按照合同约定应承担的任何责任和应履行的任何义务。</w:t>
      </w:r>
    </w:p>
    <w:p>
      <w:pPr>
        <w:widowControl/>
        <w:spacing w:before="100" w:beforeAutospacing="1" w:after="100" w:afterAutospacing="1"/>
        <w:ind w:firstLine="441" w:firstLineChars="177"/>
        <w:jc w:val="left"/>
        <w:outlineLvl w:val="2"/>
        <w:rPr>
          <w:rFonts w:hint="eastAsia" w:ascii="宋体" w:hAnsi="宋体" w:cs="宋体"/>
          <w:b/>
          <w:bCs/>
          <w:color w:val="auto"/>
          <w:spacing w:val="4"/>
          <w:kern w:val="0"/>
          <w:sz w:val="24"/>
          <w:szCs w:val="24"/>
          <w:highlight w:val="none"/>
        </w:rPr>
      </w:pPr>
      <w:bookmarkStart w:id="188" w:name="_Toc41306290"/>
      <w:r>
        <w:rPr>
          <w:rFonts w:hint="eastAsia" w:ascii="宋体" w:hAnsi="宋体" w:cs="宋体"/>
          <w:b/>
          <w:bCs/>
          <w:color w:val="auto"/>
          <w:spacing w:val="4"/>
          <w:kern w:val="0"/>
          <w:sz w:val="24"/>
          <w:szCs w:val="24"/>
          <w:highlight w:val="none"/>
        </w:rPr>
        <w:t>（六）安全文明、职业健康与环境管理施工要求</w:t>
      </w:r>
      <w:bookmarkEnd w:id="188"/>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1、安全文明施工一般规定</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（1）根据广州市城乡建委《广州市住房和城乡建设委员会关于全市建设工地纳入视频监管的通知》（穗建质〔2017〕1166号）要求，建立并完善工地的视频监控系统。</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（2）承包人应按</w:t>
      </w:r>
      <w:r>
        <w:rPr>
          <w:rFonts w:hint="eastAsia" w:ascii="宋体" w:hAnsi="宋体" w:cs="宋体"/>
          <w:color w:val="auto"/>
          <w:kern w:val="0"/>
          <w:sz w:val="24"/>
          <w:szCs w:val="24"/>
          <w:highlight w:val="none"/>
        </w:rPr>
        <w:t>《广州市住房和城乡建设局等9部门关于印发广州市建设工程绿色施工围蔽指导图集（V2.0版）的通知 》（穗建质〔2020〕1号）</w:t>
      </w:r>
      <w:r>
        <w:rPr>
          <w:rFonts w:hint="eastAsia" w:ascii="宋体" w:hAnsi="宋体" w:cs="宋体"/>
          <w:color w:val="auto"/>
          <w:sz w:val="24"/>
          <w:szCs w:val="24"/>
          <w:highlight w:val="none"/>
        </w:rPr>
        <w:t>实施。</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（3）严格按照《广州市城乡建设委员会关于印发广州市建设工程绿色施工工作技术指引的通知》（穗建质〔2014〕914号）要求，对建设工程全过程实施绿色施工。</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（4）严格按照《广州市住房和城乡建设局等8部门关于印发广州市建设工程扬尘防治“6个100%”管理标准图集（V2.0版）的通知》的要求，对建设工程全过程实施扬尘防治。</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（5）符合发包人关于安全文明施工管理的相关规定。</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2、环境保护一般规定</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为市政公园项目，建成后为居民提供休闲娱乐的活动场所，要求在项目建设和使用过程中贯彻落实科学发展观，将项目打造成一个绿色建筑，在节水、节能方面鼓励创新，促进节约资源、保护环境和建设事业可持续发展，承包人应在进入现场前向监理单位提交施工期间的环境保护方案，经监理工程师批准后实施。在实施过程中所采用的材料、设备等应使监理工程师和发包人满意。</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3、职业健康一般规定</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依法为其履行合同所雇用的人员办理必要的证件、许可、保险和注册等，按照法律规定保障现场施工人员的劳动安全，提供劳动保护,采取有效的防止粉尘、降低噪声、控制有害气体和保障高温、高寒、高空作业安全等劳动保护措施。承包人雇佣人员在施工中受到伤害的，承包人应立即采取有效措施进行抢救和治疗。承包人应为其履行合同所雇用的人员提供必要的膳宿条件和生活环境，采取有效措施预防传染病，保证施工人员的健康。</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4、安全保证措施要求</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安全文明施工保证措施必须包括人员投入，安全措施费投入，安全教育培训，应急救援演练，安全检查及隐患排查整改，专项施工方案的编制、审批和实施措施，预防施工坍塌事故的措施，预防建筑起重机械伤害事故的措施等重点内容。措施项目的实施要求须满足《建筑施工安全检查标准》（JGJ59-2011）、《建筑施工现场环境与卫生标准》（JGJ146-2004）、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关于进一步规范建设工程施工现场围蔽的通知》（穗建质[2008]1008号）、关于印发《广州市建设工程施工现场消防安全管理规定》的通知（穗建质[2011]617号）、《广州市建设工程文明施工管理规定》（广州市人民政府2011年第62号令）及发包人制定的相关规定的要求。</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5、安全生产管理人员投入要求</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承包人必须严格按照省市相关规定和发包人要求，足额投入安全生产管理人员，其中：专职安全员必须持证上岗，特殊工种的人员也应受过专门的培训并已取得政府有关管理机构颁发的上岗证书。</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承包人必须明确划分各人员的责任，使其在施工过程中履行自己的责任和义务。项目经理是安全第一责任人，负责安全生产的直接责任。</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承包人必须制定严格的安全技术操作规程，并定期对安全生产管理人员进行考核。</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6、承包人对现场安全负全责</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承包人应加强现场治安防卫工作。在工程开工后7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7、危险性较大工程的安全管理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危险性较大的分部分项工程《危险性较大的分部分项工程安全管理规定》（中华人民共和国住房和城乡建设部令第37号）等文规定执行。需单独编制危险性较大分部分项专项工程施工方案的，及要求进行专家论证的超过一定规模的危险性较大的分部分项工程，承包人应及时编制和组织论证。承包人在动力设备、输电线路、地下管道、密封防震车间、易燃易爆地段以及临街交通要道附近施工时，施工开始前应向发包人和监理人提出安全防护措施，经发包人认可后实施。 </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8、安全问题应急措施及上报制度</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在工程实施期间，如遇到突发的地质变动、事先未知的地下施工障碍等影响施工安全的紧急情况，承包人应及时报告监理人和发包人，发包人应当及时下令停工并报政府有关行政管理部门采取应急措施。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9、安全文明施工费用专款专用</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在施工过程中必须严格执行安全文明施工方案，安全防护、文明施工的内容按承包人向发包人提交且经发包人批准的详细的施工组织设计实施，所有施工的安全设施、机具以及围网、护栏、临边防护、施工通道等全部按发包人的要求统一标准、统一标识。所需安全防护、文明施工措施费必须专款专用，严禁挪用。</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10、承包人不按要求实施安全生产、文明施工时的特殊处理措施</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工程实施期间，监理单位、发包人或监督部门在安全文明施工检查过程中，如发现施工现场不满足国家、省、市关于安全文明生产的相关规定和发包人对本工程安全文明施工的相关要求，且不按监理单位要求在限定时间内整改完毕的，发包人可以自行或委托其他单位实施整改，所发生的费用从安全防护、文明施工措施费款项中扣除，不足部分从承包人的合同价款中扣除。</w:t>
      </w:r>
    </w:p>
    <w:p>
      <w:pPr>
        <w:adjustRightInd w:val="0"/>
        <w:snapToGrid w:val="0"/>
        <w:spacing w:line="360" w:lineRule="auto"/>
        <w:ind w:firstLine="424" w:firstLineChars="17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工程实施期间或缺陷责任期内发生危及工程安全的事件，监理人通知承包人进行抢救，承包人声明无能力或不愿立即执行的，发包人有权自行或委托其他单位进行抢救。此类抢救按合同约定属于承包人义务的，由此增加的费用和（或）延误的工期由承包人承担。</w:t>
      </w:r>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89" w:name="_Toc41306291"/>
      <w:r>
        <w:rPr>
          <w:rFonts w:hint="eastAsia" w:ascii="宋体" w:hAnsi="宋体" w:cs="宋体"/>
          <w:b/>
          <w:bCs/>
          <w:color w:val="auto"/>
          <w:spacing w:val="4"/>
          <w:kern w:val="0"/>
          <w:sz w:val="24"/>
          <w:szCs w:val="24"/>
          <w:highlight w:val="none"/>
        </w:rPr>
        <w:t>（七）投资控制要求</w:t>
      </w:r>
      <w:bookmarkEnd w:id="189"/>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1、承包人复核清单</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（1）投标单位应在招标阶段核对招标清单及图纸，在招标答疑中提出问题，确保工程过程中不漏项、不少量。</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）承包人在施工过程中必须严格执行发包人有关变更和签证的管理规定，遵循先审批后执行的原则。</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）对承包范围内需要深化设计图纸的，要求中标单位委托有相关资质的设计单位进行深化设计，造价不因图纸深化情况而调整，图纸需经过主体设计单位确认，深化设计费已包含在投标报价中；</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）承包人需承担对于仿古建筑等的设计、选材、模型等方面的费用风险，有可能引起的特殊机具使用或重复施工等费用也包含在投标报价中；</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）对地质条件变化、地下障碍物的处理及排除风险作为施工风险由中标方承担。</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）投标单位需自行勘察现场，对施工现场与施工图纸的差异引起的工程量及施工技术措施承担风险。</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2、进度款支付申请准确性要求</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3、合同价款调整报告的时效性要求</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在施工过程中发生的工程变更、工程签证等引起合同价款调整事件后的14 天内，承包人应向监理单位和发包人提交合同价款调整报告，并附上相关资料。如承包人在出现合同价款调整事件后的14 天内未提交合同价款调增报告的，则发包人有权根据实际情况决定是否调整合同价款以及调整的金额；如原合同追加金额超出原合同价10%的，则承包人无权获得超出部分或仅限于获得发包人审核确认的部分。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4、对承包人劳务工资、分包工程款、材料设备款支付的审核及限制</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果发包人有要求，承包人应向发包人提供其对雇员劳务工资、分包人已完工程款以及材料和工程设备供应商贷款的支付凭证。如果承包人未能提供上述凭证，视为承包人未向雇员、分包人、供应商支付相关款项。</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发包人或监理人书面通知改正后的7 天内，承包人仍未采取措施补救的，发包人可实施下列工作：</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（1）立即停止向承包人支付应付的款项；</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（2）在相应支付期应付的工程款范围内，直接向雇员、分包人和材料设备供应商支付承包人应付的款项。发包人在实施上述工作后的 14 天内应以书面形式通知承包人，抄送监理人。监理人在签发下期进度款支付证书时，应扣除已由发包人直接支付的款项。由于上述工作原因发生的费用由承包人承担；给发包人造成损失的，承包人应予赔偿。</w:t>
      </w:r>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90" w:name="_Toc41306292"/>
      <w:r>
        <w:rPr>
          <w:rFonts w:hint="eastAsia" w:ascii="宋体" w:hAnsi="宋体" w:cs="宋体"/>
          <w:b/>
          <w:bCs/>
          <w:color w:val="auto"/>
          <w:spacing w:val="4"/>
          <w:kern w:val="0"/>
          <w:sz w:val="24"/>
          <w:szCs w:val="24"/>
          <w:highlight w:val="none"/>
        </w:rPr>
        <w:t>（八）材料设备管理要求</w:t>
      </w:r>
      <w:bookmarkEnd w:id="190"/>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1、材料设备采购计划管理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进场后应根据设计图纸及施工进度计划制定主要材料设备采购计划，及时签订采购合同（签订供货合同的时间必须至少比第一批货物计划进场的时间提前两个月+备货期），影响工程造价较大的大批量材料设备，承包人必须提前定制或锁定价格，否则由此引起的工期调整或价格调整，发包人有权不予批准。其中：</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（1）主要材料设备采购计划需报监理单位审核，审核合格后报发包人备案，并作为第一期工程进度款的支付条件之一；</w:t>
      </w:r>
    </w:p>
    <w:p>
      <w:pPr>
        <w:spacing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（2）主要材料设备的采购合同必须报发包人备案（具体需要备案的材料设备采购合同种类由发包人根据项目实际需要确定），作为涉及相应材料设备的中间计量进度款的支付条件之一。</w:t>
      </w:r>
    </w:p>
    <w:p>
      <w:pPr>
        <w:spacing w:line="360" w:lineRule="auto"/>
        <w:ind w:firstLine="424" w:firstLineChars="177"/>
        <w:jc w:val="left"/>
        <w:rPr>
          <w:rFonts w:hint="eastAsia" w:ascii="宋体" w:hAnsi="宋体" w:cs="宋体"/>
          <w:color w:val="auto"/>
          <w:kern w:val="0"/>
          <w:sz w:val="24"/>
          <w:szCs w:val="24"/>
          <w:highlight w:val="yellow"/>
        </w:rPr>
      </w:pPr>
      <w:r>
        <w:rPr>
          <w:rFonts w:hint="eastAsia" w:ascii="宋体" w:hAnsi="宋体" w:cs="宋体"/>
          <w:color w:val="auto"/>
          <w:kern w:val="0"/>
          <w:sz w:val="24"/>
          <w:szCs w:val="24"/>
          <w:highlight w:val="none"/>
        </w:rPr>
        <w:t>（3）在施工过程中积极推动重大创新、效果突出的新技术、新产品、新工艺、新材料的应用。</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、材料设备检验、试验管理</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论发包人是否推荐品牌范围，所有用于本工程的材料设备必须严格按合同条款的约定进行检验、试验，确保材料设备质量。材料进场批次要与见证取样检测批次一致，否则，多出批次的检测费由承包人承担。本项目应进行节能、室内环境检测，需委托具有相应资质检测机构实施的相关工作。</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、乙供材料设备看样定板管理</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为加强本工程所使用的乙供材料设备的质量管理，确保承包人所选购的材料设备的质量、技术性能、款式、效果等方面满足设计和使用需求，所有主要材料设备在看样定板之前，发包人、使用业主、监理单位、设计单位有权对乙供材料设备厂家的生产能力、制造水平、生产工艺等方面进行综合考察评估，考核评估合格的方能采购。如经综合考察评估不合格，发包人有权在《主要材料设备品牌/生产厂家推荐表》中选择其他满足规定的材料厂家及品牌，经考核评估合格后予以选用，合同价款不作调整。</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、乙供材料设备供应商管理</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应在确定主要乙供材料设备供应商的7个工作日内，将供应商的清单明细（包括供应商的名称、联系人、联系电话、联系地址等）报监理单位和发包人备案。供应商须服从监理单位和发包人的管理，并按要求参加相关工作例会。</w:t>
      </w:r>
    </w:p>
    <w:p>
      <w:pPr>
        <w:spacing w:line="360" w:lineRule="auto"/>
        <w:ind w:firstLine="463" w:firstLineChars="193"/>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、材料设备专用于本工程</w:t>
      </w:r>
    </w:p>
    <w:p>
      <w:pPr>
        <w:spacing w:line="360" w:lineRule="auto"/>
        <w:ind w:firstLine="463" w:firstLineChars="193"/>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承包人运入施工现场的材料、工程设备、施工设备以及在施工场地建设的临时设施，包括备品备件、安装工具与资料，必须专用于工程。未经发包人批准不得运出施工现场或挪作他用。</w:t>
      </w:r>
    </w:p>
    <w:p>
      <w:pPr>
        <w:keepNext/>
        <w:keepLines/>
        <w:spacing w:before="161" w:beforeLines="50" w:after="120" w:line="360" w:lineRule="auto"/>
        <w:jc w:val="left"/>
        <w:outlineLvl w:val="2"/>
        <w:rPr>
          <w:rFonts w:hint="eastAsia" w:ascii="宋体" w:hAnsi="宋体" w:cs="宋体"/>
          <w:b/>
          <w:bCs/>
          <w:color w:val="auto"/>
          <w:spacing w:val="4"/>
          <w:kern w:val="0"/>
          <w:sz w:val="30"/>
          <w:szCs w:val="30"/>
          <w:highlight w:val="none"/>
        </w:rPr>
      </w:pPr>
      <w:bookmarkStart w:id="191" w:name="_Toc41306293"/>
      <w:r>
        <w:rPr>
          <w:rFonts w:hint="eastAsia" w:ascii="宋体" w:hAnsi="宋体" w:cs="宋体"/>
          <w:b/>
          <w:bCs/>
          <w:color w:val="auto"/>
          <w:spacing w:val="4"/>
          <w:kern w:val="0"/>
          <w:sz w:val="24"/>
          <w:szCs w:val="24"/>
          <w:highlight w:val="none"/>
        </w:rPr>
        <w:t>（九）人员配置要求</w:t>
      </w:r>
      <w:bookmarkEnd w:id="191"/>
    </w:p>
    <w:p>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1、承包人进场即成立项目管理部负责工程现场施工管理工作。项目经理部组成人员配备要求见《主要人员配置要求》。</w:t>
      </w:r>
    </w:p>
    <w:p>
      <w:pPr>
        <w:adjustRightInd w:val="0"/>
        <w:snapToGrid w:val="0"/>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主要人员配置要求</w:t>
      </w:r>
    </w:p>
    <w:tbl>
      <w:tblPr>
        <w:tblStyle w:val="44"/>
        <w:tblW w:w="8596" w:type="dxa"/>
        <w:jc w:val="center"/>
        <w:tblInd w:w="0" w:type="dxa"/>
        <w:tblLayout w:type="fixed"/>
        <w:tblCellMar>
          <w:top w:w="0" w:type="dxa"/>
          <w:left w:w="108" w:type="dxa"/>
          <w:bottom w:w="0" w:type="dxa"/>
          <w:right w:w="108" w:type="dxa"/>
        </w:tblCellMar>
      </w:tblPr>
      <w:tblGrid>
        <w:gridCol w:w="669"/>
        <w:gridCol w:w="1650"/>
        <w:gridCol w:w="773"/>
        <w:gridCol w:w="4826"/>
        <w:gridCol w:w="678"/>
      </w:tblGrid>
      <w:tr>
        <w:tblPrEx>
          <w:tblLayout w:type="fixed"/>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职务</w:t>
            </w:r>
          </w:p>
        </w:tc>
        <w:tc>
          <w:tcPr>
            <w:tcW w:w="77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人数</w:t>
            </w:r>
          </w:p>
        </w:tc>
        <w:tc>
          <w:tcPr>
            <w:tcW w:w="482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基本任职条件</w:t>
            </w:r>
          </w:p>
        </w:tc>
        <w:tc>
          <w:tcPr>
            <w:tcW w:w="6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1</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2</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具有建筑工程类工程师或以上职称</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具有建筑工程类工程师或以上职称</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具有一级注册造价工程师</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造价工程师</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具有二级注册或以上造价工程师</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土建工程师</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具有建筑工程类工程师或以上职称</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园林工程师</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具有园林类工程师或以上职称</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结构工程师</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具有结构类工程师或以上职称</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0</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给排水工程师</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具有给排水类工程师或以上职称</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11</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质量员</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取得质量员岗位证或培训证</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安全员</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具有有效期内的安全生产考核合格证（C类）或建筑施工企业专职安全生产管理人员安全生产考核合格证书（C3）</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取得施工员岗位证或培训证</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资料员</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取得资料员岗位证或培训证</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65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材料员</w:t>
            </w:r>
          </w:p>
        </w:tc>
        <w:tc>
          <w:tcPr>
            <w:tcW w:w="7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48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取得材料员岗位证或培训证</w:t>
            </w:r>
          </w:p>
        </w:tc>
        <w:tc>
          <w:tcPr>
            <w:tcW w:w="67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val="en-US" w:eastAsia="zh-CN"/>
              </w:rPr>
            </w:pPr>
          </w:p>
        </w:tc>
        <w:tc>
          <w:tcPr>
            <w:tcW w:w="16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小计</w:t>
            </w:r>
          </w:p>
        </w:tc>
        <w:tc>
          <w:tcPr>
            <w:tcW w:w="77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482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c>
          <w:tcPr>
            <w:tcW w:w="6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p>
        </w:tc>
      </w:tr>
    </w:tbl>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注：（1）各岗位人员不得相互兼职。</w:t>
      </w:r>
    </w:p>
    <w:p>
      <w:pPr>
        <w:pStyle w:val="10"/>
        <w:numPr>
          <w:ilvl w:val="-1"/>
          <w:numId w:val="0"/>
        </w:numPr>
        <w:ind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2、人员进场管理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特殊工种作业人员均应持有相应的资格证明，监理人可以随时检查。</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3、人员变更管理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承包人擅自更换主要施工管理人员，应按照合同条款约定承担违约责任。</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项目经理更换如存在下列情形之一的，将被拒绝1年内参与发包人后续工程投标:</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（1）承包人委派的项目经理长期不到位（即连续三个月或以上达不到合同约定的出勤率）。</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（2）承包人自行调换或未按照发包人要求及时更换项目经理的。</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经发包人同意撤换的项目经理，自撤换之日起半年内，该项目经理不得再作为发包人后续招标项目时拟委派项目管理机构的项目经理。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4、人员撤换管理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合同条款的约定承担违约责任。</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5、人员请销假管理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除合同条款约定执行。</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6、人员配合管理</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承包人须配备交通保障设施用于现场人员的协调管理、对外联系、报批报验等工作，相关费用应包含在投标费用中。</w:t>
      </w:r>
    </w:p>
    <w:p>
      <w:pPr>
        <w:keepNext/>
        <w:keepLines/>
        <w:spacing w:before="161" w:beforeLines="50" w:after="120" w:line="360" w:lineRule="auto"/>
        <w:ind w:firstLine="441" w:firstLineChars="177"/>
        <w:jc w:val="left"/>
        <w:outlineLvl w:val="2"/>
        <w:rPr>
          <w:rFonts w:hint="eastAsia" w:ascii="宋体" w:hAnsi="宋体" w:cs="宋体"/>
          <w:b/>
          <w:bCs/>
          <w:color w:val="auto"/>
          <w:spacing w:val="4"/>
          <w:kern w:val="0"/>
          <w:sz w:val="24"/>
          <w:szCs w:val="24"/>
          <w:highlight w:val="none"/>
        </w:rPr>
      </w:pPr>
      <w:bookmarkStart w:id="192" w:name="_Toc41306294"/>
      <w:r>
        <w:rPr>
          <w:rFonts w:hint="eastAsia" w:ascii="宋体" w:hAnsi="宋体" w:cs="宋体"/>
          <w:b/>
          <w:bCs/>
          <w:color w:val="auto"/>
          <w:spacing w:val="4"/>
          <w:kern w:val="0"/>
          <w:sz w:val="24"/>
          <w:szCs w:val="24"/>
          <w:highlight w:val="none"/>
        </w:rPr>
        <w:t>（十）主要施工机械设备要求</w:t>
      </w:r>
      <w:bookmarkEnd w:id="192"/>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1、配备基本要求</w:t>
      </w:r>
    </w:p>
    <w:p>
      <w:pPr>
        <w:spacing w:line="360" w:lineRule="auto"/>
        <w:ind w:firstLine="424" w:firstLineChars="17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本项目需投入的施工机械需满足本工程的进度及现场需要。投标人需根据本项目工程的特点，结合本企业的实力和资源情况配备。 </w:t>
      </w:r>
    </w:p>
    <w:p>
      <w:pPr>
        <w:spacing w:line="360" w:lineRule="auto"/>
        <w:ind w:firstLine="426"/>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2、管理基本要求</w:t>
      </w:r>
    </w:p>
    <w:p>
      <w:pPr>
        <w:spacing w:line="360" w:lineRule="auto"/>
        <w:ind w:firstLine="426"/>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承包人进场后必须按合同约定时间提交机械设备进场计划，确保机械设备来源可靠，按期进场。对于自有机械设备，承包人必须说明当前的使用情况及计划进场时间，必要时发包人有权组织现场核查；对于租凭机械设备，承包人必须随机械设备进场计划及租凭合同报发包人备案；对于新购机械设备，承包人必须随机械设备进场计划提供订购或采购合同报发包人备案。</w:t>
      </w:r>
    </w:p>
    <w:p>
      <w:pPr>
        <w:spacing w:line="360" w:lineRule="auto"/>
        <w:ind w:firstLine="426"/>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承包人必须确保机械设备的性能良好，可正常使用。对于影响工程进度较大的主要机械设备，必须有一定备用量，确保在机械设备检修或维护期间，现场仍能正常施工，主要机械设备退场必须经监理工程师及业主同意方可退场，确保进度。</w:t>
      </w:r>
    </w:p>
    <w:p>
      <w:pPr>
        <w:spacing w:line="360" w:lineRule="auto"/>
        <w:ind w:firstLine="426"/>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（3）为确保工程进度，承包人必须无条件增加机械设备的投入，除合同约定有赶工措施费外，发包人不另行增加相关费用。</w:t>
      </w:r>
    </w:p>
    <w:p>
      <w:pPr>
        <w:keepNext/>
        <w:keepLines/>
        <w:spacing w:before="161" w:beforeLines="50" w:after="120" w:line="360" w:lineRule="auto"/>
        <w:ind w:firstLine="426"/>
        <w:jc w:val="left"/>
        <w:outlineLvl w:val="2"/>
        <w:rPr>
          <w:rFonts w:hint="eastAsia" w:ascii="宋体" w:hAnsi="宋体" w:cs="宋体"/>
          <w:b/>
          <w:bCs/>
          <w:color w:val="auto"/>
          <w:spacing w:val="4"/>
          <w:kern w:val="0"/>
          <w:sz w:val="24"/>
          <w:szCs w:val="24"/>
          <w:highlight w:val="none"/>
        </w:rPr>
      </w:pPr>
      <w:bookmarkStart w:id="193" w:name="_Toc41306295"/>
      <w:r>
        <w:rPr>
          <w:rFonts w:hint="eastAsia" w:ascii="宋体" w:hAnsi="宋体" w:cs="宋体"/>
          <w:b/>
          <w:bCs/>
          <w:color w:val="auto"/>
          <w:spacing w:val="4"/>
          <w:kern w:val="0"/>
          <w:sz w:val="24"/>
          <w:szCs w:val="24"/>
          <w:highlight w:val="none"/>
        </w:rPr>
        <w:t>（十一）竣工移交前深度清洁工作要求</w:t>
      </w:r>
      <w:bookmarkEnd w:id="193"/>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本项目在竣工验收后移交前需对施工区域进行一次全面的深度清洁工作，相关费用在投标报价中综合考虑，发包人不再另行支付。深度清洁要求如下：</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1、建筑物室内（墙面、柱面、墙裙；玻璃、金属结构框；门等）表面干净、整洁，无灰尘、污垢、污渍、水迹、水渍、手印迹及其他印迹。</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2、建筑物室内涂料表面无灰尘、污渍、污垢、印迹，涂料色泽鲜艳、无色差、质感强。</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3、建筑物室内（天花板、通风口、内嵌式灯饰）表面干净、整洁，不得有灰尘、污垢，天花板不得有缺块、掉块现象。</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4、卫生间（坐厕器、小便器、洗脸盆、地板、墙面、门、门套等）干净、整洁，无灰尘、污渍、污垢、水渍、水迹、印迹。</w:t>
      </w:r>
    </w:p>
    <w:p>
      <w:pPr>
        <w:keepNext/>
        <w:keepLines/>
        <w:spacing w:before="161" w:beforeLines="50" w:after="120" w:line="360" w:lineRule="auto"/>
        <w:ind w:firstLine="426"/>
        <w:jc w:val="left"/>
        <w:outlineLvl w:val="2"/>
        <w:rPr>
          <w:rFonts w:hint="eastAsia" w:ascii="宋体" w:hAnsi="宋体" w:cs="宋体"/>
          <w:b/>
          <w:bCs/>
          <w:color w:val="auto"/>
          <w:spacing w:val="4"/>
          <w:kern w:val="0"/>
          <w:sz w:val="24"/>
          <w:szCs w:val="24"/>
          <w:highlight w:val="none"/>
        </w:rPr>
      </w:pPr>
      <w:bookmarkStart w:id="194" w:name="_Toc41306296"/>
      <w:r>
        <w:rPr>
          <w:rFonts w:hint="eastAsia" w:ascii="宋体" w:hAnsi="宋体" w:cs="宋体"/>
          <w:b/>
          <w:bCs/>
          <w:color w:val="auto"/>
          <w:spacing w:val="4"/>
          <w:kern w:val="0"/>
          <w:sz w:val="24"/>
          <w:szCs w:val="24"/>
          <w:highlight w:val="none"/>
        </w:rPr>
        <w:t>（十二）验收、移交及结算管理要求</w:t>
      </w:r>
      <w:bookmarkEnd w:id="194"/>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1、工程验收管理要求：</w:t>
      </w:r>
    </w:p>
    <w:p>
      <w:pPr>
        <w:topLinePunct/>
        <w:adjustRightInd w:val="0"/>
        <w:snapToGrid w:val="0"/>
        <w:spacing w:line="360" w:lineRule="auto"/>
        <w:ind w:left="0" w:leftChars="0" w:firstLine="419" w:firstLineChars="169"/>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（1）承包人必须在工程具备验收条件时的</w:t>
      </w:r>
      <w:r>
        <w:rPr>
          <w:rFonts w:hint="eastAsia" w:cs="宋体"/>
          <w:color w:val="auto"/>
          <w:spacing w:val="4"/>
          <w:kern w:val="0"/>
          <w:sz w:val="24"/>
          <w:szCs w:val="24"/>
          <w:highlight w:val="none"/>
        </w:rPr>
        <w:t>3</w:t>
      </w:r>
      <w:r>
        <w:rPr>
          <w:rFonts w:hint="eastAsia" w:ascii="宋体" w:hAnsi="宋体" w:cs="宋体"/>
          <w:color w:val="auto"/>
          <w:spacing w:val="4"/>
          <w:kern w:val="0"/>
          <w:sz w:val="24"/>
          <w:szCs w:val="24"/>
          <w:highlight w:val="none"/>
        </w:rPr>
        <w:t>周前编制验收计划（包括专业工程验收计划、消防等专项验收计划等），按工程竣工验收有关规定及验收计划分阶段逐项申报验收，确保工程一次验收合格。</w:t>
      </w:r>
    </w:p>
    <w:p>
      <w:pPr>
        <w:topLinePunct/>
        <w:adjustRightInd w:val="0"/>
        <w:snapToGrid w:val="0"/>
        <w:spacing w:line="360" w:lineRule="auto"/>
        <w:ind w:left="0" w:leftChars="0" w:firstLine="419" w:firstLineChars="169"/>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（2）竣工验收</w:t>
      </w:r>
      <w:r>
        <w:rPr>
          <w:rFonts w:hint="eastAsia" w:ascii="宋体" w:hAnsi="宋体" w:cs="宋体"/>
          <w:color w:val="auto"/>
          <w:spacing w:val="4"/>
          <w:kern w:val="0"/>
          <w:sz w:val="24"/>
          <w:szCs w:val="24"/>
          <w:highlight w:val="none"/>
          <w:lang w:val="en-US" w:eastAsia="zh-CN"/>
        </w:rPr>
        <w:t>按最新规定执行</w:t>
      </w:r>
      <w:r>
        <w:rPr>
          <w:rFonts w:hint="eastAsia" w:ascii="宋体" w:hAnsi="宋体" w:cs="宋体"/>
          <w:color w:val="auto"/>
          <w:spacing w:val="4"/>
          <w:kern w:val="0"/>
          <w:sz w:val="24"/>
          <w:szCs w:val="24"/>
          <w:highlight w:val="none"/>
        </w:rPr>
        <w:t>。</w:t>
      </w:r>
    </w:p>
    <w:p>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3</w:t>
      </w:r>
      <w:r>
        <w:rPr>
          <w:rFonts w:hint="eastAsia" w:ascii="宋体" w:hAnsi="宋体" w:cs="宋体"/>
          <w:color w:val="auto"/>
          <w:spacing w:val="4"/>
          <w:kern w:val="0"/>
          <w:sz w:val="24"/>
          <w:szCs w:val="24"/>
          <w:highlight w:val="none"/>
        </w:rPr>
        <w:t>）经验收评定，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topLinePunct/>
        <w:adjustRightInd w:val="0"/>
        <w:snapToGrid w:val="0"/>
        <w:spacing w:line="360" w:lineRule="auto"/>
        <w:ind w:left="0" w:leftChars="0" w:firstLine="419" w:firstLineChars="169"/>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4</w:t>
      </w:r>
      <w:r>
        <w:rPr>
          <w:rFonts w:hint="eastAsia" w:ascii="宋体" w:hAnsi="宋体" w:cs="宋体"/>
          <w:color w:val="auto"/>
          <w:spacing w:val="4"/>
          <w:kern w:val="0"/>
          <w:sz w:val="24"/>
          <w:szCs w:val="24"/>
          <w:highlight w:val="none"/>
        </w:rPr>
        <w:t>）竣工验收完成后承包人须向发包人提供完整竣工资料（包含竣工图）及竣工验收报告；并做好竣工档案、竣工备案等工作。工程验收的其他要求按合同约定执行。</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2、工程移交管理要求：</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（1）移交范围</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工程项目移交的范围包括工程资料移交、工程实体移交（含备品备件）和使用维护管理移交（含设备维护培训及交底）。</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■工程资料移交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竣工资料包括工程建设前期有关资料、工程技术管理资料、竣工验收备案资料等。承包人在工程实施过程中及工程竣工后，应对各类工程文件档案进行收集、整理和查验，确保向发包人移交的工程文件档案资料是真实的、完整的。</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■工程实体移交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承包人在工程移交前，应编制完整的《工程实体移交清单》（含设备材料移交清单、备品备件移交清单），并提供给发包人、监理单位和工程接收单位审核并盖章确认。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（2）移交前维护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在工程竣工验收后至工程移交之前，承包人必须保障：智能化工程、机电工程的正常运行及维护，如在此期间发现工程或工程设备损坏或存在缺陷的，由承包人按质量保证期服务要求的约定进行修复。有关费用已包含在合同总价中，发包人不另支付；如承包人拒绝维护，且经发包人书面催告后仍未维护的，发包人有权委托第三方维护，所需费用由承包人承担。</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（3）移交计划</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承包人应在进行移交工作前编写工程项目移交计划，且移交计划需报发包人及监理单位审核，在经发包人及监理单位审核同意后按计划进行移交。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（4）工程移交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项目移交原则上力争在工程竣工验收备案后一个月之内完成。承包人应在发包人组织的工程移交中向使用单位办理好工程移交，并做好相关的保障、维修及服务。承包人负责对工程竣工验收及工程移交中提出的质量及工程资料问题进行整改，完成整改后向监理单位提交《工程整改完工报告》申请整改后正式移交。</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3、工程造价（结算）管理要求：</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rPr>
        <w:t>）承包人应按发包人要求派出足够的、有能力的造价人员负责结算工作。若派出的造价人员不足或不能胜任结算工作，承包人应按发包人的要求及时更换，直至满足要求为止。</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2</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承包人执行发包人下发的结算编制指引及与结算有关的文件规定。</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3</w:t>
      </w:r>
      <w:r>
        <w:rPr>
          <w:rFonts w:hint="eastAsia" w:ascii="宋体" w:hAnsi="宋体" w:cs="宋体"/>
          <w:color w:val="auto"/>
          <w:spacing w:val="4"/>
          <w:kern w:val="0"/>
          <w:sz w:val="24"/>
          <w:szCs w:val="24"/>
          <w:highlight w:val="none"/>
        </w:rPr>
        <w:t>）承包人须协助发包人加强投资控制，每期申请进度款的计量计价应准确，进度款的申请应与主要材料设备采购计划相匹配，严禁虚报计量（承包人申报的进度款金额超出经监理人、发包人核实金额的</w:t>
      </w:r>
      <w:r>
        <w:rPr>
          <w:rFonts w:hint="eastAsia" w:cs="宋体"/>
          <w:color w:val="auto"/>
          <w:spacing w:val="4"/>
          <w:kern w:val="0"/>
          <w:sz w:val="24"/>
          <w:szCs w:val="24"/>
          <w:highlight w:val="none"/>
        </w:rPr>
        <w:t>10%</w:t>
      </w:r>
      <w:r>
        <w:rPr>
          <w:rFonts w:hint="eastAsia" w:ascii="宋体" w:hAnsi="宋体" w:cs="宋体"/>
          <w:color w:val="auto"/>
          <w:spacing w:val="4"/>
          <w:kern w:val="0"/>
          <w:sz w:val="24"/>
          <w:szCs w:val="24"/>
          <w:highlight w:val="none"/>
        </w:rPr>
        <w:t>，视为承包人虚报计量）或超前计量，否则严格按合同约定承担违约责任。</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4</w:t>
      </w:r>
      <w:r>
        <w:rPr>
          <w:rFonts w:hint="eastAsia" w:ascii="宋体" w:hAnsi="宋体" w:cs="宋体"/>
          <w:color w:val="auto"/>
          <w:spacing w:val="4"/>
          <w:kern w:val="0"/>
          <w:sz w:val="24"/>
          <w:szCs w:val="24"/>
          <w:highlight w:val="none"/>
        </w:rPr>
        <w:t>）在施工过程中发生的工程变更、工程签证等引起合同价款调增事件后，承包人未按合同约定办理变更工程预算审批的，则发包人有权根据实际情况决定是否调整合同价款以及调整的金额。</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5</w:t>
      </w:r>
      <w:r>
        <w:rPr>
          <w:rFonts w:hint="eastAsia" w:ascii="宋体" w:hAnsi="宋体" w:cs="宋体"/>
          <w:color w:val="auto"/>
          <w:spacing w:val="4"/>
          <w:kern w:val="0"/>
          <w:sz w:val="24"/>
          <w:szCs w:val="24"/>
          <w:highlight w:val="none"/>
        </w:rPr>
        <w:t>）本项目总承包管理及配合服务费按承包人实际完成的总承包管理及配合服务工作进行计量支付，具体按合同约定执行。</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lang w:val="en-US" w:eastAsia="zh-CN"/>
        </w:rPr>
        <w:t>6</w:t>
      </w:r>
      <w:r>
        <w:rPr>
          <w:rFonts w:hint="eastAsia" w:ascii="宋体" w:hAnsi="宋体" w:cs="宋体"/>
          <w:color w:val="auto"/>
          <w:spacing w:val="4"/>
          <w:kern w:val="0"/>
          <w:sz w:val="24"/>
          <w:szCs w:val="24"/>
          <w:highlight w:val="none"/>
        </w:rPr>
        <w:t>）根据项目的实际情况，如承包人需另行租用场地用于临设之用，属于承包人自行考虑范畴，相关的费用投标时综合考虑，不再另行计量、支付。</w:t>
      </w:r>
    </w:p>
    <w:p>
      <w:pPr>
        <w:keepNext/>
        <w:keepLines/>
        <w:spacing w:before="161" w:beforeLines="50" w:after="120" w:line="360" w:lineRule="auto"/>
        <w:ind w:firstLine="426"/>
        <w:jc w:val="left"/>
        <w:outlineLvl w:val="2"/>
        <w:rPr>
          <w:rFonts w:hint="eastAsia" w:ascii="宋体" w:hAnsi="宋体" w:cs="宋体"/>
          <w:b/>
          <w:bCs/>
          <w:color w:val="auto"/>
          <w:spacing w:val="4"/>
          <w:kern w:val="0"/>
          <w:sz w:val="24"/>
          <w:szCs w:val="24"/>
          <w:highlight w:val="none"/>
        </w:rPr>
      </w:pPr>
      <w:bookmarkStart w:id="195" w:name="_Toc41306297"/>
      <w:r>
        <w:rPr>
          <w:rFonts w:hint="eastAsia" w:ascii="宋体" w:hAnsi="宋体" w:cs="宋体"/>
          <w:b/>
          <w:bCs/>
          <w:color w:val="auto"/>
          <w:spacing w:val="4"/>
          <w:kern w:val="0"/>
          <w:sz w:val="24"/>
          <w:szCs w:val="24"/>
          <w:highlight w:val="none"/>
        </w:rPr>
        <w:t>（十三）质保期服务管理要求</w:t>
      </w:r>
      <w:bookmarkEnd w:id="195"/>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在质量保证期内，承包人须做好以下工作：</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rPr>
        <w:t>、质量保证期</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（1）在质量保证期内，承包人按保修协议约定免费提供设备的维修及保养服务。</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（2）质保期内须免费提供设备的维修及保养服务，定期派工程师到现场巡查，并配合对各系统进行每年一次的年检且提供年检报告。</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质保期内设备本身质量出现问题或由于设备本身质量原因造成的任何损伤或损坏，承包人应及时给予免费维修或免费更换，由此引起的施工费、人工费、材料费等其他一切费用由承包人负责。新更换的零部件的质保期则从更换之日起计。</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（4）承包人在故障保修响应方面应做到：承包人须在接到业主通知的</w:t>
      </w:r>
      <w:r>
        <w:rPr>
          <w:rFonts w:hint="eastAsia" w:cs="宋体"/>
          <w:color w:val="auto"/>
          <w:spacing w:val="4"/>
          <w:kern w:val="0"/>
          <w:sz w:val="24"/>
          <w:szCs w:val="24"/>
          <w:highlight w:val="none"/>
        </w:rPr>
        <w:t>1</w:t>
      </w:r>
      <w:r>
        <w:rPr>
          <w:rFonts w:hint="eastAsia" w:ascii="宋体" w:hAnsi="宋体" w:cs="宋体"/>
          <w:color w:val="auto"/>
          <w:spacing w:val="4"/>
          <w:kern w:val="0"/>
          <w:sz w:val="24"/>
          <w:szCs w:val="24"/>
          <w:highlight w:val="none"/>
        </w:rPr>
        <w:t>小时内予以答复；在业主要求时，承包人的技术人员须在收到业主通知后</w:t>
      </w:r>
      <w:r>
        <w:rPr>
          <w:rFonts w:hint="eastAsia" w:cs="宋体"/>
          <w:color w:val="auto"/>
          <w:spacing w:val="4"/>
          <w:kern w:val="0"/>
          <w:sz w:val="24"/>
          <w:szCs w:val="24"/>
          <w:highlight w:val="none"/>
        </w:rPr>
        <w:t>3</w:t>
      </w:r>
      <w:r>
        <w:rPr>
          <w:rFonts w:hint="eastAsia" w:ascii="宋体" w:hAnsi="宋体" w:cs="宋体"/>
          <w:color w:val="auto"/>
          <w:spacing w:val="4"/>
          <w:kern w:val="0"/>
          <w:sz w:val="24"/>
          <w:szCs w:val="24"/>
          <w:highlight w:val="none"/>
        </w:rPr>
        <w:t>小时之内到现场进行修理，相关的维修必须连续进行，直至故障完全修复为止。若在</w:t>
      </w:r>
      <w:r>
        <w:rPr>
          <w:rFonts w:hint="eastAsia" w:cs="宋体"/>
          <w:color w:val="auto"/>
          <w:spacing w:val="4"/>
          <w:kern w:val="0"/>
          <w:sz w:val="24"/>
          <w:szCs w:val="24"/>
          <w:highlight w:val="none"/>
        </w:rPr>
        <w:t>24</w:t>
      </w:r>
      <w:r>
        <w:rPr>
          <w:rFonts w:hint="eastAsia" w:ascii="宋体" w:hAnsi="宋体" w:cs="宋体"/>
          <w:color w:val="auto"/>
          <w:spacing w:val="4"/>
          <w:kern w:val="0"/>
          <w:sz w:val="24"/>
          <w:szCs w:val="24"/>
          <w:highlight w:val="none"/>
        </w:rPr>
        <w:t>小时内不能排除故障，承包人应立即采取切实有效的补救措施（包括免费提供应急设备），全力防止损失的扩大。</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从工程竣工验收合格正式运行之日起的质量保证期（含潜在缺陷质量保证期）内，由于设备材料因素造成的损坏，均由承包人免费维修、更换，由于人为（非承包人人员）和自然灾害造成的损坏，收取成本费用。</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6）在质量保证期结束前，承包人须与业主代表对合同项下设备进行全面的检查，对任何缺陷由承包人负责修理。在修理之后，承包人须将缺陷原因、修理的内容、完成修理及恢复正常的时间和日期等情况报告给业主。</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（7）承包人必提供满足质量保证期内正常运行的备品备件和易损、易耗件，并随时优惠提供易损件，优惠提供产品更新、改造服务。</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8）在质量保证期内，以下主要设备提供原厂售后保修服务，若本项目的质量保证期比主要设备供应商规定的售后保修服务期长的，须相应延长主要设备的原厂售后保修服务期，所发生的相关费用由承包人承担，发包人不另行增加费用。</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原厂提供售后保修服务的主要设备包括：空调、水泵、电梯等设备。</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（9）质保期满，由承包人提出退还质量保证金申请，按要求提交《工程质量保修责任期终止证书》，经监理单位、使用单位和发包人确认后按合同要求退还。</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（10）本项目的质量保修金的支付与缺陷责任期内防水工程的质量情况挂钩。具体详见合同约定。</w:t>
      </w:r>
    </w:p>
    <w:p>
      <w:pPr>
        <w:keepNext/>
        <w:keepLines/>
        <w:spacing w:before="161" w:beforeLines="50" w:after="120" w:line="360" w:lineRule="auto"/>
        <w:ind w:firstLine="426"/>
        <w:jc w:val="left"/>
        <w:outlineLvl w:val="2"/>
        <w:rPr>
          <w:rFonts w:hint="eastAsia" w:ascii="宋体" w:hAnsi="宋体" w:cs="宋体"/>
          <w:b/>
          <w:bCs/>
          <w:color w:val="auto"/>
          <w:spacing w:val="4"/>
          <w:kern w:val="0"/>
          <w:sz w:val="24"/>
          <w:szCs w:val="24"/>
          <w:highlight w:val="none"/>
        </w:rPr>
      </w:pPr>
      <w:bookmarkStart w:id="196" w:name="_Toc41306298"/>
      <w:r>
        <w:rPr>
          <w:rFonts w:hint="eastAsia" w:ascii="宋体" w:hAnsi="宋体" w:cs="宋体"/>
          <w:b/>
          <w:bCs/>
          <w:color w:val="auto"/>
          <w:spacing w:val="4"/>
          <w:kern w:val="0"/>
          <w:sz w:val="24"/>
          <w:szCs w:val="24"/>
          <w:highlight w:val="none"/>
        </w:rPr>
        <w:t>（十四）调价机制</w:t>
      </w:r>
      <w:bookmarkEnd w:id="196"/>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1、人工费及材料价差的调整和结算方式</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具体调价方法按合同条款约定执行。</w:t>
      </w:r>
    </w:p>
    <w:p>
      <w:pPr>
        <w:topLinePunct/>
        <w:adjustRightInd w:val="0"/>
        <w:snapToGrid w:val="0"/>
        <w:spacing w:line="360" w:lineRule="auto"/>
        <w:ind w:firstLine="426"/>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2、承包人应认真阅读合同，合理预计报价风险，中标后将不以承包人未正确理解或未合理预计风险为由要求增加任何费用。</w:t>
      </w:r>
    </w:p>
    <w:p>
      <w:pPr>
        <w:keepNext/>
        <w:keepLines/>
        <w:spacing w:before="240" w:after="120" w:line="360" w:lineRule="auto"/>
        <w:ind w:firstLine="426"/>
        <w:jc w:val="center"/>
        <w:outlineLvl w:val="1"/>
        <w:rPr>
          <w:rFonts w:hint="eastAsia" w:ascii="宋体" w:hAnsi="宋体" w:cs="宋体"/>
          <w:b/>
          <w:bCs/>
          <w:color w:val="auto"/>
          <w:kern w:val="0"/>
          <w:sz w:val="30"/>
          <w:szCs w:val="30"/>
          <w:highlight w:val="none"/>
        </w:rPr>
      </w:pPr>
      <w:bookmarkStart w:id="197" w:name="_Toc41306299"/>
      <w:r>
        <w:rPr>
          <w:rFonts w:hint="eastAsia" w:ascii="宋体" w:hAnsi="宋体" w:cs="宋体"/>
          <w:b/>
          <w:bCs/>
          <w:color w:val="auto"/>
          <w:kern w:val="0"/>
          <w:sz w:val="30"/>
          <w:szCs w:val="30"/>
          <w:highlight w:val="none"/>
        </w:rPr>
        <w:t>五、建筑总承包管理内容</w:t>
      </w:r>
      <w:bookmarkEnd w:id="197"/>
    </w:p>
    <w:p>
      <w:pPr>
        <w:topLinePunct/>
        <w:adjustRightInd w:val="0"/>
        <w:snapToGrid w:val="0"/>
        <w:spacing w:line="360" w:lineRule="auto"/>
        <w:ind w:left="426"/>
        <w:rPr>
          <w:rFonts w:hint="eastAsia" w:ascii="宋体" w:hAnsi="宋体" w:cs="仿宋_GB2312"/>
          <w:color w:val="auto"/>
          <w:spacing w:val="4"/>
          <w:kern w:val="0"/>
          <w:sz w:val="24"/>
          <w:szCs w:val="24"/>
          <w:highlight w:val="none"/>
        </w:rPr>
      </w:pPr>
      <w:r>
        <w:rPr>
          <w:rFonts w:hint="eastAsia" w:ascii="宋体" w:hAnsi="宋体" w:cs="宋体"/>
          <w:color w:val="auto"/>
          <w:spacing w:val="4"/>
          <w:kern w:val="0"/>
          <w:sz w:val="24"/>
          <w:szCs w:val="24"/>
          <w:highlight w:val="none"/>
        </w:rPr>
        <w:t>1、施工总承包管理内容，主要包括但不限于以下工作内容：</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负责项目总进度计划管理和总体协调；</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2</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负责施工总平面布置及维护管理；</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3</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负责日常水电、通道和道路的管理、维护和保洁；</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4</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负责现场安全保卫（包括且不限于办公区、生活区、现场门禁、视频监控等）、社区周边关系（包括且不限于环保、环卫、城管、街道、安监、公安、交警等部门）协调等现场综合管理；</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5</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负责项目竣工移交以前项目的安全文明施工、环境及职业健康管理及协调；</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6</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组织办理验收、移交、竣工结算、竣工资料和竣工备案及其它管理工作；</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2、为保证施工单位在完成本项目主体结构施工后，仍然能够保质保量地履行施工总承包管理，承包人承诺施工总承包配合服务的具体时间、人员和具体内容等。</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3、施工总承包单位中标后，立即成立专门的团队负责本项目的施工总承包管理。</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4、施工单位将总承包管理内容进行梳理细化，根据施工进度情况和专业单位进场情况排出配合服务工作计划，报监理单位和我办审批后实施。</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5、总承包服务内容:</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向专业工程承包人提供施工用水、用电接驳点；</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2</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向专业工程承包人提供生产、生活设施搭建场地；</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3</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提供运输设施、设备及管理服务；</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4</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提供脚手架满足各专业施工要求；</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5</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提供公共临时设施（包括且不限于应急发电机、施工临时消防设施、施工临时排水等）、公共安全防护和文明施工设施供专业单位使用，并负责管理及维护；</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6</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提供施工测量控制基准点，随楼层向其它专业承包单位提供施工控制轴线、标高；</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7</w:t>
      </w:r>
      <w:r>
        <w:rPr>
          <w:rFonts w:hint="eastAsia" w:ascii="宋体" w:hAnsi="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rPr>
        <w:t>配合办理专项验收备案等手续。</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6、第三方检测、监测配合服务。</w:t>
      </w:r>
    </w:p>
    <w:p>
      <w:pPr>
        <w:topLinePunct/>
        <w:adjustRightInd w:val="0"/>
        <w:snapToGrid w:val="0"/>
        <w:spacing w:line="360" w:lineRule="auto"/>
        <w:ind w:firstLine="42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7、合同约定的其他总承包管理服务内容。</w:t>
      </w:r>
    </w:p>
    <w:p>
      <w:pPr>
        <w:keepNext/>
        <w:keepLines/>
        <w:spacing w:before="240" w:after="120" w:line="360" w:lineRule="auto"/>
        <w:ind w:firstLine="426"/>
        <w:jc w:val="center"/>
        <w:outlineLvl w:val="1"/>
        <w:rPr>
          <w:rFonts w:hint="eastAsia" w:ascii="宋体" w:hAnsi="宋体" w:cs="宋体"/>
          <w:b/>
          <w:bCs/>
          <w:color w:val="auto"/>
          <w:kern w:val="0"/>
          <w:sz w:val="30"/>
          <w:szCs w:val="30"/>
          <w:highlight w:val="none"/>
        </w:rPr>
      </w:pPr>
      <w:bookmarkStart w:id="198" w:name="_Toc41306300"/>
      <w:r>
        <w:rPr>
          <w:rFonts w:hint="eastAsia" w:ascii="宋体" w:hAnsi="宋体" w:cs="宋体"/>
          <w:b/>
          <w:bCs/>
          <w:color w:val="auto"/>
          <w:kern w:val="0"/>
          <w:sz w:val="30"/>
          <w:szCs w:val="30"/>
          <w:highlight w:val="none"/>
        </w:rPr>
        <w:t>六、其他注意事项</w:t>
      </w:r>
      <w:bookmarkEnd w:id="198"/>
    </w:p>
    <w:p>
      <w:pPr>
        <w:topLinePunct/>
        <w:adjustRightInd w:val="0"/>
        <w:snapToGrid w:val="0"/>
        <w:spacing w:line="360" w:lineRule="auto"/>
        <w:ind w:firstLine="426" w:firstLineChars="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中标单位在合同实施过程中，如违约或有不良行为或不规范行为，或与招标人产生合同纠纷（仲裁或诉讼）的，招标人将上报建设行政主管部门，同时招标人有权在后续施工招标项目中拒绝其投标。</w:t>
      </w:r>
    </w:p>
    <w:p>
      <w:pPr>
        <w:spacing w:line="360" w:lineRule="auto"/>
        <w:ind w:firstLine="482" w:firstLineChars="200"/>
        <w:jc w:val="left"/>
        <w:rPr>
          <w:rFonts w:ascii="宋体"/>
          <w:b/>
          <w:color w:val="auto"/>
          <w:sz w:val="24"/>
          <w:szCs w:val="24"/>
          <w:highlight w:val="none"/>
        </w:rPr>
      </w:pPr>
    </w:p>
    <w:p>
      <w:pPr>
        <w:pStyle w:val="5"/>
        <w:rPr>
          <w:rFonts w:hint="eastAsia"/>
          <w:color w:val="auto"/>
          <w:highlight w:val="none"/>
        </w:rPr>
      </w:pPr>
      <w:bookmarkStart w:id="199" w:name="_Toc2272569"/>
      <w:bookmarkStart w:id="200" w:name="_Toc21525514"/>
      <w:r>
        <w:rPr>
          <w:rFonts w:hint="eastAsia"/>
          <w:color w:val="auto"/>
          <w:highlight w:val="none"/>
        </w:rPr>
        <w:br w:type="page"/>
      </w:r>
    </w:p>
    <w:p>
      <w:pPr>
        <w:pStyle w:val="5"/>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199"/>
      <w:bookmarkEnd w:id="200"/>
    </w:p>
    <w:p>
      <w:pPr>
        <w:jc w:val="center"/>
        <w:rPr>
          <w:rFonts w:ascii="宋体"/>
          <w:b/>
          <w:color w:val="auto"/>
          <w:sz w:val="24"/>
          <w:szCs w:val="24"/>
          <w:highlight w:val="none"/>
        </w:rPr>
      </w:pPr>
      <w:r>
        <w:rPr>
          <w:rFonts w:hint="eastAsia" w:ascii="宋体" w:hAnsi="宋体"/>
          <w:color w:val="auto"/>
          <w:sz w:val="24"/>
          <w:szCs w:val="24"/>
          <w:highlight w:val="none"/>
        </w:rPr>
        <w:t>注：另册。</w:t>
      </w:r>
    </w:p>
    <w:p>
      <w:pPr>
        <w:pStyle w:val="5"/>
        <w:rPr>
          <w:color w:val="auto"/>
          <w:highlight w:val="none"/>
        </w:rPr>
      </w:pPr>
      <w:r>
        <w:rPr>
          <w:color w:val="auto"/>
          <w:sz w:val="24"/>
          <w:szCs w:val="24"/>
          <w:highlight w:val="none"/>
        </w:rPr>
        <w:br w:type="page"/>
      </w:r>
      <w:bookmarkStart w:id="201" w:name="_Toc21525515"/>
      <w:bookmarkStart w:id="202"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201"/>
      <w:bookmarkEnd w:id="202"/>
    </w:p>
    <w:p>
      <w:pPr>
        <w:jc w:val="center"/>
        <w:rPr>
          <w:color w:val="auto"/>
          <w:highlight w:val="none"/>
        </w:rPr>
      </w:pPr>
      <w:r>
        <w:rPr>
          <w:rFonts w:hint="eastAsia" w:ascii="宋体" w:hAnsi="宋体"/>
          <w:color w:val="auto"/>
          <w:sz w:val="24"/>
          <w:szCs w:val="24"/>
          <w:highlight w:val="none"/>
        </w:rPr>
        <w:t>注：另册。</w:t>
      </w:r>
    </w:p>
    <w:p>
      <w:pPr>
        <w:pStyle w:val="5"/>
        <w:rPr>
          <w:rFonts w:ascii="宋体"/>
          <w:color w:val="auto"/>
          <w:highlight w:val="none"/>
        </w:rPr>
      </w:pPr>
      <w:r>
        <w:rPr>
          <w:color w:val="auto"/>
          <w:sz w:val="24"/>
          <w:szCs w:val="24"/>
          <w:highlight w:val="none"/>
        </w:rPr>
        <w:br w:type="page"/>
      </w:r>
      <w:bookmarkStart w:id="203" w:name="_Toc21525516"/>
      <w:bookmarkStart w:id="204"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203"/>
      <w:bookmarkEnd w:id="204"/>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招标人应当在发布招标文件时，公布最高投标限价的总价，分部分项工程费、措施项目费、其他项目费、税金，以及绿色施工安全防护措施费、暂列金额等投标人不可竞争的固定报价。</w:t>
      </w:r>
    </w:p>
    <w:p>
      <w:pPr>
        <w:spacing w:line="360" w:lineRule="auto"/>
        <w:ind w:firstLine="480"/>
        <w:rPr>
          <w:color w:val="auto"/>
          <w:highlight w:val="none"/>
        </w:rPr>
      </w:pPr>
      <w:r>
        <w:rPr>
          <w:rFonts w:hint="eastAsia" w:ascii="Times New Roman" w:hAnsi="Times New Roman"/>
          <w:color w:val="auto"/>
          <w:sz w:val="24"/>
          <w:szCs w:val="24"/>
          <w:highlight w:val="none"/>
          <w:u w:val="single"/>
        </w:rPr>
        <w:t>具体见本项目《最高投标限价公布函》。</w:t>
      </w:r>
    </w:p>
    <w:p>
      <w:pPr>
        <w:rPr>
          <w:color w:val="auto"/>
          <w:highlight w:val="none"/>
        </w:rPr>
      </w:pPr>
    </w:p>
    <w:p/>
    <w:sectPr>
      <w:pgSz w:w="11906" w:h="16838"/>
      <w:pgMar w:top="1440" w:right="1440" w:bottom="1440"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entury Schoolbook">
    <w:altName w:val="Segoe Print"/>
    <w:panose1 w:val="02040604050505020304"/>
    <w:charset w:val="00"/>
    <w:family w:val="roman"/>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20106090600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jc w:val="right"/>
      <w:rPr>
        <w:rStyle w:val="3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pPr>
      <w:pStyle w:val="27"/>
      <w:ind w:right="360" w:firstLine="360"/>
      <w:jc w:val="center"/>
    </w:pPr>
    <w:r>
      <w:rPr>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rPr>
        <w:rStyle w:val="39"/>
      </w:rPr>
      <w:instrText xml:space="preserve"> PAGE </w:instrText>
    </w:r>
    <w:r>
      <w:fldChar w:fldCharType="separate"/>
    </w:r>
    <w:r>
      <w:rPr>
        <w:rStyle w:val="39"/>
      </w:rPr>
      <w:t>65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92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3RIrABAABN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CLKSWOW5zR/sfL/ufv/a9ngj5sUB9ijXlPATPTcO0HHPToj+jMugcFNn9R&#10;EcE4tnp3aq8cEhH50Xw2n1cYEhgbL4jPXp8HiOlOekuy0VDA+ZW28u2XmA6pY0qu5vytNqbM0Lh/&#10;HIiZPSxzP3DMVhpWw1HQyrc71NPj6BvqcDcpMfcOO5u3ZDRgNFajsQmg1x1SmxZeMVxtEpIo3HKF&#10;A+yxMM6sqDvuV16Kv+8l6/UvW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vt0SKwAQAA&#10;TQMAAA4AAAAAAAAAAQAgAAAAHgEAAGRycy9lMm9Eb2MueG1sUEsFBgAAAAAGAAYAWQEAAEAFAAAA&#10;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7"/>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jc w:val="right"/>
      <w:rPr>
        <w:rStyle w:val="3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92"/>
                            <w:jc w:val="right"/>
                          </w:pPr>
                          <w:r>
                            <w:rPr>
                              <w:rStyle w:val="39"/>
                            </w:rPr>
                            <w:fldChar w:fldCharType="begin"/>
                          </w:r>
                          <w:r>
                            <w:rPr>
                              <w:rStyle w:val="39"/>
                            </w:rPr>
                            <w:instrText xml:space="preserve">PAGE  </w:instrText>
                          </w:r>
                          <w:r>
                            <w:rPr>
                              <w:rStyle w:val="39"/>
                            </w:rPr>
                            <w:fldChar w:fldCharType="separate"/>
                          </w:r>
                          <w:r>
                            <w:rPr>
                              <w:rStyle w:val="39"/>
                            </w:rPr>
                            <w:t>42</w:t>
                          </w:r>
                          <w:r>
                            <w:rPr>
                              <w:rStyle w:val="3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27"/>
                      <w:ind w:firstLine="392"/>
                      <w:jc w:val="right"/>
                    </w:pPr>
                    <w:r>
                      <w:rPr>
                        <w:rStyle w:val="39"/>
                      </w:rPr>
                      <w:fldChar w:fldCharType="begin"/>
                    </w:r>
                    <w:r>
                      <w:rPr>
                        <w:rStyle w:val="39"/>
                      </w:rPr>
                      <w:instrText xml:space="preserve">PAGE  </w:instrText>
                    </w:r>
                    <w:r>
                      <w:rPr>
                        <w:rStyle w:val="39"/>
                      </w:rPr>
                      <w:fldChar w:fldCharType="separate"/>
                    </w:r>
                    <w:r>
                      <w:rPr>
                        <w:rStyle w:val="39"/>
                      </w:rPr>
                      <w:t>42</w:t>
                    </w:r>
                    <w:r>
                      <w:rPr>
                        <w:rStyle w:val="3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92"/>
                          </w:pPr>
                          <w:r>
                            <w:rPr>
                              <w:rStyle w:val="39"/>
                            </w:rPr>
                            <w:fldChar w:fldCharType="begin"/>
                          </w:r>
                          <w:r>
                            <w:rPr>
                              <w:rStyle w:val="39"/>
                            </w:rPr>
                            <w:instrText xml:space="preserve"> PAGE </w:instrText>
                          </w:r>
                          <w:r>
                            <w:rPr>
                              <w:rStyle w:val="39"/>
                            </w:rPr>
                            <w:fldChar w:fldCharType="separate"/>
                          </w:r>
                          <w:r>
                            <w:rPr>
                              <w:rStyle w:val="39"/>
                            </w:rPr>
                            <w:t>1</w:t>
                          </w:r>
                          <w:r>
                            <w:rPr>
                              <w:rStyle w:val="3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27"/>
                      <w:ind w:firstLine="392"/>
                    </w:pPr>
                    <w:r>
                      <w:rPr>
                        <w:rStyle w:val="39"/>
                      </w:rPr>
                      <w:fldChar w:fldCharType="begin"/>
                    </w:r>
                    <w:r>
                      <w:rPr>
                        <w:rStyle w:val="39"/>
                      </w:rPr>
                      <w:instrText xml:space="preserve"> PAGE </w:instrText>
                    </w:r>
                    <w:r>
                      <w:rPr>
                        <w:rStyle w:val="39"/>
                      </w:rPr>
                      <w:fldChar w:fldCharType="separate"/>
                    </w:r>
                    <w:r>
                      <w:rPr>
                        <w:rStyle w:val="39"/>
                      </w:rPr>
                      <w:t>1</w:t>
                    </w:r>
                    <w:r>
                      <w:rPr>
                        <w:rStyle w:val="39"/>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rPr>
                              <w:rStyle w:val="39"/>
                            </w:rPr>
                          </w:pPr>
                          <w:r>
                            <w:rPr>
                              <w:rStyle w:val="39"/>
                            </w:rPr>
                            <w:fldChar w:fldCharType="begin"/>
                          </w:r>
                          <w:r>
                            <w:rPr>
                              <w:rStyle w:val="39"/>
                            </w:rPr>
                            <w:instrText xml:space="preserve">PAGE  </w:instrText>
                          </w:r>
                          <w:r>
                            <w:rPr>
                              <w:rStyle w:val="39"/>
                            </w:rPr>
                            <w:fldChar w:fldCharType="separate"/>
                          </w:r>
                          <w:r>
                            <w:rPr>
                              <w:rStyle w:val="39"/>
                            </w:rPr>
                            <w:t>98</w:t>
                          </w:r>
                          <w:r>
                            <w:rPr>
                              <w:rStyle w:val="39"/>
                            </w:rPr>
                            <w:fldChar w:fldCharType="end"/>
                          </w:r>
                        </w:p>
                        <w:p>
                          <w:pPr>
                            <w:pStyle w:val="27"/>
                            <w:ind w:left="-4410" w:leftChars="-2100" w:right="-4439" w:rightChars="-2114"/>
                            <w:rPr>
                              <w:rStyle w:val="39"/>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27"/>
                      <w:jc w:val="center"/>
                      <w:rPr>
                        <w:rStyle w:val="39"/>
                      </w:rPr>
                    </w:pPr>
                    <w:r>
                      <w:rPr>
                        <w:rStyle w:val="39"/>
                      </w:rPr>
                      <w:fldChar w:fldCharType="begin"/>
                    </w:r>
                    <w:r>
                      <w:rPr>
                        <w:rStyle w:val="39"/>
                      </w:rPr>
                      <w:instrText xml:space="preserve">PAGE  </w:instrText>
                    </w:r>
                    <w:r>
                      <w:rPr>
                        <w:rStyle w:val="39"/>
                      </w:rPr>
                      <w:fldChar w:fldCharType="separate"/>
                    </w:r>
                    <w:r>
                      <w:rPr>
                        <w:rStyle w:val="39"/>
                      </w:rPr>
                      <w:t>98</w:t>
                    </w:r>
                    <w:r>
                      <w:rPr>
                        <w:rStyle w:val="39"/>
                      </w:rPr>
                      <w:fldChar w:fldCharType="end"/>
                    </w:r>
                  </w:p>
                  <w:p>
                    <w:pPr>
                      <w:pStyle w:val="27"/>
                      <w:ind w:left="-4410" w:leftChars="-2100" w:right="-4439" w:rightChars="-2114"/>
                      <w:rPr>
                        <w:rStyle w:val="39"/>
                      </w:rPr>
                    </w:pP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7"/>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rPr>
                              <w:rStyle w:val="39"/>
                            </w:rPr>
                            <w:fldChar w:fldCharType="begin"/>
                          </w:r>
                          <w:r>
                            <w:rPr>
                              <w:rStyle w:val="39"/>
                            </w:rPr>
                            <w:instrText xml:space="preserve"> PAGE </w:instrText>
                          </w:r>
                          <w:r>
                            <w:rPr>
                              <w:rStyle w:val="39"/>
                            </w:rPr>
                            <w:fldChar w:fldCharType="separate"/>
                          </w:r>
                          <w:r>
                            <w:rPr>
                              <w:rStyle w:val="39"/>
                            </w:rPr>
                            <w:t>90</w:t>
                          </w:r>
                          <w:r>
                            <w:rPr>
                              <w:rStyle w:val="3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27"/>
                      <w:jc w:val="center"/>
                    </w:pPr>
                    <w:r>
                      <w:rPr>
                        <w:rStyle w:val="39"/>
                      </w:rPr>
                      <w:fldChar w:fldCharType="begin"/>
                    </w:r>
                    <w:r>
                      <w:rPr>
                        <w:rStyle w:val="39"/>
                      </w:rPr>
                      <w:instrText xml:space="preserve"> PAGE </w:instrText>
                    </w:r>
                    <w:r>
                      <w:rPr>
                        <w:rStyle w:val="39"/>
                      </w:rPr>
                      <w:fldChar w:fldCharType="separate"/>
                    </w:r>
                    <w:r>
                      <w:rPr>
                        <w:rStyle w:val="39"/>
                      </w:rPr>
                      <w:t>90</w:t>
                    </w:r>
                    <w:r>
                      <w:rPr>
                        <w:rStyle w:val="39"/>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fldChar w:fldCharType="begin"/>
                          </w:r>
                          <w:r>
                            <w:instrText xml:space="preserve">PAGE   \* MERGEFORMAT</w:instrText>
                          </w:r>
                          <w:r>
                            <w:fldChar w:fldCharType="separate"/>
                          </w:r>
                          <w:r>
                            <w:rPr>
                              <w:lang w:val="zh-CN"/>
                            </w:rPr>
                            <w:t>201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201</w:t>
                    </w:r>
                    <w:r>
                      <w:fldChar w:fldCharType="end"/>
                    </w:r>
                  </w:p>
                </w:txbxContent>
              </v:textbox>
            </v:shape>
          </w:pict>
        </mc:Fallback>
      </mc:AlternateContent>
    </w:r>
  </w:p>
  <w:p>
    <w:pPr>
      <w:pStyle w:val="2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tabs>
        <w:tab w:val="left" w:pos="7902"/>
        <w:tab w:val="clear" w:pos="4153"/>
      </w:tabs>
      <w:jc w:val="both"/>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083ABCD1"/>
    <w:multiLevelType w:val="singleLevel"/>
    <w:tmpl w:val="083ABCD1"/>
    <w:lvl w:ilvl="0" w:tentative="0">
      <w:start w:val="1"/>
      <w:numFmt w:val="decimal"/>
      <w:suff w:val="nothing"/>
      <w:lvlText w:val="（%1）"/>
      <w:lvlJc w:val="left"/>
    </w:lvl>
  </w:abstractNum>
  <w:abstractNum w:abstractNumId="2">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2"/>
      <w:suff w:val="space"/>
      <w:lvlText w:val="%2.%3.%4"/>
      <w:lvlJc w:val="left"/>
      <w:pPr>
        <w:ind w:left="284" w:hanging="284"/>
      </w:pPr>
      <w:rPr>
        <w:rFonts w:hint="eastAsia" w:ascii="宋体" w:eastAsia="宋体" w:cs="Times New Roman"/>
        <w:b/>
        <w:i w:val="0"/>
        <w:sz w:val="28"/>
      </w:rPr>
    </w:lvl>
    <w:lvl w:ilvl="4" w:tentative="0">
      <w:start w:val="1"/>
      <w:numFmt w:val="decimal"/>
      <w:pStyle w:val="13"/>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5"/>
      <w:suff w:val="nothing"/>
      <w:lvlText w:val=""/>
      <w:lvlJc w:val="left"/>
      <w:rPr>
        <w:rFonts w:hint="eastAsia" w:cs="Times New Roman"/>
      </w:rPr>
    </w:lvl>
    <w:lvl w:ilvl="7" w:tentative="0">
      <w:start w:val="1"/>
      <w:numFmt w:val="none"/>
      <w:pStyle w:val="16"/>
      <w:suff w:val="nothing"/>
      <w:lvlText w:val=""/>
      <w:lvlJc w:val="left"/>
      <w:rPr>
        <w:rFonts w:hint="eastAsia" w:cs="Times New Roman"/>
      </w:rPr>
    </w:lvl>
    <w:lvl w:ilvl="8" w:tentative="0">
      <w:start w:val="1"/>
      <w:numFmt w:val="none"/>
      <w:pStyle w:val="17"/>
      <w:suff w:val="nothing"/>
      <w:lvlText w:val=""/>
      <w:lvlJc w:val="left"/>
      <w:rPr>
        <w:rFonts w:hint="eastAsia" w:cs="Times New Roman"/>
      </w:rPr>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4"/>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2JkZjI5ZWYzOWYyYzQxMDIwZTA2ODkxZGJjZTkifQ=="/>
  </w:docVars>
  <w:rsids>
    <w:rsidRoot w:val="007B41BE"/>
    <w:rsid w:val="000200EE"/>
    <w:rsid w:val="000575F8"/>
    <w:rsid w:val="00074FD1"/>
    <w:rsid w:val="000C1007"/>
    <w:rsid w:val="000C11E0"/>
    <w:rsid w:val="000C2710"/>
    <w:rsid w:val="000D396E"/>
    <w:rsid w:val="00133B96"/>
    <w:rsid w:val="00181CAA"/>
    <w:rsid w:val="00193EB2"/>
    <w:rsid w:val="002578A9"/>
    <w:rsid w:val="002F750B"/>
    <w:rsid w:val="00336AA3"/>
    <w:rsid w:val="0037590B"/>
    <w:rsid w:val="004370EC"/>
    <w:rsid w:val="004424B8"/>
    <w:rsid w:val="004B295D"/>
    <w:rsid w:val="005866FB"/>
    <w:rsid w:val="005C212B"/>
    <w:rsid w:val="006036EF"/>
    <w:rsid w:val="00673B83"/>
    <w:rsid w:val="00680BFD"/>
    <w:rsid w:val="006B3CF9"/>
    <w:rsid w:val="006B6B0D"/>
    <w:rsid w:val="006F3576"/>
    <w:rsid w:val="0073229B"/>
    <w:rsid w:val="00773916"/>
    <w:rsid w:val="00780EC8"/>
    <w:rsid w:val="00794D8A"/>
    <w:rsid w:val="007B41BE"/>
    <w:rsid w:val="007D6D06"/>
    <w:rsid w:val="007E722A"/>
    <w:rsid w:val="00835C9E"/>
    <w:rsid w:val="008B5614"/>
    <w:rsid w:val="008D2515"/>
    <w:rsid w:val="008E4AD1"/>
    <w:rsid w:val="00920E49"/>
    <w:rsid w:val="00976D18"/>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645F8"/>
    <w:rsid w:val="00EB6530"/>
    <w:rsid w:val="00EC014E"/>
    <w:rsid w:val="00ED1E2A"/>
    <w:rsid w:val="00F40301"/>
    <w:rsid w:val="00FA5926"/>
    <w:rsid w:val="00FC5596"/>
    <w:rsid w:val="00FF796E"/>
    <w:rsid w:val="01052CF2"/>
    <w:rsid w:val="010F16C9"/>
    <w:rsid w:val="012F2D06"/>
    <w:rsid w:val="01C44FB3"/>
    <w:rsid w:val="01F42D45"/>
    <w:rsid w:val="02217FDE"/>
    <w:rsid w:val="02671768"/>
    <w:rsid w:val="029C0533"/>
    <w:rsid w:val="02B8660C"/>
    <w:rsid w:val="02E8185F"/>
    <w:rsid w:val="03192E4B"/>
    <w:rsid w:val="032E0C21"/>
    <w:rsid w:val="03630182"/>
    <w:rsid w:val="03772385"/>
    <w:rsid w:val="03B46380"/>
    <w:rsid w:val="03BD6F0A"/>
    <w:rsid w:val="03C1347A"/>
    <w:rsid w:val="041654A8"/>
    <w:rsid w:val="042D0428"/>
    <w:rsid w:val="04754C99"/>
    <w:rsid w:val="04763EE5"/>
    <w:rsid w:val="04BA23C4"/>
    <w:rsid w:val="04E271B4"/>
    <w:rsid w:val="04F14B3B"/>
    <w:rsid w:val="053F69CD"/>
    <w:rsid w:val="0548762F"/>
    <w:rsid w:val="056C665D"/>
    <w:rsid w:val="05935ABA"/>
    <w:rsid w:val="059B24B4"/>
    <w:rsid w:val="059C5FC0"/>
    <w:rsid w:val="05D24B0D"/>
    <w:rsid w:val="062C51A3"/>
    <w:rsid w:val="062F1A6E"/>
    <w:rsid w:val="06481B16"/>
    <w:rsid w:val="06593102"/>
    <w:rsid w:val="0673692E"/>
    <w:rsid w:val="067909A4"/>
    <w:rsid w:val="067C7ACB"/>
    <w:rsid w:val="06976AC0"/>
    <w:rsid w:val="069A73C8"/>
    <w:rsid w:val="06CE078F"/>
    <w:rsid w:val="072F44E3"/>
    <w:rsid w:val="074B354F"/>
    <w:rsid w:val="076B33F7"/>
    <w:rsid w:val="079D5B0C"/>
    <w:rsid w:val="079E7D05"/>
    <w:rsid w:val="07C547F6"/>
    <w:rsid w:val="07D23B28"/>
    <w:rsid w:val="07D971EE"/>
    <w:rsid w:val="07E35D35"/>
    <w:rsid w:val="07F97307"/>
    <w:rsid w:val="082453A7"/>
    <w:rsid w:val="08534345"/>
    <w:rsid w:val="085409E1"/>
    <w:rsid w:val="08780713"/>
    <w:rsid w:val="088E5B63"/>
    <w:rsid w:val="08B15062"/>
    <w:rsid w:val="08CB1D88"/>
    <w:rsid w:val="08D237DD"/>
    <w:rsid w:val="08FE199D"/>
    <w:rsid w:val="09040FB7"/>
    <w:rsid w:val="09286A8B"/>
    <w:rsid w:val="09442735"/>
    <w:rsid w:val="09542615"/>
    <w:rsid w:val="09A432A2"/>
    <w:rsid w:val="09B2776D"/>
    <w:rsid w:val="09F33618"/>
    <w:rsid w:val="0A161087"/>
    <w:rsid w:val="0A286504"/>
    <w:rsid w:val="0A4F764D"/>
    <w:rsid w:val="0A5627EE"/>
    <w:rsid w:val="0A941589"/>
    <w:rsid w:val="0AB56889"/>
    <w:rsid w:val="0AC76F21"/>
    <w:rsid w:val="0AD44E8F"/>
    <w:rsid w:val="0AE41DD7"/>
    <w:rsid w:val="0AF618DB"/>
    <w:rsid w:val="0B1F52D6"/>
    <w:rsid w:val="0B382C3C"/>
    <w:rsid w:val="0B534F80"/>
    <w:rsid w:val="0B596231"/>
    <w:rsid w:val="0B964496"/>
    <w:rsid w:val="0B9936CC"/>
    <w:rsid w:val="0BD065D0"/>
    <w:rsid w:val="0BDD7B15"/>
    <w:rsid w:val="0C730A39"/>
    <w:rsid w:val="0C731215"/>
    <w:rsid w:val="0C8C560A"/>
    <w:rsid w:val="0C946F03"/>
    <w:rsid w:val="0CB56B4C"/>
    <w:rsid w:val="0CC021A1"/>
    <w:rsid w:val="0CE95936"/>
    <w:rsid w:val="0CEE6D0E"/>
    <w:rsid w:val="0CF22EB4"/>
    <w:rsid w:val="0CF56518"/>
    <w:rsid w:val="0D8F6DD9"/>
    <w:rsid w:val="0D9A0C44"/>
    <w:rsid w:val="0DA5188F"/>
    <w:rsid w:val="0DA71FE9"/>
    <w:rsid w:val="0DC50E66"/>
    <w:rsid w:val="0DF05687"/>
    <w:rsid w:val="0E017470"/>
    <w:rsid w:val="0E0A390C"/>
    <w:rsid w:val="0E1755A8"/>
    <w:rsid w:val="0E43308A"/>
    <w:rsid w:val="0E492E75"/>
    <w:rsid w:val="0E4F6BE7"/>
    <w:rsid w:val="0E681323"/>
    <w:rsid w:val="0E6F3E7F"/>
    <w:rsid w:val="0E9C1BC7"/>
    <w:rsid w:val="0ECA37AB"/>
    <w:rsid w:val="0EED1EA7"/>
    <w:rsid w:val="0EF12AE6"/>
    <w:rsid w:val="0F072309"/>
    <w:rsid w:val="0F3E5C82"/>
    <w:rsid w:val="0F4E618A"/>
    <w:rsid w:val="0F6F5E61"/>
    <w:rsid w:val="0F7A788B"/>
    <w:rsid w:val="0F7E4AB5"/>
    <w:rsid w:val="0F8751F8"/>
    <w:rsid w:val="0FBF4992"/>
    <w:rsid w:val="0FD3373D"/>
    <w:rsid w:val="0FEF45D8"/>
    <w:rsid w:val="0FF85D76"/>
    <w:rsid w:val="1021564D"/>
    <w:rsid w:val="10527A4B"/>
    <w:rsid w:val="106519DD"/>
    <w:rsid w:val="106F1015"/>
    <w:rsid w:val="107C7888"/>
    <w:rsid w:val="10893E43"/>
    <w:rsid w:val="10AB3168"/>
    <w:rsid w:val="10BD4364"/>
    <w:rsid w:val="111451B1"/>
    <w:rsid w:val="11254CC9"/>
    <w:rsid w:val="115F24B8"/>
    <w:rsid w:val="1166277B"/>
    <w:rsid w:val="117A14B8"/>
    <w:rsid w:val="11902A8A"/>
    <w:rsid w:val="11C9567A"/>
    <w:rsid w:val="11CB4B13"/>
    <w:rsid w:val="11DC5CCF"/>
    <w:rsid w:val="11E8746F"/>
    <w:rsid w:val="12054590"/>
    <w:rsid w:val="12256658"/>
    <w:rsid w:val="126172BA"/>
    <w:rsid w:val="126C28B6"/>
    <w:rsid w:val="131D1837"/>
    <w:rsid w:val="1327622E"/>
    <w:rsid w:val="138E2C45"/>
    <w:rsid w:val="13A55415"/>
    <w:rsid w:val="13AC2489"/>
    <w:rsid w:val="13F204F3"/>
    <w:rsid w:val="14030B32"/>
    <w:rsid w:val="141334FE"/>
    <w:rsid w:val="144E399D"/>
    <w:rsid w:val="146D2A68"/>
    <w:rsid w:val="14AE41F8"/>
    <w:rsid w:val="14BC3B96"/>
    <w:rsid w:val="14CF0A55"/>
    <w:rsid w:val="14CF14CB"/>
    <w:rsid w:val="14D34591"/>
    <w:rsid w:val="14DD1BC4"/>
    <w:rsid w:val="14E07535"/>
    <w:rsid w:val="150574C6"/>
    <w:rsid w:val="151E401B"/>
    <w:rsid w:val="15594119"/>
    <w:rsid w:val="156601DB"/>
    <w:rsid w:val="15A5287C"/>
    <w:rsid w:val="15B85BCB"/>
    <w:rsid w:val="15DE2161"/>
    <w:rsid w:val="15E84B86"/>
    <w:rsid w:val="164B7776"/>
    <w:rsid w:val="164D0529"/>
    <w:rsid w:val="16565924"/>
    <w:rsid w:val="16574778"/>
    <w:rsid w:val="166167A3"/>
    <w:rsid w:val="16650F31"/>
    <w:rsid w:val="167A5AB7"/>
    <w:rsid w:val="169A3A63"/>
    <w:rsid w:val="16DD593E"/>
    <w:rsid w:val="17053F54"/>
    <w:rsid w:val="175058D5"/>
    <w:rsid w:val="1772678E"/>
    <w:rsid w:val="18071C67"/>
    <w:rsid w:val="18151F96"/>
    <w:rsid w:val="181C07FE"/>
    <w:rsid w:val="18381A1D"/>
    <w:rsid w:val="18697B91"/>
    <w:rsid w:val="18972B56"/>
    <w:rsid w:val="18AD2173"/>
    <w:rsid w:val="18D53262"/>
    <w:rsid w:val="18EC231A"/>
    <w:rsid w:val="190D2C12"/>
    <w:rsid w:val="192D5062"/>
    <w:rsid w:val="19885047"/>
    <w:rsid w:val="19B050C4"/>
    <w:rsid w:val="19B337B9"/>
    <w:rsid w:val="19B412DF"/>
    <w:rsid w:val="19B54569"/>
    <w:rsid w:val="1A166D8F"/>
    <w:rsid w:val="1A2F4635"/>
    <w:rsid w:val="1A3441CE"/>
    <w:rsid w:val="1A402B73"/>
    <w:rsid w:val="1ABB268D"/>
    <w:rsid w:val="1AD03189"/>
    <w:rsid w:val="1AE259D8"/>
    <w:rsid w:val="1AF3665E"/>
    <w:rsid w:val="1B0E129D"/>
    <w:rsid w:val="1B38749F"/>
    <w:rsid w:val="1B4500CF"/>
    <w:rsid w:val="1BB500A8"/>
    <w:rsid w:val="1BBE1942"/>
    <w:rsid w:val="1BD6553D"/>
    <w:rsid w:val="1BE30BF5"/>
    <w:rsid w:val="1C482878"/>
    <w:rsid w:val="1C4E1577"/>
    <w:rsid w:val="1C615A85"/>
    <w:rsid w:val="1C776E36"/>
    <w:rsid w:val="1C7D1ECB"/>
    <w:rsid w:val="1CA251F2"/>
    <w:rsid w:val="1CA94A00"/>
    <w:rsid w:val="1CB25FAA"/>
    <w:rsid w:val="1CD53DE0"/>
    <w:rsid w:val="1D0111B9"/>
    <w:rsid w:val="1DB23D88"/>
    <w:rsid w:val="1DB93368"/>
    <w:rsid w:val="1DBB7F27"/>
    <w:rsid w:val="1DC124FB"/>
    <w:rsid w:val="1DE313F6"/>
    <w:rsid w:val="1DF8763B"/>
    <w:rsid w:val="1DF95513"/>
    <w:rsid w:val="1E486D96"/>
    <w:rsid w:val="1E625A1B"/>
    <w:rsid w:val="1E7772A0"/>
    <w:rsid w:val="1EB678A8"/>
    <w:rsid w:val="1EBA5A37"/>
    <w:rsid w:val="1EC02FA4"/>
    <w:rsid w:val="1F2E38E2"/>
    <w:rsid w:val="1F3D7751"/>
    <w:rsid w:val="1F4A32FF"/>
    <w:rsid w:val="1F645556"/>
    <w:rsid w:val="1F7F25FA"/>
    <w:rsid w:val="1FA85442"/>
    <w:rsid w:val="1FB738D7"/>
    <w:rsid w:val="1FC467D5"/>
    <w:rsid w:val="1FDF698A"/>
    <w:rsid w:val="1FE12702"/>
    <w:rsid w:val="1FF450C0"/>
    <w:rsid w:val="20041E37"/>
    <w:rsid w:val="20105ECA"/>
    <w:rsid w:val="201C3916"/>
    <w:rsid w:val="20422AFB"/>
    <w:rsid w:val="206F7D0E"/>
    <w:rsid w:val="20917E6F"/>
    <w:rsid w:val="209D3018"/>
    <w:rsid w:val="20B001A3"/>
    <w:rsid w:val="20BE0D56"/>
    <w:rsid w:val="20E43F8B"/>
    <w:rsid w:val="212A11F0"/>
    <w:rsid w:val="21635AC5"/>
    <w:rsid w:val="21667363"/>
    <w:rsid w:val="217A2E0F"/>
    <w:rsid w:val="219739C1"/>
    <w:rsid w:val="219E4D4F"/>
    <w:rsid w:val="21AC4814"/>
    <w:rsid w:val="21BC56E0"/>
    <w:rsid w:val="21CB433B"/>
    <w:rsid w:val="21D5170E"/>
    <w:rsid w:val="21EF15FF"/>
    <w:rsid w:val="220D1C9A"/>
    <w:rsid w:val="22192627"/>
    <w:rsid w:val="222873B0"/>
    <w:rsid w:val="22453316"/>
    <w:rsid w:val="22617B2B"/>
    <w:rsid w:val="226B42AC"/>
    <w:rsid w:val="228575F3"/>
    <w:rsid w:val="22AD29BB"/>
    <w:rsid w:val="22BE6D2B"/>
    <w:rsid w:val="23130E25"/>
    <w:rsid w:val="23160915"/>
    <w:rsid w:val="23AE66CF"/>
    <w:rsid w:val="2450155D"/>
    <w:rsid w:val="248B5420"/>
    <w:rsid w:val="249434CD"/>
    <w:rsid w:val="24A972CC"/>
    <w:rsid w:val="24B146FC"/>
    <w:rsid w:val="24C30629"/>
    <w:rsid w:val="24F42ED8"/>
    <w:rsid w:val="25070CC1"/>
    <w:rsid w:val="251B2213"/>
    <w:rsid w:val="25227330"/>
    <w:rsid w:val="25A466AC"/>
    <w:rsid w:val="25A71CF8"/>
    <w:rsid w:val="25E50266"/>
    <w:rsid w:val="25E91511"/>
    <w:rsid w:val="25F4433D"/>
    <w:rsid w:val="25FD157D"/>
    <w:rsid w:val="260E1693"/>
    <w:rsid w:val="2610789E"/>
    <w:rsid w:val="26243349"/>
    <w:rsid w:val="26246BFD"/>
    <w:rsid w:val="263F018F"/>
    <w:rsid w:val="265555C1"/>
    <w:rsid w:val="265C6F87"/>
    <w:rsid w:val="26AC3A6A"/>
    <w:rsid w:val="26BC17D3"/>
    <w:rsid w:val="26C30DB4"/>
    <w:rsid w:val="26F80972"/>
    <w:rsid w:val="270E4E10"/>
    <w:rsid w:val="27112E8C"/>
    <w:rsid w:val="271F003B"/>
    <w:rsid w:val="27403E8E"/>
    <w:rsid w:val="276E7493"/>
    <w:rsid w:val="277C7C97"/>
    <w:rsid w:val="277F1BC5"/>
    <w:rsid w:val="2786277D"/>
    <w:rsid w:val="2787423E"/>
    <w:rsid w:val="27CB021D"/>
    <w:rsid w:val="27E92460"/>
    <w:rsid w:val="281270DF"/>
    <w:rsid w:val="28722A91"/>
    <w:rsid w:val="28790229"/>
    <w:rsid w:val="28DD2253"/>
    <w:rsid w:val="28E13773"/>
    <w:rsid w:val="28EC2844"/>
    <w:rsid w:val="29B961CC"/>
    <w:rsid w:val="29C8726F"/>
    <w:rsid w:val="2A0140CD"/>
    <w:rsid w:val="2A25002F"/>
    <w:rsid w:val="2A273408"/>
    <w:rsid w:val="2A385C74"/>
    <w:rsid w:val="2A6603D4"/>
    <w:rsid w:val="2A827CFE"/>
    <w:rsid w:val="2A880A7B"/>
    <w:rsid w:val="2A9E7228"/>
    <w:rsid w:val="2AB02639"/>
    <w:rsid w:val="2ABA427C"/>
    <w:rsid w:val="2AC66B4F"/>
    <w:rsid w:val="2AE020DC"/>
    <w:rsid w:val="2AF45D58"/>
    <w:rsid w:val="2B0C54EE"/>
    <w:rsid w:val="2B1F1C69"/>
    <w:rsid w:val="2B342280"/>
    <w:rsid w:val="2B41215C"/>
    <w:rsid w:val="2B4C75CA"/>
    <w:rsid w:val="2B566DA9"/>
    <w:rsid w:val="2B9B22FF"/>
    <w:rsid w:val="2BF0264B"/>
    <w:rsid w:val="2C175C3D"/>
    <w:rsid w:val="2C4A5DB8"/>
    <w:rsid w:val="2C671380"/>
    <w:rsid w:val="2C782CF7"/>
    <w:rsid w:val="2CA1119D"/>
    <w:rsid w:val="2CB31912"/>
    <w:rsid w:val="2CD2240F"/>
    <w:rsid w:val="2CEA6A33"/>
    <w:rsid w:val="2D5C441A"/>
    <w:rsid w:val="2DA134D1"/>
    <w:rsid w:val="2DA61C20"/>
    <w:rsid w:val="2DB512A7"/>
    <w:rsid w:val="2DC4660F"/>
    <w:rsid w:val="2DE9627D"/>
    <w:rsid w:val="2E1C33CF"/>
    <w:rsid w:val="2E1F2D74"/>
    <w:rsid w:val="2E281F92"/>
    <w:rsid w:val="2E332EEF"/>
    <w:rsid w:val="2E385BE3"/>
    <w:rsid w:val="2E7B254B"/>
    <w:rsid w:val="2E7C696F"/>
    <w:rsid w:val="2EC053D7"/>
    <w:rsid w:val="2ED6380B"/>
    <w:rsid w:val="2EDE09A2"/>
    <w:rsid w:val="2F143574"/>
    <w:rsid w:val="2F160EB9"/>
    <w:rsid w:val="2F39258A"/>
    <w:rsid w:val="2F520F27"/>
    <w:rsid w:val="2F782E8B"/>
    <w:rsid w:val="2FA461B9"/>
    <w:rsid w:val="2FB153C0"/>
    <w:rsid w:val="2FF24A22"/>
    <w:rsid w:val="3008452C"/>
    <w:rsid w:val="301B428D"/>
    <w:rsid w:val="305B7641"/>
    <w:rsid w:val="308570DA"/>
    <w:rsid w:val="308A71C5"/>
    <w:rsid w:val="308D5660"/>
    <w:rsid w:val="30997F39"/>
    <w:rsid w:val="30A12166"/>
    <w:rsid w:val="30C56FE9"/>
    <w:rsid w:val="30E1323A"/>
    <w:rsid w:val="317E51FD"/>
    <w:rsid w:val="319335D6"/>
    <w:rsid w:val="31B449A5"/>
    <w:rsid w:val="31CF09B6"/>
    <w:rsid w:val="31D9265F"/>
    <w:rsid w:val="31E16905"/>
    <w:rsid w:val="31FA78BA"/>
    <w:rsid w:val="3248523C"/>
    <w:rsid w:val="32747E9F"/>
    <w:rsid w:val="32861A61"/>
    <w:rsid w:val="329E63D6"/>
    <w:rsid w:val="32BA12BD"/>
    <w:rsid w:val="32BF3509"/>
    <w:rsid w:val="33134F49"/>
    <w:rsid w:val="33264E02"/>
    <w:rsid w:val="334B7E48"/>
    <w:rsid w:val="337214DE"/>
    <w:rsid w:val="338D077F"/>
    <w:rsid w:val="33BC1065"/>
    <w:rsid w:val="33C9139B"/>
    <w:rsid w:val="33FE013C"/>
    <w:rsid w:val="340B3EED"/>
    <w:rsid w:val="34296463"/>
    <w:rsid w:val="34353B58"/>
    <w:rsid w:val="34662ACF"/>
    <w:rsid w:val="34711BC9"/>
    <w:rsid w:val="34D97E94"/>
    <w:rsid w:val="34DA163C"/>
    <w:rsid w:val="34EA2AD9"/>
    <w:rsid w:val="34FF51C3"/>
    <w:rsid w:val="35465977"/>
    <w:rsid w:val="358B5193"/>
    <w:rsid w:val="359F7C98"/>
    <w:rsid w:val="35B75F88"/>
    <w:rsid w:val="35D02F2A"/>
    <w:rsid w:val="360F2FEB"/>
    <w:rsid w:val="36126734"/>
    <w:rsid w:val="362F5B1E"/>
    <w:rsid w:val="36346A47"/>
    <w:rsid w:val="36486BE0"/>
    <w:rsid w:val="364A2ADA"/>
    <w:rsid w:val="36572FC3"/>
    <w:rsid w:val="36614A84"/>
    <w:rsid w:val="36807F5F"/>
    <w:rsid w:val="368B456A"/>
    <w:rsid w:val="36B22D87"/>
    <w:rsid w:val="36BB2EEA"/>
    <w:rsid w:val="36C665CD"/>
    <w:rsid w:val="36D8589E"/>
    <w:rsid w:val="36DA1F2E"/>
    <w:rsid w:val="36DF37FE"/>
    <w:rsid w:val="36E454A6"/>
    <w:rsid w:val="36E94DEA"/>
    <w:rsid w:val="36F62AE0"/>
    <w:rsid w:val="3713411F"/>
    <w:rsid w:val="374F7820"/>
    <w:rsid w:val="375D203C"/>
    <w:rsid w:val="375E3875"/>
    <w:rsid w:val="378B1BC7"/>
    <w:rsid w:val="379252E5"/>
    <w:rsid w:val="379A0FBF"/>
    <w:rsid w:val="37CC2753"/>
    <w:rsid w:val="38026A6F"/>
    <w:rsid w:val="380D685F"/>
    <w:rsid w:val="38673C95"/>
    <w:rsid w:val="38A65E3F"/>
    <w:rsid w:val="39866FC9"/>
    <w:rsid w:val="399E33BD"/>
    <w:rsid w:val="39BB497D"/>
    <w:rsid w:val="39C15447"/>
    <w:rsid w:val="39C63F2C"/>
    <w:rsid w:val="39DC5BB6"/>
    <w:rsid w:val="3A0C518B"/>
    <w:rsid w:val="3A270A1E"/>
    <w:rsid w:val="3A5133C8"/>
    <w:rsid w:val="3A7F2007"/>
    <w:rsid w:val="3A834553"/>
    <w:rsid w:val="3AA746F2"/>
    <w:rsid w:val="3AAF4DCB"/>
    <w:rsid w:val="3AB94550"/>
    <w:rsid w:val="3AC32FB7"/>
    <w:rsid w:val="3B245E6D"/>
    <w:rsid w:val="3B38436E"/>
    <w:rsid w:val="3B3F6DCF"/>
    <w:rsid w:val="3B504D1F"/>
    <w:rsid w:val="3B6F4C0F"/>
    <w:rsid w:val="3B881B73"/>
    <w:rsid w:val="3B8B1A48"/>
    <w:rsid w:val="3B94049B"/>
    <w:rsid w:val="3B9823B7"/>
    <w:rsid w:val="3BAA60C8"/>
    <w:rsid w:val="3C511F49"/>
    <w:rsid w:val="3CA54D8C"/>
    <w:rsid w:val="3CBA6C3D"/>
    <w:rsid w:val="3CC1149A"/>
    <w:rsid w:val="3CD61D98"/>
    <w:rsid w:val="3CE06EA6"/>
    <w:rsid w:val="3D0D192A"/>
    <w:rsid w:val="3D2931EE"/>
    <w:rsid w:val="3D522F2F"/>
    <w:rsid w:val="3D5E25E7"/>
    <w:rsid w:val="3D60411F"/>
    <w:rsid w:val="3D7F7303"/>
    <w:rsid w:val="3DBD7EB3"/>
    <w:rsid w:val="3DBE62FD"/>
    <w:rsid w:val="3DD3253C"/>
    <w:rsid w:val="3DDA0436"/>
    <w:rsid w:val="3DE43692"/>
    <w:rsid w:val="3DF540B3"/>
    <w:rsid w:val="3DFA5EA3"/>
    <w:rsid w:val="3E014DB5"/>
    <w:rsid w:val="3E06185A"/>
    <w:rsid w:val="3E144FA6"/>
    <w:rsid w:val="3E1473B2"/>
    <w:rsid w:val="3E1A3557"/>
    <w:rsid w:val="3E247F32"/>
    <w:rsid w:val="3E504308"/>
    <w:rsid w:val="3E5B2838"/>
    <w:rsid w:val="3E605E81"/>
    <w:rsid w:val="3E7F33BB"/>
    <w:rsid w:val="3E8B47D6"/>
    <w:rsid w:val="3EA045BE"/>
    <w:rsid w:val="3EA10027"/>
    <w:rsid w:val="3EEF6A08"/>
    <w:rsid w:val="3EF06066"/>
    <w:rsid w:val="3F0B30DC"/>
    <w:rsid w:val="3F6818D7"/>
    <w:rsid w:val="3F710F55"/>
    <w:rsid w:val="40043599"/>
    <w:rsid w:val="402349DE"/>
    <w:rsid w:val="406B330A"/>
    <w:rsid w:val="40CA7390"/>
    <w:rsid w:val="40DA406B"/>
    <w:rsid w:val="40F10C2F"/>
    <w:rsid w:val="412B15D8"/>
    <w:rsid w:val="414129AA"/>
    <w:rsid w:val="4149006D"/>
    <w:rsid w:val="417077A3"/>
    <w:rsid w:val="41E03E79"/>
    <w:rsid w:val="41E657FF"/>
    <w:rsid w:val="41FF6CEC"/>
    <w:rsid w:val="42BA48E4"/>
    <w:rsid w:val="42BC1343"/>
    <w:rsid w:val="42CB68B2"/>
    <w:rsid w:val="42E962CD"/>
    <w:rsid w:val="430976F7"/>
    <w:rsid w:val="433A6D62"/>
    <w:rsid w:val="43725E62"/>
    <w:rsid w:val="43C024AB"/>
    <w:rsid w:val="43D40544"/>
    <w:rsid w:val="4457017F"/>
    <w:rsid w:val="44983428"/>
    <w:rsid w:val="44E64193"/>
    <w:rsid w:val="44E97031"/>
    <w:rsid w:val="44FD328B"/>
    <w:rsid w:val="45486E56"/>
    <w:rsid w:val="454F3AE7"/>
    <w:rsid w:val="45625783"/>
    <w:rsid w:val="456D0411"/>
    <w:rsid w:val="460B7D95"/>
    <w:rsid w:val="46362EF9"/>
    <w:rsid w:val="464A2500"/>
    <w:rsid w:val="465670F7"/>
    <w:rsid w:val="46897346"/>
    <w:rsid w:val="46A165C4"/>
    <w:rsid w:val="46C27167"/>
    <w:rsid w:val="47255DED"/>
    <w:rsid w:val="472C432F"/>
    <w:rsid w:val="472E47E5"/>
    <w:rsid w:val="47343F9D"/>
    <w:rsid w:val="4750714C"/>
    <w:rsid w:val="47A41ED7"/>
    <w:rsid w:val="47B72674"/>
    <w:rsid w:val="47C63E08"/>
    <w:rsid w:val="484C4480"/>
    <w:rsid w:val="48523C0A"/>
    <w:rsid w:val="487E6157"/>
    <w:rsid w:val="48A82D19"/>
    <w:rsid w:val="48BB1493"/>
    <w:rsid w:val="48BC61D0"/>
    <w:rsid w:val="48E75E5B"/>
    <w:rsid w:val="49017C3B"/>
    <w:rsid w:val="493962FC"/>
    <w:rsid w:val="49D96075"/>
    <w:rsid w:val="49EA781D"/>
    <w:rsid w:val="4A000C13"/>
    <w:rsid w:val="4A1E1CDA"/>
    <w:rsid w:val="4A1F2B56"/>
    <w:rsid w:val="4A214241"/>
    <w:rsid w:val="4A474DD0"/>
    <w:rsid w:val="4A4B5F0B"/>
    <w:rsid w:val="4A5015E7"/>
    <w:rsid w:val="4A5C3FC7"/>
    <w:rsid w:val="4A90723B"/>
    <w:rsid w:val="4AEE5229"/>
    <w:rsid w:val="4AF072B2"/>
    <w:rsid w:val="4AFA64D4"/>
    <w:rsid w:val="4B375749"/>
    <w:rsid w:val="4B3F6B82"/>
    <w:rsid w:val="4B506E59"/>
    <w:rsid w:val="4B552A14"/>
    <w:rsid w:val="4B661B8A"/>
    <w:rsid w:val="4B6B7860"/>
    <w:rsid w:val="4BBD28FD"/>
    <w:rsid w:val="4BC925EE"/>
    <w:rsid w:val="4C251953"/>
    <w:rsid w:val="4C392DFB"/>
    <w:rsid w:val="4C3B2944"/>
    <w:rsid w:val="4C473FE0"/>
    <w:rsid w:val="4C4F0870"/>
    <w:rsid w:val="4C56430C"/>
    <w:rsid w:val="4C5D389F"/>
    <w:rsid w:val="4CC448F6"/>
    <w:rsid w:val="4D106251"/>
    <w:rsid w:val="4D1078D4"/>
    <w:rsid w:val="4D3E281D"/>
    <w:rsid w:val="4D7B7443"/>
    <w:rsid w:val="4D986247"/>
    <w:rsid w:val="4DD92FF6"/>
    <w:rsid w:val="4E485577"/>
    <w:rsid w:val="4E490579"/>
    <w:rsid w:val="4E51661F"/>
    <w:rsid w:val="4E541F83"/>
    <w:rsid w:val="4E6C325B"/>
    <w:rsid w:val="4E9930A8"/>
    <w:rsid w:val="4E994F3D"/>
    <w:rsid w:val="4EA355F9"/>
    <w:rsid w:val="4EBA6A64"/>
    <w:rsid w:val="4ECA783E"/>
    <w:rsid w:val="4ED13DED"/>
    <w:rsid w:val="4EFE738A"/>
    <w:rsid w:val="4F3A6A69"/>
    <w:rsid w:val="4F3B38D2"/>
    <w:rsid w:val="4F702AB6"/>
    <w:rsid w:val="4F766D7B"/>
    <w:rsid w:val="4FA03191"/>
    <w:rsid w:val="4FA74D84"/>
    <w:rsid w:val="4FB07B78"/>
    <w:rsid w:val="4FEF2640"/>
    <w:rsid w:val="4FF17EF4"/>
    <w:rsid w:val="503C110B"/>
    <w:rsid w:val="506443DD"/>
    <w:rsid w:val="50740B35"/>
    <w:rsid w:val="5080549C"/>
    <w:rsid w:val="5090545C"/>
    <w:rsid w:val="509B50CD"/>
    <w:rsid w:val="50A33062"/>
    <w:rsid w:val="50BC066C"/>
    <w:rsid w:val="50D3612E"/>
    <w:rsid w:val="50E579F5"/>
    <w:rsid w:val="50EE4AFC"/>
    <w:rsid w:val="5109180B"/>
    <w:rsid w:val="514C35D0"/>
    <w:rsid w:val="51542485"/>
    <w:rsid w:val="51712956"/>
    <w:rsid w:val="51782617"/>
    <w:rsid w:val="51973EA9"/>
    <w:rsid w:val="51B00003"/>
    <w:rsid w:val="51CD43B6"/>
    <w:rsid w:val="51D07D5D"/>
    <w:rsid w:val="51DD06CC"/>
    <w:rsid w:val="51E46B78"/>
    <w:rsid w:val="528A121C"/>
    <w:rsid w:val="528F7C18"/>
    <w:rsid w:val="52B97C78"/>
    <w:rsid w:val="52BE04FE"/>
    <w:rsid w:val="52C04276"/>
    <w:rsid w:val="52C86416"/>
    <w:rsid w:val="52CA2422"/>
    <w:rsid w:val="530004E7"/>
    <w:rsid w:val="5309306F"/>
    <w:rsid w:val="536B6AA8"/>
    <w:rsid w:val="538474B8"/>
    <w:rsid w:val="53887C35"/>
    <w:rsid w:val="538F1676"/>
    <w:rsid w:val="53A7539A"/>
    <w:rsid w:val="53BC2C8F"/>
    <w:rsid w:val="53F54C89"/>
    <w:rsid w:val="53F92C98"/>
    <w:rsid w:val="53FD32A8"/>
    <w:rsid w:val="541531C6"/>
    <w:rsid w:val="542B2E1E"/>
    <w:rsid w:val="54704F4A"/>
    <w:rsid w:val="548A4A35"/>
    <w:rsid w:val="548D63DA"/>
    <w:rsid w:val="548F6E06"/>
    <w:rsid w:val="549464BC"/>
    <w:rsid w:val="549534E0"/>
    <w:rsid w:val="5502161D"/>
    <w:rsid w:val="551E7032"/>
    <w:rsid w:val="55312A99"/>
    <w:rsid w:val="55A34E0E"/>
    <w:rsid w:val="55C027DF"/>
    <w:rsid w:val="55E738C7"/>
    <w:rsid w:val="55FA12B3"/>
    <w:rsid w:val="5607756D"/>
    <w:rsid w:val="561505D4"/>
    <w:rsid w:val="564B416B"/>
    <w:rsid w:val="56571570"/>
    <w:rsid w:val="56680EAC"/>
    <w:rsid w:val="566A1AB7"/>
    <w:rsid w:val="567D043B"/>
    <w:rsid w:val="56821842"/>
    <w:rsid w:val="569357FD"/>
    <w:rsid w:val="5697709C"/>
    <w:rsid w:val="56CB7A1D"/>
    <w:rsid w:val="56D70511"/>
    <w:rsid w:val="56DE7495"/>
    <w:rsid w:val="5717563F"/>
    <w:rsid w:val="574D2A94"/>
    <w:rsid w:val="57645F73"/>
    <w:rsid w:val="57741F6D"/>
    <w:rsid w:val="57912706"/>
    <w:rsid w:val="57944FC7"/>
    <w:rsid w:val="57995095"/>
    <w:rsid w:val="5805720D"/>
    <w:rsid w:val="580746F5"/>
    <w:rsid w:val="581F5483"/>
    <w:rsid w:val="58393AF0"/>
    <w:rsid w:val="583F4F5C"/>
    <w:rsid w:val="5840458F"/>
    <w:rsid w:val="584B107F"/>
    <w:rsid w:val="586B0507"/>
    <w:rsid w:val="586C386C"/>
    <w:rsid w:val="58703FB7"/>
    <w:rsid w:val="58B20A49"/>
    <w:rsid w:val="58F07C8D"/>
    <w:rsid w:val="59511195"/>
    <w:rsid w:val="596A0D70"/>
    <w:rsid w:val="597A2D30"/>
    <w:rsid w:val="59905144"/>
    <w:rsid w:val="59926E3E"/>
    <w:rsid w:val="599A41AC"/>
    <w:rsid w:val="59C9560C"/>
    <w:rsid w:val="5A1E1645"/>
    <w:rsid w:val="5A486931"/>
    <w:rsid w:val="5A670D37"/>
    <w:rsid w:val="5A6A3F58"/>
    <w:rsid w:val="5A9A53AC"/>
    <w:rsid w:val="5ABB079A"/>
    <w:rsid w:val="5ABF5AB5"/>
    <w:rsid w:val="5B354CC8"/>
    <w:rsid w:val="5B7200D7"/>
    <w:rsid w:val="5B99417E"/>
    <w:rsid w:val="5C2E256A"/>
    <w:rsid w:val="5C3C4D81"/>
    <w:rsid w:val="5C4E644E"/>
    <w:rsid w:val="5C5B5103"/>
    <w:rsid w:val="5C871960"/>
    <w:rsid w:val="5CC75428"/>
    <w:rsid w:val="5CDF456F"/>
    <w:rsid w:val="5CFC5DF1"/>
    <w:rsid w:val="5D542ED0"/>
    <w:rsid w:val="5D5555FF"/>
    <w:rsid w:val="5D572C78"/>
    <w:rsid w:val="5D6D0B56"/>
    <w:rsid w:val="5D8F098C"/>
    <w:rsid w:val="5DC2067E"/>
    <w:rsid w:val="5DC213F1"/>
    <w:rsid w:val="5DCF79D8"/>
    <w:rsid w:val="5DCF7A63"/>
    <w:rsid w:val="5DD010E5"/>
    <w:rsid w:val="5DE8676B"/>
    <w:rsid w:val="5DF066E3"/>
    <w:rsid w:val="5E226C75"/>
    <w:rsid w:val="5E2427A2"/>
    <w:rsid w:val="5E271E1D"/>
    <w:rsid w:val="5E302523"/>
    <w:rsid w:val="5E435D5B"/>
    <w:rsid w:val="5E6867E1"/>
    <w:rsid w:val="5E6A65DA"/>
    <w:rsid w:val="5E6F0C90"/>
    <w:rsid w:val="5EA2087A"/>
    <w:rsid w:val="5EE44BC7"/>
    <w:rsid w:val="5EFE023E"/>
    <w:rsid w:val="5F424B2E"/>
    <w:rsid w:val="5F444877"/>
    <w:rsid w:val="5F4B72E8"/>
    <w:rsid w:val="5F511347"/>
    <w:rsid w:val="5F645F89"/>
    <w:rsid w:val="5F8778BC"/>
    <w:rsid w:val="5F8E3DDE"/>
    <w:rsid w:val="5F9A7162"/>
    <w:rsid w:val="5F9E75BF"/>
    <w:rsid w:val="5FB9616C"/>
    <w:rsid w:val="5FD62BCC"/>
    <w:rsid w:val="60036FDE"/>
    <w:rsid w:val="600F23F9"/>
    <w:rsid w:val="601F1559"/>
    <w:rsid w:val="605204D7"/>
    <w:rsid w:val="607034DD"/>
    <w:rsid w:val="60AF1486"/>
    <w:rsid w:val="60F32409"/>
    <w:rsid w:val="61103ECC"/>
    <w:rsid w:val="612C5BCA"/>
    <w:rsid w:val="615D0EE2"/>
    <w:rsid w:val="61940BEB"/>
    <w:rsid w:val="61AB53B9"/>
    <w:rsid w:val="61FB003A"/>
    <w:rsid w:val="6210588F"/>
    <w:rsid w:val="62147D2F"/>
    <w:rsid w:val="621A5025"/>
    <w:rsid w:val="62285994"/>
    <w:rsid w:val="629D0130"/>
    <w:rsid w:val="62B17737"/>
    <w:rsid w:val="62B77AA6"/>
    <w:rsid w:val="62EE1882"/>
    <w:rsid w:val="630F6567"/>
    <w:rsid w:val="63164010"/>
    <w:rsid w:val="631C3D29"/>
    <w:rsid w:val="63220FAA"/>
    <w:rsid w:val="637C5F97"/>
    <w:rsid w:val="63884E2B"/>
    <w:rsid w:val="638F5526"/>
    <w:rsid w:val="639004C3"/>
    <w:rsid w:val="63912E4E"/>
    <w:rsid w:val="6398686D"/>
    <w:rsid w:val="63AE64C7"/>
    <w:rsid w:val="63C47E39"/>
    <w:rsid w:val="63C811DC"/>
    <w:rsid w:val="640D68A0"/>
    <w:rsid w:val="6438051B"/>
    <w:rsid w:val="646445E4"/>
    <w:rsid w:val="64666467"/>
    <w:rsid w:val="647C2731"/>
    <w:rsid w:val="648C220A"/>
    <w:rsid w:val="64AD396B"/>
    <w:rsid w:val="65022802"/>
    <w:rsid w:val="651053EB"/>
    <w:rsid w:val="652146FB"/>
    <w:rsid w:val="653505E7"/>
    <w:rsid w:val="654F11A7"/>
    <w:rsid w:val="65501B81"/>
    <w:rsid w:val="655F347A"/>
    <w:rsid w:val="65782DAB"/>
    <w:rsid w:val="65CC1ABA"/>
    <w:rsid w:val="65D04378"/>
    <w:rsid w:val="65EF416A"/>
    <w:rsid w:val="662036EE"/>
    <w:rsid w:val="664803B2"/>
    <w:rsid w:val="665C599B"/>
    <w:rsid w:val="66925AD1"/>
    <w:rsid w:val="6695111E"/>
    <w:rsid w:val="66B07D06"/>
    <w:rsid w:val="66B76D00"/>
    <w:rsid w:val="66BE2939"/>
    <w:rsid w:val="66FE6289"/>
    <w:rsid w:val="67115682"/>
    <w:rsid w:val="673252F3"/>
    <w:rsid w:val="675175AC"/>
    <w:rsid w:val="6760294F"/>
    <w:rsid w:val="679B7614"/>
    <w:rsid w:val="67C9107F"/>
    <w:rsid w:val="67D87D9E"/>
    <w:rsid w:val="67E7176C"/>
    <w:rsid w:val="68050BB9"/>
    <w:rsid w:val="6852376A"/>
    <w:rsid w:val="686F5831"/>
    <w:rsid w:val="687424E1"/>
    <w:rsid w:val="689C49E5"/>
    <w:rsid w:val="68E825DB"/>
    <w:rsid w:val="69756F5B"/>
    <w:rsid w:val="6994393A"/>
    <w:rsid w:val="699A747D"/>
    <w:rsid w:val="69B61AD7"/>
    <w:rsid w:val="69FB7DDD"/>
    <w:rsid w:val="6A0A597F"/>
    <w:rsid w:val="6A11674D"/>
    <w:rsid w:val="6A2F693E"/>
    <w:rsid w:val="6A3D3FA6"/>
    <w:rsid w:val="6A4B1EAB"/>
    <w:rsid w:val="6A8219B9"/>
    <w:rsid w:val="6A9A31A7"/>
    <w:rsid w:val="6ABA73A5"/>
    <w:rsid w:val="6ADE32E2"/>
    <w:rsid w:val="6AE452FF"/>
    <w:rsid w:val="6B4F25BD"/>
    <w:rsid w:val="6BAA7419"/>
    <w:rsid w:val="6BBD539F"/>
    <w:rsid w:val="6BE02A2A"/>
    <w:rsid w:val="6C0E3CFF"/>
    <w:rsid w:val="6C5A30D4"/>
    <w:rsid w:val="6C7621DF"/>
    <w:rsid w:val="6C7661AE"/>
    <w:rsid w:val="6C774A8C"/>
    <w:rsid w:val="6C787452"/>
    <w:rsid w:val="6C8D5649"/>
    <w:rsid w:val="6C9007FC"/>
    <w:rsid w:val="6CC17A81"/>
    <w:rsid w:val="6CEC670C"/>
    <w:rsid w:val="6CEF4F0F"/>
    <w:rsid w:val="6D331CD8"/>
    <w:rsid w:val="6D437B25"/>
    <w:rsid w:val="6D573039"/>
    <w:rsid w:val="6D724208"/>
    <w:rsid w:val="6DAB59DE"/>
    <w:rsid w:val="6DEE0AAA"/>
    <w:rsid w:val="6E0B6E93"/>
    <w:rsid w:val="6E2E56A1"/>
    <w:rsid w:val="6E4B0B7C"/>
    <w:rsid w:val="6E50453B"/>
    <w:rsid w:val="6E8673A5"/>
    <w:rsid w:val="6EA047F7"/>
    <w:rsid w:val="6ED641D7"/>
    <w:rsid w:val="6F2614AD"/>
    <w:rsid w:val="6F297B07"/>
    <w:rsid w:val="6F337304"/>
    <w:rsid w:val="6F514076"/>
    <w:rsid w:val="6FCA6F2C"/>
    <w:rsid w:val="704E1F56"/>
    <w:rsid w:val="70AA155B"/>
    <w:rsid w:val="70C15638"/>
    <w:rsid w:val="70E84C6C"/>
    <w:rsid w:val="70F21845"/>
    <w:rsid w:val="711C4915"/>
    <w:rsid w:val="71352C34"/>
    <w:rsid w:val="713C71BC"/>
    <w:rsid w:val="714646E6"/>
    <w:rsid w:val="71B74082"/>
    <w:rsid w:val="71D14931"/>
    <w:rsid w:val="7203016C"/>
    <w:rsid w:val="723A07DC"/>
    <w:rsid w:val="726D4A13"/>
    <w:rsid w:val="72702A7D"/>
    <w:rsid w:val="727E63EF"/>
    <w:rsid w:val="7289452A"/>
    <w:rsid w:val="72A619EF"/>
    <w:rsid w:val="72C11110"/>
    <w:rsid w:val="72D20777"/>
    <w:rsid w:val="72D339E1"/>
    <w:rsid w:val="72E512AD"/>
    <w:rsid w:val="732C1148"/>
    <w:rsid w:val="73407286"/>
    <w:rsid w:val="73467A28"/>
    <w:rsid w:val="73B52AE3"/>
    <w:rsid w:val="73CC483B"/>
    <w:rsid w:val="73ED07EB"/>
    <w:rsid w:val="73F10A60"/>
    <w:rsid w:val="74486A3C"/>
    <w:rsid w:val="746720C3"/>
    <w:rsid w:val="74730CF0"/>
    <w:rsid w:val="748702F8"/>
    <w:rsid w:val="748B2D1A"/>
    <w:rsid w:val="748C1DB2"/>
    <w:rsid w:val="74A0760B"/>
    <w:rsid w:val="74A70885"/>
    <w:rsid w:val="74AE3AD6"/>
    <w:rsid w:val="74E97204"/>
    <w:rsid w:val="75414C6A"/>
    <w:rsid w:val="75717BE2"/>
    <w:rsid w:val="75831097"/>
    <w:rsid w:val="758E1FBF"/>
    <w:rsid w:val="75A66EA3"/>
    <w:rsid w:val="75F50F9F"/>
    <w:rsid w:val="760616F0"/>
    <w:rsid w:val="76500BBD"/>
    <w:rsid w:val="76593F16"/>
    <w:rsid w:val="766E1C96"/>
    <w:rsid w:val="76780CAD"/>
    <w:rsid w:val="768A0573"/>
    <w:rsid w:val="76B1432E"/>
    <w:rsid w:val="76C1699B"/>
    <w:rsid w:val="76DA32A9"/>
    <w:rsid w:val="77311A68"/>
    <w:rsid w:val="773B0FFD"/>
    <w:rsid w:val="77505734"/>
    <w:rsid w:val="775828EC"/>
    <w:rsid w:val="778D033F"/>
    <w:rsid w:val="77CD13AB"/>
    <w:rsid w:val="77D41B9E"/>
    <w:rsid w:val="77FC0FFD"/>
    <w:rsid w:val="782902B3"/>
    <w:rsid w:val="78646DCA"/>
    <w:rsid w:val="78684F06"/>
    <w:rsid w:val="78881232"/>
    <w:rsid w:val="788A35B0"/>
    <w:rsid w:val="78A376CA"/>
    <w:rsid w:val="78CF226D"/>
    <w:rsid w:val="78E65C78"/>
    <w:rsid w:val="78F92E96"/>
    <w:rsid w:val="790C1713"/>
    <w:rsid w:val="790F4D60"/>
    <w:rsid w:val="79154304"/>
    <w:rsid w:val="79327572"/>
    <w:rsid w:val="794065A6"/>
    <w:rsid w:val="794602E4"/>
    <w:rsid w:val="795A21D8"/>
    <w:rsid w:val="79646E59"/>
    <w:rsid w:val="796F3DDD"/>
    <w:rsid w:val="79704E38"/>
    <w:rsid w:val="79A65463"/>
    <w:rsid w:val="79C16B6D"/>
    <w:rsid w:val="7A04063C"/>
    <w:rsid w:val="7A5549F4"/>
    <w:rsid w:val="7A833316"/>
    <w:rsid w:val="7ADC31A8"/>
    <w:rsid w:val="7B723182"/>
    <w:rsid w:val="7BD319E5"/>
    <w:rsid w:val="7BF06E84"/>
    <w:rsid w:val="7C073183"/>
    <w:rsid w:val="7C50111C"/>
    <w:rsid w:val="7C946186"/>
    <w:rsid w:val="7C9E3515"/>
    <w:rsid w:val="7CB05EDB"/>
    <w:rsid w:val="7CCD652E"/>
    <w:rsid w:val="7CDD1B87"/>
    <w:rsid w:val="7CF205FE"/>
    <w:rsid w:val="7CF76237"/>
    <w:rsid w:val="7D0F2C2E"/>
    <w:rsid w:val="7DBD666D"/>
    <w:rsid w:val="7DC934DB"/>
    <w:rsid w:val="7DF1020F"/>
    <w:rsid w:val="7E15161E"/>
    <w:rsid w:val="7E2B43EA"/>
    <w:rsid w:val="7E2D2123"/>
    <w:rsid w:val="7E5A4CCF"/>
    <w:rsid w:val="7E6B6EDC"/>
    <w:rsid w:val="7E7829A6"/>
    <w:rsid w:val="7E881360"/>
    <w:rsid w:val="7E8C38FB"/>
    <w:rsid w:val="7EA128FE"/>
    <w:rsid w:val="7EBD1D42"/>
    <w:rsid w:val="7EBF042E"/>
    <w:rsid w:val="7F0D2891"/>
    <w:rsid w:val="7F636CA1"/>
    <w:rsid w:val="7F8A1EF4"/>
    <w:rsid w:val="7F933B16"/>
    <w:rsid w:val="7F9C2596"/>
    <w:rsid w:val="7FAF75F9"/>
    <w:rsid w:val="7FB77874"/>
    <w:rsid w:val="7FC543CA"/>
    <w:rsid w:val="7FCD1436"/>
    <w:rsid w:val="7FDB599C"/>
    <w:rsid w:val="7FDE0B9D"/>
    <w:rsid w:val="7FF6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7"/>
    <w:link w:val="118"/>
    <w:qFormat/>
    <w:uiPriority w:val="0"/>
    <w:pPr>
      <w:keepNext/>
      <w:keepLines/>
      <w:spacing w:after="120" w:line="360" w:lineRule="auto"/>
      <w:outlineLvl w:val="0"/>
    </w:pPr>
    <w:rPr>
      <w:kern w:val="44"/>
      <w:sz w:val="28"/>
      <w:szCs w:val="28"/>
    </w:rPr>
  </w:style>
  <w:style w:type="paragraph" w:styleId="9">
    <w:name w:val="heading 2"/>
    <w:basedOn w:val="1"/>
    <w:next w:val="10"/>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11">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2">
    <w:name w:val="heading 4"/>
    <w:basedOn w:val="11"/>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3">
    <w:name w:val="heading 5"/>
    <w:basedOn w:val="12"/>
    <w:next w:val="10"/>
    <w:link w:val="63"/>
    <w:qFormat/>
    <w:uiPriority w:val="0"/>
    <w:pPr>
      <w:numPr>
        <w:ilvl w:val="4"/>
      </w:numPr>
      <w:spacing w:line="240" w:lineRule="exact"/>
      <w:outlineLvl w:val="4"/>
    </w:pPr>
  </w:style>
  <w:style w:type="paragraph" w:styleId="14">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5">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6">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7">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paragraph" w:styleId="3">
    <w:name w:val="Body Text Indent"/>
    <w:basedOn w:val="1"/>
    <w:next w:val="4"/>
    <w:link w:val="77"/>
    <w:qFormat/>
    <w:uiPriority w:val="0"/>
    <w:pPr>
      <w:ind w:firstLine="570"/>
    </w:pPr>
    <w:rPr>
      <w:rFonts w:ascii="Times New Roman" w:hAnsi="Times New Roman"/>
      <w:sz w:val="28"/>
      <w:szCs w:val="20"/>
    </w:rPr>
  </w:style>
  <w:style w:type="paragraph" w:styleId="4">
    <w:name w:val="envelope return"/>
    <w:basedOn w:val="1"/>
    <w:qFormat/>
    <w:uiPriority w:val="0"/>
    <w:pPr>
      <w:snapToGrid w:val="0"/>
    </w:pPr>
    <w:rPr>
      <w:rFonts w:ascii="Arial" w:hAnsi="Arial" w:eastAsia="宋体" w:cs="Times New Roman"/>
      <w:szCs w:val="24"/>
      <w:lang w:bidi="ar-SA"/>
    </w:rPr>
  </w:style>
  <w:style w:type="paragraph" w:styleId="6">
    <w:name w:val="Title"/>
    <w:basedOn w:val="1"/>
    <w:link w:val="69"/>
    <w:qFormat/>
    <w:uiPriority w:val="0"/>
    <w:pPr>
      <w:spacing w:before="120" w:after="60"/>
      <w:jc w:val="center"/>
    </w:pPr>
    <w:rPr>
      <w:rFonts w:ascii="Arial" w:hAnsi="Arial"/>
      <w:b/>
      <w:sz w:val="44"/>
      <w:szCs w:val="20"/>
    </w:rPr>
  </w:style>
  <w:style w:type="paragraph" w:styleId="7">
    <w:name w:val="Body Text First Indent"/>
    <w:basedOn w:val="8"/>
    <w:link w:val="73"/>
    <w:qFormat/>
    <w:uiPriority w:val="0"/>
    <w:pPr>
      <w:ind w:firstLine="420"/>
    </w:pPr>
  </w:style>
  <w:style w:type="paragraph" w:styleId="8">
    <w:name w:val="Body Text"/>
    <w:basedOn w:val="1"/>
    <w:next w:val="1"/>
    <w:link w:val="71"/>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8">
    <w:name w:val="annotation subject"/>
    <w:basedOn w:val="19"/>
    <w:next w:val="19"/>
    <w:link w:val="109"/>
    <w:qFormat/>
    <w:uiPriority w:val="0"/>
    <w:rPr>
      <w:b/>
      <w:bCs/>
    </w:rPr>
  </w:style>
  <w:style w:type="paragraph" w:styleId="19">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20">
    <w:name w:val="Document Map"/>
    <w:basedOn w:val="1"/>
    <w:link w:val="79"/>
    <w:qFormat/>
    <w:uiPriority w:val="0"/>
    <w:pPr>
      <w:shd w:val="clear" w:color="auto" w:fill="000080"/>
    </w:pPr>
    <w:rPr>
      <w:rFonts w:ascii="Times New Roman" w:hAnsi="Times New Roman"/>
      <w:szCs w:val="20"/>
    </w:rPr>
  </w:style>
  <w:style w:type="paragraph" w:styleId="2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2">
    <w:name w:val="Plain Text"/>
    <w:basedOn w:val="1"/>
    <w:next w:val="1"/>
    <w:link w:val="81"/>
    <w:qFormat/>
    <w:uiPriority w:val="0"/>
    <w:rPr>
      <w:rFonts w:ascii="宋体" w:hAnsi="Courier New"/>
      <w:szCs w:val="20"/>
    </w:rPr>
  </w:style>
  <w:style w:type="paragraph" w:styleId="23">
    <w:name w:val="Date"/>
    <w:basedOn w:val="1"/>
    <w:next w:val="1"/>
    <w:link w:val="75"/>
    <w:qFormat/>
    <w:uiPriority w:val="0"/>
    <w:rPr>
      <w:rFonts w:ascii="Times New Roman" w:hAnsi="Times New Roman"/>
      <w:szCs w:val="20"/>
    </w:rPr>
  </w:style>
  <w:style w:type="paragraph" w:styleId="24">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5">
    <w:name w:val="endnote text"/>
    <w:basedOn w:val="1"/>
    <w:link w:val="92"/>
    <w:qFormat/>
    <w:uiPriority w:val="0"/>
    <w:pPr>
      <w:snapToGrid w:val="0"/>
      <w:jc w:val="left"/>
    </w:pPr>
    <w:rPr>
      <w:rFonts w:ascii="Times New Roman" w:hAnsi="Times New Roman"/>
      <w:szCs w:val="20"/>
    </w:rPr>
  </w:style>
  <w:style w:type="paragraph" w:styleId="26">
    <w:name w:val="Balloon Text"/>
    <w:basedOn w:val="1"/>
    <w:link w:val="102"/>
    <w:qFormat/>
    <w:uiPriority w:val="0"/>
    <w:rPr>
      <w:rFonts w:ascii="Times New Roman" w:hAnsi="Times New Roman"/>
      <w:sz w:val="18"/>
      <w:szCs w:val="18"/>
    </w:rPr>
  </w:style>
  <w:style w:type="paragraph" w:styleId="27">
    <w:name w:val="footer"/>
    <w:basedOn w:val="1"/>
    <w:link w:val="59"/>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0">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31">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3">
    <w:name w:val="Body Text 2"/>
    <w:basedOn w:val="1"/>
    <w:link w:val="89"/>
    <w:qFormat/>
    <w:uiPriority w:val="0"/>
    <w:rPr>
      <w:rFonts w:ascii="宋体" w:hAnsi="宋体"/>
      <w:szCs w:val="24"/>
      <w:u w:val="single"/>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5">
    <w:name w:val="index 1"/>
    <w:basedOn w:val="1"/>
    <w:next w:val="1"/>
    <w:qFormat/>
    <w:uiPriority w:val="0"/>
    <w:rPr>
      <w:rFonts w:ascii="Times New Roman" w:hAnsi="Times New Roman" w:eastAsia="仿宋_GB2312"/>
      <w:sz w:val="28"/>
      <w:szCs w:val="20"/>
    </w:r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table" w:styleId="45">
    <w:name w:val="Table Grid"/>
    <w:basedOn w:val="4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11"/>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8"/>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7"/>
    <w:qFormat/>
    <w:uiPriority w:val="0"/>
    <w:rPr>
      <w:rFonts w:ascii="Calibri" w:hAnsi="Calibri" w:eastAsia="宋体" w:cs="Times New Roman"/>
      <w:sz w:val="18"/>
      <w:szCs w:val="18"/>
    </w:rPr>
  </w:style>
  <w:style w:type="character" w:customStyle="1" w:styleId="60">
    <w:name w:val="标题 1 字符1"/>
    <w:qFormat/>
    <w:uiPriority w:val="0"/>
    <w:rPr>
      <w:rFonts w:ascii="Arial" w:hAnsi="Arial" w:eastAsia="宋体"/>
      <w:b/>
      <w:kern w:val="44"/>
      <w:sz w:val="28"/>
      <w:szCs w:val="28"/>
    </w:rPr>
  </w:style>
  <w:style w:type="character" w:customStyle="1" w:styleId="61">
    <w:name w:val="标题 2 Char"/>
    <w:link w:val="9"/>
    <w:qFormat/>
    <w:uiPriority w:val="0"/>
    <w:rPr>
      <w:rFonts w:ascii="Arial" w:hAnsi="Arial" w:eastAsia="宋体" w:cs="Times New Roman"/>
      <w:b/>
      <w:color w:val="000000"/>
      <w:sz w:val="24"/>
      <w:szCs w:val="24"/>
    </w:rPr>
  </w:style>
  <w:style w:type="character" w:customStyle="1" w:styleId="62">
    <w:name w:val="标题 4 Char"/>
    <w:link w:val="12"/>
    <w:qFormat/>
    <w:uiPriority w:val="0"/>
    <w:rPr>
      <w:rFonts w:ascii="Arial" w:hAnsi="Arial" w:eastAsia="宋体" w:cs="Times New Roman"/>
      <w:color w:val="000000"/>
      <w:szCs w:val="21"/>
    </w:rPr>
  </w:style>
  <w:style w:type="character" w:customStyle="1" w:styleId="63">
    <w:name w:val="标题 5 Char"/>
    <w:link w:val="13"/>
    <w:qFormat/>
    <w:uiPriority w:val="0"/>
    <w:rPr>
      <w:rFonts w:ascii="Arial" w:hAnsi="Arial" w:eastAsia="宋体" w:cs="Times New Roman"/>
      <w:color w:val="000000"/>
      <w:szCs w:val="21"/>
    </w:rPr>
  </w:style>
  <w:style w:type="character" w:customStyle="1" w:styleId="64">
    <w:name w:val="标题 6 Char"/>
    <w:link w:val="14"/>
    <w:qFormat/>
    <w:uiPriority w:val="0"/>
    <w:rPr>
      <w:rFonts w:ascii="Arial" w:hAnsi="Arial" w:eastAsia="黑体" w:cs="Times New Roman"/>
      <w:b/>
      <w:bCs/>
      <w:sz w:val="24"/>
      <w:szCs w:val="24"/>
    </w:rPr>
  </w:style>
  <w:style w:type="character" w:customStyle="1" w:styleId="65">
    <w:name w:val="标题 7 Char"/>
    <w:link w:val="15"/>
    <w:qFormat/>
    <w:uiPriority w:val="0"/>
    <w:rPr>
      <w:rFonts w:ascii="Times New Roman" w:hAnsi="Times New Roman" w:eastAsia="宋体" w:cs="Times New Roman"/>
      <w:b/>
      <w:sz w:val="24"/>
      <w:szCs w:val="20"/>
    </w:rPr>
  </w:style>
  <w:style w:type="character" w:customStyle="1" w:styleId="66">
    <w:name w:val="标题 8 Char"/>
    <w:link w:val="16"/>
    <w:qFormat/>
    <w:uiPriority w:val="0"/>
    <w:rPr>
      <w:rFonts w:ascii="Arial" w:hAnsi="Arial" w:eastAsia="黑体" w:cs="Times New Roman"/>
      <w:sz w:val="24"/>
      <w:szCs w:val="20"/>
    </w:rPr>
  </w:style>
  <w:style w:type="character" w:customStyle="1" w:styleId="67">
    <w:name w:val="标题 9 Char"/>
    <w:link w:val="17"/>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6"/>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8"/>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7"/>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3"/>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3"/>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20"/>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4"/>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31"/>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3"/>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5"/>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20"/>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11"/>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6"/>
    <w:qFormat/>
    <w:uiPriority w:val="0"/>
    <w:rPr>
      <w:rFonts w:ascii="Times New Roman" w:hAnsi="Times New Roman" w:eastAsia="宋体" w:cs="Times New Roman"/>
      <w:sz w:val="18"/>
      <w:szCs w:val="18"/>
    </w:rPr>
  </w:style>
  <w:style w:type="paragraph" w:customStyle="1" w:styleId="103">
    <w:name w:val="TOC 标题1"/>
    <w:basedOn w:val="5"/>
    <w:next w:val="1"/>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9"/>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30"/>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18"/>
    <w:qFormat/>
    <w:uiPriority w:val="0"/>
    <w:rPr>
      <w:rFonts w:ascii="宋体" w:hAnsi="宋体" w:eastAsia="宋体" w:cs="Times New Roman"/>
      <w:b/>
      <w:bCs/>
      <w:sz w:val="24"/>
      <w:szCs w:val="24"/>
    </w:rPr>
  </w:style>
  <w:style w:type="paragraph" w:customStyle="1"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正文文本3"/>
    <w:basedOn w:val="1"/>
    <w:qFormat/>
    <w:uiPriority w:val="0"/>
    <w:pPr>
      <w:shd w:val="clear" w:color="auto" w:fill="FFFFFF"/>
      <w:spacing w:line="0" w:lineRule="atLeast"/>
      <w:jc w:val="left"/>
    </w:pPr>
    <w:rPr>
      <w:rFonts w:ascii="宋体" w:hAnsi="宋体"/>
      <w:kern w:val="0"/>
      <w:sz w:val="19"/>
      <w:szCs w:val="19"/>
    </w:rPr>
  </w:style>
  <w:style w:type="character" w:customStyle="1" w:styleId="113">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14">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15">
    <w:name w:val="_Style 3"/>
    <w:basedOn w:val="1"/>
    <w:qFormat/>
    <w:uiPriority w:val="0"/>
    <w:rPr>
      <w:rFonts w:cs="宋体"/>
      <w:szCs w:val="21"/>
    </w:rPr>
  </w:style>
  <w:style w:type="paragraph" w:customStyle="1" w:styleId="116">
    <w:name w:val="文一"/>
    <w:basedOn w:val="1"/>
    <w:qFormat/>
    <w:uiPriority w:val="0"/>
    <w:pPr>
      <w:widowControl/>
      <w:topLinePunct/>
      <w:adjustRightInd w:val="0"/>
      <w:snapToGrid w:val="0"/>
      <w:spacing w:after="200" w:line="360" w:lineRule="auto"/>
      <w:ind w:firstLine="200" w:firstLineChars="200"/>
      <w:jc w:val="left"/>
    </w:pPr>
    <w:rPr>
      <w:rFonts w:ascii="等线" w:hAnsi="等线" w:eastAsia="等线"/>
      <w:spacing w:val="4"/>
      <w:kern w:val="0"/>
      <w:sz w:val="24"/>
      <w:szCs w:val="24"/>
    </w:rPr>
  </w:style>
  <w:style w:type="paragraph" w:customStyle="1" w:styleId="117">
    <w:name w:val="正题"/>
    <w:basedOn w:val="1"/>
    <w:next w:val="1"/>
    <w:qFormat/>
    <w:uiPriority w:val="0"/>
    <w:pPr>
      <w:topLinePunct/>
      <w:adjustRightInd w:val="0"/>
      <w:snapToGrid w:val="0"/>
      <w:spacing w:line="360" w:lineRule="auto"/>
      <w:jc w:val="center"/>
    </w:pPr>
    <w:rPr>
      <w:rFonts w:ascii="Times New Roman" w:hAnsi="Times New Roman" w:eastAsia="黑体"/>
      <w:b/>
      <w:spacing w:val="4"/>
      <w:kern w:val="0"/>
      <w:sz w:val="36"/>
      <w:szCs w:val="36"/>
    </w:rPr>
  </w:style>
  <w:style w:type="character" w:customStyle="1" w:styleId="118">
    <w:name w:val="标题 1 Char"/>
    <w:link w:val="5"/>
    <w:qFormat/>
    <w:uiPriority w:val="0"/>
    <w:rPr>
      <w:rFonts w:ascii="Arial" w:hAnsi="Arial" w:eastAsia="宋体" w:cs="Times New Roman"/>
      <w:b/>
      <w:kern w:val="44"/>
      <w:sz w:val="28"/>
      <w:szCs w:val="28"/>
    </w:rPr>
  </w:style>
  <w:style w:type="paragraph" w:customStyle="1" w:styleId="119">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20">
    <w:name w:val="文二"/>
    <w:basedOn w:val="1"/>
    <w:qFormat/>
    <w:uiPriority w:val="99"/>
    <w:pPr>
      <w:jc w:val="left"/>
    </w:pPr>
    <w:rPr>
      <w:rFonts w:ascii="宋体" w:hAnsi="宋体"/>
      <w:szCs w:val="21"/>
    </w:rPr>
  </w:style>
  <w:style w:type="paragraph" w:customStyle="1" w:styleId="121">
    <w:name w:val="正文 New New"/>
    <w:basedOn w:val="1"/>
    <w:qFormat/>
    <w:uiPriority w:val="0"/>
    <w:rPr>
      <w:rFonts w:ascii="Times New Roman" w:hAnsi="Times New Roman" w:eastAsia="楷体_GB2312" w:cs="宋体"/>
      <w:szCs w:val="21"/>
    </w:rPr>
  </w:style>
  <w:style w:type="paragraph" w:customStyle="1" w:styleId="122">
    <w:name w:val="样式 宋体 行距: 1.5 倍行距"/>
    <w:basedOn w:val="1"/>
    <w:qFormat/>
    <w:uiPriority w:val="0"/>
    <w:pPr>
      <w:jc w:val="center"/>
    </w:pPr>
    <w:rPr>
      <w:rFonts w:ascii="Times New Roman" w:hAnsi="Times New Roman"/>
      <w:b/>
      <w:szCs w:val="20"/>
    </w:rPr>
  </w:style>
  <w:style w:type="table" w:customStyle="1" w:styleId="123">
    <w:name w:val="Table Normal"/>
    <w:unhideWhenUsed/>
    <w:qFormat/>
    <w:uiPriority w:val="0"/>
    <w:tblPr>
      <w:tblLayout w:type="fixed"/>
      <w:tblCellMar>
        <w:top w:w="0" w:type="dxa"/>
        <w:left w:w="0" w:type="dxa"/>
        <w:bottom w:w="0" w:type="dxa"/>
        <w:right w:w="0" w:type="dxa"/>
      </w:tblCellMar>
    </w:tblPr>
  </w:style>
  <w:style w:type="paragraph" w:customStyle="1" w:styleId="124">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156</Pages>
  <Words>96716</Words>
  <Characters>101286</Characters>
  <Lines>1028</Lines>
  <Paragraphs>289</Paragraphs>
  <TotalTime>3</TotalTime>
  <ScaleCrop>false</ScaleCrop>
  <LinksUpToDate>false</LinksUpToDate>
  <CharactersWithSpaces>104576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2023-06-25T09:01:00Z</dcterms:created>
  <dc:creator>管理员</dc:creator>
  <cp:lastModifiedBy>余颖欣</cp:lastModifiedBy>
  <cp:lastPrinted>2023-07-05T02:24:00Z</cp:lastPrinted>
  <dcterms:modified xsi:type="dcterms:W3CDTF">2023-08-21T06:51:55Z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B5500F81B1B445C2B1185437853BFA4A</vt:lpwstr>
  </property>
</Properties>
</file>