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ightChars="-68"/>
        <w:jc w:val="center"/>
        <w:rPr>
          <w:rFonts w:hint="eastAsia" w:ascii="宋体" w:hAnsi="宋体" w:cs="宋体"/>
          <w:b/>
          <w:bCs/>
          <w:color w:val="auto"/>
          <w:spacing w:val="26"/>
          <w:sz w:val="52"/>
          <w:szCs w:val="52"/>
          <w:highlight w:val="none"/>
          <w:lang w:eastAsia="zh-CN"/>
        </w:rPr>
      </w:pPr>
      <w:bookmarkStart w:id="30" w:name="_GoBack"/>
      <w:bookmarkEnd w:id="30"/>
    </w:p>
    <w:p>
      <w:pPr>
        <w:spacing w:line="360" w:lineRule="auto"/>
        <w:ind w:right="-142" w:rightChars="-68"/>
        <w:jc w:val="center"/>
        <w:rPr>
          <w:rFonts w:hint="eastAsia" w:ascii="宋体" w:hAnsi="宋体" w:eastAsia="宋体" w:cs="宋体"/>
          <w:b/>
          <w:bCs/>
          <w:color w:val="auto"/>
          <w:spacing w:val="26"/>
          <w:sz w:val="44"/>
          <w:szCs w:val="44"/>
          <w:highlight w:val="none"/>
          <w:lang w:eastAsia="zh-CN"/>
        </w:rPr>
      </w:pPr>
      <w:r>
        <w:rPr>
          <w:rFonts w:hint="eastAsia" w:ascii="宋体" w:hAnsi="宋体" w:cs="宋体"/>
          <w:b/>
          <w:bCs/>
          <w:color w:val="auto"/>
          <w:spacing w:val="26"/>
          <w:sz w:val="44"/>
          <w:szCs w:val="44"/>
          <w:highlight w:val="none"/>
          <w:lang w:eastAsia="zh-CN"/>
        </w:rPr>
        <w:t>广州市公安局海珠区分局执法办案管理中心（二期）改造工程施工</w:t>
      </w:r>
    </w:p>
    <w:p>
      <w:pPr>
        <w:spacing w:line="360" w:lineRule="auto"/>
        <w:jc w:val="center"/>
        <w:rPr>
          <w:rFonts w:ascii="宋体" w:hAnsi="宋体" w:cs="宋体"/>
          <w:b/>
          <w:bCs/>
          <w:color w:val="auto"/>
          <w:spacing w:val="26"/>
          <w:sz w:val="96"/>
          <w:szCs w:val="110"/>
          <w:highlight w:val="none"/>
        </w:rPr>
      </w:pPr>
    </w:p>
    <w:p>
      <w:pPr>
        <w:pStyle w:val="7"/>
        <w:rPr>
          <w:highlight w:val="none"/>
        </w:rPr>
      </w:pPr>
    </w:p>
    <w:p>
      <w:pPr>
        <w:pStyle w:val="7"/>
        <w:rPr>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文 件</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993" w:firstLineChars="331"/>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广州市公安局海珠区分局</w:t>
      </w:r>
    </w:p>
    <w:p>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广东海外建设咨询有限公司</w:t>
      </w:r>
    </w:p>
    <w:p>
      <w:pPr>
        <w:ind w:firstLine="993" w:firstLineChars="331"/>
        <w:rPr>
          <w:rFonts w:ascii="宋体" w:hAnsi="宋体" w:cs="宋体"/>
          <w:color w:val="auto"/>
          <w:sz w:val="30"/>
          <w:szCs w:val="30"/>
          <w:highlight w:val="none"/>
        </w:rPr>
      </w:pPr>
      <w:r>
        <w:rPr>
          <w:rFonts w:hint="eastAsia" w:ascii="宋体" w:hAnsi="宋体" w:cs="宋体"/>
          <w:color w:val="auto"/>
          <w:sz w:val="30"/>
          <w:szCs w:val="30"/>
          <w:highlight w:val="none"/>
        </w:rPr>
        <w:t>日        期：</w:t>
      </w:r>
      <w:r>
        <w:rPr>
          <w:rFonts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8</w:t>
      </w:r>
      <w:r>
        <w:rPr>
          <w:rFonts w:hint="eastAsia" w:ascii="宋体" w:hAnsi="宋体" w:cs="宋体"/>
          <w:color w:val="auto"/>
          <w:sz w:val="30"/>
          <w:szCs w:val="30"/>
          <w:highlight w:val="none"/>
        </w:rPr>
        <w:t xml:space="preserve">月    </w:t>
      </w:r>
    </w:p>
    <w:p>
      <w:pPr>
        <w:rPr>
          <w:rFonts w:ascii="宋体" w:hAnsi="宋体" w:cs="宋体"/>
          <w:color w:val="auto"/>
          <w:sz w:val="30"/>
          <w:szCs w:val="30"/>
          <w:highlight w:val="none"/>
        </w:rPr>
      </w:pPr>
    </w:p>
    <w:p>
      <w:pPr>
        <w:jc w:val="center"/>
        <w:rPr>
          <w:rFonts w:ascii="宋体" w:hAnsi="宋体"/>
          <w:b/>
          <w:caps/>
          <w:color w:val="auto"/>
          <w:kern w:val="0"/>
          <w:highlight w:val="none"/>
        </w:rPr>
      </w:pPr>
      <w:r>
        <w:rPr>
          <w:rFonts w:ascii="宋体" w:hAnsi="宋体" w:cs="宋体"/>
          <w:color w:val="auto"/>
          <w:sz w:val="30"/>
          <w:szCs w:val="30"/>
          <w:highlight w:val="none"/>
        </w:rPr>
        <w:br w:type="page"/>
      </w:r>
      <w:r>
        <w:rPr>
          <w:rStyle w:val="42"/>
          <w:rFonts w:hint="eastAsia"/>
          <w:b/>
          <w:bCs/>
          <w:color w:val="auto"/>
          <w:highlight w:val="none"/>
        </w:rPr>
        <w:t>目录</w:t>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"_Toc2272545" </w:instrText>
      </w:r>
      <w:r>
        <w:rPr>
          <w:color w:val="auto"/>
          <w:highlight w:val="none"/>
        </w:rPr>
        <w:fldChar w:fldCharType="separate"/>
      </w:r>
      <w:r>
        <w:rPr>
          <w:rStyle w:val="42"/>
          <w:rFonts w:hint="eastAsia"/>
          <w:color w:val="auto"/>
          <w:highlight w:val="none"/>
        </w:rPr>
        <w:t>第一章</w:t>
      </w:r>
      <w:r>
        <w:rPr>
          <w:rStyle w:val="42"/>
          <w:color w:val="auto"/>
          <w:highlight w:val="none"/>
        </w:rPr>
        <w:t xml:space="preserve">  </w:t>
      </w:r>
      <w:r>
        <w:rPr>
          <w:rStyle w:val="42"/>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_Toc2272545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"_Toc2272546" </w:instrText>
      </w:r>
      <w:r>
        <w:rPr>
          <w:color w:val="auto"/>
          <w:highlight w:val="none"/>
        </w:rPr>
        <w:fldChar w:fldCharType="separate"/>
      </w:r>
      <w:r>
        <w:rPr>
          <w:rStyle w:val="42"/>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_Toc2272546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"_Toc2272547" </w:instrText>
      </w:r>
      <w:r>
        <w:rPr>
          <w:color w:val="auto"/>
          <w:highlight w:val="none"/>
        </w:rPr>
        <w:fldChar w:fldCharType="separate"/>
      </w:r>
      <w:r>
        <w:rPr>
          <w:rStyle w:val="42"/>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_Toc2272547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"_Toc2272548" </w:instrText>
      </w:r>
      <w:r>
        <w:rPr>
          <w:color w:val="auto"/>
          <w:highlight w:val="none"/>
        </w:rPr>
        <w:fldChar w:fldCharType="separate"/>
      </w:r>
      <w:r>
        <w:rPr>
          <w:rStyle w:val="42"/>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_Toc2272548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"_Toc2272549" </w:instrText>
      </w:r>
      <w:r>
        <w:rPr>
          <w:color w:val="auto"/>
          <w:highlight w:val="none"/>
        </w:rPr>
        <w:fldChar w:fldCharType="separate"/>
      </w:r>
      <w:r>
        <w:rPr>
          <w:rStyle w:val="42"/>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_Toc2272549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"_Toc2272550" </w:instrText>
      </w:r>
      <w:r>
        <w:rPr>
          <w:color w:val="auto"/>
          <w:highlight w:val="none"/>
        </w:rPr>
        <w:fldChar w:fldCharType="separate"/>
      </w:r>
      <w:r>
        <w:rPr>
          <w:rStyle w:val="42"/>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_Toc2272550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"_Toc2272551" </w:instrText>
      </w:r>
      <w:r>
        <w:rPr>
          <w:color w:val="auto"/>
          <w:highlight w:val="none"/>
        </w:rPr>
        <w:fldChar w:fldCharType="separate"/>
      </w:r>
      <w:r>
        <w:rPr>
          <w:rStyle w:val="42"/>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_Toc2272551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"_Toc2272552" </w:instrText>
      </w:r>
      <w:r>
        <w:rPr>
          <w:color w:val="auto"/>
          <w:highlight w:val="none"/>
        </w:rPr>
        <w:fldChar w:fldCharType="separate"/>
      </w:r>
      <w:r>
        <w:rPr>
          <w:rStyle w:val="42"/>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_Toc2272552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"_Toc2272553" </w:instrText>
      </w:r>
      <w:r>
        <w:rPr>
          <w:color w:val="auto"/>
          <w:highlight w:val="none"/>
        </w:rPr>
        <w:fldChar w:fldCharType="separate"/>
      </w:r>
      <w:r>
        <w:rPr>
          <w:rStyle w:val="42"/>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_Toc2272553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"_Toc2272554" </w:instrText>
      </w:r>
      <w:r>
        <w:rPr>
          <w:color w:val="auto"/>
          <w:highlight w:val="none"/>
        </w:rPr>
        <w:fldChar w:fldCharType="separate"/>
      </w:r>
      <w:r>
        <w:rPr>
          <w:rStyle w:val="42"/>
          <w:rFonts w:hint="eastAsia"/>
          <w:color w:val="auto"/>
          <w:highlight w:val="none"/>
        </w:rPr>
        <w:t>第二章</w:t>
      </w:r>
      <w:r>
        <w:rPr>
          <w:rStyle w:val="42"/>
          <w:color w:val="auto"/>
          <w:highlight w:val="none"/>
        </w:rPr>
        <w:t xml:space="preserve">  </w:t>
      </w:r>
      <w:r>
        <w:rPr>
          <w:rStyle w:val="42"/>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_Toc2272554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"_Toc2272555" </w:instrText>
      </w:r>
      <w:r>
        <w:rPr>
          <w:color w:val="auto"/>
          <w:highlight w:val="none"/>
        </w:rPr>
        <w:fldChar w:fldCharType="separate"/>
      </w:r>
      <w:r>
        <w:rPr>
          <w:rStyle w:val="42"/>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_Toc2272555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"_Toc2272556" </w:instrText>
      </w:r>
      <w:r>
        <w:rPr>
          <w:color w:val="auto"/>
          <w:highlight w:val="none"/>
        </w:rPr>
        <w:fldChar w:fldCharType="separate"/>
      </w:r>
      <w:r>
        <w:rPr>
          <w:rStyle w:val="42"/>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_Toc2272556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"_Toc2272557" </w:instrText>
      </w:r>
      <w:r>
        <w:rPr>
          <w:color w:val="auto"/>
          <w:highlight w:val="none"/>
        </w:rPr>
        <w:fldChar w:fldCharType="separate"/>
      </w:r>
      <w:r>
        <w:rPr>
          <w:rStyle w:val="42"/>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_Toc2272557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"_Toc2272558" </w:instrText>
      </w:r>
      <w:r>
        <w:rPr>
          <w:color w:val="auto"/>
          <w:highlight w:val="none"/>
        </w:rPr>
        <w:fldChar w:fldCharType="separate"/>
      </w:r>
      <w:r>
        <w:rPr>
          <w:rStyle w:val="42"/>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_Toc2272558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"_Toc2272564" </w:instrText>
      </w:r>
      <w:r>
        <w:rPr>
          <w:color w:val="auto"/>
          <w:highlight w:val="none"/>
        </w:rPr>
        <w:fldChar w:fldCharType="separate"/>
      </w:r>
      <w:r>
        <w:rPr>
          <w:rStyle w:val="42"/>
          <w:rFonts w:hint="eastAsia"/>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_Toc2272564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"_Toc2272566" </w:instrText>
      </w:r>
      <w:r>
        <w:rPr>
          <w:color w:val="auto"/>
          <w:highlight w:val="none"/>
        </w:rPr>
        <w:fldChar w:fldCharType="separate"/>
      </w:r>
      <w:r>
        <w:rPr>
          <w:rStyle w:val="42"/>
          <w:rFonts w:hint="eastAsia"/>
          <w:color w:val="auto"/>
          <w:highlight w:val="none"/>
        </w:rPr>
        <w:t>第三章</w:t>
      </w:r>
      <w:r>
        <w:rPr>
          <w:rStyle w:val="42"/>
          <w:color w:val="auto"/>
          <w:highlight w:val="none"/>
        </w:rPr>
        <w:t xml:space="preserve">  </w:t>
      </w:r>
      <w:r>
        <w:rPr>
          <w:rStyle w:val="42"/>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_Toc2272566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"_Toc2272567" </w:instrText>
      </w:r>
      <w:r>
        <w:rPr>
          <w:color w:val="auto"/>
          <w:highlight w:val="none"/>
        </w:rPr>
        <w:fldChar w:fldCharType="separate"/>
      </w:r>
      <w:r>
        <w:rPr>
          <w:rStyle w:val="42"/>
          <w:rFonts w:hint="eastAsia"/>
          <w:color w:val="auto"/>
          <w:highlight w:val="none"/>
        </w:rPr>
        <w:t>第四章</w:t>
      </w:r>
      <w:r>
        <w:rPr>
          <w:rStyle w:val="42"/>
          <w:color w:val="auto"/>
          <w:highlight w:val="none"/>
        </w:rPr>
        <w:t xml:space="preserve">  </w:t>
      </w:r>
      <w:r>
        <w:rPr>
          <w:rStyle w:val="42"/>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_Toc2272567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"_Toc2272568" </w:instrText>
      </w:r>
      <w:r>
        <w:rPr>
          <w:color w:val="auto"/>
          <w:highlight w:val="none"/>
        </w:rPr>
        <w:fldChar w:fldCharType="separate"/>
      </w:r>
      <w:r>
        <w:rPr>
          <w:rStyle w:val="42"/>
          <w:rFonts w:hint="eastAsia"/>
          <w:color w:val="auto"/>
          <w:highlight w:val="none"/>
        </w:rPr>
        <w:t>第五章</w:t>
      </w:r>
      <w:r>
        <w:rPr>
          <w:rStyle w:val="42"/>
          <w:color w:val="auto"/>
          <w:highlight w:val="none"/>
        </w:rPr>
        <w:t xml:space="preserve">  </w:t>
      </w:r>
      <w:r>
        <w:rPr>
          <w:rStyle w:val="42"/>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_Toc2272568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"_Toc2272569" </w:instrText>
      </w:r>
      <w:r>
        <w:rPr>
          <w:color w:val="auto"/>
          <w:highlight w:val="none"/>
        </w:rPr>
        <w:fldChar w:fldCharType="separate"/>
      </w:r>
      <w:r>
        <w:rPr>
          <w:rStyle w:val="42"/>
          <w:rFonts w:hint="eastAsia"/>
          <w:color w:val="auto"/>
          <w:highlight w:val="none"/>
        </w:rPr>
        <w:t>第六章</w:t>
      </w:r>
      <w:r>
        <w:rPr>
          <w:rStyle w:val="42"/>
          <w:color w:val="auto"/>
          <w:highlight w:val="none"/>
        </w:rPr>
        <w:t xml:space="preserve">  </w:t>
      </w:r>
      <w:r>
        <w:rPr>
          <w:rStyle w:val="42"/>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_Toc2272569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"_Toc2272570" </w:instrText>
      </w:r>
      <w:r>
        <w:rPr>
          <w:color w:val="auto"/>
          <w:highlight w:val="none"/>
        </w:rPr>
        <w:fldChar w:fldCharType="separate"/>
      </w:r>
      <w:r>
        <w:rPr>
          <w:rStyle w:val="42"/>
          <w:rFonts w:hint="eastAsia"/>
          <w:color w:val="auto"/>
          <w:highlight w:val="none"/>
        </w:rPr>
        <w:t>第七章</w:t>
      </w:r>
      <w:r>
        <w:rPr>
          <w:rStyle w:val="42"/>
          <w:color w:val="auto"/>
          <w:highlight w:val="none"/>
        </w:rPr>
        <w:t xml:space="preserve">  </w:t>
      </w:r>
      <w:r>
        <w:rPr>
          <w:rStyle w:val="42"/>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_Toc2272570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7"/>
        <w:rPr>
          <w:color w:val="auto"/>
          <w:highlight w:val="none"/>
        </w:rPr>
      </w:pPr>
      <w:r>
        <w:rPr>
          <w:color w:val="auto"/>
          <w:highlight w:val="none"/>
        </w:rPr>
        <w:fldChar w:fldCharType="begin"/>
      </w:r>
      <w:r>
        <w:rPr>
          <w:color w:val="auto"/>
          <w:highlight w:val="none"/>
        </w:rPr>
        <w:instrText xml:space="preserve"> HYPERLINK \l "_Toc2272571" </w:instrText>
      </w:r>
      <w:r>
        <w:rPr>
          <w:color w:val="auto"/>
          <w:highlight w:val="none"/>
        </w:rPr>
        <w:fldChar w:fldCharType="separate"/>
      </w:r>
      <w:r>
        <w:rPr>
          <w:rStyle w:val="42"/>
          <w:rFonts w:hint="eastAsia"/>
          <w:color w:val="auto"/>
          <w:highlight w:val="none"/>
        </w:rPr>
        <w:t>第八章</w:t>
      </w:r>
      <w:r>
        <w:rPr>
          <w:rStyle w:val="42"/>
          <w:color w:val="auto"/>
          <w:highlight w:val="none"/>
        </w:rPr>
        <w:t xml:space="preserve">  </w:t>
      </w:r>
      <w:r>
        <w:rPr>
          <w:rStyle w:val="42"/>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_Toc2272571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widowControl/>
        <w:jc w:val="left"/>
        <w:rPr>
          <w:rFonts w:ascii="宋体" w:hAnsi="宋体"/>
          <w:caps/>
          <w:color w:val="auto"/>
          <w:kern w:val="0"/>
          <w:sz w:val="24"/>
          <w:szCs w:val="32"/>
          <w:highlight w:val="none"/>
        </w:rPr>
      </w:pPr>
      <w:r>
        <w:rPr>
          <w:color w:val="auto"/>
          <w:highlight w:val="none"/>
        </w:rPr>
        <w:br w:type="page"/>
      </w:r>
    </w:p>
    <w:p>
      <w:pPr>
        <w:pStyle w:val="27"/>
        <w:rPr>
          <w:rFonts w:ascii="Calibri" w:hAnsi="Calibri"/>
          <w:caps w:val="0"/>
          <w:color w:val="auto"/>
          <w:kern w:val="2"/>
          <w:sz w:val="21"/>
          <w:szCs w:val="22"/>
          <w:highlight w:val="none"/>
        </w:rPr>
      </w:pPr>
    </w:p>
    <w:p>
      <w:pPr>
        <w:pStyle w:val="3"/>
        <w:tabs>
          <w:tab w:val="center" w:pos="4535"/>
          <w:tab w:val="left" w:pos="6825"/>
        </w:tabs>
        <w:rPr>
          <w:color w:val="auto"/>
          <w:highlight w:val="none"/>
        </w:rPr>
      </w:pPr>
      <w:r>
        <w:rPr>
          <w:color w:val="auto"/>
          <w:highlight w:val="none"/>
        </w:rPr>
        <w:tab/>
      </w:r>
      <w:r>
        <w:rPr>
          <w:color w:val="auto"/>
          <w:highlight w:val="none"/>
        </w:rPr>
        <w:fldChar w:fldCharType="end"/>
      </w:r>
      <w:bookmarkStart w:id="0" w:name="_Toc2272545"/>
      <w:r>
        <w:rPr>
          <w:rFonts w:hint="eastAsia"/>
          <w:color w:val="auto"/>
          <w:highlight w:val="none"/>
        </w:rPr>
        <w:t>第一章</w:t>
      </w:r>
      <w:r>
        <w:rPr>
          <w:color w:val="auto"/>
          <w:highlight w:val="none"/>
        </w:rPr>
        <w:t xml:space="preserve">  </w:t>
      </w:r>
      <w:r>
        <w:rPr>
          <w:rFonts w:hint="eastAsia"/>
          <w:color w:val="auto"/>
          <w:highlight w:val="none"/>
        </w:rPr>
        <w:t>投标须知</w:t>
      </w:r>
      <w:bookmarkEnd w:id="0"/>
      <w:r>
        <w:rPr>
          <w:color w:val="auto"/>
          <w:highlight w:val="none"/>
        </w:rPr>
        <w:tab/>
      </w:r>
    </w:p>
    <w:p>
      <w:pPr>
        <w:pStyle w:val="7"/>
        <w:rPr>
          <w:color w:val="auto"/>
          <w:highlight w:val="none"/>
        </w:rPr>
      </w:pPr>
      <w:bookmarkStart w:id="1" w:name="_Toc2272546"/>
      <w:r>
        <w:rPr>
          <w:rFonts w:hint="eastAsia"/>
          <w:color w:val="auto"/>
          <w:highlight w:val="none"/>
        </w:rPr>
        <w:t>一、投标须知前附表</w:t>
      </w:r>
      <w:bookmarkEnd w:id="1"/>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0" w:type="auto"/>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广州市公安局海珠区分局</w:t>
            </w:r>
          </w:p>
          <w:p>
            <w:pPr>
              <w:rPr>
                <w:rFonts w:hint="eastAsia" w:ascii="宋体" w:hAnsi="宋体" w:eastAsia="宋体"/>
                <w:color w:val="auto"/>
                <w:szCs w:val="21"/>
                <w:highlight w:val="none"/>
                <w:lang w:eastAsia="zh-CN"/>
              </w:rPr>
            </w:pPr>
            <w:r>
              <w:rPr>
                <w:rFonts w:hint="eastAsia" w:ascii="宋体" w:hAnsi="宋体"/>
                <w:color w:val="auto"/>
                <w:szCs w:val="21"/>
                <w:highlight w:val="none"/>
              </w:rPr>
              <w:t>项目建设管理单位：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广东海外建设咨询有限公司</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广州市域境设计有限公司</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广州市公安局海珠区分局执法办案管理中心（二期）改造工程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广州市海珠区南华东路公正大街8号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包工、包料、包工期、包质量、包安全生产、包文明施工、包验收、包保修的承包方式。本工程为综合单价包干，工程量按实结算，绿色施工安全防护措施费总价包干形式。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施工总工期：</w:t>
            </w:r>
            <w:r>
              <w:rPr>
                <w:rFonts w:hint="eastAsia" w:ascii="宋体" w:hAnsi="宋体"/>
                <w:color w:val="auto"/>
                <w:szCs w:val="21"/>
                <w:highlight w:val="none"/>
                <w:u w:val="single"/>
                <w:lang w:val="en-US" w:eastAsia="zh-CN"/>
              </w:rPr>
              <w:t>120日历天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ascii="宋体" w:hAnsi="宋体"/>
                <w:color w:val="auto"/>
                <w:szCs w:val="21"/>
                <w:highlight w:val="none"/>
              </w:rPr>
              <w:t>工程量清单计价</w:t>
            </w:r>
            <w:r>
              <w:rPr>
                <w:rFonts w:hint="eastAsia"/>
                <w:color w:val="auto"/>
                <w:szCs w:val="21"/>
                <w:highlight w:val="none"/>
              </w:rPr>
              <w:t>，按国家、省有关计价规范执行及合同条款相关约定。</w:t>
            </w:r>
          </w:p>
          <w:p>
            <w:pPr>
              <w:rPr>
                <w:rFonts w:ascii="宋体" w:hAnsi="宋体"/>
                <w:color w:val="auto"/>
                <w:szCs w:val="21"/>
                <w:highlight w:val="none"/>
                <w:u w:val="single"/>
              </w:rPr>
            </w:pPr>
            <w:r>
              <w:rPr>
                <w:rFonts w:hint="eastAsia" w:ascii="宋体" w:hAnsi="宋体"/>
                <w:color w:val="auto"/>
                <w:szCs w:val="21"/>
                <w:highlight w:val="none"/>
                <w:u w:val="single"/>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120</w:t>
            </w:r>
            <w:r>
              <w:rPr>
                <w:rFonts w:hint="eastAsia" w:ascii="宋体" w:hAnsi="宋体"/>
                <w:color w:val="auto"/>
                <w:szCs w:val="21"/>
                <w:highlight w:val="none"/>
              </w:rPr>
              <w:t>日历天。（</w:t>
            </w:r>
            <w:r>
              <w:rPr>
                <w:rFonts w:hint="eastAsia" w:ascii="宋体" w:hAnsi="宋体"/>
                <w:color w:val="auto"/>
                <w:szCs w:val="21"/>
                <w:highlight w:val="none"/>
                <w:u w:val="single"/>
              </w:rPr>
              <w:t>从递交投标文件截止之日计起</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hint="eastAsia" w:ascii="宋体" w:hAnsi="宋体"/>
                <w:color w:val="auto"/>
                <w:szCs w:val="21"/>
                <w:highlight w:val="none"/>
              </w:rPr>
            </w:pPr>
            <w:r>
              <w:rPr>
                <w:rFonts w:hint="eastAsia" w:ascii="宋体" w:hAnsi="宋体"/>
                <w:color w:val="auto"/>
                <w:szCs w:val="21"/>
                <w:highlight w:val="none"/>
                <w:u w:val="single"/>
                <w:lang w:val="en-US" w:eastAsia="zh-CN"/>
              </w:rPr>
              <w:t>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jc w:val="left"/>
              <w:rPr>
                <w:rFonts w:ascii="宋体" w:hAnsi="宋体"/>
                <w:color w:val="auto"/>
                <w:szCs w:val="21"/>
                <w:highlight w:val="none"/>
                <w:u w:val="single"/>
              </w:rPr>
            </w:pPr>
            <w:r>
              <w:rPr>
                <w:rFonts w:hint="eastAsia" w:ascii="宋体" w:hAnsi="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r>
              <w:rPr>
                <w:rFonts w:hint="eastAsia" w:ascii="宋体" w:hAnsi="宋体"/>
                <w:color w:val="auto"/>
                <w:szCs w:val="21"/>
                <w:highlight w:val="none"/>
                <w:u w:val="single"/>
              </w:rPr>
              <w:t>（递交投标文件截止日期前18天）</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u w:val="single"/>
              </w:rPr>
            </w:pPr>
            <w:r>
              <w:rPr>
                <w:rFonts w:hint="eastAsia" w:ascii="宋体" w:hAnsi="宋体"/>
                <w:color w:val="auto"/>
                <w:szCs w:val="21"/>
                <w:highlight w:val="none"/>
                <w:u w:val="single"/>
              </w:rPr>
              <w:t>招标人澄清、修补或答疑期限：在递交投标文件截止日期前15 日</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none"/>
              </w:rPr>
            </w:pPr>
            <w:r>
              <w:rPr>
                <w:rFonts w:hint="eastAsia" w:ascii="宋体" w:hAnsi="宋体"/>
                <w:color w:val="auto"/>
                <w:szCs w:val="21"/>
                <w:highlight w:val="none"/>
              </w:rPr>
              <w:t>1、开标开始时间：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   室。</w:t>
            </w:r>
            <w:r>
              <w:rPr>
                <w:rFonts w:hint="eastAsia" w:ascii="宋体" w:hAnsi="宋体"/>
                <w:color w:val="auto"/>
                <w:szCs w:val="21"/>
                <w:highlight w:val="none"/>
                <w:u w:val="none"/>
              </w:rPr>
              <w:t>投标人也可选择参加在线开标，具体按照交易平台相关指南进行操作。</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olor w:val="auto"/>
                <w:highlight w:val="none"/>
                <w:u w:val="single"/>
              </w:rPr>
              <w:t>广州公共资源交易中心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w:t>
            </w:r>
            <w:r>
              <w:rPr>
                <w:rFonts w:hint="eastAsia" w:ascii="宋体" w:hAnsi="宋体" w:eastAsia="宋体" w:cs="Times New Roman"/>
                <w:color w:val="auto"/>
                <w:highlight w:val="none"/>
                <w:u w:val="single"/>
              </w:rPr>
              <w:t>选取方法 七 ；（适合综合评分法四，技术标与经济标同时开启）</w:t>
            </w:r>
          </w:p>
          <w:p>
            <w:pPr>
              <w:pStyle w:val="5"/>
              <w:ind w:firstLine="0"/>
              <w:rPr>
                <w:rFonts w:hint="default" w:ascii="宋体" w:hAnsi="宋体" w:eastAsia="宋体"/>
                <w:color w:val="auto"/>
                <w:szCs w:val="21"/>
                <w:highlight w:val="none"/>
                <w:lang w:val="en-US" w:eastAsia="zh-CN"/>
              </w:rPr>
            </w:pPr>
            <w:r>
              <w:rPr>
                <w:rFonts w:hint="eastAsia" w:ascii="宋体" w:hAnsi="宋体" w:eastAsia="宋体" w:cs="Times New Roman"/>
                <w:color w:val="auto"/>
                <w:highlight w:val="none"/>
                <w:u w:val="single"/>
              </w:rPr>
              <w:t>投标人总得分=技术分（满分100分）×技术得分权重（20%）+经济分（满分100分）×经济得分权重（80%）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eastAsia="zh-CN"/>
              </w:rPr>
              <w:t>7697887.34</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380435.62</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565376.99</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48000.00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ascii="宋体" w:hAnsi="宋体"/>
                <w:strike/>
                <w:color w:val="auto"/>
                <w:szCs w:val="21"/>
                <w:highlight w:val="none"/>
              </w:rPr>
              <w:t>2</w:t>
            </w:r>
            <w:r>
              <w:rPr>
                <w:rFonts w:hint="eastAsia" w:ascii="宋体" w:hAnsi="宋体"/>
                <w:strike/>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从[0,100]</w:t>
            </w:r>
            <w:r>
              <w:rPr>
                <w:rFonts w:hint="eastAsia" w:ascii="宋体" w:hAnsi="宋体"/>
                <w:strike/>
                <w:color w:val="auto"/>
                <w:highlight w:val="none"/>
              </w:rPr>
              <w:t xml:space="preserve"> </w:t>
            </w:r>
            <w:r>
              <w:rPr>
                <w:rFonts w:hint="eastAsia" w:ascii="宋体" w:hAnsi="宋体"/>
                <w:strike/>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eastAsia="zh-CN"/>
              </w:rPr>
              <w:t>7236014.10</w:t>
            </w:r>
            <w:r>
              <w:rPr>
                <w:rFonts w:hint="eastAsia" w:ascii="宋体" w:hAnsi="宋体"/>
                <w:color w:val="auto"/>
                <w:szCs w:val="21"/>
                <w:highlight w:val="none"/>
              </w:rPr>
              <w:t>元（招标控制价的9</w:t>
            </w:r>
            <w:r>
              <w:rPr>
                <w:rFonts w:hint="eastAsia" w:ascii="宋体" w:hAnsi="宋体"/>
                <w:color w:val="auto"/>
                <w:szCs w:val="21"/>
                <w:highlight w:val="none"/>
                <w:lang w:val="en-US" w:eastAsia="zh-CN"/>
              </w:rPr>
              <w:t>4</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第一阶段各分值的权重：技术分权重为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%，综合诚信评价分数权重为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p>
            <w:pPr>
              <w:rPr>
                <w:rFonts w:ascii="宋体" w:hAnsi="宋体"/>
                <w:strike/>
                <w:color w:val="auto"/>
                <w:szCs w:val="21"/>
                <w:highlight w:val="none"/>
              </w:rPr>
            </w:pPr>
            <w:r>
              <w:rPr>
                <w:rFonts w:hint="eastAsia" w:ascii="宋体" w:hAnsi="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trike w:val="0"/>
                <w:color w:val="auto"/>
                <w:szCs w:val="21"/>
                <w:highlight w:val="none"/>
                <w:lang w:eastAsia="zh-CN"/>
              </w:rPr>
            </w:pPr>
            <w:r>
              <w:rPr>
                <w:rFonts w:hint="eastAsia" w:ascii="宋体" w:hAnsi="宋体"/>
                <w:strike w:val="0"/>
                <w:color w:val="auto"/>
                <w:szCs w:val="21"/>
                <w:highlight w:val="none"/>
              </w:rPr>
              <w:t>本项目不适用</w:t>
            </w:r>
            <w:r>
              <w:rPr>
                <w:rFonts w:hint="eastAsia" w:ascii="宋体" w:hAnsi="宋体"/>
                <w:strike w:val="0"/>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color w:val="auto"/>
                <w:szCs w:val="21"/>
                <w:highlight w:val="none"/>
              </w:rPr>
              <w:t xml:space="preserve"> </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spacing w:line="276" w:lineRule="auto"/>
              <w:rPr>
                <w:rFonts w:ascii="宋体" w:hAnsi="宋体"/>
                <w:color w:val="auto"/>
                <w:kern w:val="0"/>
                <w:szCs w:val="21"/>
                <w:highlight w:val="none"/>
                <w:lang w:val="zh-CN"/>
              </w:rPr>
            </w:pPr>
            <w:r>
              <w:rPr>
                <w:rFonts w:hint="eastAsia" w:ascii="MS Mincho" w:hAnsi="MS Mincho" w:eastAsia="MS Mincho" w:cs="MS Mincho"/>
                <w:color w:val="auto"/>
                <w:kern w:val="0"/>
                <w:szCs w:val="21"/>
                <w:highlight w:val="none"/>
                <w:lang w:val="zh-CN"/>
              </w:rPr>
              <w:t>☑</w:t>
            </w:r>
            <w:r>
              <w:rPr>
                <w:rFonts w:hint="eastAsia" w:ascii="宋体" w:hAnsi="宋体"/>
                <w:color w:val="auto"/>
                <w:kern w:val="0"/>
                <w:szCs w:val="21"/>
                <w:highlight w:val="none"/>
                <w:lang w:val="zh-CN"/>
              </w:rPr>
              <w:t>允许：分包内容要要求：按合同条款约定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对分包人的其他要求：按合同条款约定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www.gzggzy.cn)服务指南栏目发布的最新版操作指引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480" w:lineRule="auto"/>
        <w:rPr>
          <w:rFonts w:ascii="宋体"/>
          <w:strike w:val="0"/>
          <w:color w:val="auto"/>
          <w:sz w:val="24"/>
          <w:highlight w:val="none"/>
        </w:rPr>
      </w:pPr>
      <w:r>
        <w:rPr>
          <w:rFonts w:hint="eastAsia" w:ascii="宋体" w:hAnsi="宋体"/>
          <w:strike w:val="0"/>
          <w:color w:val="auto"/>
          <w:sz w:val="21"/>
          <w:szCs w:val="21"/>
          <w:highlight w:val="none"/>
        </w:rPr>
        <w:t>注：企业</w:t>
      </w:r>
      <w:r>
        <w:rPr>
          <w:rFonts w:hint="eastAsia" w:ascii="宋体" w:hAnsi="宋体" w:cs="宋体"/>
          <w:strike w:val="0"/>
          <w:color w:val="auto"/>
          <w:kern w:val="0"/>
          <w:sz w:val="21"/>
          <w:szCs w:val="21"/>
          <w:highlight w:val="none"/>
        </w:rPr>
        <w:t>综合诚信评价得分即</w:t>
      </w:r>
      <w:r>
        <w:rPr>
          <w:rFonts w:hint="eastAsia" w:ascii="宋体" w:hAnsi="宋体"/>
          <w:strike w:val="0"/>
          <w:color w:val="auto"/>
          <w:sz w:val="21"/>
          <w:szCs w:val="21"/>
          <w:highlight w:val="none"/>
        </w:rPr>
        <w:t>企业</w:t>
      </w:r>
      <w:r>
        <w:rPr>
          <w:rFonts w:hint="eastAsia" w:ascii="宋体" w:hAnsi="宋体" w:cs="宋体"/>
          <w:strike w:val="0"/>
          <w:color w:val="auto"/>
          <w:kern w:val="0"/>
          <w:sz w:val="21"/>
          <w:szCs w:val="21"/>
          <w:highlight w:val="none"/>
        </w:rPr>
        <w:t>综合诚信评价</w:t>
      </w:r>
      <w:r>
        <w:rPr>
          <w:rFonts w:ascii="宋体" w:hAnsi="宋体" w:cs="宋体"/>
          <w:strike w:val="0"/>
          <w:color w:val="auto"/>
          <w:kern w:val="0"/>
          <w:sz w:val="21"/>
          <w:szCs w:val="21"/>
          <w:highlight w:val="none"/>
        </w:rPr>
        <w:t>60</w:t>
      </w:r>
      <w:r>
        <w:rPr>
          <w:rFonts w:hint="eastAsia" w:ascii="宋体" w:hAnsi="宋体" w:cs="宋体"/>
          <w:strike w:val="0"/>
          <w:color w:val="auto"/>
          <w:kern w:val="0"/>
          <w:sz w:val="21"/>
          <w:szCs w:val="21"/>
          <w:highlight w:val="none"/>
        </w:rPr>
        <w:t>日诚信分，以下同。</w:t>
      </w:r>
    </w:p>
    <w:p>
      <w:pPr>
        <w:pStyle w:val="7"/>
        <w:rPr>
          <w:color w:val="auto"/>
          <w:highlight w:val="none"/>
        </w:rPr>
      </w:pPr>
      <w:r>
        <w:rPr>
          <w:color w:val="auto"/>
          <w:highlight w:val="none"/>
        </w:rPr>
        <w:br w:type="page"/>
      </w:r>
      <w:bookmarkStart w:id="2" w:name="_Toc2272547"/>
      <w:r>
        <w:rPr>
          <w:rFonts w:hint="eastAsia"/>
          <w:color w:val="auto"/>
          <w:highlight w:val="none"/>
        </w:rPr>
        <w:t>二、投标须知修改表</w:t>
      </w:r>
      <w:bookmarkEnd w:id="2"/>
    </w:p>
    <w:p>
      <w:pPr>
        <w:pStyle w:val="5"/>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0" w:firstLineChars="200"/>
        <w:rPr>
          <w:b/>
          <w:color w:val="auto"/>
          <w:szCs w:val="21"/>
          <w:highlight w:val="none"/>
        </w:rPr>
      </w:pPr>
      <w:r>
        <w:rPr>
          <w:rFonts w:hint="eastAsia"/>
          <w:b/>
          <w:color w:val="auto"/>
          <w:szCs w:val="21"/>
          <w:highlight w:val="none"/>
        </w:rPr>
        <w:t>条款号：</w:t>
      </w:r>
      <w:r>
        <w:rPr>
          <w:b/>
          <w:color w:val="auto"/>
          <w:szCs w:val="21"/>
          <w:highlight w:val="none"/>
        </w:rPr>
        <w:t>7</w:t>
      </w:r>
      <w:r>
        <w:rPr>
          <w:rFonts w:hint="eastAsia"/>
          <w:b/>
          <w:color w:val="auto"/>
          <w:szCs w:val="21"/>
          <w:highlight w:val="none"/>
        </w:rPr>
        <w:t>.1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b/>
          <w:color w:val="auto"/>
          <w:szCs w:val="21"/>
          <w:highlight w:val="none"/>
        </w:rPr>
        <w:t xml:space="preserve">7.1 </w:t>
      </w:r>
      <w:r>
        <w:rPr>
          <w:rFonts w:hint="eastAsia"/>
          <w:color w:val="auto"/>
          <w:szCs w:val="21"/>
          <w:highlight w:val="none"/>
        </w:rPr>
        <w:t>本招标文件包括下列文件，以及所有按本须知第8条发出的招标答疑会会议纪要和按本须知第9条发出的澄清或修改：</w:t>
      </w:r>
    </w:p>
    <w:p>
      <w:pPr>
        <w:spacing w:line="360" w:lineRule="auto"/>
        <w:ind w:firstLine="420" w:firstLineChars="200"/>
        <w:rPr>
          <w:color w:val="auto"/>
          <w:szCs w:val="21"/>
          <w:highlight w:val="none"/>
        </w:rPr>
      </w:pPr>
      <w:r>
        <w:rPr>
          <w:rFonts w:hint="eastAsia"/>
          <w:color w:val="auto"/>
          <w:szCs w:val="21"/>
          <w:highlight w:val="none"/>
        </w:rPr>
        <w:t>第一章  投标须知</w:t>
      </w:r>
    </w:p>
    <w:p>
      <w:pPr>
        <w:spacing w:line="360" w:lineRule="auto"/>
        <w:ind w:firstLine="420" w:firstLineChars="200"/>
        <w:rPr>
          <w:color w:val="auto"/>
          <w:szCs w:val="21"/>
          <w:highlight w:val="none"/>
        </w:rPr>
      </w:pPr>
      <w:r>
        <w:rPr>
          <w:rFonts w:hint="eastAsia"/>
          <w:color w:val="auto"/>
          <w:szCs w:val="21"/>
          <w:highlight w:val="none"/>
        </w:rPr>
        <w:t>第二章  开标、评标及定标办法</w:t>
      </w:r>
    </w:p>
    <w:p>
      <w:pPr>
        <w:spacing w:line="360" w:lineRule="auto"/>
        <w:ind w:firstLine="420" w:firstLineChars="200"/>
        <w:rPr>
          <w:color w:val="auto"/>
          <w:szCs w:val="21"/>
          <w:highlight w:val="none"/>
        </w:rPr>
      </w:pPr>
      <w:r>
        <w:rPr>
          <w:rFonts w:hint="eastAsia"/>
          <w:color w:val="auto"/>
          <w:szCs w:val="21"/>
          <w:highlight w:val="none"/>
        </w:rPr>
        <w:t>第三章  合同条款</w:t>
      </w:r>
    </w:p>
    <w:p>
      <w:pPr>
        <w:spacing w:line="360" w:lineRule="auto"/>
        <w:ind w:firstLine="420" w:firstLineChars="200"/>
        <w:rPr>
          <w:color w:val="auto"/>
          <w:szCs w:val="21"/>
          <w:highlight w:val="none"/>
        </w:rPr>
      </w:pPr>
      <w:r>
        <w:rPr>
          <w:rFonts w:hint="eastAsia"/>
          <w:color w:val="auto"/>
          <w:szCs w:val="21"/>
          <w:highlight w:val="none"/>
        </w:rPr>
        <w:t>第四章  投标文件格式</w:t>
      </w:r>
    </w:p>
    <w:p>
      <w:pPr>
        <w:spacing w:line="360" w:lineRule="auto"/>
        <w:ind w:firstLine="420" w:firstLineChars="200"/>
        <w:rPr>
          <w:color w:val="auto"/>
          <w:szCs w:val="21"/>
          <w:highlight w:val="none"/>
        </w:rPr>
      </w:pPr>
      <w:r>
        <w:rPr>
          <w:rFonts w:hint="eastAsia"/>
          <w:color w:val="auto"/>
          <w:szCs w:val="21"/>
          <w:highlight w:val="none"/>
        </w:rPr>
        <w:t>第五章  技术条件（工程建设标准）（另册）</w:t>
      </w:r>
    </w:p>
    <w:p>
      <w:pPr>
        <w:spacing w:line="360" w:lineRule="auto"/>
        <w:ind w:firstLine="420" w:firstLineChars="200"/>
        <w:rPr>
          <w:color w:val="auto"/>
          <w:szCs w:val="21"/>
          <w:highlight w:val="none"/>
        </w:rPr>
      </w:pPr>
      <w:r>
        <w:rPr>
          <w:rFonts w:hint="eastAsia"/>
          <w:color w:val="auto"/>
          <w:szCs w:val="21"/>
          <w:highlight w:val="none"/>
        </w:rPr>
        <w:t>第六章  图纸及勘察资料</w:t>
      </w:r>
      <w:bookmarkStart w:id="3" w:name="_Hlk48663595"/>
      <w:r>
        <w:rPr>
          <w:rFonts w:hint="eastAsia"/>
          <w:color w:val="auto"/>
          <w:szCs w:val="21"/>
          <w:highlight w:val="none"/>
        </w:rPr>
        <w:t>（另册）</w:t>
      </w:r>
      <w:bookmarkEnd w:id="3"/>
    </w:p>
    <w:p>
      <w:pPr>
        <w:spacing w:line="360" w:lineRule="auto"/>
        <w:ind w:firstLine="420" w:firstLineChars="200"/>
        <w:rPr>
          <w:color w:val="auto"/>
          <w:szCs w:val="21"/>
          <w:highlight w:val="none"/>
        </w:rPr>
      </w:pPr>
      <w:r>
        <w:rPr>
          <w:rFonts w:hint="eastAsia"/>
          <w:color w:val="auto"/>
          <w:szCs w:val="21"/>
          <w:highlight w:val="none"/>
        </w:rPr>
        <w:t>第七章  招标工程量清单（另册）</w:t>
      </w:r>
    </w:p>
    <w:p>
      <w:pPr>
        <w:spacing w:line="360" w:lineRule="auto"/>
        <w:ind w:firstLine="420" w:firstLineChars="200"/>
        <w:rPr>
          <w:rFonts w:hint="eastAsia"/>
          <w:color w:val="auto"/>
          <w:szCs w:val="21"/>
          <w:highlight w:val="none"/>
        </w:rPr>
      </w:pPr>
      <w:r>
        <w:rPr>
          <w:rFonts w:hint="eastAsia"/>
          <w:color w:val="auto"/>
          <w:szCs w:val="21"/>
          <w:highlight w:val="none"/>
        </w:rPr>
        <w:t>第八章  最高投标限价</w:t>
      </w:r>
    </w:p>
    <w:p>
      <w:pPr>
        <w:spacing w:line="360" w:lineRule="auto"/>
        <w:ind w:firstLine="420" w:firstLineChars="200"/>
        <w:rPr>
          <w:color w:val="auto"/>
          <w:szCs w:val="21"/>
          <w:highlight w:val="none"/>
        </w:rPr>
      </w:pPr>
      <w:r>
        <w:rPr>
          <w:rFonts w:hint="eastAsia"/>
          <w:highlight w:val="none"/>
        </w:rPr>
        <w:t>注：招标人应在技术条件（工程建设标准）中明确施工现场建筑垃圾源头减量的具体要求和建筑垃圾综合利用产品的使用要求。</w:t>
      </w:r>
    </w:p>
    <w:p>
      <w:pPr>
        <w:pBdr>
          <w:bottom w:val="single" w:color="auto" w:sz="6" w:space="1"/>
        </w:pBdr>
        <w:spacing w:line="360" w:lineRule="auto"/>
        <w:ind w:firstLine="470" w:firstLineChars="224"/>
        <w:rPr>
          <w:color w:val="auto"/>
          <w:szCs w:val="21"/>
          <w:highlight w:val="none"/>
          <w:u w:val="single"/>
        </w:rPr>
      </w:pPr>
      <w:r>
        <w:rPr>
          <w:rFonts w:hint="eastAsia"/>
          <w:b/>
          <w:color w:val="auto"/>
          <w:szCs w:val="21"/>
          <w:highlight w:val="none"/>
        </w:rPr>
        <w:t>现文：</w:t>
      </w:r>
      <w:r>
        <w:rPr>
          <w:b/>
          <w:color w:val="auto"/>
          <w:szCs w:val="21"/>
          <w:highlight w:val="none"/>
        </w:rPr>
        <w:t>7.1</w:t>
      </w:r>
      <w:r>
        <w:rPr>
          <w:rFonts w:hint="eastAsia"/>
          <w:color w:val="auto"/>
          <w:szCs w:val="21"/>
          <w:highlight w:val="none"/>
        </w:rPr>
        <w:t>本招标文件包括下列文件，以及所有按本须知第8条发出的</w:t>
      </w:r>
      <w:r>
        <w:rPr>
          <w:rFonts w:hint="eastAsia" w:ascii="宋体" w:hAnsi="宋体" w:cs="宋体"/>
          <w:color w:val="auto"/>
          <w:szCs w:val="21"/>
          <w:highlight w:val="none"/>
          <w:u w:val="single"/>
        </w:rPr>
        <w:t>招标答疑纪要</w:t>
      </w:r>
      <w:r>
        <w:rPr>
          <w:rFonts w:hint="eastAsia"/>
          <w:color w:val="auto"/>
          <w:szCs w:val="21"/>
          <w:highlight w:val="none"/>
        </w:rPr>
        <w:t>和按本须知第9条发出的澄清或修改：</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第一章  投标须知</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第二章  开标、评标及定标办法</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第三章  合同条款</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第四章  投标文件格式</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第五章  技术条件（工程建设标准）</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第六章  图纸及勘察资料（另册）</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第七章  招标工程量清单（另册）</w:t>
      </w:r>
    </w:p>
    <w:p>
      <w:pPr>
        <w:pBdr>
          <w:bottom w:val="single" w:color="auto" w:sz="6" w:space="1"/>
        </w:pBdr>
        <w:spacing w:line="360" w:lineRule="auto"/>
        <w:ind w:firstLine="470" w:firstLineChars="224"/>
        <w:rPr>
          <w:rFonts w:hint="eastAsia"/>
          <w:color w:val="auto"/>
          <w:szCs w:val="21"/>
          <w:highlight w:val="none"/>
          <w:u w:val="single"/>
        </w:rPr>
      </w:pPr>
      <w:r>
        <w:rPr>
          <w:rFonts w:hint="eastAsia"/>
          <w:color w:val="auto"/>
          <w:szCs w:val="21"/>
          <w:highlight w:val="none"/>
          <w:u w:val="single"/>
        </w:rPr>
        <w:t>第八章  最高投标限价（另册）</w:t>
      </w:r>
    </w:p>
    <w:p>
      <w:pPr>
        <w:pBdr>
          <w:bottom w:val="single" w:color="auto" w:sz="6" w:space="1"/>
        </w:pBdr>
        <w:spacing w:line="360" w:lineRule="auto"/>
        <w:ind w:firstLine="470" w:firstLineChars="224"/>
        <w:rPr>
          <w:b/>
          <w:color w:val="auto"/>
          <w:szCs w:val="21"/>
          <w:highlight w:val="none"/>
        </w:rPr>
      </w:pPr>
      <w:r>
        <w:rPr>
          <w:rFonts w:hint="eastAsia"/>
          <w:highlight w:val="none"/>
        </w:rPr>
        <w:t>注：招标人应在技术条件（工程建设标准）中明确施工现场建筑垃圾源头减量的具体要求和建筑垃圾综合利用产品的使用要求。</w:t>
      </w:r>
    </w:p>
    <w:p>
      <w:pPr>
        <w:spacing w:line="360" w:lineRule="auto"/>
        <w:ind w:firstLine="420" w:firstLineChars="200"/>
        <w:rPr>
          <w:b/>
          <w:color w:val="auto"/>
          <w:szCs w:val="21"/>
          <w:highlight w:val="none"/>
        </w:rPr>
      </w:pPr>
      <w:r>
        <w:rPr>
          <w:rFonts w:hint="eastAsia"/>
          <w:b/>
          <w:color w:val="auto"/>
          <w:szCs w:val="21"/>
          <w:highlight w:val="none"/>
        </w:rPr>
        <w:t>条款号：8.1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投标人若对招标文件（包括招标图纸）中有疑问，可以书面形式通过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交易平台提交给招标人或招标代理人，提交形式见本须知前附表第16项。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color w:val="auto"/>
          <w:szCs w:val="21"/>
          <w:highlight w:val="none"/>
          <w:u w:val="single"/>
        </w:rPr>
        <w:t>(</w:t>
      </w:r>
      <w:r>
        <w:rPr>
          <w:rFonts w:hint="eastAsia"/>
          <w:color w:val="auto"/>
          <w:szCs w:val="21"/>
          <w:highlight w:val="none"/>
          <w:u w:val="single"/>
        </w:rPr>
        <w:t>提问一律不得署名</w:t>
      </w:r>
      <w:r>
        <w:rPr>
          <w:color w:val="auto"/>
          <w:szCs w:val="21"/>
          <w:highlight w:val="none"/>
          <w:u w:val="single"/>
        </w:rPr>
        <w:t>)</w:t>
      </w:r>
      <w:r>
        <w:rPr>
          <w:rFonts w:hint="eastAsia"/>
          <w:color w:val="auto"/>
          <w:szCs w:val="21"/>
          <w:highlight w:val="none"/>
          <w:u w:val="singl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 “项目答疑纪要”专区公开发布。答疑纪要一经在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交易平台发布，视作已发放给所有投标人。</w:t>
      </w:r>
    </w:p>
    <w:p>
      <w:pPr>
        <w:pBdr>
          <w:bottom w:val="single" w:color="auto" w:sz="6" w:space="1"/>
        </w:pBdr>
        <w:spacing w:line="360" w:lineRule="auto"/>
        <w:ind w:firstLine="470" w:firstLineChars="224"/>
        <w:rPr>
          <w:b/>
          <w:color w:val="auto"/>
          <w:szCs w:val="21"/>
          <w:highlight w:val="none"/>
        </w:rPr>
      </w:pPr>
      <w:r>
        <w:rPr>
          <w:rFonts w:hint="eastAsia" w:ascii="宋体" w:hAnsi="宋体" w:cs="宋体"/>
          <w:b/>
          <w:color w:val="auto"/>
          <w:szCs w:val="21"/>
          <w:highlight w:val="none"/>
        </w:rPr>
        <w:t>现文：8.2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交易平台</w:t>
      </w:r>
      <w:r>
        <w:rPr>
          <w:rFonts w:hint="eastAsia" w:ascii="宋体" w:hAnsi="宋体" w:cs="宋体"/>
          <w:bCs/>
          <w:color w:val="auto"/>
          <w:szCs w:val="21"/>
          <w:highlight w:val="none"/>
          <w:u w:val="single"/>
        </w:rPr>
        <w:t>“</w:t>
      </w:r>
      <w:bookmarkStart w:id="4" w:name="_Hlk62738754"/>
      <w:r>
        <w:rPr>
          <w:rFonts w:hint="eastAsia" w:ascii="宋体" w:hAnsi="宋体" w:cs="宋体"/>
          <w:bCs/>
          <w:color w:val="auto"/>
          <w:szCs w:val="21"/>
          <w:highlight w:val="none"/>
          <w:u w:val="single"/>
        </w:rPr>
        <w:t>项目查询（日程安排、答疑纪要）</w:t>
      </w:r>
      <w:bookmarkEnd w:id="4"/>
      <w:r>
        <w:rPr>
          <w:rFonts w:hint="eastAsia" w:ascii="宋体" w:hAnsi="宋体" w:cs="宋体"/>
          <w:bCs/>
          <w:color w:val="auto"/>
          <w:szCs w:val="21"/>
          <w:highlight w:val="none"/>
          <w:u w:val="single"/>
        </w:rPr>
        <w:t>”</w:t>
      </w:r>
      <w:r>
        <w:rPr>
          <w:rFonts w:hint="eastAsia" w:ascii="宋体" w:hAnsi="宋体" w:cs="宋体"/>
          <w:bCs/>
          <w:color w:val="auto"/>
          <w:szCs w:val="21"/>
          <w:highlight w:val="none"/>
        </w:rPr>
        <w:t>专区公开发布。答疑纪要一经在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发布，视作已发放给所有投标人。</w:t>
      </w:r>
    </w:p>
    <w:p>
      <w:pPr>
        <w:pStyle w:val="5"/>
        <w:spacing w:after="0" w:line="400" w:lineRule="exact"/>
        <w:ind w:firstLine="420" w:firstLineChars="200"/>
        <w:rPr>
          <w:rFonts w:ascii="宋体" w:hAnsi="宋体" w:cs="宋体"/>
          <w:b/>
          <w:color w:val="auto"/>
          <w:szCs w:val="21"/>
          <w:highlight w:val="none"/>
        </w:rPr>
      </w:pPr>
      <w:bookmarkStart w:id="5" w:name="_Hlk61366684"/>
      <w:r>
        <w:rPr>
          <w:rFonts w:hint="eastAsia" w:ascii="宋体" w:hAnsi="宋体" w:eastAsia="宋体" w:cs="宋体"/>
          <w:b/>
          <w:color w:val="auto"/>
          <w:szCs w:val="21"/>
          <w:highlight w:val="none"/>
        </w:rPr>
        <w:t>条款号：8.</w:t>
      </w:r>
      <w:r>
        <w:rPr>
          <w:rFonts w:ascii="宋体" w:hAnsi="宋体" w:eastAsia="宋体" w:cs="宋体"/>
          <w:b/>
          <w:color w:val="auto"/>
          <w:szCs w:val="21"/>
          <w:highlight w:val="none"/>
        </w:rPr>
        <w:t>3</w:t>
      </w:r>
      <w:r>
        <w:rPr>
          <w:rFonts w:hint="eastAsia" w:ascii="宋体" w:hAnsi="宋体" w:eastAsia="宋体" w:cs="宋体"/>
          <w:b/>
          <w:color w:val="auto"/>
          <w:szCs w:val="21"/>
          <w:highlight w:val="none"/>
        </w:rPr>
        <w:t xml:space="preserve">              修改类型：修改</w:t>
      </w:r>
    </w:p>
    <w:p>
      <w:pPr>
        <w:pStyle w:val="5"/>
        <w:spacing w:after="0" w:line="400" w:lineRule="exact"/>
        <w:ind w:firstLine="420"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8.</w:t>
      </w:r>
      <w:r>
        <w:rPr>
          <w:rFonts w:ascii="宋体" w:hAnsi="宋体" w:eastAsia="宋体" w:cs="宋体"/>
          <w:b/>
          <w:color w:val="auto"/>
          <w:szCs w:val="21"/>
          <w:highlight w:val="none"/>
        </w:rPr>
        <w:t>3</w:t>
      </w:r>
      <w:r>
        <w:rPr>
          <w:rFonts w:hint="eastAsia" w:ascii="宋体" w:hAnsi="宋体" w:eastAsia="宋体" w:cs="宋体"/>
          <w:bCs/>
          <w:color w:val="auto"/>
          <w:szCs w:val="21"/>
          <w:highlight w:val="none"/>
        </w:rPr>
        <w:t>答疑会会议纪要为招标文件的一部分。</w:t>
      </w:r>
    </w:p>
    <w:p>
      <w:pPr>
        <w:pBdr>
          <w:bottom w:val="single" w:color="auto" w:sz="6" w:space="1"/>
        </w:pBdr>
        <w:spacing w:line="360" w:lineRule="auto"/>
        <w:ind w:firstLine="422" w:firstLineChars="201"/>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w:t>
      </w:r>
      <w:r>
        <w:rPr>
          <w:rFonts w:ascii="宋体" w:hAnsi="宋体" w:cs="宋体"/>
          <w:b/>
          <w:color w:val="auto"/>
          <w:kern w:val="0"/>
          <w:szCs w:val="21"/>
          <w:highlight w:val="none"/>
        </w:rPr>
        <w:t>3</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条款号：8.4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bookmarkEnd w:id="5"/>
    </w:p>
    <w:p>
      <w:pPr>
        <w:pStyle w:val="5"/>
        <w:spacing w:after="0" w:line="400" w:lineRule="exact"/>
        <w:ind w:firstLine="420"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原文：8.4</w:t>
      </w:r>
      <w:r>
        <w:rPr>
          <w:rFonts w:hint="eastAsia" w:ascii="宋体" w:hAnsi="宋体" w:eastAsia="宋体" w:cs="宋体"/>
          <w:bCs/>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8.4</w:t>
      </w:r>
      <w:r>
        <w:rPr>
          <w:rFonts w:hint="eastAsia" w:ascii="宋体" w:hAnsi="宋体" w:cs="宋体"/>
          <w:color w:val="auto"/>
          <w:szCs w:val="21"/>
          <w:highlight w:val="none"/>
        </w:rPr>
        <w:t>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Style w:val="5"/>
        <w:spacing w:after="0" w:line="360" w:lineRule="auto"/>
        <w:rPr>
          <w:rFonts w:ascii="宋体" w:hAnsi="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cs="宋体"/>
          <w:b/>
          <w:bCs/>
          <w:color w:val="auto"/>
          <w:szCs w:val="21"/>
          <w:highlight w:val="none"/>
        </w:rPr>
        <w:t>9.2</w:t>
      </w:r>
      <w:r>
        <w:rPr>
          <w:rFonts w:hint="eastAsia" w:ascii="宋体" w:hAnsi="宋体" w:eastAsia="宋体" w:cs="宋体"/>
          <w:bCs/>
          <w:color w:val="auto"/>
          <w:szCs w:val="21"/>
          <w:highlight w:val="none"/>
        </w:rPr>
        <w:t>招标文件的澄清或修改将在</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交易平台上网发布时间作为送达时间。</w:t>
      </w:r>
    </w:p>
    <w:p>
      <w:pPr>
        <w:spacing w:line="360" w:lineRule="auto"/>
        <w:ind w:firstLine="210" w:firstLineChars="100"/>
        <w:rPr>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交易平台上网发布时间作为送达时间。</w:t>
      </w:r>
    </w:p>
    <w:p>
      <w:pPr>
        <w:pBdr>
          <w:bottom w:val="single" w:color="auto" w:sz="6" w:space="0"/>
        </w:pBdr>
        <w:spacing w:line="360" w:lineRule="auto"/>
        <w:rPr>
          <w:color w:val="auto"/>
          <w:highlight w:val="none"/>
        </w:rPr>
      </w:pP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9.4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w:t>
      </w:r>
      <w:r>
        <w:rPr>
          <w:rFonts w:hint="eastAsia" w:ascii="宋体" w:hAnsi="宋体" w:cs="宋体"/>
          <w:color w:val="auto"/>
          <w:szCs w:val="21"/>
          <w:highlight w:val="none"/>
          <w:u w:val="single"/>
        </w:rPr>
        <w:t>在广州公共资源交易中心网站“项目查询（日程安排、答疑纪要）”专区公开发布。</w:t>
      </w:r>
      <w:r>
        <w:rPr>
          <w:rFonts w:hint="eastAsia" w:ascii="宋体" w:hAnsi="宋体" w:cs="宋体"/>
          <w:color w:val="auto"/>
          <w:szCs w:val="21"/>
          <w:highlight w:val="none"/>
        </w:rPr>
        <w:t>当招标文件的澄清、修改、补充等在同一内容的表述不一致时，以最后发出的文件为准。</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（9）拟委派项目负责人的建造师注册证书（取自平台内上传件）； </w:t>
      </w:r>
    </w:p>
    <w:p>
      <w:pPr>
        <w:spacing w:line="360" w:lineRule="auto"/>
        <w:ind w:firstLine="470" w:firstLineChars="224"/>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r>
        <w:rPr>
          <w:rFonts w:hint="eastAsia" w:ascii="宋体" w:hAnsi="宋体" w:cs="宋体"/>
          <w:bCs/>
          <w:color w:val="auto"/>
          <w:szCs w:val="21"/>
          <w:highlight w:val="none"/>
          <w:lang w:eastAsia="zh-CN"/>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（13）资格审查前，投标人须在</w:t>
      </w:r>
      <w:r>
        <w:rPr>
          <w:rFonts w:hint="eastAsia" w:ascii="宋体" w:hAnsi="宋体" w:cs="宋体"/>
          <w:bCs/>
          <w:color w:val="auto"/>
          <w:szCs w:val="21"/>
          <w:highlight w:val="none"/>
          <w:lang w:eastAsia="zh-CN"/>
        </w:rPr>
        <w:t>广州市住房和城乡建设局建立企业信用档案</w:t>
      </w:r>
      <w:r>
        <w:rPr>
          <w:rFonts w:hint="eastAsia" w:ascii="宋体" w:hAnsi="宋体" w:cs="宋体"/>
          <w:bCs/>
          <w:color w:val="auto"/>
          <w:szCs w:val="21"/>
          <w:highlight w:val="none"/>
        </w:rPr>
        <w:t>，拟担任本工程项目负责人、专职安全员须是本企业信用档案中的在册人员。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11.2.3项目管理机构配备。</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（3）其他辅助说明资料。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11.2技术标投标文件主要包括下列内容:</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 xml:space="preserve">11.2.1 </w:t>
      </w:r>
      <w:bookmarkStart w:id="6" w:name="_Hlk47945758"/>
      <w:r>
        <w:rPr>
          <w:rFonts w:hint="eastAsia" w:ascii="宋体" w:hAnsi="宋体" w:cs="宋体"/>
          <w:bCs/>
          <w:color w:val="auto"/>
          <w:szCs w:val="21"/>
          <w:highlight w:val="none"/>
          <w:u w:val="single"/>
        </w:rPr>
        <w:t>技术标投标文件封面、广州建设工程施工招标投标书(格式按招标文件要求)</w:t>
      </w:r>
      <w:bookmarkEnd w:id="6"/>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经投标人盖章的法定代表人证明书、投标人盖章及法定代表人签字或盖章的本投标文件授权委托证明书；</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，具体要求详见招标公告（扫描件或</w:t>
      </w:r>
      <w:r>
        <w:rPr>
          <w:rFonts w:hint="eastAsia" w:ascii="宋体" w:hAnsi="宋体" w:cs="宋体"/>
          <w:bCs/>
          <w:color w:val="auto"/>
          <w:szCs w:val="21"/>
          <w:highlight w:val="none"/>
          <w:u w:val="single"/>
          <w:lang w:eastAsia="zh-CN"/>
        </w:rPr>
        <w:t>取自平台内上传件</w:t>
      </w:r>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（9）拟委派项目负责人的建造师证书</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 xml:space="preserve">）；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（11）专职安全员须具有在有效期内的安全生产考核合格证（C类）或建筑施工企业专职安全生产管理人员安全生产考核合格证书（C3）（取自平台内上传件）；</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）资格审查前，投标人须在</w:t>
      </w:r>
      <w:r>
        <w:rPr>
          <w:rFonts w:hint="eastAsia" w:ascii="宋体" w:hAnsi="宋体" w:cs="宋体"/>
          <w:bCs/>
          <w:color w:val="auto"/>
          <w:szCs w:val="21"/>
          <w:highlight w:val="none"/>
          <w:u w:val="single"/>
          <w:lang w:eastAsia="zh-CN"/>
        </w:rPr>
        <w:t>广州市住房和城乡建设局建立企业信用档案</w:t>
      </w:r>
      <w:r>
        <w:rPr>
          <w:rFonts w:hint="eastAsia" w:ascii="宋体" w:hAnsi="宋体" w:cs="宋体"/>
          <w:bCs/>
          <w:color w:val="auto"/>
          <w:szCs w:val="21"/>
          <w:highlight w:val="none"/>
          <w:u w:val="single"/>
        </w:rPr>
        <w:t>，拟担任本工程项目负责人、专职安全员须是本企业信用档案中的在册人员。</w:t>
      </w:r>
    </w:p>
    <w:p>
      <w:pPr>
        <w:pBdr>
          <w:bottom w:val="single" w:color="auto" w:sz="6" w:space="1"/>
        </w:pBdr>
        <w:spacing w:line="360" w:lineRule="auto"/>
        <w:ind w:firstLine="525" w:firstLineChars="250"/>
        <w:rPr>
          <w:rFonts w:ascii="宋体" w:hAnsi="宋体" w:cs="宋体"/>
          <w:bCs/>
          <w:strike/>
          <w:color w:val="auto"/>
          <w:szCs w:val="21"/>
          <w:highlight w:val="none"/>
          <w:u w:val="single"/>
        </w:rPr>
      </w:pPr>
      <w:r>
        <w:rPr>
          <w:rFonts w:hint="eastAsia" w:ascii="宋体" w:hAnsi="宋体" w:cs="宋体"/>
          <w:bCs/>
          <w:strike/>
          <w:color w:val="auto"/>
          <w:szCs w:val="21"/>
          <w:highlight w:val="none"/>
          <w:u w:val="single"/>
        </w:rPr>
        <w:t>（1</w:t>
      </w:r>
      <w:r>
        <w:rPr>
          <w:rFonts w:ascii="宋体" w:hAnsi="宋体" w:cs="宋体"/>
          <w:bCs/>
          <w:strike/>
          <w:color w:val="auto"/>
          <w:szCs w:val="21"/>
          <w:highlight w:val="none"/>
          <w:u w:val="single"/>
        </w:rPr>
        <w:t>3</w:t>
      </w:r>
      <w:r>
        <w:rPr>
          <w:rFonts w:hint="eastAsia" w:ascii="宋体" w:hAnsi="宋体" w:cs="宋体"/>
          <w:bCs/>
          <w:strike/>
          <w:color w:val="auto"/>
          <w:szCs w:val="21"/>
          <w:highlight w:val="none"/>
          <w:u w:val="single"/>
        </w:rPr>
        <w:t xml:space="preserve">）列明主办单位的联合体工作协议（采用联合体投标时需递交，投标人拟任本工程项目负责人应为联合体主办方诚信档案中的在册人员，联合体工作协议应明确约定各方拟承担的工作和责任）； </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11.2.3 技术评审资料；</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 xml:space="preserve"> 人员投入承诺书(格式按招标文件要求)；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 xml:space="preserve"> 投标人廉洁承诺书(格式按招标文件要求)；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6</w:t>
      </w:r>
      <w:r>
        <w:rPr>
          <w:rFonts w:hint="eastAsia" w:ascii="宋体" w:hAnsi="宋体" w:cs="宋体"/>
          <w:bCs/>
          <w:color w:val="auto"/>
          <w:szCs w:val="21"/>
          <w:highlight w:val="none"/>
          <w:u w:val="single"/>
        </w:rPr>
        <w:t xml:space="preserve"> 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7</w:t>
      </w:r>
      <w:r>
        <w:rPr>
          <w:rFonts w:hint="eastAsia" w:ascii="宋体" w:hAnsi="宋体" w:cs="宋体"/>
          <w:bCs/>
          <w:color w:val="auto"/>
          <w:szCs w:val="21"/>
          <w:highlight w:val="none"/>
          <w:u w:val="single"/>
        </w:rPr>
        <w:t xml:space="preserve"> 投标函(格式按招标文件要求)；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8</w:t>
      </w:r>
      <w:r>
        <w:rPr>
          <w:rFonts w:hint="eastAsia" w:ascii="宋体" w:hAnsi="宋体" w:cs="宋体"/>
          <w:bCs/>
          <w:color w:val="auto"/>
          <w:szCs w:val="21"/>
          <w:highlight w:val="none"/>
          <w:u w:val="single"/>
        </w:rPr>
        <w:t xml:space="preserve"> 施工项目管理团队人员信息表(格式按招标文件要求)；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 xml:space="preserve"> 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11.2.1</w:t>
      </w:r>
      <w:r>
        <w:rPr>
          <w:rFonts w:ascii="宋体" w:hAnsi="宋体" w:cs="宋体"/>
          <w:bCs/>
          <w:color w:val="auto"/>
          <w:szCs w:val="21"/>
          <w:highlight w:val="none"/>
          <w:u w:val="single"/>
        </w:rPr>
        <w:t>0</w:t>
      </w:r>
      <w:r>
        <w:rPr>
          <w:rFonts w:hint="eastAsia" w:ascii="宋体" w:hAnsi="宋体" w:cs="宋体"/>
          <w:bCs/>
          <w:color w:val="auto"/>
          <w:szCs w:val="21"/>
          <w:highlight w:val="none"/>
          <w:u w:val="single"/>
        </w:rPr>
        <w:t>投标人认为应该提供的其他资料。</w:t>
      </w:r>
    </w:p>
    <w:p>
      <w:pPr>
        <w:spacing w:line="360" w:lineRule="auto"/>
        <w:ind w:firstLine="420" w:firstLineChars="200"/>
        <w:rPr>
          <w:b/>
          <w:color w:val="auto"/>
          <w:szCs w:val="21"/>
          <w:highlight w:val="none"/>
        </w:rPr>
      </w:pPr>
      <w:r>
        <w:rPr>
          <w:rFonts w:hint="eastAsia"/>
          <w:b/>
          <w:color w:val="auto"/>
          <w:szCs w:val="21"/>
          <w:highlight w:val="none"/>
        </w:rPr>
        <w:t>条款号：11.3</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11.3 经济部分投标文件主要包括下列内容：</w:t>
      </w:r>
    </w:p>
    <w:p>
      <w:pPr>
        <w:spacing w:line="360" w:lineRule="auto"/>
        <w:ind w:firstLine="420" w:firstLineChars="200"/>
        <w:rPr>
          <w:color w:val="auto"/>
          <w:szCs w:val="21"/>
          <w:highlight w:val="none"/>
        </w:rPr>
      </w:pPr>
      <w:r>
        <w:rPr>
          <w:rFonts w:hint="eastAsia"/>
          <w:color w:val="auto"/>
          <w:szCs w:val="21"/>
          <w:highlight w:val="none"/>
        </w:rPr>
        <w:t>11.3.1 经济投标文件(按招标文件的要求填写)。</w:t>
      </w:r>
    </w:p>
    <w:p>
      <w:pPr>
        <w:spacing w:line="360" w:lineRule="auto"/>
        <w:ind w:firstLine="420" w:firstLineChars="200"/>
        <w:rPr>
          <w:color w:val="auto"/>
          <w:szCs w:val="21"/>
          <w:highlight w:val="none"/>
        </w:rPr>
      </w:pPr>
      <w:r>
        <w:rPr>
          <w:rFonts w:hint="eastAsia"/>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color w:val="auto"/>
          <w:szCs w:val="21"/>
          <w:highlight w:val="none"/>
        </w:rPr>
      </w:pPr>
      <w:r>
        <w:rPr>
          <w:rFonts w:hint="eastAsia"/>
          <w:color w:val="auto"/>
          <w:szCs w:val="21"/>
          <w:highlight w:val="none"/>
        </w:rPr>
        <w:t>（1）投标总价封面、扉页；</w:t>
      </w:r>
    </w:p>
    <w:p>
      <w:pPr>
        <w:spacing w:line="360" w:lineRule="auto"/>
        <w:ind w:firstLine="420" w:firstLineChars="200"/>
        <w:rPr>
          <w:color w:val="auto"/>
          <w:szCs w:val="21"/>
          <w:highlight w:val="none"/>
        </w:rPr>
      </w:pPr>
      <w:r>
        <w:rPr>
          <w:rFonts w:hint="eastAsia"/>
          <w:color w:val="auto"/>
          <w:szCs w:val="21"/>
          <w:highlight w:val="none"/>
        </w:rPr>
        <w:t>（2）总说明</w:t>
      </w:r>
    </w:p>
    <w:p>
      <w:pPr>
        <w:spacing w:line="360" w:lineRule="auto"/>
        <w:ind w:firstLine="420" w:firstLineChars="200"/>
        <w:rPr>
          <w:color w:val="auto"/>
          <w:szCs w:val="21"/>
          <w:highlight w:val="none"/>
        </w:rPr>
      </w:pPr>
      <w:r>
        <w:rPr>
          <w:rFonts w:hint="eastAsia"/>
          <w:color w:val="auto"/>
          <w:szCs w:val="21"/>
          <w:highlight w:val="none"/>
        </w:rPr>
        <w:t>（3）工程项目投标报价汇总表；</w:t>
      </w:r>
    </w:p>
    <w:p>
      <w:pPr>
        <w:spacing w:line="360" w:lineRule="auto"/>
        <w:ind w:firstLine="420" w:firstLineChars="200"/>
        <w:rPr>
          <w:color w:val="auto"/>
          <w:szCs w:val="21"/>
          <w:highlight w:val="none"/>
        </w:rPr>
      </w:pPr>
      <w:r>
        <w:rPr>
          <w:rFonts w:hint="eastAsia"/>
          <w:color w:val="auto"/>
          <w:szCs w:val="21"/>
          <w:highlight w:val="none"/>
        </w:rPr>
        <w:t>（4）单项工程投标报价汇总表；</w:t>
      </w:r>
    </w:p>
    <w:p>
      <w:pPr>
        <w:spacing w:line="360" w:lineRule="auto"/>
        <w:ind w:firstLine="420" w:firstLineChars="200"/>
        <w:rPr>
          <w:color w:val="auto"/>
          <w:szCs w:val="21"/>
          <w:highlight w:val="none"/>
        </w:rPr>
      </w:pPr>
      <w:r>
        <w:rPr>
          <w:rFonts w:hint="eastAsia"/>
          <w:color w:val="auto"/>
          <w:szCs w:val="21"/>
          <w:highlight w:val="none"/>
        </w:rPr>
        <w:t>（5）单位工程投标报价汇总表；</w:t>
      </w:r>
    </w:p>
    <w:p>
      <w:pPr>
        <w:spacing w:line="360" w:lineRule="auto"/>
        <w:ind w:firstLine="420" w:firstLineChars="200"/>
        <w:rPr>
          <w:color w:val="auto"/>
          <w:szCs w:val="21"/>
          <w:highlight w:val="none"/>
        </w:rPr>
      </w:pPr>
      <w:r>
        <w:rPr>
          <w:rFonts w:hint="eastAsia"/>
          <w:color w:val="auto"/>
          <w:szCs w:val="21"/>
          <w:highlight w:val="none"/>
        </w:rPr>
        <w:t>（6）分部分项工程清单与计价表；</w:t>
      </w:r>
    </w:p>
    <w:p>
      <w:pPr>
        <w:spacing w:line="360" w:lineRule="auto"/>
        <w:ind w:firstLine="420" w:firstLineChars="200"/>
        <w:rPr>
          <w:color w:val="auto"/>
          <w:szCs w:val="21"/>
          <w:highlight w:val="none"/>
        </w:rPr>
      </w:pPr>
      <w:r>
        <w:rPr>
          <w:rFonts w:hint="eastAsia"/>
          <w:color w:val="auto"/>
          <w:szCs w:val="21"/>
          <w:highlight w:val="none"/>
        </w:rPr>
        <w:t>（7）单价措施项目清单与计价表；</w:t>
      </w:r>
    </w:p>
    <w:p>
      <w:pPr>
        <w:spacing w:line="360" w:lineRule="auto"/>
        <w:ind w:firstLine="420" w:firstLineChars="200"/>
        <w:rPr>
          <w:color w:val="auto"/>
          <w:szCs w:val="21"/>
          <w:highlight w:val="none"/>
        </w:rPr>
      </w:pPr>
      <w:r>
        <w:rPr>
          <w:rFonts w:hint="eastAsia"/>
          <w:color w:val="auto"/>
          <w:szCs w:val="21"/>
          <w:highlight w:val="none"/>
        </w:rPr>
        <w:t>（8）总价措施项目清单与计价表；</w:t>
      </w:r>
    </w:p>
    <w:p>
      <w:pPr>
        <w:spacing w:line="360" w:lineRule="auto"/>
        <w:ind w:firstLine="420" w:firstLineChars="200"/>
        <w:rPr>
          <w:color w:val="auto"/>
          <w:szCs w:val="21"/>
          <w:highlight w:val="none"/>
        </w:rPr>
      </w:pPr>
      <w:r>
        <w:rPr>
          <w:rFonts w:hint="eastAsia"/>
          <w:color w:val="auto"/>
          <w:szCs w:val="21"/>
          <w:highlight w:val="none"/>
        </w:rPr>
        <w:t>（9）综合单价分析表；</w:t>
      </w:r>
    </w:p>
    <w:p>
      <w:pPr>
        <w:spacing w:line="360" w:lineRule="auto"/>
        <w:ind w:firstLine="420" w:firstLineChars="200"/>
        <w:rPr>
          <w:color w:val="auto"/>
          <w:szCs w:val="21"/>
          <w:highlight w:val="none"/>
        </w:rPr>
      </w:pPr>
      <w:r>
        <w:rPr>
          <w:rFonts w:hint="eastAsia"/>
          <w:color w:val="auto"/>
          <w:szCs w:val="21"/>
          <w:highlight w:val="none"/>
        </w:rPr>
        <w:t>（10）其他项目清单与计价汇总表；</w:t>
      </w:r>
    </w:p>
    <w:p>
      <w:pPr>
        <w:spacing w:line="360" w:lineRule="auto"/>
        <w:ind w:firstLine="420" w:firstLineChars="200"/>
        <w:rPr>
          <w:color w:val="auto"/>
          <w:szCs w:val="21"/>
          <w:highlight w:val="none"/>
        </w:rPr>
      </w:pPr>
      <w:r>
        <w:rPr>
          <w:rFonts w:hint="eastAsia"/>
          <w:color w:val="auto"/>
          <w:szCs w:val="21"/>
          <w:highlight w:val="none"/>
        </w:rPr>
        <w:t>（11）暂列金额明细表；</w:t>
      </w:r>
    </w:p>
    <w:p>
      <w:pPr>
        <w:spacing w:line="360" w:lineRule="auto"/>
        <w:ind w:firstLine="420" w:firstLineChars="200"/>
        <w:rPr>
          <w:color w:val="auto"/>
          <w:szCs w:val="21"/>
          <w:highlight w:val="none"/>
        </w:rPr>
      </w:pPr>
      <w:r>
        <w:rPr>
          <w:rFonts w:hint="eastAsia"/>
          <w:color w:val="auto"/>
          <w:szCs w:val="21"/>
          <w:highlight w:val="none"/>
        </w:rPr>
        <w:t>（12）材料（工程设备）暂估价明细表；</w:t>
      </w:r>
    </w:p>
    <w:p>
      <w:pPr>
        <w:spacing w:line="360" w:lineRule="auto"/>
        <w:ind w:firstLine="420" w:firstLineChars="200"/>
        <w:rPr>
          <w:color w:val="auto"/>
          <w:szCs w:val="21"/>
          <w:highlight w:val="none"/>
        </w:rPr>
      </w:pPr>
      <w:r>
        <w:rPr>
          <w:rFonts w:hint="eastAsia"/>
          <w:color w:val="auto"/>
          <w:szCs w:val="21"/>
          <w:highlight w:val="none"/>
        </w:rPr>
        <w:t>（13）专业工程暂估价明细表；</w:t>
      </w:r>
    </w:p>
    <w:p>
      <w:pPr>
        <w:spacing w:line="360" w:lineRule="auto"/>
        <w:ind w:firstLine="420" w:firstLineChars="200"/>
        <w:rPr>
          <w:color w:val="auto"/>
          <w:szCs w:val="21"/>
          <w:highlight w:val="none"/>
        </w:rPr>
      </w:pPr>
      <w:r>
        <w:rPr>
          <w:rFonts w:hint="eastAsia"/>
          <w:color w:val="auto"/>
          <w:szCs w:val="21"/>
          <w:highlight w:val="none"/>
        </w:rPr>
        <w:t>（14）计日工表；</w:t>
      </w:r>
    </w:p>
    <w:p>
      <w:pPr>
        <w:spacing w:line="360" w:lineRule="auto"/>
        <w:ind w:firstLine="420" w:firstLineChars="200"/>
        <w:rPr>
          <w:color w:val="auto"/>
          <w:szCs w:val="21"/>
          <w:highlight w:val="none"/>
        </w:rPr>
      </w:pPr>
      <w:r>
        <w:rPr>
          <w:rFonts w:hint="eastAsia"/>
          <w:color w:val="auto"/>
          <w:szCs w:val="21"/>
          <w:highlight w:val="none"/>
        </w:rPr>
        <w:t>（15）总承包服务计价表；</w:t>
      </w:r>
    </w:p>
    <w:p>
      <w:pPr>
        <w:spacing w:line="360" w:lineRule="auto"/>
        <w:ind w:firstLine="420" w:firstLineChars="200"/>
        <w:rPr>
          <w:color w:val="auto"/>
          <w:szCs w:val="21"/>
          <w:highlight w:val="none"/>
        </w:rPr>
      </w:pPr>
      <w:r>
        <w:rPr>
          <w:rFonts w:hint="eastAsia"/>
          <w:color w:val="auto"/>
          <w:szCs w:val="21"/>
          <w:highlight w:val="none"/>
        </w:rPr>
        <w:t>（16）规费和税金项目计价表；</w:t>
      </w:r>
    </w:p>
    <w:p>
      <w:pPr>
        <w:spacing w:line="360" w:lineRule="auto"/>
        <w:ind w:firstLine="420" w:firstLineChars="200"/>
        <w:rPr>
          <w:color w:val="auto"/>
          <w:szCs w:val="21"/>
          <w:highlight w:val="none"/>
        </w:rPr>
      </w:pPr>
      <w:r>
        <w:rPr>
          <w:rFonts w:hint="eastAsia"/>
          <w:color w:val="auto"/>
          <w:szCs w:val="21"/>
          <w:highlight w:val="none"/>
        </w:rPr>
        <w:t>（17）人工、主要材料和设备一览表</w:t>
      </w:r>
    </w:p>
    <w:p>
      <w:pPr>
        <w:spacing w:line="360" w:lineRule="auto"/>
        <w:ind w:firstLine="420" w:firstLineChars="200"/>
        <w:rPr>
          <w:color w:val="auto"/>
          <w:szCs w:val="21"/>
          <w:highlight w:val="none"/>
        </w:rPr>
      </w:pPr>
      <w:r>
        <w:rPr>
          <w:rFonts w:hint="eastAsia"/>
          <w:color w:val="auto"/>
          <w:szCs w:val="21"/>
          <w:highlight w:val="none"/>
        </w:rPr>
        <w:t>11.3.3按照招标文件要求填写的《参与编制经济标投标文件人员名单》。</w:t>
      </w:r>
    </w:p>
    <w:p>
      <w:pPr>
        <w:spacing w:line="360" w:lineRule="auto"/>
        <w:ind w:firstLine="420" w:firstLineChars="200"/>
        <w:rPr>
          <w:color w:val="auto"/>
          <w:szCs w:val="21"/>
          <w:highlight w:val="none"/>
        </w:rPr>
      </w:pPr>
      <w:r>
        <w:rPr>
          <w:rFonts w:hint="eastAsia"/>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11.3 经济标投标文件主要包括下列内容：</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u w:val="single"/>
        </w:rPr>
        <w:t>11.3.1</w:t>
      </w:r>
      <w:r>
        <w:rPr>
          <w:rFonts w:hint="eastAsia"/>
          <w:color w:val="auto"/>
          <w:szCs w:val="21"/>
          <w:highlight w:val="none"/>
          <w:u w:val="single"/>
        </w:rPr>
        <w:t xml:space="preserve"> </w:t>
      </w:r>
      <w:bookmarkStart w:id="7" w:name="_Hlk60754295"/>
      <w:r>
        <w:rPr>
          <w:rFonts w:hint="eastAsia"/>
          <w:color w:val="auto"/>
          <w:szCs w:val="21"/>
          <w:highlight w:val="none"/>
          <w:u w:val="single"/>
        </w:rPr>
        <w:t>经济标投标文件封面</w:t>
      </w:r>
      <w:bookmarkEnd w:id="7"/>
      <w:r>
        <w:rPr>
          <w:rFonts w:hint="eastAsia"/>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rPr>
        <w:t>11.3.2投标总价。投标人必须按招标工程量清单填报价格，工程量清单的组成、格式、项目编</w:t>
      </w:r>
      <w:r>
        <w:rPr>
          <w:rFonts w:hint="eastAsia"/>
          <w:color w:val="auto"/>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（具体内容详见第七章工程量清单）</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rPr>
        <w:t>11.3.3</w:t>
      </w:r>
      <w:r>
        <w:rPr>
          <w:rFonts w:hint="eastAsia"/>
          <w:color w:val="auto"/>
          <w:szCs w:val="21"/>
          <w:highlight w:val="none"/>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 xml:space="preserve">1.3.4 </w:t>
      </w:r>
      <w:r>
        <w:rPr>
          <w:rFonts w:hint="eastAsia" w:ascii="宋体" w:hAnsi="宋体" w:cs="宋体"/>
          <w:color w:val="auto"/>
          <w:szCs w:val="21"/>
          <w:highlight w:val="none"/>
          <w:u w:val="single"/>
        </w:rPr>
        <w:t>对投标文件编制的承诺</w:t>
      </w:r>
      <w:r>
        <w:rPr>
          <w:rFonts w:hint="eastAsia" w:ascii="宋体" w:hAnsi="宋体" w:cs="宋体"/>
          <w:bCs/>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5</w:t>
      </w:r>
      <w:r>
        <w:rPr>
          <w:rFonts w:hint="eastAsia"/>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条款号：12                     修改类型：修改</w:t>
      </w:r>
    </w:p>
    <w:p>
      <w:pPr>
        <w:spacing w:line="360" w:lineRule="auto"/>
        <w:ind w:firstLine="420" w:firstLineChars="200"/>
        <w:rPr>
          <w:rFonts w:ascii="Times New Roman" w:hAnsi="Times New Roman"/>
          <w:color w:val="auto"/>
          <w:szCs w:val="21"/>
          <w:highlight w:val="none"/>
        </w:rPr>
      </w:pPr>
      <w:r>
        <w:rPr>
          <w:rFonts w:hint="eastAsia" w:ascii="Times New Roman" w:hAnsi="Times New Roman"/>
          <w:b/>
          <w:color w:val="auto"/>
          <w:szCs w:val="21"/>
          <w:highlight w:val="none"/>
        </w:rPr>
        <w:t>原文：</w:t>
      </w:r>
      <w:r>
        <w:rPr>
          <w:rFonts w:hint="eastAsia" w:ascii="Times New Roman" w:hAnsi="Times New Roman"/>
          <w:color w:val="auto"/>
          <w:szCs w:val="21"/>
          <w:highlight w:val="none"/>
        </w:rPr>
        <w:t>12．投标文件格式</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12.1 投标文件包括本须知第11条中规定的内容，投标人提交的投标文件应当使用招标文件所提供的投标文件全部格式（表格可以按同样格式扩展）。</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12.3 投标文件应按照交易平台关于全流程电子化项目的相关指南进行编制，详见：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如不按上述要求编制引起系统无法检索、读取相关信息的，其后果由投标人承担。</w:t>
      </w:r>
    </w:p>
    <w:p>
      <w:pPr>
        <w:spacing w:line="360" w:lineRule="auto"/>
        <w:ind w:firstLine="420" w:firstLineChars="200"/>
        <w:rPr>
          <w:rFonts w:ascii="Times New Roman" w:hAnsi="Times New Roman"/>
          <w:b/>
          <w:color w:val="auto"/>
          <w:szCs w:val="21"/>
          <w:highlight w:val="none"/>
        </w:rPr>
      </w:pPr>
      <w:r>
        <w:rPr>
          <w:rFonts w:hint="eastAsia" w:ascii="Times New Roman" w:hAnsi="Times New Roman"/>
          <w:b/>
          <w:color w:val="auto"/>
          <w:szCs w:val="21"/>
          <w:highlight w:val="none"/>
        </w:rPr>
        <w:t>现文：</w:t>
      </w:r>
      <w:r>
        <w:rPr>
          <w:rFonts w:hint="eastAsia" w:ascii="Times New Roman" w:hAnsi="Times New Roman"/>
          <w:color w:val="auto"/>
          <w:szCs w:val="21"/>
          <w:highlight w:val="none"/>
        </w:rPr>
        <w:t>12．投标文件格式</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12.1 </w:t>
      </w:r>
      <w:r>
        <w:rPr>
          <w:rFonts w:hint="eastAsia" w:ascii="宋体" w:hAnsi="宋体"/>
          <w:color w:val="auto"/>
          <w:szCs w:val="21"/>
          <w:highlight w:val="none"/>
        </w:rPr>
        <w:t>投标文件包括本须知第</w:t>
      </w:r>
      <w:r>
        <w:rPr>
          <w:rFonts w:ascii="宋体" w:hAnsi="宋体"/>
          <w:color w:val="auto"/>
          <w:szCs w:val="21"/>
          <w:highlight w:val="none"/>
        </w:rPr>
        <w:t>11条中规定的内容</w:t>
      </w:r>
      <w:r>
        <w:rPr>
          <w:rFonts w:hint="eastAsia" w:ascii="宋体" w:hAnsi="宋体"/>
          <w:color w:val="auto"/>
          <w:szCs w:val="21"/>
          <w:highlight w:val="none"/>
          <w:u w:val="single"/>
        </w:rPr>
        <w:t>，投标文件格式按招标文件第四章《投标文件格式》。其中：除“★”号必须按招标文件规定的格式必须按招标文件规定的格式进行编制外，其余格式仅供参考。</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color w:val="auto"/>
          <w:szCs w:val="21"/>
          <w:highlight w:val="none"/>
          <w:u w:val="single"/>
        </w:rPr>
        <w:t>【全流程电子化项目】电子招投标操作手册（无纸化）</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12.3 投标文件应按照交易平台关于全流程电子化项目的相关指南进行编制，详见：</w:t>
      </w:r>
      <w:r>
        <w:rPr>
          <w:rFonts w:hint="eastAsia" w:ascii="Times New Roman" w:hAnsi="Times New Roman"/>
          <w:color w:val="auto"/>
          <w:szCs w:val="21"/>
          <w:highlight w:val="none"/>
          <w:u w:val="single"/>
        </w:rPr>
        <w:t>【全流程电子化项目】电子招投标操作手册（无纸化）</w:t>
      </w:r>
      <w:r>
        <w:rPr>
          <w:rFonts w:hint="eastAsia" w:ascii="Times New Roman" w:hAnsi="Times New Roman"/>
          <w:color w:val="auto"/>
          <w:szCs w:val="21"/>
          <w:highlight w:val="none"/>
        </w:rPr>
        <w:t>。</w:t>
      </w:r>
    </w:p>
    <w:p>
      <w:pPr>
        <w:pBdr>
          <w:bottom w:val="single" w:color="auto" w:sz="4" w:space="1"/>
        </w:pBdr>
        <w:spacing w:line="360" w:lineRule="auto"/>
        <w:ind w:firstLine="420" w:firstLineChars="200"/>
        <w:rPr>
          <w:rFonts w:ascii="Times New Roman" w:hAnsi="Times New Roman"/>
          <w:color w:val="auto"/>
          <w:highlight w:val="none"/>
        </w:rPr>
      </w:pPr>
      <w:r>
        <w:rPr>
          <w:rFonts w:hint="eastAsia" w:ascii="Times New Roman" w:hAnsi="Times New Roman"/>
          <w:color w:val="auto"/>
          <w:szCs w:val="21"/>
          <w:highlight w:val="none"/>
        </w:rPr>
        <w:t>如不按上述要求编制引起系统无法检索、读取相关信息的，其后果由投标人承担。</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本工程的投标报价采用投标须知前附表第12项所规定的方式。投标报价（含单价及总价）精确到“分”。</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投标文件中的大写金额和小写金额不一致的，以大写金额为准，投标报价精确到“分”。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条款号：13.4</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w:t>
      </w:r>
      <w:r>
        <w:rPr>
          <w:rFonts w:hint="eastAsia" w:ascii="宋体" w:hAnsi="宋体" w:cs="宋体"/>
          <w:color w:val="auto"/>
          <w:szCs w:val="21"/>
          <w:highlight w:val="none"/>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条款号：13.5  13.5.1  13.5.2  13.5.3  13.5.4          修改类型：修改</w:t>
      </w:r>
    </w:p>
    <w:p>
      <w:pPr>
        <w:pStyle w:val="5"/>
        <w:pBdr>
          <w:bottom w:val="single" w:color="auto" w:sz="6" w:space="1"/>
        </w:pBdr>
        <w:spacing w:after="0" w:line="360" w:lineRule="auto"/>
        <w:ind w:firstLine="420" w:firstLineChars="200"/>
        <w:rPr>
          <w:rFonts w:ascii="宋体" w:hAnsi="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13.5</w:t>
      </w:r>
      <w:r>
        <w:rPr>
          <w:rFonts w:hint="eastAsia" w:ascii="宋体" w:hAnsi="宋体" w:eastAsia="宋体" w:cs="宋体"/>
          <w:color w:val="auto"/>
          <w:szCs w:val="21"/>
          <w:highlight w:val="none"/>
        </w:rPr>
        <w:t>工程项目实施期间……，中标后双方协商约定。</w:t>
      </w:r>
    </w:p>
    <w:p>
      <w:pPr>
        <w:pStyle w:val="5"/>
        <w:pBdr>
          <w:bottom w:val="single" w:color="auto" w:sz="6" w:space="1"/>
        </w:pBdr>
        <w:spacing w:after="0" w:line="360" w:lineRule="auto"/>
        <w:ind w:firstLine="420" w:firstLineChars="200"/>
        <w:rPr>
          <w:rFonts w:ascii="宋体" w:hAnsi="宋体" w:cs="宋体"/>
          <w:color w:val="auto"/>
          <w:szCs w:val="21"/>
          <w:highlight w:val="none"/>
          <w:u w:val="single"/>
        </w:rPr>
      </w:pPr>
      <w:r>
        <w:rPr>
          <w:rFonts w:hint="eastAsia" w:ascii="宋体" w:hAnsi="宋体" w:eastAsia="宋体" w:cs="宋体"/>
          <w:b/>
          <w:color w:val="auto"/>
          <w:szCs w:val="21"/>
          <w:highlight w:val="none"/>
        </w:rPr>
        <w:t>现文：13.5</w:t>
      </w:r>
      <w:r>
        <w:rPr>
          <w:rFonts w:hint="eastAsia" w:ascii="宋体" w:hAnsi="宋体" w:eastAsia="宋体" w:cs="宋体"/>
          <w:color w:val="auto"/>
          <w:szCs w:val="21"/>
          <w:highlight w:val="none"/>
          <w:u w:val="single"/>
        </w:rPr>
        <w:t>变更结算方式按招标文件及施工合同相关规定执行。</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条款号：13.9             修改类型：修改</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13.9</w:t>
      </w:r>
      <w:r>
        <w:rPr>
          <w:rFonts w:hint="eastAsia" w:ascii="宋体" w:hAnsi="宋体" w:cs="宋体"/>
          <w:color w:val="auto"/>
          <w:szCs w:val="21"/>
          <w:highlight w:val="none"/>
          <w:u w:val="single"/>
        </w:rPr>
        <w:t>主要材料的价格调整按照合同约定执行。</w:t>
      </w:r>
    </w:p>
    <w:p>
      <w:pPr>
        <w:pBdr>
          <w:bottom w:val="single" w:color="auto" w:sz="4"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条款号：16.</w:t>
      </w:r>
      <w:r>
        <w:rPr>
          <w:rFonts w:ascii="宋体" w:hAnsi="宋体" w:cs="宋体"/>
          <w:b/>
          <w:color w:val="auto"/>
          <w:szCs w:val="21"/>
          <w:highlight w:val="none"/>
        </w:rPr>
        <w:t>4</w:t>
      </w:r>
      <w:r>
        <w:rPr>
          <w:rFonts w:hint="eastAsia" w:ascii="宋体" w:hAnsi="宋体" w:cs="宋体"/>
          <w:b/>
          <w:color w:val="auto"/>
          <w:szCs w:val="21"/>
          <w:highlight w:val="none"/>
        </w:rPr>
        <w:t>.1           修改类型：删除</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.1因投标人原因造成投标文件未解密的；</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16.5</w:t>
      </w:r>
      <w:r>
        <w:rPr>
          <w:rFonts w:hint="eastAsia" w:ascii="宋体" w:hAnsi="宋体" w:cs="宋体"/>
          <w:b/>
          <w:color w:val="auto"/>
          <w:szCs w:val="21"/>
          <w:highlight w:val="none"/>
        </w:rPr>
        <w:t xml:space="preserve">            修改类型：修改</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w:t>
      </w:r>
      <w:r>
        <w:rPr>
          <w:rFonts w:hint="eastAsia" w:ascii="宋体" w:hAnsi="宋体" w:cs="宋体"/>
          <w:color w:val="auto"/>
          <w:szCs w:val="21"/>
          <w:highlight w:val="none"/>
          <w:u w:val="single"/>
        </w:rPr>
        <w:t>1年</w:t>
      </w:r>
      <w:r>
        <w:rPr>
          <w:rFonts w:hint="eastAsia" w:ascii="宋体" w:hAnsi="宋体" w:cs="宋体"/>
          <w:color w:val="auto"/>
          <w:szCs w:val="21"/>
          <w:highlight w:val="none"/>
        </w:rPr>
        <w:t>内参与招标人后续工程投标：</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16.5.3按招标文件要求免于提供投标保证金的投标人存在16.4条款所列情形，且未按招标人要求补交投标保证金的；</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原文：17.1</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现文：17.1</w:t>
      </w:r>
      <w:r>
        <w:rPr>
          <w:rFonts w:hint="eastAsia" w:ascii="宋体" w:hAnsi="宋体" w:cs="宋体"/>
          <w:bCs/>
          <w:color w:val="auto"/>
          <w:szCs w:val="21"/>
          <w:highlight w:val="none"/>
        </w:rPr>
        <w:t>投标人应采用单位数字证书，按招标文件要求在相应位置加盖电子印章</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投标文件中需个人签字或盖章的，应加盖个人电子印章或在线下完成后扫描上传。按照交易平台关于全流程电子化项目的相关指南进行操作。</w:t>
      </w:r>
      <w:r>
        <w:rPr>
          <w:rFonts w:hint="eastAsia" w:ascii="宋体" w:hAnsi="宋体" w:cs="宋体"/>
          <w:b/>
          <w:bCs/>
          <w:color w:val="auto"/>
          <w:szCs w:val="21"/>
          <w:highlight w:val="none"/>
        </w:rPr>
        <w:t>详见：【全流程电子化项目】电子招投标操作手册（无纸化）。</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pBdr>
          <w:bottom w:val="single" w:color="auto" w:sz="6" w:space="1"/>
        </w:pBdr>
        <w:spacing w:line="360" w:lineRule="auto"/>
        <w:ind w:firstLine="420" w:firstLineChars="200"/>
        <w:jc w:val="left"/>
        <w:rPr>
          <w:rFonts w:ascii="宋体" w:hAnsi="宋体" w:cs="宋体"/>
          <w:b/>
          <w:color w:val="auto"/>
          <w:szCs w:val="21"/>
          <w:highlight w:val="none"/>
        </w:rPr>
      </w:pPr>
      <w:r>
        <w:rPr>
          <w:rFonts w:hint="eastAsia" w:ascii="宋体" w:hAnsi="宋体" w:cs="宋体"/>
          <w:b/>
          <w:color w:val="auto"/>
          <w:szCs w:val="21"/>
          <w:highlight w:val="none"/>
        </w:rPr>
        <w:t>现文：18.1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
          <w:bCs/>
          <w:color w:val="auto"/>
          <w:szCs w:val="21"/>
          <w:highlight w:val="none"/>
          <w:u w:val="single"/>
        </w:rPr>
        <w:t>【全流程电子化项目】电子招投标操作手册（无纸化）</w:t>
      </w:r>
      <w:r>
        <w:rPr>
          <w:rFonts w:hint="eastAsia" w:ascii="宋体" w:hAnsi="宋体" w:cs="宋体"/>
          <w:color w:val="auto"/>
          <w:szCs w:val="21"/>
          <w:highlight w:val="non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条款号：18.2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原文：18.2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pPr>
        <w:pBdr>
          <w:bottom w:val="single" w:color="auto" w:sz="6" w:space="1"/>
        </w:pBdr>
        <w:spacing w:line="360" w:lineRule="auto"/>
        <w:ind w:firstLine="420" w:firstLineChars="200"/>
        <w:jc w:val="left"/>
        <w:rPr>
          <w:rFonts w:ascii="宋体" w:hAnsi="宋体" w:cs="宋体"/>
          <w:color w:val="auto"/>
          <w:szCs w:val="21"/>
          <w:highlight w:val="none"/>
        </w:rPr>
      </w:pPr>
      <w:r>
        <w:rPr>
          <w:rFonts w:hint="eastAsia" w:ascii="宋体" w:hAnsi="宋体" w:cs="宋体"/>
          <w:b/>
          <w:color w:val="auto"/>
          <w:szCs w:val="21"/>
          <w:highlight w:val="none"/>
        </w:rPr>
        <w:t>现文：18.2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交易平台将予以拒收。</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19.1投标人通过交易平台递交电子投标文件。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19.5如技术标和经济标先后分别开启，交易平台将按招标文件规定的时间分别开启技术标和经济标。</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条款号：21.1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 本须知前附表第17项规定的投标截止时间后送达的电子投标文件，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w:t>
      </w:r>
      <w:r>
        <w:rPr>
          <w:rFonts w:hint="eastAsia" w:ascii="宋体" w:hAnsi="宋体"/>
          <w:color w:val="auto"/>
          <w:szCs w:val="21"/>
          <w:highlight w:val="none"/>
        </w:rPr>
        <w:t>将予以拒收。</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条款号：27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交易平台和广东省招标投标监管网公开。</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27.1招标人将在</w:t>
      </w:r>
      <w:r>
        <w:rPr>
          <w:rFonts w:hint="eastAsia"/>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w:t>
      </w:r>
      <w:r>
        <w:rPr>
          <w:rFonts w:hint="eastAsia" w:ascii="宋体" w:hAnsi="宋体"/>
          <w:color w:val="auto"/>
          <w:szCs w:val="21"/>
          <w:highlight w:val="none"/>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w:t>
      </w:r>
      <w:r>
        <w:rPr>
          <w:rFonts w:hint="eastAsia" w:ascii="宋体" w:hAnsi="宋体"/>
          <w:color w:val="auto"/>
          <w:szCs w:val="21"/>
          <w:highlight w:val="none"/>
          <w:u w:val="single"/>
        </w:rPr>
        <w:t>人员、业绩、奖项等资料</w:t>
      </w:r>
      <w:r>
        <w:rPr>
          <w:rFonts w:hint="eastAsia" w:ascii="宋体" w:hAnsi="宋体"/>
          <w:color w:val="auto"/>
          <w:szCs w:val="21"/>
          <w:highlight w:val="none"/>
        </w:rPr>
        <w:t>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bCs/>
          <w:color w:val="auto"/>
          <w:szCs w:val="21"/>
          <w:highlight w:val="none"/>
          <w:u w:val="single"/>
        </w:rPr>
        <w:t>27.5</w:t>
      </w:r>
      <w:r>
        <w:rPr>
          <w:rFonts w:hint="eastAsia" w:ascii="宋体" w:hAnsi="宋体"/>
          <w:color w:val="auto"/>
          <w:szCs w:val="21"/>
          <w:highlight w:val="none"/>
          <w:u w:val="single"/>
        </w:rPr>
        <w:t>中标人在签订合同前需向招标人另行提供与投标递交的电子标书一致的纸质投标文件（含投标人须知11.3列表明细包含的所有工程量清单报价表）</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 光盘，所有电子文件不能采用压缩处理）。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条款号：28.4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28.4招标人支付工程款时，中标人应按规定开具发票。</w:t>
      </w:r>
    </w:p>
    <w:p>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28.4招标人支付工程款时，中标人应</w:t>
      </w:r>
      <w:r>
        <w:rPr>
          <w:rFonts w:hint="eastAsia" w:ascii="宋体" w:hAnsi="宋体" w:cs="宋体"/>
          <w:color w:val="auto"/>
          <w:szCs w:val="21"/>
          <w:highlight w:val="none"/>
        </w:rPr>
        <w:t>按规定开具</w:t>
      </w:r>
      <w:r>
        <w:rPr>
          <w:rFonts w:hint="eastAsia" w:ascii="宋体" w:hAnsi="宋体" w:cs="宋体"/>
          <w:bCs/>
          <w:color w:val="auto"/>
          <w:szCs w:val="21"/>
          <w:highlight w:val="none"/>
          <w:u w:val="single"/>
        </w:rPr>
        <w:t>符合国家税务相关部门要求的</w:t>
      </w:r>
      <w:r>
        <w:rPr>
          <w:rFonts w:hint="eastAsia" w:ascii="宋体" w:hAnsi="宋体" w:cs="宋体"/>
          <w:bCs/>
          <w:color w:val="auto"/>
          <w:szCs w:val="21"/>
          <w:highlight w:val="none"/>
        </w:rPr>
        <w:t>发票。</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 xml:space="preserve">条款号：30.1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adjustRightInd w:val="0"/>
        <w:spacing w:line="400" w:lineRule="exact"/>
        <w:ind w:firstLine="525" w:firstLineChars="250"/>
        <w:textAlignment w:val="baseline"/>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210"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8" w:name="_Toc2272548"/>
      <w:r>
        <w:rPr>
          <w:rFonts w:hint="eastAsia"/>
          <w:color w:val="auto"/>
          <w:highlight w:val="none"/>
        </w:rPr>
        <w:t>三、投标须知通用条款</w:t>
      </w:r>
      <w:bookmarkEnd w:id="8"/>
    </w:p>
    <w:p>
      <w:pPr>
        <w:pStyle w:val="8"/>
        <w:spacing w:before="156" w:after="156"/>
        <w:rPr>
          <w:color w:val="auto"/>
          <w:highlight w:val="none"/>
        </w:rPr>
      </w:pPr>
      <w:bookmarkStart w:id="9" w:name="_Toc2272549"/>
      <w:r>
        <w:rPr>
          <w:rFonts w:hint="eastAsia"/>
          <w:color w:val="auto"/>
          <w:highlight w:val="none"/>
        </w:rPr>
        <w:t>（一）总则</w:t>
      </w:r>
      <w:bookmarkEnd w:id="9"/>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w:t>
      </w:r>
      <w:r>
        <w:rPr>
          <w:rFonts w:hint="eastAsia" w:ascii="宋体" w:hAnsi="宋体" w:eastAsia="宋体"/>
          <w:b/>
          <w:bCs/>
          <w:color w:val="auto"/>
          <w:sz w:val="24"/>
          <w:highlight w:val="none"/>
        </w:rPr>
        <w:t>、定义</w:t>
      </w:r>
    </w:p>
    <w:p>
      <w:pPr>
        <w:pStyle w:val="5"/>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pPr>
        <w:pStyle w:val="5"/>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）“投标人”指向招标人提交投标文件的当事人。</w:t>
      </w:r>
      <w:r>
        <w:rPr>
          <w:rFonts w:ascii="宋体" w:hAnsi="宋体" w:eastAsia="宋体"/>
          <w:color w:val="auto"/>
          <w:sz w:val="24"/>
          <w:highlight w:val="none"/>
        </w:rPr>
        <w:t xml:space="preserve">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）“承包人”指其投标被招标人接受并与其签订承包合同的当事人。</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）“招标文件”指由招标代理发出的本文件（包括全部章节、附件）及招标答疑会会议纪要和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）“书面形式”指打字或印刷的文件和数据电文（包括电报、电传、传真、电子数据交换和电子邮件）。</w:t>
      </w:r>
    </w:p>
    <w:p>
      <w:pPr>
        <w:spacing w:line="360" w:lineRule="auto"/>
        <w:ind w:firstLine="480"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0" w:name="_Toc2272550"/>
      <w:r>
        <w:rPr>
          <w:rFonts w:hint="eastAsia"/>
          <w:color w:val="auto"/>
          <w:highlight w:val="none"/>
        </w:rPr>
        <w:t>（二）招标文件</w:t>
      </w:r>
      <w:bookmarkEnd w:id="10"/>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第一章</w:t>
      </w:r>
      <w:r>
        <w:rPr>
          <w:rFonts w:ascii="宋体" w:hAnsi="宋体" w:eastAsia="宋体"/>
          <w:bCs/>
          <w:color w:val="auto"/>
          <w:sz w:val="24"/>
          <w:highlight w:val="none"/>
        </w:rPr>
        <w:t xml:space="preserve">  </w:t>
      </w:r>
      <w:r>
        <w:rPr>
          <w:rFonts w:hint="eastAsia" w:ascii="宋体" w:hAnsi="宋体" w:eastAsia="宋体"/>
          <w:color w:val="auto"/>
          <w:sz w:val="24"/>
          <w:highlight w:val="none"/>
        </w:rPr>
        <w:t>投标须知</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第二章</w:t>
      </w:r>
      <w:r>
        <w:rPr>
          <w:rFonts w:ascii="宋体" w:hAnsi="宋体" w:eastAsia="宋体"/>
          <w:bCs/>
          <w:color w:val="auto"/>
          <w:sz w:val="24"/>
          <w:highlight w:val="none"/>
        </w:rPr>
        <w:t xml:space="preserve">  </w:t>
      </w:r>
      <w:r>
        <w:rPr>
          <w:rFonts w:hint="eastAsia" w:ascii="宋体" w:hAnsi="宋体" w:eastAsia="宋体"/>
          <w:color w:val="auto"/>
          <w:sz w:val="24"/>
          <w:highlight w:val="none"/>
        </w:rPr>
        <w:t>开标、评标及定标办法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w:t>
      </w:r>
      <w:r>
        <w:rPr>
          <w:rFonts w:hint="eastAsia" w:ascii="宋体" w:hAnsi="宋体" w:eastAsia="宋体"/>
          <w:color w:val="auto"/>
          <w:sz w:val="24"/>
          <w:highlight w:val="none"/>
        </w:rPr>
        <w:t>合同条款</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第四章</w:t>
      </w:r>
      <w:r>
        <w:rPr>
          <w:rFonts w:ascii="宋体" w:hAnsi="宋体" w:eastAsia="宋体"/>
          <w:bCs/>
          <w:color w:val="auto"/>
          <w:sz w:val="24"/>
          <w:highlight w:val="none"/>
        </w:rPr>
        <w:t xml:space="preserve">  </w:t>
      </w:r>
      <w:r>
        <w:rPr>
          <w:rFonts w:hint="eastAsia" w:ascii="宋体" w:hAnsi="宋体" w:eastAsia="宋体"/>
          <w:color w:val="auto"/>
          <w:sz w:val="24"/>
          <w:highlight w:val="none"/>
        </w:rPr>
        <w:t>投标文件格式</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第五章</w:t>
      </w:r>
      <w:r>
        <w:rPr>
          <w:rFonts w:ascii="宋体" w:hAnsi="宋体" w:eastAsia="宋体"/>
          <w:bCs/>
          <w:color w:val="auto"/>
          <w:sz w:val="24"/>
          <w:highlight w:val="none"/>
        </w:rPr>
        <w:t xml:space="preserve">  </w:t>
      </w:r>
      <w:r>
        <w:rPr>
          <w:rFonts w:hint="eastAsia" w:ascii="宋体" w:hAnsi="宋体" w:eastAsia="宋体"/>
          <w:color w:val="auto"/>
          <w:sz w:val="24"/>
          <w:highlight w:val="none"/>
        </w:rPr>
        <w:t>技术条件（工程建设标准）（另册）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第六章</w:t>
      </w:r>
      <w:r>
        <w:rPr>
          <w:rFonts w:ascii="宋体" w:hAnsi="宋体" w:eastAsia="宋体"/>
          <w:bCs/>
          <w:color w:val="auto"/>
          <w:sz w:val="24"/>
          <w:highlight w:val="none"/>
        </w:rPr>
        <w:t xml:space="preserve">  </w:t>
      </w:r>
      <w:r>
        <w:rPr>
          <w:rFonts w:hint="eastAsia" w:ascii="宋体" w:hAnsi="宋体" w:eastAsia="宋体"/>
          <w:color w:val="auto"/>
          <w:sz w:val="24"/>
          <w:highlight w:val="none"/>
        </w:rPr>
        <w:t>图纸及勘察资料（另册）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第七章</w:t>
      </w:r>
      <w:r>
        <w:rPr>
          <w:rFonts w:ascii="宋体" w:hAnsi="宋体" w:eastAsia="宋体"/>
          <w:bCs/>
          <w:color w:val="auto"/>
          <w:sz w:val="24"/>
          <w:highlight w:val="none"/>
        </w:rPr>
        <w:t xml:space="preserve">  </w:t>
      </w:r>
      <w:r>
        <w:rPr>
          <w:rFonts w:hint="eastAsia" w:ascii="宋体" w:hAnsi="宋体" w:eastAsia="宋体"/>
          <w:bCs/>
          <w:color w:val="auto"/>
          <w:sz w:val="24"/>
          <w:highlight w:val="none"/>
        </w:rPr>
        <w:t>招标</w:t>
      </w:r>
      <w:r>
        <w:rPr>
          <w:rFonts w:hint="eastAsia" w:ascii="宋体" w:hAnsi="宋体" w:eastAsia="宋体"/>
          <w:color w:val="auto"/>
          <w:sz w:val="24"/>
          <w:highlight w:val="none"/>
        </w:rPr>
        <w:t>工程量清单（另册）</w:t>
      </w:r>
    </w:p>
    <w:p>
      <w:pPr>
        <w:pStyle w:val="5"/>
        <w:spacing w:after="0" w:line="360" w:lineRule="auto"/>
        <w:ind w:left="-2"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第八章</w:t>
      </w:r>
      <w:r>
        <w:rPr>
          <w:rFonts w:ascii="宋体" w:hAnsi="宋体" w:eastAsia="宋体"/>
          <w:color w:val="auto"/>
          <w:sz w:val="24"/>
          <w:highlight w:val="none"/>
        </w:rPr>
        <w:t xml:space="preserve">  </w:t>
      </w:r>
      <w:r>
        <w:rPr>
          <w:rFonts w:hint="eastAsia" w:ascii="宋体" w:hAnsi="宋体" w:eastAsia="宋体"/>
          <w:color w:val="auto"/>
          <w:sz w:val="24"/>
          <w:highlight w:val="none"/>
        </w:rPr>
        <w:t>最高投标限价</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color w:val="auto"/>
          <w:sz w:val="24"/>
          <w:highlight w:val="none"/>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7.2 </w:t>
      </w:r>
      <w:r>
        <w:rPr>
          <w:rFonts w:hint="eastAsia" w:ascii="宋体" w:hAnsi="宋体" w:eastAsia="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7.3 </w:t>
      </w:r>
      <w:r>
        <w:rPr>
          <w:rFonts w:hint="eastAsia" w:ascii="宋体" w:hAnsi="宋体" w:eastAsia="宋体"/>
          <w:color w:val="auto"/>
          <w:sz w:val="24"/>
          <w:highlight w:val="none"/>
        </w:rPr>
        <w:t>投标人一旦中标，招标文件的内容对招标人和中标人双方均有约束力。</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8</w:t>
      </w:r>
      <w:r>
        <w:rPr>
          <w:rFonts w:hint="eastAsia" w:ascii="宋体" w:hAnsi="宋体" w:eastAsia="宋体"/>
          <w:b/>
          <w:bCs/>
          <w:color w:val="auto"/>
          <w:sz w:val="24"/>
          <w:highlight w:val="none"/>
        </w:rPr>
        <w:t>．招标答疑</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8.1 </w:t>
      </w:r>
      <w:r>
        <w:rPr>
          <w:rFonts w:hint="eastAsia" w:ascii="宋体" w:hAnsi="宋体" w:eastAsia="宋体"/>
          <w:color w:val="auto"/>
          <w:sz w:val="24"/>
          <w:highlight w:val="none"/>
        </w:rPr>
        <w:t>投标人若对招标文件（包括招标图纸）中有疑问，可以书面形式</w:t>
      </w:r>
      <w:r>
        <w:rPr>
          <w:rFonts w:hint="eastAsia" w:ascii="宋体" w:hAnsi="宋体" w:eastAsia="宋体"/>
          <w:color w:val="auto"/>
          <w:sz w:val="24"/>
          <w:szCs w:val="24"/>
          <w:highlight w:val="none"/>
        </w:rPr>
        <w:t>通过</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交易平台提交</w:t>
      </w:r>
      <w:r>
        <w:rPr>
          <w:rFonts w:hint="eastAsia" w:ascii="宋体" w:hAnsi="宋体" w:eastAsia="宋体"/>
          <w:color w:val="auto"/>
          <w:sz w:val="24"/>
          <w:highlight w:val="none"/>
        </w:rPr>
        <w:t>给招标人或招标代理人，提交形式见本须知前附表第</w:t>
      </w:r>
      <w:r>
        <w:rPr>
          <w:rFonts w:ascii="宋体" w:hAnsi="宋体" w:eastAsia="宋体"/>
          <w:color w:val="auto"/>
          <w:sz w:val="24"/>
          <w:highlight w:val="none"/>
        </w:rPr>
        <w:t>16</w:t>
      </w:r>
      <w:r>
        <w:rPr>
          <w:rFonts w:hint="eastAsia" w:ascii="宋体" w:hAnsi="宋体" w:eastAsia="宋体"/>
          <w:color w:val="auto"/>
          <w:sz w:val="24"/>
          <w:highlight w:val="none"/>
        </w:rPr>
        <w:t>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8.2</w:t>
      </w:r>
      <w:r>
        <w:rPr>
          <w:rFonts w:hint="eastAsia" w:ascii="宋体" w:hAnsi="宋体" w:eastAsia="宋体"/>
          <w:color w:val="auto"/>
          <w:sz w:val="24"/>
          <w:highlight w:val="none"/>
        </w:rPr>
        <w:t>招标答疑会会议纪要将在提交投标文件截止时间15日前在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 xml:space="preserve"> “项目答疑纪要”专区公开发布。答疑纪要一经在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8.3</w:t>
      </w:r>
      <w:r>
        <w:rPr>
          <w:rFonts w:hint="eastAsia" w:ascii="宋体" w:hAnsi="宋体" w:eastAsia="宋体"/>
          <w:color w:val="auto"/>
          <w:sz w:val="24"/>
          <w:highlight w:val="none"/>
        </w:rPr>
        <w:t>答疑会会议纪要为招标文件的一部分。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8.4</w:t>
      </w:r>
      <w:r>
        <w:rPr>
          <w:rFonts w:hint="eastAsia" w:ascii="宋体" w:hAnsi="宋体" w:eastAsia="宋体"/>
          <w:color w:val="auto"/>
          <w:sz w:val="24"/>
          <w:highlight w:val="none"/>
        </w:rPr>
        <w:t>若招标答疑会会议纪要与招标文件有矛盾，以答疑会议纪要最后发出的书面形式的文件为准。</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9.</w:t>
      </w:r>
      <w:r>
        <w:rPr>
          <w:rFonts w:hint="eastAsia" w:ascii="宋体" w:hAnsi="宋体" w:eastAsia="宋体"/>
          <w:b/>
          <w:bCs/>
          <w:color w:val="auto"/>
          <w:sz w:val="24"/>
          <w:highlight w:val="none"/>
        </w:rPr>
        <w:t>招标文件的澄清与修改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9.1</w:t>
      </w:r>
      <w:r>
        <w:rPr>
          <w:rFonts w:hint="eastAsia" w:ascii="宋体" w:hAnsi="宋体" w:eastAsia="宋体"/>
          <w:color w:val="auto"/>
          <w:sz w:val="24"/>
          <w:highlight w:val="none"/>
        </w:rPr>
        <w:t>招标文件发出后</w:t>
      </w:r>
      <w:r>
        <w:rPr>
          <w:rFonts w:ascii="宋体" w:hAnsi="宋体" w:eastAsia="宋体"/>
          <w:color w:val="auto"/>
          <w:sz w:val="24"/>
          <w:highlight w:val="none"/>
        </w:rPr>
        <w:t>,</w:t>
      </w:r>
      <w:r>
        <w:rPr>
          <w:rFonts w:hint="eastAsia" w:ascii="宋体" w:hAnsi="宋体" w:eastAsia="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9.2</w:t>
      </w:r>
      <w:r>
        <w:rPr>
          <w:rFonts w:hint="eastAsia" w:ascii="宋体" w:hAnsi="宋体" w:eastAsia="宋体"/>
          <w:color w:val="auto"/>
          <w:sz w:val="24"/>
          <w:highlight w:val="none"/>
        </w:rPr>
        <w:t>招标文件的澄清或修改将在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“项目答疑纪要”专区公开发布。答疑纪要一经在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发布，视作已发放给所有投标人，以</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上网发布时间作为送达时间。</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9.3</w:t>
      </w:r>
      <w:r>
        <w:rPr>
          <w:rFonts w:hint="eastAsia" w:ascii="宋体" w:hAnsi="宋体" w:eastAsia="宋体"/>
          <w:color w:val="auto"/>
          <w:sz w:val="24"/>
          <w:highlight w:val="none"/>
        </w:rPr>
        <w:t>招标文件的修改内容为招标文件的组成部分。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9.4</w:t>
      </w:r>
      <w:r>
        <w:rPr>
          <w:rFonts w:hint="eastAsia" w:ascii="宋体" w:hAnsi="宋体" w:eastAsia="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9.5</w:t>
      </w:r>
      <w:r>
        <w:rPr>
          <w:rFonts w:hint="eastAsia" w:ascii="宋体" w:hAnsi="宋体" w:eastAsia="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1" w:name="_Toc2272551"/>
      <w:r>
        <w:rPr>
          <w:rFonts w:hint="eastAsia"/>
          <w:color w:val="auto"/>
          <w:highlight w:val="none"/>
        </w:rPr>
        <w:t>（三）投标文件的编制</w:t>
      </w:r>
      <w:bookmarkEnd w:id="11"/>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10</w:t>
      </w:r>
      <w:r>
        <w:rPr>
          <w:rFonts w:hint="eastAsia" w:ascii="宋体" w:hAnsi="宋体" w:eastAsia="宋体"/>
          <w:b/>
          <w:bCs/>
          <w:color w:val="auto"/>
          <w:sz w:val="24"/>
          <w:highlight w:val="none"/>
        </w:rPr>
        <w:t>．投标文件的语言及度量衡单位</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10.1 </w:t>
      </w:r>
      <w:r>
        <w:rPr>
          <w:rFonts w:hint="eastAsia" w:ascii="宋体" w:hAnsi="宋体" w:eastAsia="宋体"/>
          <w:color w:val="auto"/>
          <w:sz w:val="24"/>
          <w:highlight w:val="none"/>
        </w:rPr>
        <w:t>投标文件和与投标有关的所有文件均应使用中文。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10.2 </w:t>
      </w:r>
      <w:r>
        <w:rPr>
          <w:rFonts w:hint="eastAsia" w:ascii="宋体" w:hAnsi="宋体" w:eastAsia="宋体"/>
          <w:color w:val="auto"/>
          <w:sz w:val="24"/>
          <w:highlight w:val="none"/>
        </w:rPr>
        <w:t>除工程规范另有规定外，投标文件使用的度量衡单位，均采用中华人民共和国法定计量单位。</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11</w:t>
      </w:r>
      <w:r>
        <w:rPr>
          <w:rFonts w:hint="eastAsia" w:ascii="宋体" w:hAnsi="宋体" w:eastAsia="宋体"/>
          <w:b/>
          <w:bCs/>
          <w:color w:val="auto"/>
          <w:sz w:val="24"/>
          <w:highlight w:val="none"/>
        </w:rPr>
        <w:t>．投标文件的组成</w:t>
      </w:r>
    </w:p>
    <w:p>
      <w:pPr>
        <w:pStyle w:val="5"/>
        <w:spacing w:after="0" w:line="360" w:lineRule="auto"/>
        <w:ind w:firstLine="480" w:firstLineChars="200"/>
        <w:rPr>
          <w:rFonts w:ascii="宋体" w:hAnsi="宋体" w:eastAsia="宋体"/>
          <w:b/>
          <w:color w:val="auto"/>
          <w:sz w:val="24"/>
          <w:highlight w:val="none"/>
        </w:rPr>
      </w:pPr>
      <w:r>
        <w:rPr>
          <w:rFonts w:ascii="宋体" w:hAnsi="宋体" w:eastAsia="宋体"/>
          <w:color w:val="auto"/>
          <w:sz w:val="24"/>
          <w:highlight w:val="none"/>
        </w:rPr>
        <w:t xml:space="preserve">11.1 </w:t>
      </w:r>
      <w:r>
        <w:rPr>
          <w:rFonts w:hint="eastAsia" w:ascii="宋体" w:hAnsi="宋体" w:eastAsia="宋体"/>
          <w:color w:val="auto"/>
          <w:sz w:val="24"/>
          <w:highlight w:val="none"/>
        </w:rPr>
        <w:t>投标文件由技术部分（含资格审查文件）和经济部分两部分投标文件组成</w:t>
      </w:r>
      <w:r>
        <w:rPr>
          <w:rFonts w:hint="eastAsia" w:ascii="宋体" w:hAnsi="宋体" w:eastAsia="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（10）项目负责人安全生产考核合格证明或在有效期内的安全考核合格证书（B类）或建筑施工企业项目负责人安全生产考核合格证书（取自平台内上传件）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（11）专职安全员须具有在有效期内的安全生产考核合格证（C类）或建筑施工企业专职安全生产管理人员安全生产考核合格证书（取自平台内上传件）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w:t>
      </w:r>
      <w:r>
        <w:rPr>
          <w:rFonts w:hint="eastAsia" w:ascii="宋体"/>
          <w:bCs/>
          <w:color w:val="auto"/>
          <w:sz w:val="24"/>
          <w:highlight w:val="none"/>
          <w:lang w:eastAsia="zh-CN"/>
        </w:rPr>
        <w:t>广州市住房和城乡建设局建立企业信用档案</w:t>
      </w:r>
      <w:r>
        <w:rPr>
          <w:rFonts w:hint="eastAsia" w:ascii="宋体"/>
          <w:bCs/>
          <w:color w:val="auto"/>
          <w:sz w:val="24"/>
          <w:highlight w:val="none"/>
        </w:rPr>
        <w:t>，拟担任本工程项目负责人、专职安全员须是本企业信用档案中的在册人员。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12</w:t>
      </w:r>
      <w:r>
        <w:rPr>
          <w:rFonts w:hint="eastAsia" w:ascii="宋体" w:hAnsi="宋体" w:eastAsia="宋体"/>
          <w:b/>
          <w:bCs/>
          <w:color w:val="auto"/>
          <w:sz w:val="24"/>
          <w:highlight w:val="none"/>
        </w:rPr>
        <w:t>．投标文件格式</w:t>
      </w:r>
    </w:p>
    <w:p>
      <w:pPr>
        <w:pStyle w:val="5"/>
        <w:spacing w:after="0"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12.1 </w:t>
      </w:r>
      <w:r>
        <w:rPr>
          <w:rFonts w:hint="eastAsia" w:ascii="宋体" w:hAnsi="宋体" w:eastAsia="宋体" w:cs="Times New Roman"/>
          <w:bCs/>
          <w:color w:val="auto"/>
          <w:sz w:val="24"/>
          <w:szCs w:val="24"/>
          <w:highlight w:val="none"/>
        </w:rPr>
        <w:t>投标文件包括本须知第</w:t>
      </w:r>
      <w:r>
        <w:rPr>
          <w:rFonts w:ascii="宋体" w:hAnsi="宋体" w:eastAsia="宋体" w:cs="Times New Roman"/>
          <w:bCs/>
          <w:color w:val="auto"/>
          <w:sz w:val="24"/>
          <w:szCs w:val="24"/>
          <w:highlight w:val="none"/>
        </w:rPr>
        <w:t>11</w:t>
      </w:r>
      <w:r>
        <w:rPr>
          <w:rFonts w:hint="eastAsia" w:ascii="宋体" w:hAnsi="宋体" w:eastAsia="宋体" w:cs="Times New Roman"/>
          <w:bCs/>
          <w:color w:val="auto"/>
          <w:sz w:val="24"/>
          <w:szCs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s="Times New Roman"/>
          <w:bCs/>
          <w:color w:val="auto"/>
          <w:sz w:val="24"/>
          <w:szCs w:val="24"/>
          <w:highlight w:val="none"/>
        </w:rPr>
        <w:t>12.2 投标文件全部采用电子文档，投标文件所附证书证件均为原件扫描件，并采用单位数字证书，按招标</w:t>
      </w:r>
      <w:r>
        <w:rPr>
          <w:rFonts w:hint="eastAsia" w:ascii="宋体" w:hAnsi="宋体" w:eastAsia="宋体"/>
          <w:color w:val="auto"/>
          <w:sz w:val="24"/>
          <w:highlight w:val="none"/>
        </w:rPr>
        <w:t>文件要求在相应位置加盖电子印章。投标文件中需个人签字或盖章的，应加盖个人电子印章或在线下完成后扫描上传。按照交易平台关于</w:t>
      </w:r>
      <w:r>
        <w:rPr>
          <w:rFonts w:hint="eastAsia" w:ascii="宋体" w:hAnsi="宋体" w:eastAsia="宋体"/>
          <w:color w:val="auto"/>
          <w:sz w:val="24"/>
          <w:szCs w:val="24"/>
          <w:highlight w:val="none"/>
        </w:rPr>
        <w:t>全流程电子化项目的相关指南进行操作。详见：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12.3 </w:t>
      </w:r>
      <w:r>
        <w:rPr>
          <w:rFonts w:hint="eastAsia" w:ascii="宋体" w:hAnsi="宋体" w:eastAsia="宋体"/>
          <w:bCs/>
          <w:color w:val="auto"/>
          <w:sz w:val="24"/>
          <w:szCs w:val="24"/>
          <w:highlight w:val="none"/>
        </w:rPr>
        <w:t>投标文件应按</w:t>
      </w:r>
      <w:r>
        <w:rPr>
          <w:rFonts w:hint="eastAsia" w:ascii="宋体" w:hAnsi="宋体" w:eastAsia="宋体"/>
          <w:color w:val="auto"/>
          <w:sz w:val="24"/>
          <w:highlight w:val="none"/>
        </w:rPr>
        <w:t>照交易平台关于全流程电子化项目的相关指南进行编制，详见：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highlight w:val="none"/>
        </w:rPr>
        <w:t xml:space="preserve">。               </w:t>
      </w:r>
    </w:p>
    <w:p>
      <w:pPr>
        <w:pStyle w:val="5"/>
        <w:spacing w:after="0" w:line="360" w:lineRule="auto"/>
        <w:ind w:firstLine="0"/>
        <w:rPr>
          <w:rFonts w:ascii="宋体" w:hAnsi="宋体" w:eastAsia="宋体"/>
          <w:color w:val="auto"/>
          <w:sz w:val="24"/>
          <w:highlight w:val="none"/>
        </w:rPr>
      </w:pPr>
      <w:r>
        <w:rPr>
          <w:rFonts w:hint="eastAsia" w:ascii="宋体" w:hAnsi="宋体" w:eastAsia="宋体"/>
          <w:bCs/>
          <w:color w:val="auto"/>
          <w:sz w:val="24"/>
          <w:szCs w:val="24"/>
          <w:highlight w:val="none"/>
        </w:rPr>
        <w:t>如不按上述要求编制引起系统无法检索、读取相关信息的，其后果由投标人承担。</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13</w:t>
      </w:r>
      <w:r>
        <w:rPr>
          <w:rFonts w:hint="eastAsia" w:ascii="宋体" w:hAnsi="宋体" w:eastAsia="宋体"/>
          <w:b/>
          <w:bCs/>
          <w:color w:val="auto"/>
          <w:sz w:val="24"/>
          <w:highlight w:val="none"/>
        </w:rPr>
        <w:t>．投标报价及造价承包和变更结算方式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13.1 </w:t>
      </w:r>
      <w:r>
        <w:rPr>
          <w:rFonts w:hint="eastAsia" w:ascii="宋体" w:hAnsi="宋体" w:eastAsia="宋体"/>
          <w:color w:val="auto"/>
          <w:sz w:val="24"/>
          <w:highlight w:val="none"/>
        </w:rPr>
        <w:t>本工程的投标报价采用投标须知前附表第</w:t>
      </w:r>
      <w:r>
        <w:rPr>
          <w:rFonts w:ascii="宋体" w:hAnsi="宋体" w:eastAsia="宋体"/>
          <w:color w:val="auto"/>
          <w:sz w:val="24"/>
          <w:highlight w:val="none"/>
        </w:rPr>
        <w:t>12</w:t>
      </w:r>
      <w:r>
        <w:rPr>
          <w:rFonts w:hint="eastAsia" w:ascii="宋体" w:hAnsi="宋体" w:eastAsia="宋体"/>
          <w:color w:val="auto"/>
          <w:sz w:val="24"/>
          <w:highlight w:val="none"/>
        </w:rPr>
        <w:t>项所规定的方式。投标报价（含单价及总价）精确到“分”。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13.2</w:t>
      </w:r>
      <w:r>
        <w:rPr>
          <w:rFonts w:hint="eastAsia" w:ascii="宋体" w:hAnsi="宋体" w:eastAsia="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13.3</w:t>
      </w:r>
      <w:r>
        <w:rPr>
          <w:rFonts w:hint="eastAsia" w:ascii="宋体" w:hAnsi="宋体" w:eastAsia="宋体"/>
          <w:color w:val="auto"/>
          <w:sz w:val="24"/>
          <w:highlight w:val="none"/>
        </w:rPr>
        <w:t>投标人的投标报价，应是按照投标须知前附表第</w:t>
      </w:r>
      <w:r>
        <w:rPr>
          <w:rFonts w:ascii="宋体" w:hAnsi="宋体" w:eastAsia="宋体"/>
          <w:color w:val="auto"/>
          <w:sz w:val="24"/>
          <w:highlight w:val="none"/>
        </w:rPr>
        <w:t>8</w:t>
      </w:r>
      <w:r>
        <w:rPr>
          <w:rFonts w:hint="eastAsia" w:ascii="宋体" w:hAnsi="宋体" w:eastAsia="宋体"/>
          <w:color w:val="auto"/>
          <w:sz w:val="24"/>
          <w:highlight w:val="none"/>
        </w:rPr>
        <w:t>项的工期要求，在投标须知前附表第</w:t>
      </w:r>
      <w:r>
        <w:rPr>
          <w:rFonts w:ascii="宋体" w:hAnsi="宋体" w:eastAsia="宋体"/>
          <w:color w:val="auto"/>
          <w:sz w:val="24"/>
          <w:highlight w:val="none"/>
        </w:rPr>
        <w:t>3</w:t>
      </w:r>
      <w:r>
        <w:rPr>
          <w:rFonts w:hint="eastAsia" w:ascii="宋体" w:hAnsi="宋体" w:eastAsia="宋体"/>
          <w:color w:val="auto"/>
          <w:sz w:val="24"/>
          <w:highlight w:val="none"/>
        </w:rPr>
        <w:t>项的建设地点，完成投标须知前附表第</w:t>
      </w:r>
      <w:r>
        <w:rPr>
          <w:rFonts w:ascii="宋体" w:hAnsi="宋体" w:eastAsia="宋体"/>
          <w:color w:val="auto"/>
          <w:sz w:val="24"/>
          <w:highlight w:val="none"/>
        </w:rPr>
        <w:t>7</w:t>
      </w:r>
      <w:r>
        <w:rPr>
          <w:rFonts w:hint="eastAsia" w:ascii="宋体" w:hAnsi="宋体" w:eastAsia="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13.4</w:t>
      </w:r>
      <w:r>
        <w:rPr>
          <w:rFonts w:hint="eastAsia" w:ascii="宋体" w:hAnsi="宋体" w:eastAsia="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w:t>
      </w:r>
      <w:r>
        <w:rPr>
          <w:rFonts w:hint="eastAsia" w:ascii="宋体" w:hAnsi="宋体" w:eastAsia="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13.5.1</w:t>
      </w:r>
      <w:r>
        <w:rPr>
          <w:rFonts w:hint="eastAsia" w:ascii="宋体" w:hAnsi="宋体" w:eastAsia="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13.5.2</w:t>
      </w:r>
      <w:r>
        <w:rPr>
          <w:rFonts w:hint="eastAsia" w:ascii="宋体" w:hAnsi="宋体" w:eastAsia="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13.5.3 </w:t>
      </w:r>
      <w:r>
        <w:rPr>
          <w:rFonts w:hint="eastAsia" w:ascii="宋体" w:hAnsi="宋体" w:eastAsia="宋体"/>
          <w:color w:val="auto"/>
          <w:sz w:val="24"/>
          <w:highlight w:val="none"/>
        </w:rPr>
        <w:t>中标的投标文件工程量清单中没有相同项目或类似项目的，如可套取相关定额，则以相关定额为基数下浮计算单价</w:t>
      </w:r>
      <w:r>
        <w:rPr>
          <w:rFonts w:ascii="宋体" w:hAnsi="宋体" w:eastAsia="宋体"/>
          <w:color w:val="auto"/>
          <w:sz w:val="24"/>
          <w:highlight w:val="none"/>
        </w:rPr>
        <w:t>,</w:t>
      </w:r>
      <w:r>
        <w:rPr>
          <w:rFonts w:hint="eastAsia" w:ascii="宋体" w:hAnsi="宋体" w:eastAsia="宋体"/>
          <w:color w:val="auto"/>
          <w:sz w:val="24"/>
          <w:highlight w:val="none"/>
        </w:rPr>
        <w:t>下浮率为中标价</w:t>
      </w:r>
      <w:r>
        <w:rPr>
          <w:rFonts w:hint="eastAsia" w:ascii="宋体" w:hAnsi="宋体" w:eastAsia="宋体"/>
          <w:color w:val="auto"/>
          <w:sz w:val="24"/>
          <w:szCs w:val="24"/>
          <w:highlight w:val="none"/>
        </w:rPr>
        <w:t>相对于最高投标限价的下</w:t>
      </w:r>
      <w:r>
        <w:rPr>
          <w:rFonts w:hint="eastAsia" w:ascii="宋体" w:hAnsi="宋体" w:eastAsia="宋体"/>
          <w:color w:val="auto"/>
          <w:sz w:val="24"/>
          <w:highlight w:val="none"/>
        </w:rPr>
        <w:t>浮率（下浮率</w:t>
      </w:r>
      <w:r>
        <w:rPr>
          <w:rFonts w:ascii="宋体" w:hAnsi="宋体" w:eastAsia="宋体"/>
          <w:color w:val="auto"/>
          <w:sz w:val="24"/>
          <w:highlight w:val="none"/>
        </w:rPr>
        <w:t>=(</w:t>
      </w:r>
      <w:r>
        <w:rPr>
          <w:rFonts w:hint="eastAsia" w:ascii="宋体" w:hAnsi="宋体" w:eastAsia="宋体"/>
          <w:color w:val="auto"/>
          <w:sz w:val="24"/>
          <w:szCs w:val="24"/>
          <w:highlight w:val="none"/>
        </w:rPr>
        <w:t>最高投标限价</w:t>
      </w:r>
      <w:r>
        <w:rPr>
          <w:rFonts w:ascii="宋体" w:hAnsi="宋体" w:eastAsia="宋体"/>
          <w:color w:val="auto"/>
          <w:sz w:val="24"/>
          <w:highlight w:val="none"/>
        </w:rPr>
        <w:t>-</w:t>
      </w:r>
      <w:r>
        <w:rPr>
          <w:rFonts w:hint="eastAsia" w:ascii="宋体" w:hAnsi="宋体" w:eastAsia="宋体"/>
          <w:color w:val="auto"/>
          <w:sz w:val="24"/>
          <w:highlight w:val="none"/>
        </w:rPr>
        <w:t>中标价</w:t>
      </w:r>
      <w:r>
        <w:rPr>
          <w:rFonts w:ascii="宋体" w:hAnsi="宋体" w:eastAsia="宋体"/>
          <w:color w:val="auto"/>
          <w:sz w:val="24"/>
          <w:highlight w:val="none"/>
        </w:rPr>
        <w:t>)/</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最高投标限价</w:t>
      </w:r>
      <w:r>
        <w:rPr>
          <w:rFonts w:hint="eastAsia" w:ascii="宋体" w:hAnsi="宋体" w:eastAsia="宋体"/>
          <w:color w:val="auto"/>
          <w:sz w:val="24"/>
          <w:highlight w:val="none"/>
        </w:rPr>
        <w:t>）。</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13.5.4 </w:t>
      </w:r>
      <w:r>
        <w:rPr>
          <w:rFonts w:hint="eastAsia" w:ascii="宋体" w:hAnsi="宋体" w:eastAsia="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w:t>
      </w:r>
      <w:r>
        <w:rPr>
          <w:rFonts w:hint="eastAsia" w:ascii="宋体" w:hAnsi="宋体" w:eastAsia="宋体"/>
          <w:color w:val="auto"/>
          <w:sz w:val="24"/>
          <w:highlight w:val="none"/>
        </w:rPr>
        <w:t>暂列金额、暂估价</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13.6.1</w:t>
      </w:r>
      <w:r>
        <w:rPr>
          <w:rFonts w:hint="eastAsia" w:ascii="宋体" w:hAnsi="宋体" w:eastAsia="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13.6.2</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13.6.3</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13.6.4</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color w:val="auto"/>
          <w:sz w:val="24"/>
          <w:highlight w:val="none"/>
        </w:rPr>
        <w:t>13.5</w:t>
      </w:r>
      <w:r>
        <w:rPr>
          <w:rFonts w:hint="eastAsia" w:ascii="宋体" w:hAnsi="宋体" w:eastAsia="宋体"/>
          <w:color w:val="auto"/>
          <w:sz w:val="24"/>
          <w:highlight w:val="none"/>
        </w:rPr>
        <w:t>款规定确定。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13.6.5</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13.6.6 </w:t>
      </w:r>
      <w:r>
        <w:rPr>
          <w:rFonts w:hint="eastAsia" w:ascii="宋体" w:hAnsi="宋体" w:eastAsia="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13.7</w:t>
      </w:r>
      <w:r>
        <w:rPr>
          <w:rFonts w:hint="eastAsia" w:ascii="宋体" w:hAnsi="宋体" w:eastAsia="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13.8</w:t>
      </w:r>
      <w:r>
        <w:rPr>
          <w:rFonts w:hint="eastAsia" w:ascii="宋体" w:hAnsi="宋体" w:eastAsia="宋体"/>
          <w:color w:val="auto"/>
          <w:sz w:val="24"/>
          <w:highlight w:val="none"/>
        </w:rPr>
        <w:t>属于承包人自行采购的主要材料、设备，招标人应当在招标文件中提出材料、设备的技术标准或者质量要求，或者提出不少于</w:t>
      </w:r>
      <w:r>
        <w:rPr>
          <w:rFonts w:ascii="宋体" w:hAnsi="宋体" w:eastAsia="宋体"/>
          <w:color w:val="auto"/>
          <w:sz w:val="24"/>
          <w:highlight w:val="none"/>
        </w:rPr>
        <w:t>3</w:t>
      </w:r>
      <w:r>
        <w:rPr>
          <w:rFonts w:hint="eastAsia" w:ascii="宋体" w:hAnsi="宋体" w:eastAsia="宋体"/>
          <w:color w:val="auto"/>
          <w:sz w:val="24"/>
          <w:highlight w:val="none"/>
        </w:rPr>
        <w:t>个同等档次品牌或分包商供投标人报价时选择</w:t>
      </w:r>
      <w:r>
        <w:rPr>
          <w:rFonts w:ascii="宋体" w:hAnsi="宋体" w:eastAsia="宋体"/>
          <w:color w:val="auto"/>
          <w:sz w:val="24"/>
          <w:highlight w:val="none"/>
        </w:rPr>
        <w:t>,</w:t>
      </w:r>
      <w:r>
        <w:rPr>
          <w:rFonts w:hint="eastAsia" w:ascii="宋体" w:hAnsi="宋体" w:eastAsia="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highlight w:val="none"/>
        </w:rPr>
        <w:t>13.9</w:t>
      </w:r>
      <w:r>
        <w:rPr>
          <w:rFonts w:hint="eastAsia" w:ascii="宋体" w:hAnsi="宋体" w:eastAsia="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14</w:t>
      </w:r>
      <w:r>
        <w:rPr>
          <w:rFonts w:hint="eastAsia" w:ascii="宋体" w:hAnsi="宋体" w:eastAsia="宋体"/>
          <w:b/>
          <w:bCs/>
          <w:color w:val="auto"/>
          <w:sz w:val="24"/>
          <w:highlight w:val="none"/>
        </w:rPr>
        <w:t>．投标货币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14.1 </w:t>
      </w:r>
      <w:r>
        <w:rPr>
          <w:rFonts w:hint="eastAsia" w:ascii="宋体" w:hAnsi="宋体" w:eastAsia="宋体"/>
          <w:color w:val="auto"/>
          <w:sz w:val="24"/>
          <w:highlight w:val="none"/>
        </w:rPr>
        <w:t>本工程投标报价采用的币种为人民币。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b/>
          <w:bCs/>
          <w:color w:val="auto"/>
          <w:sz w:val="24"/>
          <w:highlight w:val="none"/>
        </w:rPr>
        <w:t>15</w:t>
      </w:r>
      <w:r>
        <w:rPr>
          <w:rFonts w:hint="eastAsia" w:ascii="宋体" w:hAnsi="宋体" w:eastAsia="宋体"/>
          <w:b/>
          <w:bCs/>
          <w:color w:val="auto"/>
          <w:sz w:val="24"/>
          <w:highlight w:val="none"/>
        </w:rPr>
        <w:t>．投标有效期</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15.1 </w:t>
      </w:r>
      <w:r>
        <w:rPr>
          <w:rFonts w:hint="eastAsia" w:ascii="宋体" w:hAnsi="宋体" w:eastAsia="宋体"/>
          <w:color w:val="auto"/>
          <w:sz w:val="24"/>
          <w:highlight w:val="none"/>
        </w:rPr>
        <w:t>投标有效期见投标须知前附表第</w:t>
      </w:r>
      <w:r>
        <w:rPr>
          <w:rFonts w:ascii="宋体" w:hAnsi="宋体" w:eastAsia="宋体"/>
          <w:color w:val="auto"/>
          <w:sz w:val="24"/>
          <w:highlight w:val="none"/>
        </w:rPr>
        <w:t>13</w:t>
      </w:r>
      <w:r>
        <w:rPr>
          <w:rFonts w:hint="eastAsia" w:ascii="宋体" w:hAnsi="宋体" w:eastAsia="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15.2 </w:t>
      </w:r>
      <w:r>
        <w:rPr>
          <w:rFonts w:hint="eastAsia" w:ascii="宋体" w:hAnsi="宋体" w:eastAsia="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olor w:val="auto"/>
          <w:sz w:val="24"/>
          <w:highlight w:val="none"/>
        </w:rPr>
        <w:t>16</w:t>
      </w:r>
      <w:r>
        <w:rPr>
          <w:rFonts w:hint="eastAsia" w:ascii="宋体" w:hAnsi="宋体" w:eastAsia="宋体"/>
          <w:color w:val="auto"/>
          <w:sz w:val="24"/>
          <w:highlight w:val="none"/>
        </w:rPr>
        <w:t>条关于投标保证金的退还与不予退还的规定仍然适用。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16</w:t>
      </w:r>
      <w:r>
        <w:rPr>
          <w:rFonts w:hint="eastAsia" w:ascii="宋体" w:hAnsi="宋体" w:eastAsia="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16.2</w:t>
      </w:r>
      <w:r>
        <w:rPr>
          <w:rFonts w:hint="eastAsia" w:ascii="宋体" w:hAnsi="宋体"/>
          <w:color w:val="auto"/>
          <w:sz w:val="24"/>
          <w:highlight w:val="none"/>
        </w:rPr>
        <w:t>开标时投标人没有按要求提供投标保证金的，其投标文件将被否决；未按招标文件要求提交符合免予提供投标保证金相关证明材料，且未提交投标保证金的投标人，视为未按要求提供投标保证金。</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16.3</w:t>
      </w:r>
      <w:r>
        <w:rPr>
          <w:rFonts w:hint="eastAsia" w:ascii="宋体" w:hAnsi="宋体"/>
          <w:color w:val="auto"/>
          <w:sz w:val="24"/>
          <w:szCs w:val="24"/>
          <w:highlight w:val="none"/>
        </w:rPr>
        <w:t>投标保证金应依据法律法规的相关规定退还。</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4</w:t>
      </w:r>
      <w:r>
        <w:rPr>
          <w:rFonts w:hint="eastAsia" w:ascii="宋体" w:hAnsi="宋体"/>
          <w:color w:val="auto"/>
          <w:sz w:val="24"/>
          <w:highlight w:val="none"/>
        </w:rPr>
        <w:t>.1因投标人原因造成投标文件未解密的；</w:t>
      </w:r>
    </w:p>
    <w:p>
      <w:pPr>
        <w:spacing w:line="360" w:lineRule="auto"/>
        <w:ind w:firstLine="480" w:firstLineChars="200"/>
        <w:rPr>
          <w:rFonts w:asci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2投标人在投标有效期内撤销投标文件；</w:t>
      </w:r>
    </w:p>
    <w:p>
      <w:pPr>
        <w:spacing w:line="360" w:lineRule="auto"/>
        <w:ind w:firstLine="480" w:firstLineChars="200"/>
        <w:rPr>
          <w:rFonts w:asci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3中标人未能在规定期限内按要求提交履约担保；</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4中标人未能在规定期限内签署合同协议。</w:t>
      </w:r>
    </w:p>
    <w:p>
      <w:pPr>
        <w:spacing w:line="360" w:lineRule="auto"/>
        <w:ind w:firstLine="480" w:firstLineChars="200"/>
        <w:rPr>
          <w:rFonts w:ascii="宋体"/>
          <w:color w:val="auto"/>
          <w:sz w:val="24"/>
          <w:highlight w:val="none"/>
        </w:rPr>
      </w:pPr>
      <w:r>
        <w:rPr>
          <w:rFonts w:hint="eastAsia" w:asci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color w:val="auto"/>
          <w:sz w:val="24"/>
          <w:highlight w:val="none"/>
        </w:rPr>
      </w:pPr>
      <w:r>
        <w:rPr>
          <w:rFonts w:hint="eastAsia" w:ascii="宋体"/>
          <w:color w:val="auto"/>
          <w:sz w:val="24"/>
          <w:highlight w:val="none"/>
        </w:rPr>
        <w:t>16.5.1投标人存在16.4条款所列情形且投标人提交的保函、担保或保证保险无法兑付的；</w:t>
      </w:r>
    </w:p>
    <w:p>
      <w:pPr>
        <w:spacing w:line="360" w:lineRule="auto"/>
        <w:ind w:firstLine="480" w:firstLineChars="200"/>
        <w:rPr>
          <w:rFonts w:ascii="宋体"/>
          <w:color w:val="auto"/>
          <w:sz w:val="24"/>
          <w:highlight w:val="none"/>
        </w:rPr>
      </w:pPr>
      <w:r>
        <w:rPr>
          <w:rFonts w:hint="eastAsia" w:asci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color w:val="auto"/>
          <w:sz w:val="24"/>
          <w:highlight w:val="none"/>
        </w:rPr>
      </w:pPr>
      <w:r>
        <w:rPr>
          <w:rFonts w:hint="eastAsia" w:asci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color w:val="auto"/>
          <w:sz w:val="24"/>
          <w:highlight w:val="none"/>
        </w:rPr>
      </w:pPr>
      <w:r>
        <w:rPr>
          <w:rFonts w:hint="eastAsia" w:asci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color w:val="auto"/>
          <w:sz w:val="24"/>
          <w:highlight w:val="none"/>
        </w:rPr>
        <w:t>注：16.5.3款由招标人二选一，需在招标文件中明确。</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17</w:t>
      </w:r>
      <w:r>
        <w:rPr>
          <w:rFonts w:hint="eastAsia" w:ascii="宋体" w:hAnsi="宋体" w:eastAsia="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w:t>
      </w:r>
      <w:bookmarkStart w:id="12" w:name="_Hlk71276278"/>
      <w:r>
        <w:rPr>
          <w:rFonts w:hint="eastAsia" w:ascii="宋体" w:hAnsi="宋体"/>
          <w:color w:val="auto"/>
          <w:sz w:val="24"/>
          <w:highlight w:val="none"/>
        </w:rPr>
        <w:t>应加盖个人电子印章或在线下完成后扫描上传。</w:t>
      </w:r>
      <w:bookmarkEnd w:id="12"/>
      <w:r>
        <w:rPr>
          <w:rFonts w:hint="eastAsia" w:ascii="宋体" w:hAnsi="宋体"/>
          <w:color w:val="auto"/>
          <w:sz w:val="24"/>
          <w:highlight w:val="none"/>
        </w:rPr>
        <w:t>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8"/>
        <w:spacing w:before="156" w:after="156"/>
        <w:rPr>
          <w:color w:val="auto"/>
          <w:highlight w:val="none"/>
        </w:rPr>
      </w:pPr>
      <w:bookmarkStart w:id="13" w:name="_Toc2272552"/>
      <w:r>
        <w:rPr>
          <w:rFonts w:hint="eastAsia"/>
          <w:color w:val="auto"/>
          <w:highlight w:val="none"/>
        </w:rPr>
        <w:t>（四）投标文件的提交</w:t>
      </w:r>
      <w:bookmarkEnd w:id="13"/>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18</w:t>
      </w:r>
      <w:r>
        <w:rPr>
          <w:rFonts w:hint="eastAsia" w:ascii="宋体" w:hAnsi="宋体" w:eastAsia="宋体"/>
          <w:b/>
          <w:bCs/>
          <w:color w:val="auto"/>
          <w:sz w:val="24"/>
          <w:highlight w:val="none"/>
        </w:rPr>
        <w:t>．</w:t>
      </w:r>
      <w:r>
        <w:rPr>
          <w:rFonts w:hint="eastAsia" w:ascii="宋体" w:hAnsi="宋体" w:eastAsia="宋体"/>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14" w:name="_Toc2272553"/>
      <w:r>
        <w:rPr>
          <w:rFonts w:hint="eastAsia"/>
          <w:color w:val="auto"/>
          <w:highlight w:val="none"/>
        </w:rPr>
        <w:t>（五）开标、评标、定标及合同签定</w:t>
      </w:r>
      <w:bookmarkEnd w:id="14"/>
    </w:p>
    <w:p>
      <w:pPr>
        <w:spacing w:line="360" w:lineRule="auto"/>
        <w:ind w:firstLine="480"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32</w:t>
      </w:r>
      <w:r>
        <w:rPr>
          <w:rFonts w:hint="eastAsia" w:ascii="宋体" w:hAnsi="宋体" w:eastAsia="宋体"/>
          <w:b/>
          <w:bCs/>
          <w:color w:val="auto"/>
          <w:sz w:val="24"/>
          <w:highlight w:val="none"/>
        </w:rPr>
        <w:t>．腐败与欺诈行为</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对本条款的规定，特定义如下词汇：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jc w:val="center"/>
        <w:rPr>
          <w:color w:val="auto"/>
          <w:highlight w:val="none"/>
        </w:rPr>
      </w:pPr>
      <w:r>
        <w:rPr>
          <w:rFonts w:ascii="宋体" w:hAnsi="宋体"/>
          <w:color w:val="auto"/>
          <w:sz w:val="24"/>
          <w:highlight w:val="none"/>
        </w:rPr>
        <w:br w:type="page"/>
      </w:r>
      <w:bookmarkStart w:id="15" w:name="_Toc2272554"/>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5"/>
    </w:p>
    <w:p>
      <w:pPr>
        <w:pStyle w:val="7"/>
        <w:rPr>
          <w:color w:val="auto"/>
          <w:highlight w:val="none"/>
        </w:rPr>
      </w:pPr>
      <w:bookmarkStart w:id="16" w:name="_Toc2272555"/>
      <w:r>
        <w:rPr>
          <w:rFonts w:hint="eastAsia"/>
          <w:color w:val="auto"/>
          <w:sz w:val="28"/>
          <w:szCs w:val="28"/>
          <w:highlight w:val="none"/>
        </w:rPr>
        <w:t>一、</w:t>
      </w:r>
      <w:r>
        <w:rPr>
          <w:rFonts w:hint="eastAsia"/>
          <w:color w:val="auto"/>
          <w:highlight w:val="none"/>
        </w:rPr>
        <w:t>开标、评标及定标办法修改表</w:t>
      </w:r>
      <w:bookmarkEnd w:id="16"/>
    </w:p>
    <w:p>
      <w:pPr>
        <w:pStyle w:val="5"/>
        <w:spacing w:after="0"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eastAsia="宋体"/>
          <w:b/>
          <w:color w:val="auto"/>
          <w:szCs w:val="21"/>
          <w:highlight w:val="none"/>
        </w:rPr>
        <w:t>文不再有效。本招标文件中不再转录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2"/>
          <w:rFonts w:hint="eastAsia" w:ascii="宋体" w:hAnsi="宋体" w:eastAsia="宋体"/>
          <w:b/>
          <w:color w:val="auto"/>
          <w:szCs w:val="21"/>
          <w:highlight w:val="none"/>
        </w:rPr>
        <w:t>http://zfcj.gz.gov.cn/）下载GZZB2018-3</w:t>
      </w:r>
      <w:r>
        <w:rPr>
          <w:rStyle w:val="42"/>
          <w:rFonts w:hint="eastAsia" w:ascii="宋体" w:hAnsi="宋体" w:eastAsia="宋体"/>
          <w:b/>
          <w:color w:val="auto"/>
          <w:szCs w:val="21"/>
          <w:highlight w:val="none"/>
        </w:rPr>
        <w:fldChar w:fldCharType="end"/>
      </w:r>
      <w:r>
        <w:rPr>
          <w:rFonts w:hint="eastAsia" w:ascii="宋体" w:hAnsi="宋体" w:eastAsia="宋体"/>
          <w:b/>
          <w:color w:val="auto"/>
          <w:szCs w:val="21"/>
          <w:highlight w:val="none"/>
        </w:rPr>
        <w:t>范本查阅。</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条款号：36.1             修改类型：修改</w:t>
      </w:r>
    </w:p>
    <w:p>
      <w:pPr>
        <w:spacing w:line="360" w:lineRule="auto"/>
        <w:ind w:firstLine="420" w:firstLineChars="200"/>
        <w:rPr>
          <w:rFonts w:ascii="宋体" w:hAnsi="宋体" w:cs="楷体"/>
          <w:b/>
          <w:color w:val="auto"/>
          <w:szCs w:val="21"/>
          <w:highlight w:val="none"/>
        </w:rPr>
      </w:pPr>
      <w:r>
        <w:rPr>
          <w:rFonts w:hint="eastAsia" w:ascii="宋体" w:hAnsi="宋体" w:cs="楷体"/>
          <w:b/>
          <w:color w:val="auto"/>
          <w:szCs w:val="21"/>
          <w:highlight w:val="none"/>
        </w:rPr>
        <w:t>原文：</w:t>
      </w:r>
      <w:r>
        <w:rPr>
          <w:rFonts w:hint="eastAsia" w:ascii="宋体" w:hAnsi="宋体" w:cs="楷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5" w:firstLineChars="250"/>
        <w:rPr>
          <w:rFonts w:ascii="宋体" w:hAnsi="宋体" w:cs="楷体"/>
          <w:color w:val="auto"/>
          <w:szCs w:val="21"/>
          <w:highlight w:val="none"/>
        </w:rPr>
      </w:pPr>
      <w:r>
        <w:rPr>
          <w:rFonts w:hint="eastAsia" w:ascii="宋体" w:hAnsi="宋体" w:cs="楷体"/>
          <w:b/>
          <w:color w:val="auto"/>
          <w:szCs w:val="21"/>
          <w:highlight w:val="none"/>
        </w:rPr>
        <w:t>现文：</w:t>
      </w:r>
      <w:r>
        <w:rPr>
          <w:rFonts w:hint="eastAsia" w:ascii="宋体" w:hAnsi="宋体" w:cs="楷体"/>
          <w:bCs/>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 36.3            修改类型：删除</w:t>
      </w:r>
    </w:p>
    <w:p>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b/>
          <w:color w:val="auto"/>
          <w:szCs w:val="21"/>
          <w:highlight w:val="none"/>
        </w:rPr>
      </w:pPr>
      <w:r>
        <w:rPr>
          <w:rFonts w:hint="eastAsia"/>
          <w:b/>
          <w:color w:val="auto"/>
          <w:szCs w:val="21"/>
          <w:highlight w:val="none"/>
        </w:rPr>
        <w:t xml:space="preserve">条款号：36.5.1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36.5.1在投标截止时间后半小时内，投标人通过</w:t>
      </w:r>
      <w:r>
        <w:rPr>
          <w:rFonts w:hint="eastAsia"/>
          <w:color w:val="auto"/>
          <w:szCs w:val="21"/>
          <w:highlight w:val="none"/>
          <w:u w:val="single"/>
        </w:rPr>
        <w:t>广州公共资源交易中心</w:t>
      </w:r>
      <w:r>
        <w:rPr>
          <w:rFonts w:hint="eastAsia"/>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条款号：39.3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pStyle w:val="5"/>
        <w:pBdr>
          <w:bottom w:val="single" w:color="auto" w:sz="4" w:space="1"/>
        </w:pBdr>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Style w:val="5"/>
        <w:pBdr>
          <w:bottom w:val="single" w:color="auto" w:sz="4" w:space="1"/>
        </w:pBdr>
        <w:spacing w:after="0"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eastAsia="宋体" w:cs="宋体"/>
          <w:color w:val="auto"/>
          <w:szCs w:val="21"/>
          <w:highlight w:val="none"/>
          <w:u w:val="single"/>
        </w:rPr>
        <w:t>若发现第一中标候选人或中标人委派的项目负责人已在其他在建项目中任职、不符合任职数量规定时，将取消第一中标候选人资格或中标资格。</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0" w:firstLineChars="200"/>
        <w:rPr>
          <w:b/>
          <w:color w:val="auto"/>
          <w:szCs w:val="21"/>
          <w:highlight w:val="none"/>
        </w:rPr>
      </w:pPr>
      <w:r>
        <w:rPr>
          <w:rFonts w:hint="eastAsia"/>
          <w:b/>
          <w:color w:val="auto"/>
          <w:szCs w:val="21"/>
          <w:highlight w:val="none"/>
        </w:rPr>
        <w:t xml:space="preserve">条款号：41.2.1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color w:val="auto"/>
          <w:szCs w:val="21"/>
          <w:highlight w:val="none"/>
        </w:rPr>
        <w:t>交易平台。有关投标文件提交的事项详见第一章投标须知。</w:t>
      </w:r>
    </w:p>
    <w:p>
      <w:pPr>
        <w:pBdr>
          <w:bottom w:val="single" w:color="auto" w:sz="6" w:space="1"/>
        </w:pBdr>
        <w:spacing w:line="48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41.2.1投标截止期前，各投标人递交投标文件（包括技术标投标文件、经济标投标文件）至</w:t>
      </w:r>
      <w:r>
        <w:rPr>
          <w:rFonts w:hint="eastAsia"/>
          <w:color w:val="auto"/>
          <w:szCs w:val="21"/>
          <w:highlight w:val="none"/>
          <w:u w:val="single"/>
        </w:rPr>
        <w:t>广州公共资源交易中心</w:t>
      </w:r>
      <w:r>
        <w:rPr>
          <w:rFonts w:hint="eastAsia"/>
          <w:color w:val="auto"/>
          <w:szCs w:val="21"/>
          <w:highlight w:val="none"/>
        </w:rPr>
        <w:t>交易平台。有关投标文件提交的事项详见第一章投标须知。</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条款号：42.2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70" w:firstLineChars="224"/>
        <w:rPr>
          <w:rFonts w:ascii="宋体" w:hAnsi="宋体" w:cs="宋体"/>
          <w:b/>
          <w:color w:val="auto"/>
          <w:szCs w:val="21"/>
          <w:highlight w:val="none"/>
        </w:rPr>
      </w:pPr>
      <w:r>
        <w:rPr>
          <w:rFonts w:hint="eastAsia" w:ascii="宋体" w:hAnsi="宋体" w:cs="宋体"/>
          <w:bCs/>
          <w:color w:val="auto"/>
          <w:szCs w:val="21"/>
          <w:highlight w:val="none"/>
        </w:rPr>
        <w:t xml:space="preserve">方式二：评标委员会由技术评审组和经济评审组组成。其中：资格审查、技术评审由技术评标组负责，经济评审由经济评审组负责。 </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现文：42.2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一 </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条款号：45                 修改类型：修改</w:t>
      </w:r>
    </w:p>
    <w:p>
      <w:pPr>
        <w:pStyle w:val="5"/>
        <w:tabs>
          <w:tab w:val="left" w:pos="7380"/>
        </w:tabs>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45.1若通过技术标有效性审查的投标人中投标报价均大于等于最高投标限价*D%（D的取值范围为[94,100],由招标人自主确定）的（具体金额为：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元），则本项目招标失败，由招标人依法重新招标。</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45.2按方法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45.4</w:t>
      </w:r>
      <w:r>
        <w:rPr>
          <w:rFonts w:hint="eastAsia" w:ascii="宋体" w:hAnsi="宋体" w:eastAsia="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45.1若通过技术标有效性审查的投标人中投标报价均大于等于最高投标限价</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lang w:val="en-US" w:eastAsia="zh-CN"/>
        </w:rPr>
        <w:t xml:space="preserve"> 100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（D的取值范围为[94,100],由招标人自主确定）的（具体金额为：</w:t>
      </w:r>
      <w:r>
        <w:rPr>
          <w:rFonts w:hint="eastAsia" w:ascii="宋体" w:hAnsi="宋体" w:eastAsia="宋体" w:cs="宋体"/>
          <w:color w:val="auto"/>
          <w:szCs w:val="21"/>
          <w:highlight w:val="none"/>
          <w:u w:val="single"/>
          <w:lang w:val="en-US" w:eastAsia="zh-CN"/>
        </w:rPr>
        <w:t>7697887.34</w:t>
      </w:r>
      <w:r>
        <w:rPr>
          <w:rFonts w:hint="eastAsia" w:ascii="宋体" w:hAnsi="宋体" w:eastAsia="宋体" w:cs="宋体"/>
          <w:color w:val="auto"/>
          <w:szCs w:val="21"/>
          <w:highlight w:val="none"/>
        </w:rPr>
        <w:t>元），则本项目招标失败，由招标人依法重新招标。</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45.2按方法</w:t>
      </w:r>
      <w:r>
        <w:rPr>
          <w:rFonts w:hint="eastAsia" w:ascii="宋体" w:hAnsi="宋体" w:eastAsia="宋体" w:cs="宋体"/>
          <w:color w:val="auto"/>
          <w:szCs w:val="21"/>
          <w:highlight w:val="none"/>
          <w:u w:val="single"/>
          <w:lang w:val="en-US" w:eastAsia="zh-CN"/>
        </w:rPr>
        <w:t xml:space="preserve"> 一 </w:t>
      </w:r>
      <w:r>
        <w:rPr>
          <w:rFonts w:hint="eastAsia" w:ascii="宋体" w:hAnsi="宋体" w:eastAsia="宋体" w:cs="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技术标得分前N名(如满足前述条件的投标人≥5家，则N=5；若满足前述条件的投标人＜5家，则N为满足前述条件的投标人的数量)</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其中：报价权重的计算方法为：将前N名（N=</w:t>
      </w:r>
      <w:r>
        <w:rPr>
          <w:rFonts w:ascii="宋体" w:hAnsi="宋体" w:cs="宋体"/>
          <w:color w:val="auto"/>
          <w:szCs w:val="21"/>
          <w:highlight w:val="none"/>
        </w:rPr>
        <w:t>5</w:t>
      </w:r>
      <w:r>
        <w:rPr>
          <w:rFonts w:hint="eastAsia" w:ascii="宋体" w:hAnsi="宋体" w:cs="宋体"/>
          <w:color w:val="auto"/>
          <w:szCs w:val="21"/>
          <w:highlight w:val="none"/>
        </w:rPr>
        <w:t>）投标人按技术分由高至低进行排序；第一名投标人的权重为（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报价权重计算结果四舍五入保留两位小数。</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u w:val="single"/>
        </w:rPr>
        <w:t>技术标得分相同的，以投标报价低的排前；技术标得分与投标报价排名均相同的投标人，由评标委员会采用记名投票方式，确定投标人的排序。</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45.3当标价等于评标参考价时得100分，评标价每高于评标参考价1%，扣</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lang w:val="en-US" w:eastAsia="zh-CN"/>
        </w:rPr>
        <w:t>0.3</w:t>
      </w:r>
      <w:r>
        <w:rPr>
          <w:rFonts w:hint="eastAsia" w:ascii="宋体" w:hAnsi="宋体" w:cs="宋体"/>
          <w:color w:val="auto"/>
          <w:szCs w:val="21"/>
          <w:highlight w:val="none"/>
        </w:rPr>
        <w:t>分，扣至0分为止，得出经济分，精确到小数点后两位。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投标人总得分=技术分（满分100分）×技术得分权重（20%）+经济分（满分100分）×经济得分权重（80%）。</w:t>
      </w:r>
      <w:r>
        <w:rPr>
          <w:rFonts w:hint="eastAsia" w:ascii="宋体" w:hAnsi="宋体" w:cs="宋体"/>
          <w:color w:val="auto"/>
          <w:szCs w:val="21"/>
          <w:highlight w:val="none"/>
        </w:rPr>
        <w:t>总得分四舍五入保留两位小数。</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的排序。</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详见附表一《资格审查表》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详见附表二《技术标有效性审查表》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详见附表三《经济标有效性审查表》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详见附表四《技术标详细审查评分表》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spacing w:line="360" w:lineRule="auto"/>
        <w:ind w:firstLine="210" w:firstLineChars="100"/>
        <w:rPr>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17" w:name="_Toc2272556"/>
      <w:r>
        <w:rPr>
          <w:rFonts w:hint="eastAsia"/>
          <w:color w:val="auto"/>
          <w:highlight w:val="none"/>
        </w:rPr>
        <w:t>二、开标、评标及定标办法</w:t>
      </w:r>
      <w:r>
        <w:rPr>
          <w:rFonts w:hint="eastAsia"/>
          <w:color w:val="auto"/>
          <w:szCs w:val="30"/>
          <w:highlight w:val="none"/>
        </w:rPr>
        <w:t>通用条款</w:t>
      </w:r>
      <w:bookmarkEnd w:id="17"/>
    </w:p>
    <w:p>
      <w:pPr>
        <w:pStyle w:val="8"/>
        <w:spacing w:before="156" w:after="156"/>
        <w:ind w:firstLine="540" w:firstLineChars="200"/>
        <w:rPr>
          <w:color w:val="auto"/>
          <w:highlight w:val="none"/>
        </w:rPr>
      </w:pPr>
      <w:bookmarkStart w:id="18" w:name="_Toc2272557"/>
      <w:r>
        <w:rPr>
          <w:rFonts w:hint="eastAsia"/>
          <w:color w:val="auto"/>
          <w:highlight w:val="none"/>
        </w:rPr>
        <w:t>（一）总则</w:t>
      </w:r>
      <w:bookmarkEnd w:id="18"/>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19" w:name="_Toc2272558"/>
      <w:r>
        <w:rPr>
          <w:rFonts w:hint="eastAsia"/>
          <w:color w:val="auto"/>
          <w:highlight w:val="none"/>
        </w:rPr>
        <w:t>（二）开标评标办法程序和细则</w:t>
      </w:r>
      <w:bookmarkEnd w:id="19"/>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w:t>
      </w:r>
      <w:r>
        <w:rPr>
          <w:rFonts w:hint="eastAsia" w:ascii="宋体" w:hAnsi="宋体"/>
          <w:color w:val="auto"/>
          <w:sz w:val="24"/>
          <w:szCs w:val="24"/>
          <w:highlight w:val="none"/>
          <w:lang w:eastAsia="zh-CN"/>
        </w:rPr>
        <w:t>八</w:t>
      </w:r>
      <w:r>
        <w:rPr>
          <w:rFonts w:hint="eastAsia" w:ascii="宋体" w:hAnsi="宋体"/>
          <w:color w:val="auto"/>
          <w:sz w:val="24"/>
          <w:szCs w:val="24"/>
          <w:highlight w:val="none"/>
        </w:rPr>
        <w:t>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rPr>
          <w:rFonts w:ascii="宋体" w:hAnsi="宋体"/>
          <w:color w:val="auto"/>
          <w:sz w:val="24"/>
          <w:szCs w:val="24"/>
          <w:highlight w:val="none"/>
        </w:rPr>
      </w:pPr>
    </w:p>
    <w:p>
      <w:pPr>
        <w:pStyle w:val="8"/>
        <w:spacing w:before="156" w:after="156"/>
        <w:ind w:firstLine="540" w:firstLineChars="200"/>
        <w:rPr>
          <w:color w:val="auto"/>
          <w:highlight w:val="none"/>
        </w:rPr>
      </w:pPr>
      <w:bookmarkStart w:id="20" w:name="_Toc2272564"/>
      <w:r>
        <w:rPr>
          <w:rFonts w:hint="eastAsia"/>
          <w:color w:val="auto"/>
          <w:highlight w:val="none"/>
        </w:rPr>
        <w:t>可选办法七（适合综合评分法四，技术标与经济标同时开启）</w:t>
      </w:r>
      <w:bookmarkEnd w:id="20"/>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42.2评标委员会的组成：方式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eastAsia="宋体"/>
          <w:color w:val="auto"/>
          <w:sz w:val="24"/>
          <w:szCs w:val="24"/>
          <w:highlight w:val="none"/>
        </w:rPr>
        <w:t xml:space="preserve"> 45.2按方法</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计算评标参考价：</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45.4计算通过技术标有效性审查的投标人总得分。投标人总得分=（技术得分×技术得分权重</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经济得分×经济得分权重）×（1-综合诚信评价分数权重）</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widowControl/>
        <w:jc w:val="left"/>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96"/>
        <w:gridCol w:w="3866"/>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持有项目负责人安全生产考核合格证（B类）或建筑施工企业项目负责人安全生产考核合格证</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w:t>
            </w:r>
            <w:r>
              <w:rPr>
                <w:rFonts w:hint="eastAsia"/>
                <w:color w:val="auto"/>
                <w:highlight w:val="none"/>
              </w:rPr>
              <w:t>生产</w:t>
            </w:r>
            <w:r>
              <w:rPr>
                <w:rFonts w:hint="eastAsia" w:ascii="宋体" w:hAnsi="宋体"/>
                <w:color w:val="auto"/>
                <w:szCs w:val="21"/>
                <w:highlight w:val="none"/>
              </w:rPr>
              <w:t>考核合格证（</w:t>
            </w:r>
            <w:r>
              <w:rPr>
                <w:rFonts w:hint="eastAsia"/>
                <w:color w:val="auto"/>
                <w:highlight w:val="none"/>
              </w:rPr>
              <w:t>B类</w:t>
            </w:r>
            <w:r>
              <w:rPr>
                <w:rFonts w:hint="eastAsia" w:ascii="宋体" w:hAnsi="宋体"/>
                <w:color w:val="auto"/>
                <w:szCs w:val="21"/>
                <w:highlight w:val="none"/>
              </w:rPr>
              <w:t>）或建筑施工企业项目负责人安全生产考核合格证在广州市住建行业信用管理平台内上传件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w:t>
            </w:r>
            <w:r>
              <w:rPr>
                <w:rFonts w:hint="eastAsia" w:ascii="宋体" w:hAnsi="宋体"/>
                <w:color w:val="auto"/>
                <w:szCs w:val="21"/>
                <w:highlight w:val="none"/>
                <w:u w:val="single"/>
              </w:rPr>
              <w:t>详见招标公告</w:t>
            </w:r>
            <w:r>
              <w:rPr>
                <w:rFonts w:hint="eastAsia" w:ascii="宋体" w:hAnsi="宋体"/>
                <w:color w:val="auto"/>
                <w:szCs w:val="21"/>
                <w:highlight w:val="none"/>
              </w:rPr>
              <w:t>）</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专职安全员须具有安全生产考核合格证（C类）或建筑施工企业专职安全生产管理人员安全生产考核合格证（C</w:t>
            </w:r>
            <w:r>
              <w:rPr>
                <w:rFonts w:hint="eastAsia"/>
                <w:color w:val="auto"/>
                <w:highlight w:val="none"/>
                <w:lang w:eastAsia="zh-CN"/>
              </w:rPr>
              <w:t>3</w:t>
            </w:r>
            <w:r>
              <w:rPr>
                <w:rFonts w:hint="eastAsia"/>
                <w:color w:val="auto"/>
                <w:highlight w:val="none"/>
              </w:rPr>
              <w:t>）</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专职安全员的安全生产考核合格证（C类）或建筑施工企业专职安全生产管理人员安全生产考核合格证（C</w:t>
            </w:r>
            <w:r>
              <w:rPr>
                <w:rFonts w:hint="eastAsia"/>
                <w:color w:val="auto"/>
                <w:highlight w:val="none"/>
                <w:lang w:eastAsia="zh-CN"/>
              </w:rPr>
              <w:t>3</w:t>
            </w:r>
            <w:r>
              <w:rPr>
                <w:rFonts w:hint="eastAsia"/>
                <w:color w:val="auto"/>
                <w:highlight w:val="none"/>
              </w:rPr>
              <w:t>）在广州市住建行业信用管理平台内上传件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8</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投标人完成过的类似工程业绩符合公告要求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业绩在广州市住建行业信用管理平台内的相关上传件（选择性条款）</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关于联合体投标：本项目不接受联合体投标</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 w:val="21"/>
                <w:szCs w:val="21"/>
                <w:highlight w:val="none"/>
                <w:u w:val="none"/>
                <w:lang w:val="en-US" w:eastAsia="zh-CN"/>
              </w:rPr>
              <w:t>/</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w:t>
            </w:r>
            <w:r>
              <w:rPr>
                <w:rFonts w:hint="eastAsia" w:ascii="宋体" w:hAnsi="宋体" w:cs="宋体"/>
                <w:color w:val="auto"/>
                <w:szCs w:val="21"/>
                <w:highlight w:val="none"/>
              </w:rPr>
              <w:t>投标人</w:t>
            </w:r>
            <w:r>
              <w:rPr>
                <w:rFonts w:hint="eastAsia" w:ascii="宋体" w:hAnsi="宋体"/>
                <w:color w:val="auto"/>
                <w:szCs w:val="21"/>
                <w:highlight w:val="none"/>
              </w:rPr>
              <w:t>须</w:t>
            </w:r>
            <w:r>
              <w:rPr>
                <w:rFonts w:ascii="宋体" w:hAnsi="宋体"/>
                <w:color w:val="auto"/>
                <w:szCs w:val="21"/>
                <w:highlight w:val="none"/>
              </w:rPr>
              <w:t>在</w:t>
            </w:r>
            <w:r>
              <w:rPr>
                <w:rFonts w:hint="eastAsia" w:ascii="宋体" w:hAnsi="宋体"/>
                <w:color w:val="auto"/>
                <w:szCs w:val="21"/>
                <w:highlight w:val="none"/>
                <w:lang w:eastAsia="zh-CN"/>
              </w:rPr>
              <w:t>广州市住房和城乡建设局建立企业信用档案</w:t>
            </w:r>
            <w:r>
              <w:rPr>
                <w:rFonts w:hint="eastAsia" w:ascii="宋体" w:hAnsi="宋体"/>
                <w:color w:val="auto"/>
                <w:szCs w:val="21"/>
                <w:highlight w:val="none"/>
              </w:rPr>
              <w:t>及拟担任本工程项目负责人、专职安全员须是本企业中的在册人员</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w:t>
            </w:r>
            <w:r>
              <w:rPr>
                <w:rFonts w:hint="eastAsia" w:ascii="宋体" w:hAnsi="宋体"/>
                <w:color w:val="auto"/>
                <w:szCs w:val="21"/>
                <w:highlight w:val="none"/>
                <w:lang w:eastAsia="zh-CN"/>
              </w:rPr>
              <w:t>信用</w:t>
            </w:r>
            <w:r>
              <w:rPr>
                <w:rFonts w:hint="eastAsia" w:ascii="宋体" w:hAnsi="宋体"/>
                <w:color w:val="auto"/>
                <w:szCs w:val="21"/>
                <w:highlight w:val="none"/>
              </w:rPr>
              <w:t>档案的企业和人员信息</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ascii="宋体" w:hAnsi="宋体"/>
                <w:strike/>
                <w:color w:val="auto"/>
                <w:szCs w:val="21"/>
                <w:highlight w:val="none"/>
              </w:rPr>
              <w:t>1</w:t>
            </w:r>
            <w:r>
              <w:rPr>
                <w:rFonts w:hint="eastAsia" w:ascii="宋体" w:hAnsi="宋体"/>
                <w:strike/>
                <w:color w:val="auto"/>
                <w:szCs w:val="21"/>
                <w:highlight w:val="none"/>
              </w:rPr>
              <w:t>3</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投标人具有在广州地区可使用适合本工程的</w:t>
            </w:r>
            <w:r>
              <w:rPr>
                <w:rFonts w:ascii="宋体" w:hAnsi="宋体"/>
                <w:strike/>
                <w:color w:val="auto"/>
                <w:szCs w:val="21"/>
                <w:highlight w:val="none"/>
              </w:rPr>
              <w:t xml:space="preserve"> </w:t>
            </w:r>
            <w:r>
              <w:rPr>
                <w:rFonts w:hint="eastAsia" w:ascii="宋体" w:hAnsi="宋体"/>
                <w:strike/>
                <w:color w:val="auto"/>
                <w:szCs w:val="21"/>
                <w:highlight w:val="none"/>
                <w:u w:val="single"/>
              </w:rPr>
              <w:t>（规格）</w:t>
            </w:r>
            <w:r>
              <w:rPr>
                <w:rFonts w:ascii="宋体" w:hAnsi="宋体"/>
                <w:strike/>
                <w:color w:val="auto"/>
                <w:szCs w:val="21"/>
                <w:highlight w:val="none"/>
                <w:u w:val="single"/>
              </w:rPr>
              <w:t xml:space="preserve"> </w:t>
            </w:r>
            <w:r>
              <w:rPr>
                <w:rFonts w:hint="eastAsia" w:ascii="宋体" w:hAnsi="宋体"/>
                <w:strike/>
                <w:color w:val="auto"/>
                <w:szCs w:val="21"/>
                <w:highlight w:val="none"/>
              </w:rPr>
              <w:t>沥青摊铺机</w:t>
            </w:r>
            <w:r>
              <w:rPr>
                <w:rFonts w:ascii="宋体" w:hAnsi="宋体"/>
                <w:strike/>
                <w:color w:val="auto"/>
                <w:szCs w:val="21"/>
                <w:highlight w:val="none"/>
              </w:rPr>
              <w:t xml:space="preserve">    </w:t>
            </w:r>
            <w:r>
              <w:rPr>
                <w:rFonts w:ascii="宋体" w:hAnsi="宋体"/>
                <w:strike/>
                <w:color w:val="auto"/>
                <w:szCs w:val="21"/>
                <w:highlight w:val="none"/>
                <w:u w:val="single"/>
              </w:rPr>
              <w:t xml:space="preserve">      </w:t>
            </w:r>
            <w:r>
              <w:rPr>
                <w:rFonts w:hint="eastAsia" w:ascii="宋体" w:hAnsi="宋体"/>
                <w:strike/>
                <w:color w:val="auto"/>
                <w:szCs w:val="21"/>
                <w:highlight w:val="none"/>
              </w:rPr>
              <w:t>台（如有）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沥青摊铺机自有发票或权属证明及设备现场全貌彩照（彩照须能反映其规格型号）</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14</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color w:val="auto"/>
                <w:szCs w:val="21"/>
                <w:highlight w:val="none"/>
              </w:rPr>
            </w:pPr>
            <w:r>
              <w:rPr>
                <w:rFonts w:hint="eastAsia" w:ascii="宋体" w:hAnsi="宋体" w:cs="宋体"/>
                <w:strike/>
                <w:dstrike w:val="0"/>
                <w:color w:val="auto"/>
                <w:szCs w:val="21"/>
                <w:highlight w:val="none"/>
              </w:rPr>
              <w:t>投标人（若为联合体，指联合体各成员）</w:t>
            </w:r>
            <w:r>
              <w:rPr>
                <w:rFonts w:hint="eastAsia" w:ascii="宋体" w:hAnsi="宋体"/>
                <w:strike/>
                <w:dstrike w:val="0"/>
                <w:color w:val="auto"/>
                <w:szCs w:val="21"/>
                <w:highlight w:val="none"/>
              </w:rPr>
              <w:t>未在以往工程中因不诚信行为或不充分履约行为被本项目招标人书面拒绝投标的（如有）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color w:val="auto"/>
                <w:szCs w:val="21"/>
                <w:highlight w:val="none"/>
                <w:u w:val="single"/>
              </w:rPr>
            </w:pPr>
            <w:r>
              <w:rPr>
                <w:rFonts w:hint="eastAsia" w:ascii="宋体" w:hAnsi="宋体"/>
                <w:strike/>
                <w:dstrike w:val="0"/>
                <w:color w:val="auto"/>
                <w:szCs w:val="21"/>
                <w:highlight w:val="none"/>
                <w:u w:val="none"/>
              </w:rPr>
              <w:t>具体要求由招标人明确</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15</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未出现以下情形：与其它投标人的单位负责人为同一人或者存在控股、管理关系的（按投标人提供的《投标人声明》第八条内容进行评审）。</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16</w:t>
            </w:r>
          </w:p>
        </w:tc>
        <w:tc>
          <w:tcPr>
            <w:tcW w:w="399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s="宋体"/>
                <w:color w:val="auto"/>
                <w:szCs w:val="21"/>
                <w:highlight w:val="none"/>
              </w:rPr>
              <w:t>投标人未被列入拖欠农民工工资失信联合惩戒对象名单</w:t>
            </w:r>
            <w:r>
              <w:rPr>
                <w:rFonts w:hint="eastAsia" w:ascii="宋体" w:hAnsi="宋体" w:cs="宋体"/>
                <w:color w:val="auto"/>
                <w:szCs w:val="21"/>
                <w:highlight w:val="none"/>
                <w:lang w:eastAsia="zh-CN"/>
              </w:rPr>
              <w:t>。</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36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36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36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360" w:lineRule="auto"/>
        <w:ind w:firstLine="470" w:firstLineChars="224"/>
        <w:rPr>
          <w:color w:val="auto"/>
          <w:highlight w:val="none"/>
        </w:rPr>
        <w:sectPr>
          <w:footerReference r:id="rId3" w:type="default"/>
          <w:footerReference r:id="rId4" w:type="even"/>
          <w:endnotePr>
            <w:numFmt w:val="decimal"/>
          </w:endnotePr>
          <w:pgSz w:w="11906" w:h="16838"/>
          <w:pgMar w:top="1247" w:right="1418" w:bottom="1247" w:left="1418" w:header="851" w:footer="907" w:gutter="0"/>
          <w:pgNumType w:start="0"/>
          <w:cols w:space="720" w:num="1"/>
          <w:titlePg/>
          <w:docGrid w:type="linesAndChars" w:linePitch="312" w:charSpace="0"/>
        </w:sectPr>
      </w:pPr>
      <w:r>
        <w:rPr>
          <w:rFonts w:hint="default" w:ascii="宋体" w:hAnsi="宋体"/>
          <w:color w:val="auto"/>
          <w:szCs w:val="21"/>
          <w:highlight w:val="none"/>
        </w:rPr>
        <w:t>3</w:t>
      </w:r>
      <w:r>
        <w:rPr>
          <w:rFonts w:hint="default" w:ascii="宋体" w:hAnsi="宋体"/>
          <w:color w:val="auto"/>
          <w:szCs w:val="21"/>
          <w:highlight w:val="none"/>
          <w:lang w:eastAsia="zh-CN"/>
        </w:rPr>
        <w:t>、</w:t>
      </w:r>
      <w:r>
        <w:rPr>
          <w:rFonts w:hint="default" w:ascii="宋体" w:hAnsi="宋体"/>
          <w:color w:val="auto"/>
          <w:szCs w:val="21"/>
          <w:highlight w:val="none"/>
        </w:rPr>
        <w:t>不</w:t>
      </w:r>
      <w:r>
        <w:rPr>
          <w:rFonts w:hint="eastAsia"/>
          <w:color w:val="auto"/>
          <w:highlight w:val="none"/>
        </w:rPr>
        <w:t>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5"/>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174"/>
        <w:gridCol w:w="1559"/>
        <w:gridCol w:w="1560"/>
        <w:gridCol w:w="1559"/>
        <w:gridCol w:w="1417"/>
        <w:gridCol w:w="141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174"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不符合招标文件要求的质量标准；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3</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在技术投标文件中涉及本工程项目投标报价的；（本条适用于技术标和经济标分别开启的招标项目）</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投标文件未按规定的格式填写，或主要内容不全，或关键字迹模糊、无法辨认的；（投标文件规定的格式（即参与评审的格式）为技术标部分带★号的格式）</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8</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投标人未按要求提交投标保证金的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9</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20" w:firstLineChars="200"/>
        <w:rPr>
          <w:rFonts w:hint="eastAsia"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5"/>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9"/>
        <w:gridCol w:w="1340"/>
        <w:gridCol w:w="1340"/>
        <w:gridCol w:w="1340"/>
        <w:gridCol w:w="1340"/>
        <w:gridCol w:w="134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439"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投标报价低于成本的（投标人的报价低于成本警戒价，使得其投标报价可能低于其个别成本，又不能合理说明或者不能提供相关证明材料，评标委员会认定该投标人低于成本报价的）；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投标文件未按规定的格式填写，或主要内容不全，或关键字迹模糊、无法辨认的；（投标文件规定的格式（即参与评审的格式）为经济标部分带★号的格式）</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6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投标人与本项目其他投标人的投标文件工程量清单编制机器硬件</w:t>
            </w:r>
          </w:p>
          <w:p>
            <w:pPr>
              <w:keepNext w:val="0"/>
              <w:keepLines w:val="0"/>
              <w:widowControl/>
              <w:suppressLineNumbers w:val="0"/>
              <w:jc w:val="left"/>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信息一致的（以交易平台评标系统的检索信息为准）</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5"/>
        <w:ind w:firstLine="45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hint="eastAsia" w:ascii="宋体" w:hAnsi="宋体"/>
          <w:color w:val="auto"/>
          <w:szCs w:val="21"/>
          <w:highlight w:val="none"/>
        </w:rPr>
      </w:pPr>
    </w:p>
    <w:p>
      <w:pPr>
        <w:pStyle w:val="5"/>
        <w:ind w:firstLine="458"/>
        <w:rPr>
          <w:rFonts w:ascii="宋体" w:hAnsi="宋体" w:eastAsia="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技术标详细审查评分表</w:t>
      </w:r>
    </w:p>
    <w:p>
      <w:pPr>
        <w:rPr>
          <w:rFonts w:hint="eastAsia" w:ascii="宋体" w:hAnsi="宋体" w:cs="宋体"/>
          <w:color w:val="000000"/>
          <w:szCs w:val="21"/>
          <w:highlight w:val="none"/>
        </w:rPr>
      </w:pPr>
      <w:r>
        <w:rPr>
          <w:rFonts w:hint="eastAsia" w:ascii="宋体" w:hAnsi="宋体" w:cs="宋体"/>
          <w:color w:val="000000"/>
          <w:szCs w:val="21"/>
          <w:highlight w:val="none"/>
        </w:rPr>
        <w:t>工程名称：</w:t>
      </w:r>
    </w:p>
    <w:tbl>
      <w:tblPr>
        <w:tblStyle w:val="35"/>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905"/>
        <w:gridCol w:w="654"/>
        <w:gridCol w:w="1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4" w:hRule="atLeast"/>
          <w:jc w:val="center"/>
        </w:trPr>
        <w:tc>
          <w:tcPr>
            <w:tcW w:w="1251" w:type="dxa"/>
            <w:shd w:val="clear" w:color="auto" w:fill="FFFFFF"/>
            <w:noWrap w:val="0"/>
            <w:vAlign w:val="center"/>
          </w:tcPr>
          <w:p>
            <w:pPr>
              <w:widowControl/>
              <w:spacing w:line="276" w:lineRule="auto"/>
              <w:jc w:val="center"/>
              <w:rPr>
                <w:rFonts w:ascii="宋体" w:hAnsi="宋体" w:eastAsia="宋体" w:cs="宋体"/>
                <w:color w:val="000000"/>
                <w:kern w:val="0"/>
                <w:sz w:val="21"/>
                <w:szCs w:val="21"/>
                <w:highlight w:val="none"/>
                <w:shd w:val="clear" w:color="auto" w:fill="FFFFFF"/>
                <w:lang w:val="zh-TW" w:eastAsia="zh-CN" w:bidi="ar-SA"/>
              </w:rPr>
            </w:pPr>
            <w:r>
              <w:rPr>
                <w:rFonts w:hint="eastAsia" w:ascii="宋体" w:hAnsi="宋体" w:cs="宋体"/>
                <w:bCs/>
                <w:kern w:val="0"/>
                <w:szCs w:val="21"/>
                <w:highlight w:val="none"/>
              </w:rPr>
              <w:t>评分项目</w:t>
            </w:r>
          </w:p>
        </w:tc>
        <w:tc>
          <w:tcPr>
            <w:tcW w:w="1905" w:type="dxa"/>
            <w:shd w:val="clear" w:color="auto" w:fill="FFFFFF"/>
            <w:noWrap w:val="0"/>
            <w:vAlign w:val="center"/>
          </w:tcPr>
          <w:p>
            <w:pPr>
              <w:widowControl/>
              <w:spacing w:line="276" w:lineRule="auto"/>
              <w:jc w:val="center"/>
              <w:rPr>
                <w:rFonts w:ascii="宋体" w:hAnsi="宋体" w:eastAsia="宋体" w:cs="Times New Roman"/>
                <w:b/>
                <w:bCs/>
                <w:kern w:val="2"/>
                <w:sz w:val="21"/>
                <w:szCs w:val="21"/>
                <w:highlight w:val="none"/>
                <w:lang w:val="en-US" w:eastAsia="zh-CN" w:bidi="ar-SA"/>
              </w:rPr>
            </w:pPr>
            <w:r>
              <w:rPr>
                <w:rFonts w:hint="eastAsia" w:ascii="宋体" w:hAnsi="宋体" w:cs="宋体"/>
                <w:bCs/>
                <w:kern w:val="0"/>
                <w:szCs w:val="21"/>
                <w:highlight w:val="none"/>
              </w:rPr>
              <w:t>评分内容</w:t>
            </w:r>
          </w:p>
        </w:tc>
        <w:tc>
          <w:tcPr>
            <w:tcW w:w="654" w:type="dxa"/>
            <w:shd w:val="clear" w:color="auto" w:fill="FFFFFF"/>
            <w:noWrap w:val="0"/>
            <w:vAlign w:val="center"/>
          </w:tcPr>
          <w:p>
            <w:pPr>
              <w:widowControl/>
              <w:spacing w:line="276" w:lineRule="auto"/>
              <w:jc w:val="center"/>
              <w:rPr>
                <w:rFonts w:ascii="宋体" w:hAnsi="宋体" w:eastAsia="宋体" w:cs="宋体"/>
                <w:color w:val="000000"/>
                <w:kern w:val="0"/>
                <w:sz w:val="21"/>
                <w:szCs w:val="21"/>
                <w:highlight w:val="none"/>
                <w:lang w:val="en-US" w:eastAsia="zh-CN" w:bidi="ar-SA"/>
              </w:rPr>
            </w:pPr>
            <w:r>
              <w:rPr>
                <w:rFonts w:hint="eastAsia" w:ascii="宋体" w:hAnsi="宋体" w:cs="宋体"/>
                <w:bCs/>
                <w:kern w:val="0"/>
                <w:szCs w:val="21"/>
                <w:highlight w:val="none"/>
              </w:rPr>
              <w:t>分值</w:t>
            </w:r>
          </w:p>
        </w:tc>
        <w:tc>
          <w:tcPr>
            <w:tcW w:w="11559" w:type="dxa"/>
            <w:shd w:val="clear" w:color="auto" w:fill="FFFFFF"/>
            <w:noWrap w:val="0"/>
            <w:vAlign w:val="center"/>
          </w:tcPr>
          <w:p>
            <w:pPr>
              <w:widowControl/>
              <w:spacing w:line="276" w:lineRule="auto"/>
              <w:jc w:val="center"/>
              <w:rPr>
                <w:rFonts w:ascii="宋体" w:hAnsi="宋体" w:eastAsia="宋体" w:cs="宋体"/>
                <w:kern w:val="2"/>
                <w:sz w:val="21"/>
                <w:szCs w:val="21"/>
                <w:highlight w:val="none"/>
                <w:lang w:val="en-US" w:eastAsia="zh-CN" w:bidi="ar-SA"/>
              </w:rPr>
            </w:pPr>
            <w:r>
              <w:rPr>
                <w:rFonts w:hint="eastAsia" w:ascii="宋体" w:hAnsi="宋体" w:cs="宋体"/>
                <w:bCs/>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0" w:hRule="atLeast"/>
          <w:jc w:val="center"/>
        </w:trPr>
        <w:tc>
          <w:tcPr>
            <w:tcW w:w="1251" w:type="dxa"/>
            <w:vMerge w:val="restart"/>
            <w:shd w:val="clear" w:color="auto" w:fill="FFFFFF"/>
            <w:noWrap w:val="0"/>
            <w:vAlign w:val="center"/>
          </w:tcPr>
          <w:p>
            <w:pPr>
              <w:snapToGrid w:val="0"/>
              <w:jc w:val="center"/>
              <w:rPr>
                <w:rFonts w:ascii="宋体" w:hAnsi="宋体" w:eastAsia="宋体" w:cs="宋体"/>
                <w:color w:val="000000"/>
                <w:kern w:val="0"/>
                <w:sz w:val="21"/>
                <w:szCs w:val="21"/>
                <w:highlight w:val="none"/>
                <w:lang w:val="en-US" w:eastAsia="zh-CN" w:bidi="ar-SA"/>
              </w:rPr>
            </w:pPr>
            <w:r>
              <w:rPr>
                <w:rFonts w:ascii="宋体" w:hAnsi="宋体" w:cs="宋体"/>
                <w:color w:val="000000"/>
                <w:kern w:val="0"/>
                <w:szCs w:val="21"/>
                <w:highlight w:val="none"/>
                <w:shd w:val="clear" w:color="auto" w:fill="FFFFFF"/>
                <w:lang w:val="zh-TW"/>
              </w:rPr>
              <w:t>项目管理机构能力</w:t>
            </w:r>
            <w:r>
              <w:rPr>
                <w:rFonts w:ascii="宋体" w:hAnsi="宋体" w:cs="Century Schoolbook"/>
                <w:bCs/>
                <w:color w:val="000000"/>
                <w:spacing w:val="10"/>
                <w:kern w:val="0"/>
                <w:szCs w:val="21"/>
                <w:highlight w:val="none"/>
                <w:shd w:val="clear" w:color="auto" w:fill="FFFFFF"/>
              </w:rPr>
              <w:t>(</w:t>
            </w:r>
            <w:r>
              <w:rPr>
                <w:rFonts w:hint="eastAsia" w:ascii="宋体" w:hAnsi="宋体" w:cs="Century Schoolbook"/>
                <w:bCs/>
                <w:color w:val="000000"/>
                <w:spacing w:val="10"/>
                <w:kern w:val="0"/>
                <w:szCs w:val="21"/>
                <w:highlight w:val="none"/>
                <w:shd w:val="clear" w:color="auto" w:fill="FFFFFF"/>
              </w:rPr>
              <w:t>70</w:t>
            </w:r>
            <w:r>
              <w:rPr>
                <w:rFonts w:hint="eastAsia" w:ascii="宋体" w:hAnsi="宋体" w:cs="宋体"/>
                <w:color w:val="000000"/>
                <w:kern w:val="0"/>
                <w:szCs w:val="21"/>
                <w:highlight w:val="none"/>
                <w:shd w:val="clear" w:color="auto" w:fill="FFFFFF"/>
                <w:lang w:val="zh-TW"/>
              </w:rPr>
              <w:t>分</w:t>
            </w:r>
            <w:r>
              <w:rPr>
                <w:rFonts w:ascii="宋体" w:hAnsi="宋体" w:cs="宋体"/>
                <w:color w:val="000000"/>
                <w:kern w:val="0"/>
                <w:szCs w:val="21"/>
                <w:highlight w:val="none"/>
                <w:shd w:val="clear" w:color="auto" w:fill="FFFFFF"/>
                <w:lang w:val="zh-TW"/>
              </w:rPr>
              <w:t>)</w:t>
            </w:r>
          </w:p>
          <w:p>
            <w:pPr>
              <w:snapToGrid w:val="0"/>
              <w:jc w:val="center"/>
              <w:rPr>
                <w:rFonts w:ascii="宋体" w:hAnsi="宋体" w:eastAsia="宋体" w:cs="宋体"/>
                <w:color w:val="000000"/>
                <w:kern w:val="0"/>
                <w:sz w:val="21"/>
                <w:szCs w:val="21"/>
                <w:highlight w:val="none"/>
                <w:lang w:val="en-US" w:eastAsia="zh-CN" w:bidi="ar-SA"/>
              </w:rPr>
            </w:pPr>
          </w:p>
          <w:p>
            <w:pPr>
              <w:snapToGrid w:val="0"/>
              <w:jc w:val="center"/>
              <w:rPr>
                <w:rFonts w:ascii="宋体" w:hAnsi="宋体" w:cs="宋体"/>
                <w:color w:val="000000"/>
                <w:kern w:val="0"/>
                <w:szCs w:val="21"/>
                <w:highlight w:val="none"/>
              </w:rPr>
            </w:pPr>
          </w:p>
        </w:tc>
        <w:tc>
          <w:tcPr>
            <w:tcW w:w="1905" w:type="dxa"/>
            <w:shd w:val="clear" w:color="auto" w:fill="FFFFFF"/>
            <w:noWrap w:val="0"/>
            <w:vAlign w:val="center"/>
          </w:tcPr>
          <w:p>
            <w:pPr>
              <w:spacing w:before="100" w:beforeAutospacing="1" w:after="100" w:afterAutospacing="1" w:line="408" w:lineRule="auto"/>
              <w:jc w:val="center"/>
              <w:rPr>
                <w:rFonts w:ascii="宋体" w:hAnsi="宋体" w:eastAsia="宋体" w:cs="宋体"/>
                <w:b/>
                <w:bCs/>
                <w:color w:val="000000"/>
                <w:kern w:val="2"/>
                <w:sz w:val="21"/>
                <w:szCs w:val="21"/>
                <w:highlight w:val="none"/>
                <w:lang w:val="en-US" w:eastAsia="zh-CN" w:bidi="ar-SA"/>
              </w:rPr>
            </w:pPr>
            <w:r>
              <w:rPr>
                <w:rFonts w:hint="eastAsia" w:ascii="宋体" w:hAnsi="宋体" w:cs="宋体"/>
                <w:b/>
                <w:bCs/>
                <w:color w:val="000000"/>
                <w:szCs w:val="21"/>
                <w:highlight w:val="none"/>
              </w:rPr>
              <w:t>项目负责人</w:t>
            </w:r>
          </w:p>
        </w:tc>
        <w:tc>
          <w:tcPr>
            <w:tcW w:w="654" w:type="dxa"/>
            <w:shd w:val="clear" w:color="auto" w:fill="FFFFFF"/>
            <w:noWrap w:val="0"/>
            <w:vAlign w:val="center"/>
          </w:tcPr>
          <w:p>
            <w:pPr>
              <w:spacing w:before="100" w:beforeAutospacing="1" w:after="100" w:afterAutospacing="1" w:line="408" w:lineRule="auto"/>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15</w:t>
            </w:r>
          </w:p>
        </w:tc>
        <w:tc>
          <w:tcPr>
            <w:tcW w:w="11559" w:type="dxa"/>
            <w:shd w:val="clear" w:color="auto" w:fill="FFFFFF"/>
            <w:noWrap w:val="0"/>
            <w:vAlign w:val="center"/>
          </w:tcPr>
          <w:p>
            <w:pPr>
              <w:widowControl/>
              <w:jc w:val="left"/>
              <w:rPr>
                <w:rFonts w:hint="eastAsia" w:ascii="宋体" w:hAnsi="宋体" w:cs="宋体"/>
                <w:color w:val="000000"/>
                <w:szCs w:val="21"/>
                <w:highlight w:val="none"/>
              </w:rPr>
            </w:pPr>
            <w:r>
              <w:rPr>
                <w:rFonts w:hint="eastAsia" w:ascii="宋体" w:hAnsi="宋体" w:cs="宋体"/>
                <w:color w:val="000000"/>
                <w:szCs w:val="21"/>
                <w:highlight w:val="none"/>
              </w:rPr>
              <w:t>具有建筑工程相关专业中级</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或以上）</w:t>
            </w:r>
            <w:r>
              <w:rPr>
                <w:rFonts w:hint="eastAsia" w:ascii="宋体" w:hAnsi="宋体" w:cs="宋体"/>
                <w:color w:val="000000"/>
                <w:szCs w:val="21"/>
                <w:highlight w:val="none"/>
              </w:rPr>
              <w:t>技术职称的，得</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5分；其他情况不得分。</w:t>
            </w:r>
          </w:p>
          <w:p>
            <w:pPr>
              <w:widowControl/>
              <w:jc w:val="left"/>
              <w:rPr>
                <w:rFonts w:ascii="Calibri" w:hAnsi="Calibri" w:eastAsia="宋体" w:cs="Times New Roman"/>
                <w:kern w:val="2"/>
                <w:sz w:val="21"/>
                <w:szCs w:val="22"/>
                <w:highlight w:val="none"/>
                <w:lang w:val="en-US" w:eastAsia="zh-CN" w:bidi="ar-SA"/>
              </w:rPr>
            </w:pPr>
            <w:r>
              <w:rPr>
                <w:rFonts w:hint="eastAsia" w:ascii="宋体" w:hAnsi="宋体" w:cs="宋体"/>
                <w:color w:val="000000"/>
                <w:szCs w:val="21"/>
                <w:highlight w:val="none"/>
              </w:rPr>
              <w:t>注：本项最多得15分。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4" w:hRule="atLeast"/>
          <w:jc w:val="center"/>
        </w:trPr>
        <w:tc>
          <w:tcPr>
            <w:tcW w:w="1251" w:type="dxa"/>
            <w:vMerge w:val="continue"/>
            <w:shd w:val="clear" w:color="auto" w:fill="FFFFFF"/>
            <w:noWrap w:val="0"/>
            <w:vAlign w:val="center"/>
          </w:tcPr>
          <w:p>
            <w:pPr>
              <w:snapToGrid w:val="0"/>
              <w:jc w:val="center"/>
              <w:rPr>
                <w:rFonts w:ascii="宋体" w:hAnsi="宋体" w:cs="宋体"/>
                <w:color w:val="000000"/>
                <w:kern w:val="0"/>
                <w:szCs w:val="21"/>
                <w:highlight w:val="none"/>
                <w:shd w:val="clear" w:color="auto" w:fill="FFFFFF"/>
                <w:lang w:val="zh-TW"/>
              </w:rPr>
            </w:pPr>
          </w:p>
        </w:tc>
        <w:tc>
          <w:tcPr>
            <w:tcW w:w="1905" w:type="dxa"/>
            <w:shd w:val="clear" w:color="auto" w:fill="FFFFFF"/>
            <w:noWrap w:val="0"/>
            <w:vAlign w:val="center"/>
          </w:tcPr>
          <w:p>
            <w:pPr>
              <w:widowControl/>
              <w:spacing w:before="100" w:beforeAutospacing="1" w:after="100" w:afterAutospacing="1" w:line="408" w:lineRule="auto"/>
              <w:jc w:val="center"/>
              <w:rPr>
                <w:rFonts w:ascii="宋体" w:hAnsi="宋体" w:eastAsia="宋体" w:cs="宋体"/>
                <w:b/>
                <w:bCs/>
                <w:color w:val="000000"/>
                <w:kern w:val="2"/>
                <w:sz w:val="21"/>
                <w:szCs w:val="21"/>
                <w:highlight w:val="none"/>
                <w:lang w:val="en-US" w:eastAsia="zh-CN" w:bidi="ar-SA"/>
              </w:rPr>
            </w:pPr>
            <w:r>
              <w:rPr>
                <w:rFonts w:hint="eastAsia" w:ascii="宋体" w:hAnsi="宋体" w:cs="宋体"/>
                <w:b/>
                <w:bCs/>
                <w:color w:val="000000"/>
                <w:szCs w:val="21"/>
                <w:highlight w:val="none"/>
              </w:rPr>
              <w:t>技术负责人</w:t>
            </w:r>
          </w:p>
        </w:tc>
        <w:tc>
          <w:tcPr>
            <w:tcW w:w="654" w:type="dxa"/>
            <w:shd w:val="clear" w:color="auto" w:fill="FFFFFF"/>
            <w:noWrap w:val="0"/>
            <w:vAlign w:val="center"/>
          </w:tcPr>
          <w:p>
            <w:pPr>
              <w:spacing w:before="100" w:beforeAutospacing="1" w:after="100" w:afterAutospacing="1" w:line="408" w:lineRule="auto"/>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10</w:t>
            </w:r>
          </w:p>
        </w:tc>
        <w:tc>
          <w:tcPr>
            <w:tcW w:w="11559" w:type="dxa"/>
            <w:shd w:val="clear" w:color="auto" w:fill="FFFFFF"/>
            <w:noWrap w:val="0"/>
            <w:vAlign w:val="center"/>
          </w:tcPr>
          <w:p>
            <w:pPr>
              <w:widowControl/>
              <w:jc w:val="left"/>
              <w:rPr>
                <w:rFonts w:hint="eastAsia" w:ascii="宋体" w:hAnsi="宋体" w:cs="宋体"/>
                <w:color w:val="000000"/>
                <w:szCs w:val="21"/>
                <w:highlight w:val="none"/>
              </w:rPr>
            </w:pPr>
            <w:r>
              <w:rPr>
                <w:rFonts w:hint="eastAsia" w:ascii="宋体" w:hAnsi="宋体" w:cs="宋体"/>
                <w:color w:val="000000"/>
                <w:szCs w:val="21"/>
                <w:highlight w:val="none"/>
              </w:rPr>
              <w:t>具有建筑工程</w:t>
            </w:r>
            <w:r>
              <w:rPr>
                <w:rFonts w:hint="eastAsia" w:ascii="宋体" w:hAnsi="宋体" w:cs="宋体"/>
                <w:color w:val="000000"/>
                <w:szCs w:val="21"/>
                <w:highlight w:val="none"/>
                <w:lang w:eastAsia="zh-CN"/>
              </w:rPr>
              <w:t>相关专业</w:t>
            </w:r>
            <w:r>
              <w:rPr>
                <w:rFonts w:hint="eastAsia" w:ascii="宋体" w:hAnsi="宋体" w:cs="宋体"/>
                <w:color w:val="000000"/>
                <w:szCs w:val="21"/>
                <w:highlight w:val="none"/>
              </w:rPr>
              <w:t>高级</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或以上）</w:t>
            </w:r>
            <w:r>
              <w:rPr>
                <w:rFonts w:hint="eastAsia" w:ascii="宋体" w:hAnsi="宋体" w:cs="宋体"/>
                <w:color w:val="000000"/>
                <w:szCs w:val="21"/>
                <w:highlight w:val="none"/>
              </w:rPr>
              <w:t>技术职称的，得10分</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其他情况不得分。</w:t>
            </w:r>
          </w:p>
          <w:p>
            <w:pPr>
              <w:widowControl/>
              <w:jc w:val="left"/>
              <w:rPr>
                <w:rFonts w:ascii="Calibri" w:hAnsi="Calibri" w:eastAsia="宋体" w:cs="Times New Roman"/>
                <w:kern w:val="2"/>
                <w:sz w:val="21"/>
                <w:szCs w:val="22"/>
                <w:highlight w:val="none"/>
                <w:lang w:val="en-US" w:eastAsia="zh-CN" w:bidi="ar-SA"/>
              </w:rPr>
            </w:pPr>
            <w:r>
              <w:rPr>
                <w:rFonts w:hint="eastAsia" w:ascii="宋体" w:hAnsi="宋体" w:cs="宋体"/>
                <w:color w:val="000000"/>
                <w:szCs w:val="21"/>
                <w:highlight w:val="none"/>
              </w:rPr>
              <w:t>注：本项最多得10分。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5" w:hRule="atLeast"/>
          <w:jc w:val="center"/>
        </w:trPr>
        <w:tc>
          <w:tcPr>
            <w:tcW w:w="1251" w:type="dxa"/>
            <w:vMerge w:val="continue"/>
            <w:shd w:val="clear" w:color="auto" w:fill="FFFFFF"/>
            <w:noWrap w:val="0"/>
            <w:vAlign w:val="center"/>
          </w:tcPr>
          <w:p>
            <w:pPr>
              <w:snapToGrid w:val="0"/>
              <w:jc w:val="center"/>
              <w:rPr>
                <w:rFonts w:ascii="宋体" w:hAnsi="宋体" w:cs="宋体"/>
                <w:color w:val="000000"/>
                <w:kern w:val="0"/>
                <w:szCs w:val="21"/>
                <w:highlight w:val="none"/>
                <w:shd w:val="clear" w:color="auto" w:fill="FFFFFF"/>
                <w:lang w:val="zh-TW"/>
              </w:rPr>
            </w:pPr>
          </w:p>
        </w:tc>
        <w:tc>
          <w:tcPr>
            <w:tcW w:w="1905" w:type="dxa"/>
            <w:shd w:val="clear" w:color="auto" w:fill="FFFFFF"/>
            <w:noWrap w:val="0"/>
            <w:vAlign w:val="center"/>
          </w:tcPr>
          <w:p>
            <w:pPr>
              <w:widowControl/>
              <w:spacing w:before="100" w:beforeAutospacing="1" w:after="100" w:afterAutospacing="1" w:line="408" w:lineRule="auto"/>
              <w:jc w:val="center"/>
              <w:rPr>
                <w:rFonts w:ascii="宋体" w:hAnsi="宋体" w:eastAsia="宋体" w:cs="宋体"/>
                <w:b/>
                <w:bCs/>
                <w:color w:val="000000"/>
                <w:kern w:val="2"/>
                <w:sz w:val="21"/>
                <w:szCs w:val="21"/>
                <w:highlight w:val="none"/>
                <w:lang w:val="en-US" w:eastAsia="zh-CN" w:bidi="ar-SA"/>
              </w:rPr>
            </w:pPr>
            <w:r>
              <w:rPr>
                <w:rFonts w:hint="eastAsia" w:ascii="宋体" w:hAnsi="宋体" w:cs="宋体"/>
                <w:b/>
                <w:bCs/>
                <w:color w:val="000000"/>
                <w:szCs w:val="21"/>
                <w:highlight w:val="none"/>
              </w:rPr>
              <w:t>质量负责人</w:t>
            </w:r>
          </w:p>
        </w:tc>
        <w:tc>
          <w:tcPr>
            <w:tcW w:w="654" w:type="dxa"/>
            <w:shd w:val="clear" w:color="auto" w:fill="FFFFFF"/>
            <w:noWrap w:val="0"/>
            <w:vAlign w:val="center"/>
          </w:tcPr>
          <w:p>
            <w:pPr>
              <w:spacing w:before="100" w:beforeAutospacing="1" w:after="100" w:afterAutospacing="1" w:line="408" w:lineRule="auto"/>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15</w:t>
            </w:r>
          </w:p>
        </w:tc>
        <w:tc>
          <w:tcPr>
            <w:tcW w:w="11559" w:type="dxa"/>
            <w:shd w:val="clear" w:color="auto" w:fill="FFFFFF"/>
            <w:noWrap w:val="0"/>
            <w:vAlign w:val="center"/>
          </w:tcPr>
          <w:p>
            <w:pPr>
              <w:widowControl/>
              <w:jc w:val="left"/>
              <w:rPr>
                <w:rFonts w:hint="eastAsia" w:ascii="宋体" w:hAnsi="宋体" w:cs="宋体"/>
                <w:color w:val="000000"/>
                <w:szCs w:val="21"/>
                <w:highlight w:val="none"/>
              </w:rPr>
            </w:pPr>
            <w:r>
              <w:rPr>
                <w:rFonts w:hint="eastAsia" w:ascii="宋体" w:hAnsi="宋体" w:cs="宋体"/>
                <w:color w:val="000000"/>
                <w:szCs w:val="21"/>
                <w:highlight w:val="none"/>
              </w:rPr>
              <w:t>具有建筑工程</w:t>
            </w:r>
            <w:r>
              <w:rPr>
                <w:rFonts w:hint="eastAsia" w:ascii="宋体" w:hAnsi="宋体" w:cs="宋体"/>
                <w:color w:val="000000"/>
                <w:szCs w:val="21"/>
                <w:highlight w:val="none"/>
                <w:lang w:eastAsia="zh-CN"/>
              </w:rPr>
              <w:t>相关专业</w:t>
            </w:r>
            <w:r>
              <w:rPr>
                <w:rFonts w:hint="eastAsia" w:ascii="宋体" w:hAnsi="宋体" w:cs="宋体"/>
                <w:color w:val="000000"/>
                <w:szCs w:val="21"/>
                <w:highlight w:val="none"/>
              </w:rPr>
              <w:t>中级技术职称的，得5分；具有建筑工程</w:t>
            </w:r>
            <w:r>
              <w:rPr>
                <w:rFonts w:hint="eastAsia" w:ascii="宋体" w:hAnsi="宋体" w:cs="宋体"/>
                <w:color w:val="000000"/>
                <w:szCs w:val="21"/>
                <w:highlight w:val="none"/>
                <w:lang w:eastAsia="zh-CN"/>
              </w:rPr>
              <w:t>相关专业</w:t>
            </w:r>
            <w:r>
              <w:rPr>
                <w:rFonts w:hint="eastAsia" w:ascii="宋体" w:hAnsi="宋体" w:cs="宋体"/>
                <w:color w:val="000000"/>
                <w:szCs w:val="21"/>
                <w:highlight w:val="none"/>
              </w:rPr>
              <w:t>高级</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或以上）</w:t>
            </w:r>
            <w:r>
              <w:rPr>
                <w:rFonts w:hint="eastAsia" w:ascii="宋体" w:hAnsi="宋体" w:cs="宋体"/>
                <w:color w:val="000000"/>
                <w:szCs w:val="21"/>
                <w:highlight w:val="none"/>
              </w:rPr>
              <w:t>技术职称的，得15分</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其他情况不得分。</w:t>
            </w:r>
          </w:p>
          <w:p>
            <w:pPr>
              <w:widowControl/>
              <w:jc w:val="left"/>
              <w:rPr>
                <w:rFonts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注：本项最多得15分。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4" w:hRule="atLeast"/>
          <w:jc w:val="center"/>
        </w:trPr>
        <w:tc>
          <w:tcPr>
            <w:tcW w:w="1251" w:type="dxa"/>
            <w:vMerge w:val="continue"/>
            <w:shd w:val="clear" w:color="auto" w:fill="FFFFFF"/>
            <w:noWrap w:val="0"/>
            <w:vAlign w:val="center"/>
          </w:tcPr>
          <w:p>
            <w:pPr>
              <w:snapToGrid w:val="0"/>
              <w:jc w:val="center"/>
              <w:rPr>
                <w:rFonts w:ascii="宋体" w:hAnsi="宋体"/>
                <w:color w:val="000000"/>
                <w:szCs w:val="21"/>
                <w:highlight w:val="none"/>
              </w:rPr>
            </w:pPr>
          </w:p>
        </w:tc>
        <w:tc>
          <w:tcPr>
            <w:tcW w:w="1905" w:type="dxa"/>
            <w:shd w:val="clear" w:color="auto" w:fill="FFFFFF"/>
            <w:noWrap w:val="0"/>
            <w:vAlign w:val="center"/>
          </w:tcPr>
          <w:p>
            <w:pPr>
              <w:widowControl/>
              <w:spacing w:before="100" w:beforeAutospacing="1" w:after="100" w:afterAutospacing="1" w:line="408" w:lineRule="auto"/>
              <w:jc w:val="center"/>
              <w:rPr>
                <w:rFonts w:ascii="宋体" w:hAnsi="宋体" w:eastAsia="宋体" w:cs="宋体"/>
                <w:b/>
                <w:bCs/>
                <w:color w:val="000000"/>
                <w:kern w:val="2"/>
                <w:sz w:val="21"/>
                <w:szCs w:val="21"/>
                <w:highlight w:val="none"/>
                <w:lang w:val="en-US" w:eastAsia="zh-CN" w:bidi="ar-SA"/>
              </w:rPr>
            </w:pPr>
            <w:r>
              <w:rPr>
                <w:rFonts w:hint="eastAsia" w:ascii="宋体" w:hAnsi="宋体" w:cs="宋体"/>
                <w:b/>
                <w:bCs/>
                <w:color w:val="000000"/>
                <w:szCs w:val="21"/>
                <w:highlight w:val="none"/>
              </w:rPr>
              <w:t>安全负责人</w:t>
            </w:r>
          </w:p>
        </w:tc>
        <w:tc>
          <w:tcPr>
            <w:tcW w:w="654" w:type="dxa"/>
            <w:shd w:val="clear" w:color="auto" w:fill="FFFFFF"/>
            <w:noWrap w:val="0"/>
            <w:vAlign w:val="center"/>
          </w:tcPr>
          <w:p>
            <w:pPr>
              <w:spacing w:before="100" w:beforeAutospacing="1" w:after="100" w:afterAutospacing="1" w:line="408" w:lineRule="auto"/>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15</w:t>
            </w:r>
          </w:p>
        </w:tc>
        <w:tc>
          <w:tcPr>
            <w:tcW w:w="11559" w:type="dxa"/>
            <w:shd w:val="clear" w:color="auto" w:fill="FFFFFF"/>
            <w:noWrap w:val="0"/>
            <w:vAlign w:val="center"/>
          </w:tcPr>
          <w:p>
            <w:pPr>
              <w:widowControl/>
              <w:numPr>
                <w:ilvl w:val="0"/>
                <w:numId w:val="3"/>
              </w:numPr>
              <w:jc w:val="left"/>
              <w:rPr>
                <w:rFonts w:hint="eastAsia" w:ascii="宋体" w:hAnsi="宋体" w:cs="宋体"/>
                <w:color w:val="000000"/>
                <w:szCs w:val="21"/>
                <w:highlight w:val="none"/>
              </w:rPr>
            </w:pPr>
            <w:r>
              <w:rPr>
                <w:rFonts w:hint="eastAsia" w:ascii="宋体" w:hAnsi="宋体" w:cs="宋体"/>
                <w:color w:val="000000"/>
                <w:szCs w:val="21"/>
                <w:highlight w:val="none"/>
              </w:rPr>
              <w:t>安全负责人具有注册安全工程师执业证书，且证书在有效期内的，得5分。</w:t>
            </w:r>
          </w:p>
          <w:p>
            <w:pPr>
              <w:widowControl/>
              <w:numPr>
                <w:ilvl w:val="0"/>
                <w:numId w:val="3"/>
              </w:numPr>
              <w:jc w:val="left"/>
              <w:rPr>
                <w:rFonts w:hint="eastAsia" w:ascii="宋体" w:hAnsi="宋体" w:cs="宋体"/>
                <w:color w:val="000000"/>
                <w:szCs w:val="21"/>
                <w:highlight w:val="none"/>
              </w:rPr>
            </w:pPr>
            <w:r>
              <w:rPr>
                <w:rFonts w:hint="eastAsia" w:ascii="宋体" w:hAnsi="宋体" w:cs="宋体"/>
                <w:color w:val="000000"/>
                <w:szCs w:val="21"/>
                <w:highlight w:val="none"/>
              </w:rPr>
              <w:t>具有建筑工程</w:t>
            </w:r>
            <w:r>
              <w:rPr>
                <w:rFonts w:hint="eastAsia" w:ascii="宋体" w:hAnsi="宋体" w:cs="宋体"/>
                <w:color w:val="000000"/>
                <w:szCs w:val="21"/>
                <w:highlight w:val="none"/>
                <w:lang w:eastAsia="zh-CN"/>
              </w:rPr>
              <w:t>相关专业</w:t>
            </w:r>
            <w:r>
              <w:rPr>
                <w:rFonts w:hint="eastAsia" w:ascii="宋体" w:hAnsi="宋体" w:cs="宋体"/>
                <w:color w:val="000000"/>
                <w:szCs w:val="21"/>
                <w:highlight w:val="none"/>
              </w:rPr>
              <w:t>中级技术职称的，得5分</w:t>
            </w:r>
            <w:r>
              <w:rPr>
                <w:rFonts w:hint="eastAsia" w:ascii="宋体" w:hAnsi="宋体" w:cs="宋体"/>
                <w:color w:val="000000"/>
                <w:szCs w:val="21"/>
                <w:highlight w:val="none"/>
                <w:lang w:eastAsia="zh-CN"/>
              </w:rPr>
              <w:t>；具有建筑工程相关专业高级（</w:t>
            </w:r>
            <w:r>
              <w:rPr>
                <w:rFonts w:hint="eastAsia" w:ascii="宋体" w:hAnsi="宋体" w:cs="宋体"/>
                <w:color w:val="000000"/>
                <w:szCs w:val="21"/>
                <w:highlight w:val="none"/>
                <w:lang w:val="en-US" w:eastAsia="zh-CN"/>
              </w:rPr>
              <w:t>或以上）</w:t>
            </w:r>
            <w:r>
              <w:rPr>
                <w:rFonts w:hint="eastAsia" w:ascii="宋体" w:hAnsi="宋体" w:cs="宋体"/>
                <w:color w:val="000000"/>
                <w:szCs w:val="21"/>
                <w:highlight w:val="none"/>
                <w:lang w:eastAsia="zh-CN"/>
              </w:rPr>
              <w:t>技术职称的，得</w:t>
            </w:r>
            <w:r>
              <w:rPr>
                <w:rFonts w:hint="eastAsia" w:ascii="宋体" w:hAnsi="宋体" w:cs="宋体"/>
                <w:color w:val="000000"/>
                <w:szCs w:val="21"/>
                <w:highlight w:val="none"/>
                <w:lang w:val="en-US" w:eastAsia="zh-CN"/>
              </w:rPr>
              <w:t>10分；</w:t>
            </w:r>
            <w:r>
              <w:rPr>
                <w:rFonts w:hint="eastAsia" w:ascii="宋体" w:hAnsi="宋体" w:cs="宋体"/>
                <w:color w:val="000000"/>
                <w:szCs w:val="21"/>
                <w:highlight w:val="none"/>
              </w:rPr>
              <w:t>其他情况不得分。</w:t>
            </w:r>
          </w:p>
          <w:p>
            <w:pPr>
              <w:widowControl/>
              <w:jc w:val="left"/>
              <w:rPr>
                <w:rFonts w:ascii="Calibri" w:hAnsi="Calibri" w:eastAsia="宋体" w:cs="Times New Roman"/>
                <w:kern w:val="2"/>
                <w:sz w:val="21"/>
                <w:szCs w:val="22"/>
                <w:highlight w:val="none"/>
                <w:lang w:val="en-US" w:eastAsia="zh-CN" w:bidi="ar-SA"/>
              </w:rPr>
            </w:pPr>
            <w:r>
              <w:rPr>
                <w:rFonts w:hint="eastAsia" w:ascii="宋体" w:hAnsi="宋体" w:cs="宋体"/>
                <w:color w:val="000000"/>
                <w:szCs w:val="21"/>
                <w:highlight w:val="none"/>
              </w:rPr>
              <w:t>注：与专职安全员不为同一人，本项最多得15分。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4" w:hRule="atLeast"/>
          <w:jc w:val="center"/>
        </w:trPr>
        <w:tc>
          <w:tcPr>
            <w:tcW w:w="1251" w:type="dxa"/>
            <w:vMerge w:val="continue"/>
            <w:shd w:val="clear" w:color="auto" w:fill="FFFFFF"/>
            <w:noWrap w:val="0"/>
            <w:vAlign w:val="center"/>
          </w:tcPr>
          <w:p>
            <w:pPr>
              <w:snapToGrid w:val="0"/>
              <w:jc w:val="center"/>
              <w:rPr>
                <w:rFonts w:ascii="宋体" w:hAnsi="宋体"/>
                <w:color w:val="000000"/>
                <w:szCs w:val="21"/>
                <w:highlight w:val="none"/>
              </w:rPr>
            </w:pPr>
          </w:p>
        </w:tc>
        <w:tc>
          <w:tcPr>
            <w:tcW w:w="1905" w:type="dxa"/>
            <w:shd w:val="clear" w:color="auto" w:fill="FFFFFF"/>
            <w:noWrap w:val="0"/>
            <w:vAlign w:val="center"/>
          </w:tcPr>
          <w:p>
            <w:pPr>
              <w:widowControl/>
              <w:spacing w:before="100" w:beforeAutospacing="1" w:after="100" w:afterAutospacing="1" w:line="408" w:lineRule="auto"/>
              <w:jc w:val="center"/>
              <w:rPr>
                <w:rFonts w:ascii="宋体" w:hAnsi="宋体" w:eastAsia="宋体" w:cs="宋体"/>
                <w:b/>
                <w:bCs/>
                <w:color w:val="000000"/>
                <w:kern w:val="2"/>
                <w:sz w:val="21"/>
                <w:szCs w:val="21"/>
                <w:highlight w:val="none"/>
                <w:lang w:val="zh-TW" w:eastAsia="zh-CN" w:bidi="ar-SA"/>
              </w:rPr>
            </w:pPr>
            <w:r>
              <w:rPr>
                <w:rFonts w:hint="eastAsia" w:ascii="宋体" w:hAnsi="宋体" w:cs="宋体"/>
                <w:b/>
                <w:bCs/>
                <w:color w:val="000000"/>
                <w:szCs w:val="21"/>
                <w:highlight w:val="none"/>
                <w:lang w:val="zh-TW"/>
              </w:rPr>
              <w:t>造价负责人</w:t>
            </w:r>
          </w:p>
        </w:tc>
        <w:tc>
          <w:tcPr>
            <w:tcW w:w="654" w:type="dxa"/>
            <w:shd w:val="clear" w:color="auto" w:fill="FFFFFF"/>
            <w:noWrap w:val="0"/>
            <w:vAlign w:val="center"/>
          </w:tcPr>
          <w:p>
            <w:pPr>
              <w:spacing w:before="100" w:beforeAutospacing="1" w:after="100" w:afterAutospacing="1" w:line="408" w:lineRule="auto"/>
              <w:jc w:val="center"/>
              <w:rPr>
                <w:rFonts w:ascii="宋体" w:hAnsi="宋体" w:eastAsia="宋体" w:cs="宋体"/>
                <w:color w:val="000000"/>
                <w:kern w:val="0"/>
                <w:sz w:val="21"/>
                <w:szCs w:val="21"/>
                <w:highlight w:val="none"/>
                <w:shd w:val="clear" w:color="auto" w:fill="FFFFFF"/>
                <w:lang w:val="en-US" w:eastAsia="zh-CN" w:bidi="ar-SA"/>
              </w:rPr>
            </w:pPr>
            <w:r>
              <w:rPr>
                <w:rFonts w:hint="eastAsia" w:ascii="宋体" w:hAnsi="宋体" w:cs="宋体"/>
                <w:color w:val="000000"/>
                <w:kern w:val="0"/>
                <w:szCs w:val="21"/>
                <w:highlight w:val="none"/>
                <w:shd w:val="clear" w:color="auto" w:fill="FFFFFF"/>
              </w:rPr>
              <w:t>15</w:t>
            </w:r>
          </w:p>
        </w:tc>
        <w:tc>
          <w:tcPr>
            <w:tcW w:w="11559" w:type="dxa"/>
            <w:shd w:val="clear" w:color="auto" w:fill="FFFFFF"/>
            <w:noWrap w:val="0"/>
            <w:vAlign w:val="center"/>
          </w:tcPr>
          <w:p>
            <w:pPr>
              <w:widowControl/>
              <w:numPr>
                <w:ilvl w:val="0"/>
                <w:numId w:val="4"/>
              </w:numPr>
              <w:jc w:val="left"/>
              <w:rPr>
                <w:rFonts w:hint="eastAsia" w:ascii="宋体" w:hAnsi="宋体" w:cs="宋体"/>
                <w:color w:val="000000"/>
                <w:szCs w:val="21"/>
                <w:highlight w:val="none"/>
                <w:shd w:val="clear" w:color="auto" w:fill="FFFFFF"/>
                <w:lang w:val="zh-TW"/>
              </w:rPr>
            </w:pPr>
            <w:r>
              <w:rPr>
                <w:rFonts w:hint="eastAsia" w:ascii="宋体" w:hAnsi="宋体" w:cs="宋体"/>
                <w:color w:val="000000"/>
                <w:szCs w:val="21"/>
                <w:highlight w:val="none"/>
                <w:shd w:val="clear" w:color="auto" w:fill="FFFFFF"/>
                <w:lang w:val="zh-TW"/>
              </w:rPr>
              <w:t>造价负责人具有一级注册造价工程师证书且在有效期内的，得5分。</w:t>
            </w:r>
          </w:p>
          <w:p>
            <w:pPr>
              <w:widowControl/>
              <w:numPr>
                <w:ilvl w:val="0"/>
                <w:numId w:val="0"/>
              </w:numPr>
              <w:jc w:val="left"/>
              <w:rPr>
                <w:rFonts w:hint="eastAsia"/>
                <w:highlight w:val="none"/>
                <w:lang w:val="zh-TW"/>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具有建筑工程造价</w:t>
            </w:r>
            <w:r>
              <w:rPr>
                <w:rFonts w:hint="eastAsia" w:ascii="宋体" w:hAnsi="宋体" w:cs="宋体"/>
                <w:color w:val="000000"/>
                <w:szCs w:val="21"/>
                <w:highlight w:val="none"/>
                <w:lang w:val="en-US" w:eastAsia="zh-CN"/>
              </w:rPr>
              <w:t>相关专业</w:t>
            </w:r>
            <w:r>
              <w:rPr>
                <w:rFonts w:hint="eastAsia" w:ascii="宋体" w:hAnsi="宋体" w:cs="宋体"/>
                <w:color w:val="000000"/>
                <w:szCs w:val="21"/>
                <w:highlight w:val="none"/>
              </w:rPr>
              <w:t>中级技术职称的，得5分</w:t>
            </w:r>
            <w:r>
              <w:rPr>
                <w:rFonts w:hint="eastAsia" w:ascii="宋体" w:hAnsi="宋体" w:cs="宋体"/>
                <w:color w:val="000000"/>
                <w:szCs w:val="21"/>
                <w:highlight w:val="none"/>
                <w:lang w:eastAsia="zh-CN"/>
              </w:rPr>
              <w:t>；具有建筑工程造价相关专业高级（</w:t>
            </w:r>
            <w:r>
              <w:rPr>
                <w:rFonts w:hint="eastAsia" w:ascii="宋体" w:hAnsi="宋体" w:cs="宋体"/>
                <w:color w:val="000000"/>
                <w:szCs w:val="21"/>
                <w:highlight w:val="none"/>
                <w:lang w:val="en-US" w:eastAsia="zh-CN"/>
              </w:rPr>
              <w:t>或以上）</w:t>
            </w:r>
            <w:r>
              <w:rPr>
                <w:rFonts w:hint="eastAsia" w:ascii="宋体" w:hAnsi="宋体" w:cs="宋体"/>
                <w:color w:val="000000"/>
                <w:szCs w:val="21"/>
                <w:highlight w:val="none"/>
                <w:lang w:eastAsia="zh-CN"/>
              </w:rPr>
              <w:t>技术职称的，得</w:t>
            </w:r>
            <w:r>
              <w:rPr>
                <w:rFonts w:hint="eastAsia" w:ascii="宋体" w:hAnsi="宋体" w:cs="宋体"/>
                <w:color w:val="000000"/>
                <w:szCs w:val="21"/>
                <w:highlight w:val="none"/>
                <w:lang w:val="en-US" w:eastAsia="zh-CN"/>
              </w:rPr>
              <w:t>10分；</w:t>
            </w:r>
            <w:r>
              <w:rPr>
                <w:rFonts w:hint="eastAsia" w:ascii="宋体" w:hAnsi="宋体" w:cs="宋体"/>
                <w:color w:val="000000"/>
                <w:szCs w:val="21"/>
                <w:highlight w:val="none"/>
                <w:shd w:val="clear" w:color="auto" w:fill="FFFFFF"/>
                <w:lang w:val="zh-TW"/>
              </w:rPr>
              <w:t>其他情况不得分。</w:t>
            </w:r>
          </w:p>
          <w:p>
            <w:pPr>
              <w:widowControl/>
              <w:jc w:val="left"/>
              <w:rPr>
                <w:rFonts w:ascii="Calibri" w:hAnsi="Calibri" w:eastAsia="宋体" w:cs="Times New Roman"/>
                <w:kern w:val="2"/>
                <w:sz w:val="21"/>
                <w:szCs w:val="22"/>
                <w:highlight w:val="none"/>
                <w:lang w:val="zh-TW" w:eastAsia="zh-CN" w:bidi="ar-SA"/>
              </w:rPr>
            </w:pPr>
            <w:r>
              <w:rPr>
                <w:rFonts w:hint="eastAsia" w:ascii="宋体" w:hAnsi="宋体" w:cs="宋体"/>
                <w:color w:val="000000"/>
                <w:szCs w:val="21"/>
                <w:highlight w:val="none"/>
                <w:shd w:val="clear" w:color="auto" w:fill="FFFFFF"/>
                <w:lang w:val="zh-TW"/>
              </w:rPr>
              <w:t>注：本项最多得15分。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jc w:val="center"/>
        </w:trPr>
        <w:tc>
          <w:tcPr>
            <w:tcW w:w="1251" w:type="dxa"/>
            <w:vMerge w:val="restart"/>
            <w:shd w:val="clear" w:color="auto" w:fill="FFFFFF"/>
            <w:noWrap w:val="0"/>
            <w:vAlign w:val="center"/>
          </w:tcPr>
          <w:p>
            <w:pPr>
              <w:snapToGrid w:val="0"/>
              <w:jc w:val="center"/>
              <w:rPr>
                <w:rFonts w:ascii="宋体" w:hAnsi="宋体" w:eastAsia="宋体" w:cs="宋体"/>
                <w:color w:val="000000"/>
                <w:kern w:val="0"/>
                <w:sz w:val="21"/>
                <w:szCs w:val="21"/>
                <w:highlight w:val="none"/>
                <w:lang w:val="en-US" w:eastAsia="zh-CN" w:bidi="ar-SA"/>
              </w:rPr>
            </w:pPr>
            <w:r>
              <w:rPr>
                <w:rFonts w:ascii="宋体" w:hAnsi="宋体" w:cs="宋体"/>
                <w:color w:val="000000"/>
                <w:kern w:val="0"/>
                <w:szCs w:val="21"/>
                <w:highlight w:val="none"/>
                <w:shd w:val="clear" w:color="auto" w:fill="FFFFFF"/>
                <w:lang w:val="zh-TW"/>
              </w:rPr>
              <w:t>企业资信</w:t>
            </w:r>
            <w:r>
              <w:rPr>
                <w:rFonts w:ascii="宋体" w:hAnsi="宋体" w:cs="Century Schoolbook"/>
                <w:bCs/>
                <w:color w:val="000000"/>
                <w:spacing w:val="10"/>
                <w:kern w:val="0"/>
                <w:szCs w:val="21"/>
                <w:highlight w:val="none"/>
                <w:shd w:val="clear" w:color="auto" w:fill="FFFFFF"/>
              </w:rPr>
              <w:t>(30</w:t>
            </w:r>
            <w:r>
              <w:rPr>
                <w:rFonts w:ascii="宋体" w:hAnsi="宋体" w:cs="宋体"/>
                <w:color w:val="000000"/>
                <w:kern w:val="0"/>
                <w:szCs w:val="21"/>
                <w:highlight w:val="none"/>
                <w:shd w:val="clear" w:color="auto" w:fill="FFFFFF"/>
                <w:lang w:val="zh-TW"/>
              </w:rPr>
              <w:t>分</w:t>
            </w:r>
            <w:r>
              <w:rPr>
                <w:rFonts w:ascii="宋体" w:hAnsi="宋体" w:cs="Century Schoolbook"/>
                <w:bCs/>
                <w:color w:val="000000"/>
                <w:spacing w:val="10"/>
                <w:kern w:val="0"/>
                <w:szCs w:val="21"/>
                <w:highlight w:val="none"/>
                <w:shd w:val="clear" w:color="auto" w:fill="FFFFFF"/>
              </w:rPr>
              <w:t>)</w:t>
            </w:r>
          </w:p>
          <w:p>
            <w:pPr>
              <w:snapToGrid w:val="0"/>
              <w:jc w:val="center"/>
              <w:rPr>
                <w:rFonts w:ascii="宋体" w:hAnsi="宋体" w:eastAsia="宋体" w:cs="宋体"/>
                <w:color w:val="000000"/>
                <w:kern w:val="0"/>
                <w:sz w:val="21"/>
                <w:szCs w:val="21"/>
                <w:highlight w:val="none"/>
                <w:lang w:val="en-US" w:eastAsia="zh-CN" w:bidi="ar-SA"/>
              </w:rPr>
            </w:pPr>
          </w:p>
          <w:p>
            <w:pPr>
              <w:snapToGrid w:val="0"/>
              <w:jc w:val="center"/>
              <w:rPr>
                <w:rFonts w:ascii="宋体" w:hAnsi="宋体" w:cs="宋体"/>
                <w:color w:val="000000"/>
                <w:kern w:val="0"/>
                <w:szCs w:val="21"/>
                <w:highlight w:val="none"/>
              </w:rPr>
            </w:pPr>
          </w:p>
        </w:tc>
        <w:tc>
          <w:tcPr>
            <w:tcW w:w="1905" w:type="dxa"/>
            <w:shd w:val="clear" w:color="auto" w:fill="FFFFFF"/>
            <w:noWrap w:val="0"/>
            <w:vAlign w:val="center"/>
          </w:tcPr>
          <w:p>
            <w:pPr>
              <w:snapToGrid w:val="0"/>
              <w:jc w:val="center"/>
              <w:rPr>
                <w:rFonts w:ascii="宋体" w:hAnsi="宋体" w:eastAsia="宋体" w:cs="宋体"/>
                <w:b/>
                <w:bCs/>
                <w:color w:val="000000"/>
                <w:kern w:val="2"/>
                <w:sz w:val="21"/>
                <w:szCs w:val="21"/>
                <w:highlight w:val="none"/>
                <w:lang w:val="en-US" w:eastAsia="zh-CN" w:bidi="ar-SA"/>
              </w:rPr>
            </w:pPr>
            <w:r>
              <w:rPr>
                <w:rFonts w:ascii="宋体" w:hAnsi="宋体" w:cs="宋体"/>
                <w:b/>
                <w:bCs/>
                <w:color w:val="000000"/>
                <w:szCs w:val="21"/>
                <w:highlight w:val="none"/>
              </w:rPr>
              <w:t>工程业绩</w:t>
            </w:r>
          </w:p>
        </w:tc>
        <w:tc>
          <w:tcPr>
            <w:tcW w:w="654" w:type="dxa"/>
            <w:shd w:val="clear" w:color="auto" w:fill="FFFFFF"/>
            <w:noWrap w:val="0"/>
            <w:vAlign w:val="center"/>
          </w:tcPr>
          <w:p>
            <w:pPr>
              <w:widowControl/>
              <w:snapToGrid/>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10</w:t>
            </w:r>
          </w:p>
        </w:tc>
        <w:tc>
          <w:tcPr>
            <w:tcW w:w="11559" w:type="dxa"/>
            <w:shd w:val="clear" w:color="auto" w:fill="FFFFFF"/>
            <w:noWrap w:val="0"/>
            <w:vAlign w:val="center"/>
          </w:tcPr>
          <w:p>
            <w:pPr>
              <w:widowControl/>
              <w:snapToGrid/>
              <w:spacing w:before="0" w:beforeAutospacing="0" w:after="0" w:afterAutospacing="0"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Cs w:val="21"/>
                <w:highlight w:val="none"/>
              </w:rPr>
              <w:t>投标人自</w:t>
            </w:r>
            <w:r>
              <w:rPr>
                <w:rFonts w:hint="eastAsia" w:ascii="宋体" w:hAnsi="宋体" w:eastAsia="宋体" w:cs="宋体"/>
                <w:color w:val="000000"/>
                <w:kern w:val="2"/>
                <w:szCs w:val="21"/>
                <w:highlight w:val="none"/>
                <w:lang w:val="en-US" w:eastAsia="zh-CN"/>
              </w:rPr>
              <w:t>2018</w:t>
            </w:r>
            <w:r>
              <w:rPr>
                <w:rFonts w:hint="eastAsia" w:ascii="宋体" w:hAnsi="宋体" w:eastAsia="宋体" w:cs="宋体"/>
                <w:color w:val="000000"/>
                <w:kern w:val="2"/>
                <w:szCs w:val="21"/>
                <w:highlight w:val="none"/>
              </w:rPr>
              <w:t>年1月1日至投标截止时间，完成过质量合格且金额为700万元或以上的建筑工程施工总承包业绩，每项得</w:t>
            </w:r>
            <w:r>
              <w:rPr>
                <w:rFonts w:hint="eastAsia" w:ascii="宋体" w:hAnsi="宋体" w:eastAsia="宋体" w:cs="宋体"/>
                <w:color w:val="000000"/>
                <w:kern w:val="2"/>
                <w:szCs w:val="21"/>
                <w:highlight w:val="none"/>
                <w:lang w:val="en-US" w:eastAsia="zh-CN"/>
              </w:rPr>
              <w:t>0.5</w:t>
            </w:r>
            <w:r>
              <w:rPr>
                <w:rFonts w:hint="eastAsia" w:ascii="宋体" w:hAnsi="宋体" w:eastAsia="宋体" w:cs="宋体"/>
                <w:color w:val="000000"/>
                <w:kern w:val="2"/>
                <w:szCs w:val="21"/>
                <w:highlight w:val="none"/>
              </w:rPr>
              <w:t>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4" w:hRule="atLeast"/>
          <w:jc w:val="center"/>
        </w:trPr>
        <w:tc>
          <w:tcPr>
            <w:tcW w:w="1251" w:type="dxa"/>
            <w:vMerge w:val="continue"/>
            <w:shd w:val="clear" w:color="auto" w:fill="FFFFFF"/>
            <w:noWrap w:val="0"/>
            <w:vAlign w:val="center"/>
          </w:tcPr>
          <w:p>
            <w:pPr>
              <w:snapToGrid w:val="0"/>
              <w:jc w:val="center"/>
              <w:rPr>
                <w:rFonts w:ascii="宋体" w:hAnsi="宋体" w:cs="宋体"/>
                <w:color w:val="000000"/>
                <w:kern w:val="0"/>
                <w:szCs w:val="21"/>
                <w:highlight w:val="none"/>
                <w:shd w:val="clear" w:color="auto" w:fill="FFFFFF"/>
                <w:lang w:val="zh-TW"/>
              </w:rPr>
            </w:pPr>
          </w:p>
        </w:tc>
        <w:tc>
          <w:tcPr>
            <w:tcW w:w="1905" w:type="dxa"/>
            <w:shd w:val="clear" w:color="auto" w:fill="FFFFFF"/>
            <w:noWrap w:val="0"/>
            <w:vAlign w:val="center"/>
          </w:tcPr>
          <w:p>
            <w:pPr>
              <w:snapToGrid w:val="0"/>
              <w:jc w:val="center"/>
              <w:rPr>
                <w:rFonts w:ascii="宋体" w:hAnsi="宋体" w:eastAsia="宋体" w:cs="宋体"/>
                <w:b/>
                <w:bCs/>
                <w:color w:val="000000"/>
                <w:kern w:val="2"/>
                <w:sz w:val="21"/>
                <w:szCs w:val="21"/>
                <w:highlight w:val="none"/>
                <w:lang w:val="en-US" w:eastAsia="zh-CN" w:bidi="ar-SA"/>
              </w:rPr>
            </w:pPr>
            <w:r>
              <w:rPr>
                <w:rFonts w:hint="eastAsia" w:ascii="宋体" w:hAnsi="宋体" w:cs="宋体"/>
                <w:b/>
                <w:bCs/>
                <w:color w:val="000000"/>
                <w:szCs w:val="21"/>
                <w:highlight w:val="none"/>
              </w:rPr>
              <w:t>工程获奖</w:t>
            </w:r>
          </w:p>
        </w:tc>
        <w:tc>
          <w:tcPr>
            <w:tcW w:w="654" w:type="dxa"/>
            <w:shd w:val="clear" w:color="auto" w:fill="FFFFFF"/>
            <w:noWrap w:val="0"/>
            <w:vAlign w:val="center"/>
          </w:tcPr>
          <w:p>
            <w:pPr>
              <w:snapToGrid w:val="0"/>
              <w:jc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5</w:t>
            </w:r>
          </w:p>
        </w:tc>
        <w:tc>
          <w:tcPr>
            <w:tcW w:w="11559" w:type="dxa"/>
            <w:shd w:val="clear" w:color="auto" w:fill="FFFFFF"/>
            <w:noWrap w:val="0"/>
            <w:vAlign w:val="center"/>
          </w:tcPr>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投标人自20</w:t>
            </w:r>
            <w:r>
              <w:rPr>
                <w:rFonts w:hint="eastAsia" w:ascii="宋体" w:hAnsi="宋体" w:cs="宋体"/>
                <w:szCs w:val="21"/>
                <w:highlight w:val="none"/>
                <w:lang w:val="en-US" w:eastAsia="zh-CN"/>
              </w:rPr>
              <w:t>18</w:t>
            </w:r>
            <w:r>
              <w:rPr>
                <w:rFonts w:hint="eastAsia" w:ascii="宋体" w:hAnsi="宋体" w:cs="宋体"/>
                <w:szCs w:val="21"/>
                <w:highlight w:val="none"/>
              </w:rPr>
              <w:t>年1月1日至投标截止日，</w:t>
            </w:r>
            <w:r>
              <w:rPr>
                <w:rFonts w:hint="eastAsia" w:ascii="宋体" w:hAnsi="宋体" w:cs="宋体"/>
                <w:szCs w:val="21"/>
                <w:highlight w:val="none"/>
                <w:lang w:val="en-US" w:eastAsia="zh-CN"/>
              </w:rPr>
              <w:t>承接</w:t>
            </w:r>
            <w:r>
              <w:rPr>
                <w:rFonts w:hint="eastAsia" w:ascii="宋体" w:hAnsi="宋体" w:cs="宋体"/>
                <w:szCs w:val="21"/>
                <w:highlight w:val="none"/>
              </w:rPr>
              <w:t>的房屋建筑工程项目，获得过的工程质量奖项情况：</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（1）国家级工程质量奖项，每项得0.5分；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（2）省级工程质量奖项，每项得0.3分；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（3）市级（含副省级）工程质量奖项，每项得</w:t>
            </w:r>
            <w:r>
              <w:rPr>
                <w:rFonts w:hint="eastAsia" w:ascii="宋体" w:hAnsi="宋体" w:cs="宋体"/>
                <w:szCs w:val="21"/>
                <w:highlight w:val="none"/>
                <w:lang w:val="en-US" w:eastAsia="zh-CN"/>
              </w:rPr>
              <w:t>0.2</w:t>
            </w:r>
            <w:r>
              <w:rPr>
                <w:rFonts w:hint="eastAsia" w:ascii="宋体" w:hAnsi="宋体" w:cs="宋体"/>
                <w:szCs w:val="21"/>
                <w:highlight w:val="none"/>
              </w:rPr>
              <w:t>分。</w:t>
            </w:r>
          </w:p>
          <w:p>
            <w:pPr>
              <w:adjustRightInd w:val="0"/>
              <w:ind w:right="134" w:rightChars="64"/>
              <w:jc w:val="left"/>
              <w:rPr>
                <w:rFonts w:ascii="Calibri" w:hAnsi="Calibri" w:eastAsia="宋体" w:cs="Times New Roman"/>
                <w:kern w:val="2"/>
                <w:sz w:val="21"/>
                <w:szCs w:val="22"/>
                <w:highlight w:val="none"/>
                <w:lang w:val="en-US" w:eastAsia="zh-CN" w:bidi="ar-SA"/>
              </w:rPr>
            </w:pPr>
            <w:r>
              <w:rPr>
                <w:rFonts w:hint="eastAsia" w:ascii="宋体" w:hAnsi="宋体" w:cs="宋体"/>
                <w:szCs w:val="21"/>
                <w:highlight w:val="none"/>
                <w:lang w:val="en-US" w:eastAsia="zh-CN"/>
              </w:rPr>
              <w:t>注：</w:t>
            </w:r>
            <w:r>
              <w:rPr>
                <w:rFonts w:hint="eastAsia" w:ascii="宋体" w:hAnsi="宋体" w:cs="宋体"/>
                <w:szCs w:val="21"/>
                <w:highlight w:val="none"/>
              </w:rPr>
              <w:t>本项最多得5分。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4" w:hRule="atLeast"/>
          <w:jc w:val="center"/>
        </w:trPr>
        <w:tc>
          <w:tcPr>
            <w:tcW w:w="1251" w:type="dxa"/>
            <w:vMerge w:val="continue"/>
            <w:shd w:val="clear" w:color="auto" w:fill="FFFFFF"/>
            <w:noWrap w:val="0"/>
            <w:vAlign w:val="center"/>
          </w:tcPr>
          <w:p>
            <w:pPr>
              <w:snapToGrid w:val="0"/>
              <w:jc w:val="center"/>
              <w:rPr>
                <w:rFonts w:ascii="宋体" w:hAnsi="宋体" w:cs="宋体"/>
                <w:color w:val="000000"/>
                <w:kern w:val="0"/>
                <w:szCs w:val="21"/>
                <w:highlight w:val="none"/>
                <w:shd w:val="clear" w:color="auto" w:fill="FFFFFF"/>
                <w:lang w:val="zh-TW"/>
              </w:rPr>
            </w:pPr>
          </w:p>
        </w:tc>
        <w:tc>
          <w:tcPr>
            <w:tcW w:w="1905" w:type="dxa"/>
            <w:shd w:val="clear" w:color="auto" w:fill="FFFFFF"/>
            <w:noWrap w:val="0"/>
            <w:vAlign w:val="center"/>
          </w:tcPr>
          <w:p>
            <w:pPr>
              <w:snapToGrid w:val="0"/>
              <w:jc w:val="center"/>
              <w:rPr>
                <w:rFonts w:ascii="宋体" w:hAnsi="宋体" w:eastAsia="宋体" w:cs="宋体"/>
                <w:b/>
                <w:bCs/>
                <w:color w:val="000000"/>
                <w:kern w:val="0"/>
                <w:sz w:val="21"/>
                <w:szCs w:val="21"/>
                <w:highlight w:val="none"/>
                <w:lang w:val="en-US" w:eastAsia="zh-CN" w:bidi="ar-SA"/>
              </w:rPr>
            </w:pPr>
            <w:r>
              <w:rPr>
                <w:rFonts w:hint="eastAsia" w:ascii="宋体" w:hAnsi="宋体" w:cs="宋体"/>
                <w:b/>
                <w:bCs/>
                <w:color w:val="000000"/>
                <w:kern w:val="0"/>
                <w:szCs w:val="21"/>
                <w:highlight w:val="none"/>
              </w:rPr>
              <w:t>企业研发能力</w:t>
            </w:r>
          </w:p>
        </w:tc>
        <w:tc>
          <w:tcPr>
            <w:tcW w:w="654" w:type="dxa"/>
            <w:shd w:val="clear" w:color="auto" w:fill="FFFFFF"/>
            <w:noWrap w:val="0"/>
            <w:vAlign w:val="center"/>
          </w:tcPr>
          <w:p>
            <w:pPr>
              <w:snapToGrid w:val="0"/>
              <w:jc w:val="center"/>
              <w:rPr>
                <w:rFonts w:ascii="宋体" w:hAnsi="宋体" w:eastAsia="宋体" w:cs="宋体"/>
                <w:bCs/>
                <w:color w:val="000000"/>
                <w:kern w:val="0"/>
                <w:sz w:val="21"/>
                <w:szCs w:val="21"/>
                <w:highlight w:val="none"/>
                <w:lang w:val="en-US" w:eastAsia="zh-CN" w:bidi="ar-SA"/>
              </w:rPr>
            </w:pPr>
            <w:r>
              <w:rPr>
                <w:rFonts w:hint="eastAsia" w:ascii="宋体" w:hAnsi="宋体" w:cs="宋体"/>
                <w:bCs/>
                <w:color w:val="000000"/>
                <w:kern w:val="0"/>
                <w:szCs w:val="21"/>
                <w:highlight w:val="none"/>
              </w:rPr>
              <w:t>9</w:t>
            </w:r>
          </w:p>
        </w:tc>
        <w:tc>
          <w:tcPr>
            <w:tcW w:w="11559" w:type="dxa"/>
            <w:shd w:val="clear" w:color="auto" w:fill="FFFFFF"/>
            <w:noWrap w:val="0"/>
            <w:vAlign w:val="center"/>
          </w:tcPr>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1、投标人自20</w:t>
            </w:r>
            <w:r>
              <w:rPr>
                <w:rFonts w:hint="eastAsia" w:ascii="宋体" w:hAnsi="宋体" w:cs="宋体"/>
                <w:szCs w:val="21"/>
                <w:highlight w:val="none"/>
                <w:lang w:val="en-US" w:eastAsia="zh-CN"/>
              </w:rPr>
              <w:t>18</w:t>
            </w:r>
            <w:r>
              <w:rPr>
                <w:rFonts w:hint="eastAsia" w:ascii="宋体" w:hAnsi="宋体" w:cs="宋体"/>
                <w:szCs w:val="21"/>
                <w:highlight w:val="none"/>
              </w:rPr>
              <w:t>年1月1日至投标截止日止，作为主要完成单位获得过省级</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或以上）</w:t>
            </w:r>
            <w:r>
              <w:rPr>
                <w:rFonts w:hint="eastAsia" w:ascii="宋体" w:hAnsi="宋体" w:cs="宋体"/>
                <w:szCs w:val="21"/>
                <w:highlight w:val="none"/>
              </w:rPr>
              <w:t>房建类工法证书奖项情况：</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（1）20项或以上，得6分；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（2）11-19项，得3分；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（3）1-10项，得1分；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不符合上述条件的不得分，本小项最多得6分。</w:t>
            </w:r>
          </w:p>
          <w:p>
            <w:pPr>
              <w:pStyle w:val="2"/>
              <w:rPr>
                <w:rFonts w:hint="eastAsia" w:hAnsi="宋体" w:cs="宋体"/>
                <w:kern w:val="2"/>
                <w:sz w:val="21"/>
                <w:szCs w:val="21"/>
                <w:highlight w:val="none"/>
                <w:lang w:val="en-US" w:eastAsia="zh-CN"/>
              </w:rPr>
            </w:pPr>
            <w:r>
              <w:rPr>
                <w:rFonts w:hint="eastAsia" w:hAnsi="宋体" w:cs="宋体"/>
                <w:kern w:val="2"/>
                <w:sz w:val="21"/>
                <w:szCs w:val="21"/>
                <w:highlight w:val="none"/>
                <w:lang w:val="en-US" w:eastAsia="zh-CN"/>
              </w:rPr>
              <w:t>2、投标人自2018年1月1日至投标截止日止，获得市级</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或以上）</w:t>
            </w:r>
            <w:r>
              <w:rPr>
                <w:rFonts w:hint="eastAsia" w:hAnsi="宋体" w:cs="宋体"/>
                <w:kern w:val="2"/>
                <w:sz w:val="21"/>
                <w:szCs w:val="21"/>
                <w:highlight w:val="none"/>
                <w:lang w:val="en-US" w:eastAsia="zh-CN"/>
              </w:rPr>
              <w:t>科学技术奖项情况：</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（1）10项或以上，得3分；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（2）5-9项，得2分；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（3）1-4项，得1分；</w:t>
            </w:r>
          </w:p>
          <w:p>
            <w:pPr>
              <w:adjustRightInd w:val="0"/>
              <w:ind w:right="134" w:rightChars="64"/>
              <w:jc w:val="left"/>
              <w:rPr>
                <w:rFonts w:ascii="宋体" w:hAnsi="宋体" w:eastAsia="宋体" w:cs="宋体"/>
                <w:kern w:val="2"/>
                <w:sz w:val="21"/>
                <w:szCs w:val="21"/>
                <w:highlight w:val="none"/>
                <w:lang w:val="en-US" w:eastAsia="zh-CN" w:bidi="ar-SA"/>
              </w:rPr>
            </w:pPr>
            <w:r>
              <w:rPr>
                <w:rFonts w:hint="eastAsia" w:ascii="宋体" w:hAnsi="宋体" w:cs="宋体"/>
                <w:szCs w:val="21"/>
                <w:highlight w:val="none"/>
              </w:rPr>
              <w:t>不符合上述条件的不得分，本小项最多得3分。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4" w:hRule="atLeast"/>
          <w:jc w:val="center"/>
        </w:trPr>
        <w:tc>
          <w:tcPr>
            <w:tcW w:w="1251" w:type="dxa"/>
            <w:vMerge w:val="continue"/>
            <w:shd w:val="clear" w:color="auto" w:fill="FFFFFF"/>
            <w:noWrap w:val="0"/>
            <w:vAlign w:val="center"/>
          </w:tcPr>
          <w:p>
            <w:pPr>
              <w:snapToGrid w:val="0"/>
              <w:jc w:val="center"/>
              <w:rPr>
                <w:rFonts w:ascii="宋体" w:hAnsi="宋体" w:cs="宋体"/>
                <w:color w:val="000000"/>
                <w:kern w:val="0"/>
                <w:szCs w:val="21"/>
                <w:highlight w:val="none"/>
                <w:shd w:val="clear" w:color="auto" w:fill="FFFFFF"/>
                <w:lang w:val="zh-TW"/>
              </w:rPr>
            </w:pPr>
          </w:p>
        </w:tc>
        <w:tc>
          <w:tcPr>
            <w:tcW w:w="1905" w:type="dxa"/>
            <w:shd w:val="clear" w:color="auto" w:fill="FFFFFF"/>
            <w:noWrap w:val="0"/>
            <w:vAlign w:val="center"/>
          </w:tcPr>
          <w:p>
            <w:pPr>
              <w:widowControl/>
              <w:jc w:val="center"/>
              <w:rPr>
                <w:rFonts w:ascii="宋体" w:hAnsi="宋体" w:eastAsia="宋体" w:cs="宋体"/>
                <w:b/>
                <w:bCs/>
                <w:color w:val="000000"/>
                <w:kern w:val="0"/>
                <w:sz w:val="21"/>
                <w:szCs w:val="21"/>
                <w:highlight w:val="none"/>
                <w:lang w:val="en-US" w:eastAsia="zh-CN" w:bidi="ar-SA"/>
              </w:rPr>
            </w:pPr>
            <w:r>
              <w:rPr>
                <w:rFonts w:hint="eastAsia" w:ascii="宋体" w:hAnsi="宋体" w:cs="宋体"/>
                <w:b/>
                <w:bCs/>
                <w:color w:val="000000"/>
                <w:kern w:val="0"/>
                <w:szCs w:val="21"/>
                <w:highlight w:val="none"/>
              </w:rPr>
              <w:t>财务指标</w:t>
            </w:r>
          </w:p>
        </w:tc>
        <w:tc>
          <w:tcPr>
            <w:tcW w:w="654" w:type="dxa"/>
            <w:shd w:val="clear" w:color="auto" w:fill="FFFFFF"/>
            <w:noWrap w:val="0"/>
            <w:vAlign w:val="center"/>
          </w:tcPr>
          <w:p>
            <w:pPr>
              <w:widowControl/>
              <w:jc w:val="center"/>
              <w:rPr>
                <w:rFonts w:ascii="宋体" w:hAnsi="宋体" w:eastAsia="宋体" w:cs="宋体"/>
                <w:bCs/>
                <w:color w:val="000000"/>
                <w:kern w:val="0"/>
                <w:sz w:val="21"/>
                <w:szCs w:val="21"/>
                <w:highlight w:val="none"/>
                <w:lang w:val="en-US" w:eastAsia="zh-CN" w:bidi="ar-SA"/>
              </w:rPr>
            </w:pPr>
            <w:r>
              <w:rPr>
                <w:rFonts w:hint="eastAsia" w:ascii="宋体" w:hAnsi="宋体" w:cs="宋体"/>
                <w:bCs/>
                <w:color w:val="000000"/>
                <w:kern w:val="0"/>
                <w:szCs w:val="21"/>
                <w:highlight w:val="none"/>
              </w:rPr>
              <w:t>6</w:t>
            </w:r>
          </w:p>
        </w:tc>
        <w:tc>
          <w:tcPr>
            <w:tcW w:w="11559" w:type="dxa"/>
            <w:shd w:val="clear" w:color="auto" w:fill="FFFFFF"/>
            <w:noWrap w:val="0"/>
            <w:vAlign w:val="center"/>
          </w:tcPr>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投标人近三年（20</w:t>
            </w:r>
            <w:r>
              <w:rPr>
                <w:rFonts w:hint="eastAsia" w:ascii="宋体" w:hAnsi="宋体" w:cs="宋体"/>
                <w:szCs w:val="21"/>
                <w:highlight w:val="none"/>
                <w:lang w:val="en-US" w:eastAsia="zh-CN"/>
              </w:rPr>
              <w:t>20</w:t>
            </w:r>
            <w:r>
              <w:rPr>
                <w:rFonts w:hint="eastAsia" w:ascii="宋体" w:hAnsi="宋体" w:cs="宋体"/>
                <w:szCs w:val="21"/>
                <w:highlight w:val="none"/>
              </w:rPr>
              <w:t>年度至202</w:t>
            </w:r>
            <w:r>
              <w:rPr>
                <w:rFonts w:hint="eastAsia" w:ascii="宋体" w:hAnsi="宋体" w:cs="宋体"/>
                <w:szCs w:val="21"/>
                <w:highlight w:val="none"/>
                <w:lang w:val="en-US" w:eastAsia="zh-CN"/>
              </w:rPr>
              <w:t>2</w:t>
            </w:r>
            <w:r>
              <w:rPr>
                <w:rFonts w:hint="eastAsia" w:ascii="宋体" w:hAnsi="宋体" w:cs="宋体"/>
                <w:szCs w:val="21"/>
                <w:highlight w:val="none"/>
              </w:rPr>
              <w:t>年度）的资产负债率平均值：</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（1）资产负债率平均值≤40%，得6分；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（2）40%＜资产负债率平均值≤50%，得4分；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（3）50%＜资产负债率平均值≤60%，得2分；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（4）60%＜资产负债率平均值≤70%，得1分；</w:t>
            </w:r>
          </w:p>
          <w:p>
            <w:pPr>
              <w:adjustRightInd w:val="0"/>
              <w:ind w:right="134" w:rightChars="64"/>
              <w:jc w:val="left"/>
              <w:rPr>
                <w:rFonts w:hint="eastAsia" w:ascii="宋体" w:hAnsi="宋体" w:cs="宋体"/>
                <w:szCs w:val="21"/>
                <w:highlight w:val="none"/>
              </w:rPr>
            </w:pPr>
            <w:r>
              <w:rPr>
                <w:rFonts w:hint="eastAsia" w:ascii="宋体" w:hAnsi="宋体" w:cs="宋体"/>
                <w:szCs w:val="21"/>
                <w:highlight w:val="none"/>
              </w:rPr>
              <w:t>（5）资产负债率平均值＞70%，得0.5分。</w:t>
            </w:r>
          </w:p>
          <w:p>
            <w:pPr>
              <w:adjustRightInd w:val="0"/>
              <w:ind w:right="134" w:rightChars="64"/>
              <w:jc w:val="left"/>
              <w:rPr>
                <w:rFonts w:ascii="Calibri" w:hAnsi="Calibri" w:eastAsia="宋体" w:cs="Times New Roman"/>
                <w:kern w:val="2"/>
                <w:sz w:val="21"/>
                <w:szCs w:val="22"/>
                <w:highlight w:val="none"/>
                <w:lang w:val="en-US" w:eastAsia="zh-CN" w:bidi="ar-SA"/>
              </w:rPr>
            </w:pPr>
            <w:r>
              <w:rPr>
                <w:rFonts w:hint="eastAsia" w:ascii="宋体" w:hAnsi="宋体" w:cs="宋体"/>
                <w:szCs w:val="21"/>
                <w:highlight w:val="none"/>
              </w:rPr>
              <w:t>本项最多得6分。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3156" w:type="dxa"/>
            <w:gridSpan w:val="2"/>
            <w:shd w:val="clear" w:color="auto" w:fill="FFFFFF"/>
            <w:noWrap w:val="0"/>
            <w:vAlign w:val="center"/>
          </w:tcPr>
          <w:p>
            <w:pPr>
              <w:snapToGrid w:val="0"/>
              <w:jc w:val="center"/>
              <w:rPr>
                <w:rFonts w:ascii="宋体" w:hAnsi="宋体" w:cs="宋体"/>
                <w:color w:val="000000"/>
                <w:kern w:val="0"/>
                <w:szCs w:val="21"/>
                <w:highlight w:val="none"/>
                <w:shd w:val="clear" w:color="auto" w:fill="FFFFFF"/>
                <w:lang w:val="zh-TW"/>
              </w:rPr>
            </w:pPr>
            <w:r>
              <w:rPr>
                <w:rFonts w:hint="eastAsia" w:ascii="宋体" w:hAnsi="宋体" w:cs="宋体"/>
                <w:color w:val="000000"/>
                <w:kern w:val="0"/>
                <w:szCs w:val="21"/>
                <w:highlight w:val="none"/>
                <w:shd w:val="clear" w:color="auto" w:fill="FFFFFF"/>
                <w:lang w:val="zh-TW"/>
              </w:rPr>
              <w:t>合计</w:t>
            </w:r>
          </w:p>
        </w:tc>
        <w:tc>
          <w:tcPr>
            <w:tcW w:w="654" w:type="dxa"/>
            <w:shd w:val="clear" w:color="auto" w:fill="FFFFFF"/>
            <w:noWrap w:val="0"/>
            <w:vAlign w:val="center"/>
          </w:tcPr>
          <w:p>
            <w:pPr>
              <w:snapToGrid w:val="0"/>
              <w:jc w:val="center"/>
              <w:rPr>
                <w:rFonts w:ascii="宋体" w:hAnsi="宋体" w:cs="Century Schoolbook"/>
                <w:color w:val="000000"/>
                <w:spacing w:val="10"/>
                <w:kern w:val="0"/>
                <w:szCs w:val="21"/>
                <w:highlight w:val="none"/>
                <w:shd w:val="clear" w:color="auto" w:fill="FFFFFF"/>
              </w:rPr>
            </w:pPr>
            <w:r>
              <w:rPr>
                <w:rFonts w:ascii="宋体" w:hAnsi="宋体" w:cs="Century Schoolbook"/>
                <w:bCs/>
                <w:color w:val="000000"/>
                <w:spacing w:val="10"/>
                <w:kern w:val="0"/>
                <w:szCs w:val="21"/>
                <w:highlight w:val="none"/>
                <w:shd w:val="clear" w:color="auto" w:fill="FFFFFF"/>
              </w:rPr>
              <w:t>100</w:t>
            </w:r>
          </w:p>
        </w:tc>
        <w:tc>
          <w:tcPr>
            <w:tcW w:w="11559" w:type="dxa"/>
            <w:shd w:val="clear" w:color="auto" w:fill="FFFFFF"/>
            <w:noWrap w:val="0"/>
            <w:vAlign w:val="center"/>
          </w:tcPr>
          <w:p>
            <w:pPr>
              <w:snapToGrid w:val="0"/>
              <w:jc w:val="left"/>
              <w:rPr>
                <w:rFonts w:ascii="宋体" w:hAnsi="宋体" w:cs="宋体"/>
                <w:color w:val="000000"/>
                <w:kern w:val="0"/>
                <w:szCs w:val="21"/>
                <w:highlight w:val="none"/>
                <w:shd w:val="clear" w:color="auto" w:fill="FFFFFF"/>
                <w:lang w:val="zh-TW"/>
              </w:rPr>
            </w:pPr>
          </w:p>
        </w:tc>
      </w:tr>
    </w:tbl>
    <w:p>
      <w:pPr>
        <w:tabs>
          <w:tab w:val="left" w:pos="0"/>
        </w:tabs>
        <w:spacing w:line="360" w:lineRule="auto"/>
        <w:rPr>
          <w:rFonts w:hint="eastAsia" w:ascii="宋体" w:hAnsi="宋体"/>
          <w:bCs/>
          <w:color w:val="000000"/>
          <w:szCs w:val="21"/>
          <w:highlight w:val="none"/>
        </w:rPr>
      </w:pPr>
      <w:r>
        <w:rPr>
          <w:rFonts w:hint="eastAsia" w:ascii="宋体" w:hAnsi="宋体" w:cs="宋体"/>
          <w:color w:val="000000"/>
          <w:szCs w:val="21"/>
          <w:highlight w:val="none"/>
        </w:rPr>
        <w:t>注：1、</w:t>
      </w:r>
      <w:r>
        <w:rPr>
          <w:rFonts w:hint="eastAsia" w:ascii="宋体" w:hAnsi="宋体"/>
          <w:b/>
          <w:color w:val="000000"/>
          <w:szCs w:val="21"/>
          <w:highlight w:val="none"/>
        </w:rPr>
        <w:t>【</w:t>
      </w:r>
      <w:r>
        <w:rPr>
          <w:rFonts w:hint="eastAsia" w:ascii="宋体" w:hAnsi="宋体" w:cs="宋体"/>
          <w:b/>
          <w:bCs/>
          <w:color w:val="000000"/>
          <w:kern w:val="0"/>
          <w:szCs w:val="21"/>
          <w:highlight w:val="none"/>
        </w:rPr>
        <w:t>项目管理机构能力</w:t>
      </w:r>
      <w:r>
        <w:rPr>
          <w:rFonts w:hint="eastAsia" w:ascii="宋体" w:hAnsi="宋体"/>
          <w:b/>
          <w:color w:val="000000"/>
          <w:szCs w:val="21"/>
          <w:highlight w:val="none"/>
        </w:rPr>
        <w:t>】：</w:t>
      </w:r>
      <w:r>
        <w:rPr>
          <w:rFonts w:hint="eastAsia" w:ascii="宋体" w:hAnsi="宋体"/>
          <w:bCs/>
          <w:color w:val="000000"/>
          <w:szCs w:val="21"/>
          <w:highlight w:val="none"/>
        </w:rPr>
        <w:t>（1）指投标人自身人员（含分公司，不含子、母公司人员），上述人员不得相互兼任。投标人须提交人员职称证书、注册证书等证明材料扫描件</w:t>
      </w:r>
      <w:r>
        <w:rPr>
          <w:rFonts w:hint="eastAsia" w:ascii="宋体" w:hAnsi="宋体"/>
          <w:bCs/>
          <w:color w:val="000000"/>
          <w:szCs w:val="21"/>
          <w:highlight w:val="none"/>
          <w:lang w:val="en-US" w:eastAsia="zh-CN"/>
        </w:rPr>
        <w:t>以及</w:t>
      </w:r>
      <w:r>
        <w:rPr>
          <w:rFonts w:hint="eastAsia" w:ascii="宋体" w:hAnsi="宋体"/>
          <w:bCs/>
          <w:color w:val="000000"/>
          <w:szCs w:val="21"/>
          <w:highlight w:val="none"/>
        </w:rPr>
        <w:t>近一个月（2023年</w:t>
      </w:r>
      <w:r>
        <w:rPr>
          <w:rFonts w:hint="eastAsia" w:ascii="宋体" w:hAnsi="宋体"/>
          <w:bCs/>
          <w:color w:val="000000"/>
          <w:szCs w:val="21"/>
          <w:highlight w:val="none"/>
          <w:lang w:val="en-US" w:eastAsia="zh-CN"/>
        </w:rPr>
        <w:t>7</w:t>
      </w:r>
      <w:r>
        <w:rPr>
          <w:rFonts w:hint="eastAsia" w:ascii="宋体" w:hAnsi="宋体"/>
          <w:bCs/>
          <w:color w:val="000000"/>
          <w:szCs w:val="21"/>
          <w:highlight w:val="none"/>
        </w:rPr>
        <w:t>月）在投标人单位参保的社保缴纳记录证明文件</w:t>
      </w:r>
      <w:r>
        <w:rPr>
          <w:rFonts w:hint="eastAsia" w:ascii="宋体" w:hAnsi="宋体"/>
          <w:bCs/>
          <w:color w:val="000000"/>
          <w:szCs w:val="21"/>
          <w:highlight w:val="none"/>
          <w:lang w:eastAsia="zh-CN"/>
        </w:rPr>
        <w:t>，</w:t>
      </w:r>
      <w:r>
        <w:rPr>
          <w:rFonts w:hint="eastAsia" w:ascii="宋体" w:hAnsi="宋体"/>
          <w:bCs/>
          <w:color w:val="000000"/>
          <w:szCs w:val="21"/>
          <w:highlight w:val="none"/>
        </w:rPr>
        <w:t>如相关注册证人员注册证书符合国家注册管理规定但属离退休人员，可不提供社保，但需提供此人离退休证及与投标单位的返聘协议扫描件。不符合条件或无提交相关资料的不计分。</w:t>
      </w:r>
    </w:p>
    <w:p>
      <w:pPr>
        <w:tabs>
          <w:tab w:val="left" w:pos="0"/>
        </w:tabs>
        <w:spacing w:line="360" w:lineRule="auto"/>
        <w:ind w:firstLine="525" w:firstLineChars="250"/>
        <w:rPr>
          <w:rFonts w:ascii="宋体" w:hAnsi="宋体" w:cs="宋体"/>
          <w:color w:val="000000"/>
          <w:szCs w:val="21"/>
          <w:highlight w:val="none"/>
        </w:rPr>
      </w:pPr>
      <w:r>
        <w:rPr>
          <w:rFonts w:hint="eastAsia"/>
          <w:highlight w:val="none"/>
          <w:lang w:eastAsia="zh-CN"/>
        </w:rPr>
        <w:t>（</w:t>
      </w:r>
      <w:r>
        <w:rPr>
          <w:rFonts w:hint="eastAsia"/>
          <w:highlight w:val="none"/>
          <w:lang w:val="en-US" w:eastAsia="zh-CN"/>
        </w:rPr>
        <w:t>2）</w:t>
      </w:r>
      <w:r>
        <w:rPr>
          <w:rFonts w:hint="eastAsia" w:ascii="宋体" w:hAnsi="宋体"/>
          <w:bCs/>
          <w:color w:val="000000"/>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未提供或所提供的证明资料不符合要求的，则该评分节点不予得分。</w:t>
      </w:r>
      <w:r>
        <w:rPr>
          <w:rFonts w:hint="eastAsia" w:ascii="宋体" w:hAnsi="宋体" w:cs="宋体"/>
          <w:color w:val="000000"/>
          <w:szCs w:val="21"/>
          <w:highlight w:val="none"/>
        </w:rPr>
        <w:t>“建筑工程相关专业”技术职称是指包括但不限于建筑施工管理、建筑施工、施工管理、工程管理、建筑工程造价、建筑生产技术管理等工程项目建设所涉及的相关专业的技术职称。</w:t>
      </w:r>
    </w:p>
    <w:p>
      <w:pPr>
        <w:spacing w:line="360" w:lineRule="auto"/>
        <w:rPr>
          <w:rFonts w:hint="eastAsia" w:ascii="宋体" w:hAnsi="宋体" w:cs="宋体"/>
          <w:color w:val="000000"/>
          <w:szCs w:val="21"/>
          <w:highlight w:val="none"/>
        </w:rPr>
      </w:pPr>
      <w:r>
        <w:rPr>
          <w:rFonts w:hint="eastAsia" w:ascii="宋体" w:hAnsi="宋体" w:cs="宋体"/>
          <w:b/>
          <w:bCs/>
          <w:color w:val="000000"/>
          <w:szCs w:val="21"/>
          <w:highlight w:val="none"/>
        </w:rPr>
        <w:t>2、【工程业绩】</w:t>
      </w:r>
      <w:r>
        <w:rPr>
          <w:rFonts w:hint="eastAsia" w:ascii="宋体" w:hAnsi="宋体" w:cs="宋体"/>
          <w:color w:val="000000"/>
          <w:szCs w:val="21"/>
          <w:highlight w:val="none"/>
        </w:rPr>
        <w:t>：业绩取自广州市住建行业信用管理平台。投标人须提供类似工程业绩的项目名称及业绩在广州市住建行业信用管理平台中项目编号（投标文件中可不需重复提交相关业绩上传件）。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用于本项目投标的类似业绩，在平台中“工程对应的企业资质”栏中须登记有与本项目要求相对应的资质（具体资质要求：建筑工程施工总承包（原房屋建筑工程施工总承包）资质）</w:t>
      </w:r>
      <w:r>
        <w:rPr>
          <w:rFonts w:hint="eastAsia" w:ascii="宋体" w:hAnsi="宋体" w:cs="宋体"/>
          <w:color w:val="000000"/>
          <w:szCs w:val="21"/>
          <w:highlight w:val="none"/>
          <w:lang w:eastAsia="zh-CN"/>
        </w:rPr>
        <w:t>，</w:t>
      </w:r>
      <w:r>
        <w:rPr>
          <w:rFonts w:hint="eastAsia"/>
          <w:highlight w:val="none"/>
        </w:rPr>
        <w:t>承建和参建都予以计算</w:t>
      </w:r>
      <w:r>
        <w:rPr>
          <w:rFonts w:hint="eastAsia" w:ascii="宋体" w:hAnsi="宋体" w:cs="宋体"/>
          <w:color w:val="000000"/>
          <w:szCs w:val="21"/>
          <w:highlight w:val="none"/>
        </w:rPr>
        <w:t>。评标委员会对业绩的评审以投标截止时间在平台内业绩上传件为依据。（1）金额以中标通知书为准，中标通知书上没有金额或免招标的，以施工合同（不含补充合同）为准。（2）完成时间以竣工验收文件为准。验收文件至少具有建设单位、设计、施工和监理单位盖章。（3）平台内业绩上传件不符合上述要求的或登记的工程资质内容与施工合同等业绩证明资料不相符的，该项业绩不予认定。</w:t>
      </w:r>
    </w:p>
    <w:p>
      <w:pPr>
        <w:spacing w:line="360" w:lineRule="auto"/>
        <w:rPr>
          <w:rFonts w:hint="eastAsia" w:ascii="宋体" w:hAnsi="宋体"/>
          <w:color w:val="000000"/>
          <w:szCs w:val="21"/>
          <w:highlight w:val="none"/>
        </w:rPr>
      </w:pPr>
      <w:r>
        <w:rPr>
          <w:rFonts w:hint="eastAsia" w:ascii="宋体" w:hAnsi="宋体"/>
          <w:b/>
          <w:bCs/>
          <w:color w:val="000000"/>
          <w:szCs w:val="21"/>
          <w:highlight w:val="none"/>
        </w:rPr>
        <w:t>3、</w:t>
      </w:r>
      <w:r>
        <w:rPr>
          <w:rFonts w:hint="eastAsia" w:ascii="宋体" w:hAnsi="宋体" w:cs="宋体"/>
          <w:b/>
          <w:bCs/>
          <w:color w:val="000000"/>
          <w:szCs w:val="21"/>
          <w:highlight w:val="none"/>
        </w:rPr>
        <w:t>【工程获奖】：</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1）</w:t>
      </w:r>
      <w:r>
        <w:rPr>
          <w:rFonts w:hint="eastAsia" w:ascii="宋体" w:hAnsi="宋体"/>
          <w:color w:val="000000"/>
          <w:szCs w:val="21"/>
          <w:highlight w:val="none"/>
        </w:rPr>
        <w:t>投标人须提交获奖证书扫描件，并加盖投标人电子印章。</w:t>
      </w:r>
    </w:p>
    <w:p>
      <w:pPr>
        <w:spacing w:line="360" w:lineRule="auto"/>
        <w:rPr>
          <w:rFonts w:hint="eastAsia"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2）</w:t>
      </w:r>
      <w:r>
        <w:rPr>
          <w:rFonts w:hint="eastAsia" w:ascii="宋体" w:hAnsi="宋体"/>
          <w:color w:val="000000"/>
          <w:szCs w:val="21"/>
          <w:highlight w:val="none"/>
        </w:rPr>
        <w:t>时间以获奖证书颁发时间为准。</w:t>
      </w:r>
    </w:p>
    <w:p>
      <w:pPr>
        <w:spacing w:line="360" w:lineRule="auto"/>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3）</w:t>
      </w:r>
      <w:r>
        <w:rPr>
          <w:rFonts w:hint="eastAsia" w:ascii="宋体" w:hAnsi="宋体"/>
          <w:color w:val="000000"/>
          <w:szCs w:val="21"/>
          <w:highlight w:val="none"/>
        </w:rPr>
        <w:t>国家级工程质量奖包括中国建设工程鲁班奖、国家优质工程金质奖、国家优质工程奖、中国土木工程詹天佑奖。省或市级奖项是指由省、市级建设行政主管部门或行业协会颁发的工程质量类奖项。不包含装饰装修、钢结构、技术创新、QC成果、科技进步及技术应用类等奖项。只计算房屋建筑工程业绩所获得的工程奖项</w:t>
      </w:r>
      <w:r>
        <w:rPr>
          <w:rFonts w:hint="eastAsia" w:ascii="宋体" w:hAnsi="宋体"/>
          <w:color w:val="000000"/>
          <w:szCs w:val="21"/>
          <w:highlight w:val="none"/>
          <w:lang w:eastAsia="zh-CN"/>
        </w:rPr>
        <w:t>，承建和参建都予以计算</w:t>
      </w:r>
      <w:r>
        <w:rPr>
          <w:rFonts w:hint="eastAsia" w:ascii="宋体" w:hAnsi="宋体"/>
          <w:color w:val="000000"/>
          <w:szCs w:val="21"/>
          <w:highlight w:val="none"/>
        </w:rPr>
        <w:t>，其他非房建项目，如：路桥、铁路、水利、电力、化工、冶金、市政等获奖不参与计分。如颁奖单位为协会的，还需提供该协会在“全国社会组织信用信息公示平台（试运行）”登记备案的网页查询截图（网址：https://xxgs.chinanpo.mca.gov.cn/gsxt/newList），证明其有登记备案。</w:t>
      </w:r>
    </w:p>
    <w:p>
      <w:pPr>
        <w:pStyle w:val="2"/>
        <w:rPr>
          <w:rFonts w:hint="eastAsia" w:eastAsia="宋体"/>
          <w:highlight w:val="none"/>
          <w:lang w:val="en-US"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4）</w:t>
      </w:r>
      <w:r>
        <w:rPr>
          <w:rFonts w:hint="eastAsia" w:ascii="宋体" w:hAnsi="宋体"/>
          <w:color w:val="000000"/>
          <w:szCs w:val="21"/>
          <w:highlight w:val="none"/>
        </w:rPr>
        <w:t>同一项目获得多个奖项的，按最高级别奖项只计一次得分。</w:t>
      </w:r>
    </w:p>
    <w:p>
      <w:pPr>
        <w:pStyle w:val="10"/>
        <w:spacing w:line="360" w:lineRule="auto"/>
        <w:ind w:firstLine="0"/>
        <w:rPr>
          <w:rFonts w:hint="eastAsia" w:ascii="宋体" w:hAnsi="宋体"/>
          <w:color w:val="000000"/>
          <w:kern w:val="2"/>
          <w:sz w:val="21"/>
          <w:szCs w:val="21"/>
          <w:highlight w:val="none"/>
          <w:lang w:val="en-US" w:eastAsia="zh-CN"/>
        </w:rPr>
      </w:pPr>
      <w:r>
        <w:rPr>
          <w:rFonts w:hint="eastAsia" w:ascii="宋体" w:hAnsi="宋体"/>
          <w:b/>
          <w:bCs/>
          <w:color w:val="000000"/>
          <w:kern w:val="2"/>
          <w:sz w:val="21"/>
          <w:szCs w:val="21"/>
          <w:highlight w:val="none"/>
          <w:lang w:val="en-US" w:eastAsia="zh-CN"/>
        </w:rPr>
        <w:t>4、【企业研发能力】：</w:t>
      </w:r>
      <w:r>
        <w:rPr>
          <w:rFonts w:hint="eastAsia" w:ascii="宋体" w:hAnsi="宋体"/>
          <w:color w:val="000000"/>
          <w:kern w:val="2"/>
          <w:sz w:val="21"/>
          <w:szCs w:val="21"/>
          <w:highlight w:val="none"/>
          <w:lang w:val="en-US" w:eastAsia="zh-CN"/>
        </w:rPr>
        <w:t>1）工法：须同时提供由省级（或以上）的建设行政主管部门或行业协会或其他工法主管部门颁发的证书原件扫描件，以及科学技术成果鉴定证书扫描件，并加盖投标单位电子印章，在科学技术成果鉴定证书中需明确该工法的研究背景项目为房建类项目，否则不得分。时间以发证时间为准。如为行业协会颁发，还需提供该协会在“全国社会组织信用信息公示平台（试运行）”登记备案的网页查询截图（网址：https://xxgs.chinanpo.mca.gov.cn/gsxt/newList），证明其有登记备案。未按要求提供上述资料或无该证书的不得分。</w:t>
      </w:r>
    </w:p>
    <w:p>
      <w:pPr>
        <w:pStyle w:val="10"/>
        <w:spacing w:line="360" w:lineRule="auto"/>
        <w:ind w:firstLine="0"/>
        <w:rPr>
          <w:rFonts w:hint="eastAsia" w:ascii="宋体" w:hAnsi="宋体"/>
          <w:color w:val="000000"/>
          <w:kern w:val="2"/>
          <w:sz w:val="21"/>
          <w:szCs w:val="21"/>
          <w:highlight w:val="none"/>
          <w:lang w:val="en-US" w:eastAsia="zh-CN"/>
        </w:rPr>
      </w:pPr>
      <w:r>
        <w:rPr>
          <w:rFonts w:hint="eastAsia" w:ascii="宋体" w:hAnsi="宋体"/>
          <w:color w:val="000000"/>
          <w:kern w:val="2"/>
          <w:sz w:val="21"/>
          <w:szCs w:val="21"/>
          <w:highlight w:val="none"/>
          <w:lang w:val="en-US" w:eastAsia="zh-CN"/>
        </w:rPr>
        <w:t>2）科学技术奖：包括科学技术奖、科学技术进步奖等。须提交市级（或以上）人民政府或行政部门或行业协会颁发的获奖证书原件扫描件并加盖投标单位电子印章。</w:t>
      </w:r>
      <w:r>
        <w:rPr>
          <w:rFonts w:hint="eastAsia" w:ascii="宋体" w:hAnsi="宋体"/>
          <w:color w:val="000000"/>
          <w:szCs w:val="21"/>
          <w:highlight w:val="none"/>
        </w:rPr>
        <w:t>时间以证书颁发日期为准。如为行业协会颁发，还需提供该协会在“全国社会组织信用信息公示平台（试运行）”登记备案的网页查询截图（网址：https://xxgs.chinanpo.mca.gov.cn/gsxt/newList），证明其有登记备案。</w:t>
      </w:r>
      <w:r>
        <w:rPr>
          <w:rFonts w:hint="eastAsia" w:ascii="宋体" w:hAnsi="宋体"/>
          <w:color w:val="000000"/>
          <w:kern w:val="2"/>
          <w:sz w:val="21"/>
          <w:szCs w:val="21"/>
          <w:highlight w:val="none"/>
          <w:lang w:val="en-US" w:eastAsia="zh-CN"/>
        </w:rPr>
        <w:t>同一个项目获奖只按最高级别计算，不得重复计算。</w:t>
      </w:r>
    </w:p>
    <w:p>
      <w:pPr>
        <w:spacing w:line="360" w:lineRule="auto"/>
        <w:rPr>
          <w:rFonts w:hint="eastAsia" w:ascii="宋体" w:hAnsi="宋体"/>
          <w:color w:val="000000"/>
          <w:szCs w:val="21"/>
          <w:highlight w:val="none"/>
        </w:rPr>
      </w:pPr>
      <w:r>
        <w:rPr>
          <w:rFonts w:hint="eastAsia" w:ascii="宋体" w:hAnsi="宋体"/>
          <w:b/>
          <w:bCs w:val="0"/>
          <w:color w:val="000000"/>
          <w:szCs w:val="21"/>
          <w:highlight w:val="none"/>
        </w:rPr>
        <w:t>5、【财务状况】：</w:t>
      </w:r>
      <w:r>
        <w:rPr>
          <w:rFonts w:hint="eastAsia" w:ascii="宋体" w:hAnsi="宋体"/>
          <w:color w:val="000000"/>
          <w:szCs w:val="21"/>
          <w:highlight w:val="none"/>
        </w:rPr>
        <w:t>投标人提供20</w:t>
      </w:r>
      <w:r>
        <w:rPr>
          <w:rFonts w:hint="eastAsia" w:ascii="宋体" w:hAnsi="宋体"/>
          <w:color w:val="000000"/>
          <w:szCs w:val="21"/>
          <w:highlight w:val="none"/>
          <w:lang w:val="en-US" w:eastAsia="zh-CN"/>
        </w:rPr>
        <w:t>20</w:t>
      </w:r>
      <w:r>
        <w:rPr>
          <w:rFonts w:hint="eastAsia" w:ascii="宋体" w:hAnsi="宋体"/>
          <w:color w:val="000000"/>
          <w:szCs w:val="21"/>
          <w:highlight w:val="none"/>
        </w:rPr>
        <w:t>、202</w:t>
      </w:r>
      <w:r>
        <w:rPr>
          <w:rFonts w:hint="eastAsia" w:ascii="宋体" w:hAnsi="宋体"/>
          <w:color w:val="000000"/>
          <w:szCs w:val="21"/>
          <w:highlight w:val="none"/>
          <w:lang w:val="en-US" w:eastAsia="zh-CN"/>
        </w:rPr>
        <w:t>1</w:t>
      </w:r>
      <w:r>
        <w:rPr>
          <w:rFonts w:hint="eastAsia" w:ascii="宋体" w:hAnsi="宋体"/>
          <w:color w:val="000000"/>
          <w:szCs w:val="21"/>
          <w:highlight w:val="none"/>
        </w:rPr>
        <w:t>、202</w:t>
      </w:r>
      <w:r>
        <w:rPr>
          <w:rFonts w:hint="eastAsia" w:ascii="宋体" w:hAnsi="宋体"/>
          <w:color w:val="000000"/>
          <w:szCs w:val="21"/>
          <w:highlight w:val="none"/>
          <w:lang w:val="en-US" w:eastAsia="zh-CN"/>
        </w:rPr>
        <w:t>2</w:t>
      </w:r>
      <w:r>
        <w:rPr>
          <w:rFonts w:hint="eastAsia" w:ascii="宋体" w:hAnsi="宋体"/>
          <w:color w:val="000000"/>
          <w:szCs w:val="21"/>
          <w:highlight w:val="none"/>
        </w:rPr>
        <w:t>年度自身法人主体（本部）经会计事务所或审计机构审计的财务审计报告及附表（包括资产负债表、利润表、现金流量表等，财务报表附注可不提供）扫描件并加盖投标人电子印章。资产负债率以报表数据为准。计算公式：资产负债率=（期末）负债总额/（期末）资产总额×100%，不满足上述要求的或未提供相关证明材料的不得分。</w:t>
      </w:r>
    </w:p>
    <w:p>
      <w:pPr>
        <w:rPr>
          <w:highlight w:val="none"/>
        </w:rPr>
      </w:pPr>
      <w:r>
        <w:rPr>
          <w:rFonts w:hint="eastAsia"/>
          <w:highlight w:val="none"/>
        </w:rPr>
        <w:t>6、评标委员会成员评分的算术平均值，即为该投标人的评审得分（若分数出现小数点时，保留到小数点后两位，第三位小数四舍五入）。</w:t>
      </w:r>
    </w:p>
    <w:p>
      <w:pPr>
        <w:widowControl/>
        <w:jc w:val="left"/>
        <w:rPr>
          <w:rFonts w:hint="eastAsia" w:ascii="宋体" w:hAnsi="宋体" w:cs="宋体"/>
          <w:color w:val="000000"/>
          <w:szCs w:val="21"/>
          <w:highlight w:val="none"/>
        </w:rPr>
      </w:pPr>
    </w:p>
    <w:p>
      <w:pPr>
        <w:widowControl/>
        <w:jc w:val="left"/>
        <w:rPr>
          <w:color w:val="auto"/>
          <w:kern w:val="0"/>
          <w:sz w:val="18"/>
          <w:szCs w:val="18"/>
          <w:highlight w:val="none"/>
        </w:rPr>
      </w:pPr>
      <w:r>
        <w:rPr>
          <w:rFonts w:hint="eastAsia" w:ascii="宋体" w:hAnsi="宋体" w:cs="宋体"/>
          <w:color w:val="000000"/>
          <w:szCs w:val="21"/>
          <w:highlight w:val="none"/>
        </w:rPr>
        <w:t>评委签名：                     日期：</w:t>
      </w:r>
      <w:r>
        <w:rPr>
          <w:rFonts w:ascii="宋体" w:hAnsi="宋体" w:cs="宋体"/>
          <w:color w:val="auto"/>
          <w:kern w:val="0"/>
          <w:highlight w:val="none"/>
        </w:rPr>
        <w:tab/>
      </w:r>
      <w:r>
        <w:rPr>
          <w:color w:val="auto"/>
          <w:kern w:val="0"/>
          <w:sz w:val="18"/>
          <w:szCs w:val="18"/>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color w:val="auto"/>
          <w:szCs w:val="21"/>
          <w:highlight w:val="none"/>
        </w:rPr>
        <w:t>附表五（适用于区间抽取法）</w:t>
      </w:r>
    </w:p>
    <w:p>
      <w:pPr>
        <w:jc w:val="center"/>
        <w:rPr>
          <w:b/>
          <w:strike/>
          <w:color w:val="auto"/>
          <w:sz w:val="36"/>
          <w:szCs w:val="36"/>
          <w:highlight w:val="none"/>
        </w:rPr>
      </w:pPr>
      <w:r>
        <w:rPr>
          <w:rFonts w:hint="eastAsia"/>
          <w:b/>
          <w:strike/>
          <w:color w:val="auto"/>
          <w:sz w:val="36"/>
          <w:szCs w:val="36"/>
          <w:highlight w:val="none"/>
        </w:rPr>
        <w:t>经济标评分表</w:t>
      </w:r>
    </w:p>
    <w:p>
      <w:pPr>
        <w:rPr>
          <w:strike/>
          <w:color w:val="auto"/>
          <w:szCs w:val="21"/>
          <w:highlight w:val="none"/>
        </w:rPr>
      </w:pPr>
      <w:r>
        <w:rPr>
          <w:rFonts w:hint="eastAsia"/>
          <w:strike/>
          <w:color w:val="auto"/>
          <w:szCs w:val="21"/>
          <w:highlight w:val="none"/>
        </w:rPr>
        <w:t>工程名称：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bl>
    <w:p>
      <w:pPr>
        <w:rPr>
          <w:strike/>
          <w:color w:val="auto"/>
          <w:szCs w:val="21"/>
          <w:highlight w:val="none"/>
        </w:rPr>
      </w:pPr>
      <w:r>
        <w:rPr>
          <w:rFonts w:hint="eastAsia"/>
          <w:strike/>
          <w:color w:val="auto"/>
          <w:szCs w:val="21"/>
          <w:highlight w:val="none"/>
        </w:rPr>
        <w:t>评委签名：</w:t>
      </w:r>
    </w:p>
    <w:p>
      <w:pPr>
        <w:rPr>
          <w:strike/>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5"/>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pPr>
        <w:pStyle w:val="3"/>
        <w:jc w:val="center"/>
        <w:rPr>
          <w:color w:val="auto"/>
          <w:highlight w:val="none"/>
        </w:rPr>
      </w:pPr>
      <w:bookmarkStart w:id="21"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21"/>
    </w:p>
    <w:p>
      <w:pPr>
        <w:jc w:val="center"/>
        <w:rPr>
          <w:rFonts w:ascii="宋体"/>
          <w:b/>
          <w:color w:val="auto"/>
          <w:sz w:val="24"/>
          <w:szCs w:val="24"/>
          <w:highlight w:val="none"/>
        </w:rPr>
      </w:pPr>
      <w:r>
        <w:rPr>
          <w:rFonts w:hint="eastAsia"/>
          <w:color w:val="auto"/>
          <w:sz w:val="24"/>
          <w:szCs w:val="24"/>
          <w:highlight w:val="none"/>
        </w:rPr>
        <w:t>（</w:t>
      </w:r>
      <w:r>
        <w:rPr>
          <w:rFonts w:hint="eastAsia" w:ascii="宋体" w:hAnsi="宋体"/>
          <w:color w:val="auto"/>
          <w:sz w:val="24"/>
          <w:szCs w:val="24"/>
          <w:highlight w:val="none"/>
        </w:rPr>
        <w:t>另册</w:t>
      </w:r>
      <w:r>
        <w:rPr>
          <w:rFonts w:hint="eastAsia"/>
          <w:color w:val="auto"/>
          <w:sz w:val="24"/>
          <w:szCs w:val="24"/>
          <w:highlight w:val="none"/>
        </w:rPr>
        <w:t>）</w:t>
      </w:r>
    </w:p>
    <w:p>
      <w:pPr>
        <w:rPr>
          <w:color w:val="auto"/>
          <w:sz w:val="24"/>
          <w:szCs w:val="24"/>
          <w:highlight w:val="none"/>
        </w:rPr>
      </w:pPr>
    </w:p>
    <w:p>
      <w:pPr>
        <w:pStyle w:val="2"/>
        <w:spacing w:line="360" w:lineRule="auto"/>
        <w:rPr>
          <w:color w:val="auto"/>
          <w:sz w:val="24"/>
          <w:szCs w:val="24"/>
          <w:highlight w:val="none"/>
        </w:rPr>
      </w:pPr>
    </w:p>
    <w:p>
      <w:pPr>
        <w:widowControl/>
        <w:jc w:val="left"/>
        <w:rPr>
          <w:rFonts w:ascii="宋体" w:hAnsi="Courier New"/>
          <w:color w:val="auto"/>
          <w:sz w:val="24"/>
          <w:szCs w:val="24"/>
          <w:highlight w:val="none"/>
        </w:rPr>
      </w:pPr>
      <w:r>
        <w:rPr>
          <w:color w:val="auto"/>
          <w:sz w:val="24"/>
          <w:szCs w:val="24"/>
          <w:highlight w:val="none"/>
        </w:rPr>
        <w:br w:type="page"/>
      </w:r>
    </w:p>
    <w:p>
      <w:pPr>
        <w:pStyle w:val="3"/>
        <w:jc w:val="center"/>
        <w:rPr>
          <w:color w:val="auto"/>
          <w:highlight w:val="none"/>
        </w:rPr>
      </w:pPr>
      <w:bookmarkStart w:id="22"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22"/>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pStyle w:val="2"/>
        <w:rPr>
          <w:rFonts w:ascii="宋体" w:hAnsi="宋体"/>
          <w:color w:val="auto"/>
          <w:sz w:val="24"/>
          <w:szCs w:val="24"/>
          <w:highlight w:val="none"/>
        </w:rPr>
      </w:pPr>
    </w:p>
    <w:p>
      <w:pPr>
        <w:pStyle w:val="2"/>
        <w:rPr>
          <w:rFonts w:ascii="宋体" w:hAnsi="宋体"/>
          <w:color w:val="auto"/>
          <w:sz w:val="24"/>
          <w:szCs w:val="24"/>
          <w:highlight w:val="none"/>
        </w:rPr>
      </w:pPr>
    </w:p>
    <w:p>
      <w:pPr>
        <w:pStyle w:val="2"/>
        <w:rPr>
          <w:rFonts w:ascii="宋体" w:hAnsi="宋体"/>
          <w:color w:val="auto"/>
          <w:sz w:val="24"/>
          <w:szCs w:val="24"/>
          <w:highlight w:val="none"/>
        </w:rPr>
      </w:pPr>
    </w:p>
    <w:p>
      <w:pPr>
        <w:pStyle w:val="2"/>
        <w:rPr>
          <w:rFonts w:ascii="宋体" w:hAnsi="宋体"/>
          <w:color w:val="auto"/>
          <w:sz w:val="24"/>
          <w:szCs w:val="24"/>
          <w:highlight w:val="none"/>
        </w:rPr>
      </w:pPr>
    </w:p>
    <w:p>
      <w:pPr>
        <w:pStyle w:val="2"/>
        <w:rPr>
          <w:rFonts w:ascii="宋体" w:hAnsi="宋体"/>
          <w:color w:val="auto"/>
          <w:sz w:val="24"/>
          <w:szCs w:val="24"/>
          <w:highlight w:val="none"/>
        </w:rPr>
      </w:pPr>
    </w:p>
    <w:p>
      <w:pPr>
        <w:pStyle w:val="2"/>
        <w:rPr>
          <w:rFonts w:ascii="宋体" w:hAnsi="宋体"/>
          <w:color w:val="auto"/>
          <w:sz w:val="24"/>
          <w:szCs w:val="24"/>
          <w:highlight w:val="none"/>
        </w:rPr>
      </w:pPr>
    </w:p>
    <w:p>
      <w:pPr>
        <w:pStyle w:val="2"/>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技术标投标文件（含资格审查文件）</w:t>
      </w:r>
    </w:p>
    <w:p>
      <w:pPr>
        <w:spacing w:line="360" w:lineRule="auto"/>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技术标投标文件格式一：技术标投标文件封面</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7"/>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5"/>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7"/>
        <w:rPr>
          <w:rFonts w:ascii="宋体" w:hAnsi="宋体" w:eastAsia="宋体" w:cs="宋体"/>
          <w:color w:val="auto"/>
          <w:highlight w:val="none"/>
        </w:rPr>
      </w:pPr>
      <w:r>
        <w:rPr>
          <w:rFonts w:hint="eastAsia" w:ascii="宋体" w:hAnsi="宋体" w:eastAsia="宋体" w:cs="宋体"/>
          <w:color w:val="auto"/>
          <w:highlight w:val="none"/>
        </w:rPr>
        <w:t>第一部分（技术标）</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6"/>
        <w:ind w:firstLine="2038" w:firstLineChars="662"/>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p>
    <w:p>
      <w:pPr>
        <w:pStyle w:val="136"/>
        <w:ind w:firstLine="2038" w:firstLineChars="662"/>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pStyle w:val="136"/>
        <w:ind w:firstLine="496"/>
        <w:rPr>
          <w:rFonts w:ascii="宋体" w:hAnsi="宋体" w:cs="宋体"/>
          <w:color w:val="auto"/>
          <w:sz w:val="24"/>
          <w:szCs w:val="24"/>
          <w:highlight w:val="none"/>
        </w:rPr>
      </w:pPr>
    </w:p>
    <w:p>
      <w:pPr>
        <w:autoSpaceDE w:val="0"/>
        <w:autoSpaceDN w:val="0"/>
        <w:adjustRightInd w:val="0"/>
        <w:rPr>
          <w:bCs/>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bCs/>
          <w:color w:val="auto"/>
          <w:sz w:val="24"/>
          <w:szCs w:val="24"/>
          <w:highlight w:val="none"/>
        </w:rPr>
        <w:t>格式二：</w:t>
      </w:r>
    </w:p>
    <w:p>
      <w:pPr>
        <w:autoSpaceDE w:val="0"/>
        <w:autoSpaceDN w:val="0"/>
        <w:adjustRightInd w:val="0"/>
        <w:rPr>
          <w:rFonts w:ascii="宋体" w:cs="宋体"/>
          <w:b/>
          <w:bCs/>
          <w:color w:val="auto"/>
          <w:sz w:val="24"/>
          <w:szCs w:val="24"/>
          <w:highlight w:val="none"/>
          <w:lang w:val="zh-CN"/>
        </w:rPr>
      </w:pPr>
      <w:r>
        <w:rPr>
          <w:rFonts w:hint="eastAsia"/>
          <w:bCs/>
          <w:color w:val="auto"/>
          <w:sz w:val="24"/>
          <w:szCs w:val="24"/>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5"/>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 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项目负责人</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专职安全员</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tbl>
      <w:tblPr>
        <w:tblStyle w:val="35"/>
        <w:tblW w:w="0" w:type="auto"/>
        <w:tblInd w:w="108"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pPr>
              <w:widowControl/>
              <w:spacing w:line="360" w:lineRule="auto"/>
              <w:jc w:val="left"/>
              <w:rPr>
                <w:rFonts w:ascii="宋体" w:cs="宋体"/>
                <w:color w:val="auto"/>
                <w:kern w:val="0"/>
                <w:sz w:val="28"/>
                <w:szCs w:val="28"/>
                <w:highlight w:val="none"/>
              </w:rPr>
            </w:pPr>
            <w:r>
              <w:rPr>
                <w:rFonts w:ascii="宋体" w:hAnsi="宋体" w:cs="宋体"/>
                <w:color w:val="auto"/>
                <w:kern w:val="0"/>
                <w:sz w:val="28"/>
                <w:szCs w:val="28"/>
                <w:highlight w:val="none"/>
              </w:rPr>
              <w:t xml:space="preserve">                                                                                             </w:t>
            </w:r>
          </w:p>
        </w:tc>
      </w:tr>
    </w:tbl>
    <w:p>
      <w:pPr>
        <w:autoSpaceDE w:val="0"/>
        <w:autoSpaceDN w:val="0"/>
        <w:adjustRightInd w:val="0"/>
        <w:rPr>
          <w:bCs/>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格式三：</w:t>
      </w: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jc w:val="center"/>
        <w:rPr>
          <w:b/>
          <w:color w:val="auto"/>
          <w:sz w:val="32"/>
          <w:szCs w:val="32"/>
          <w:highlight w:val="none"/>
        </w:rPr>
      </w:pPr>
      <w:r>
        <w:rPr>
          <w:rFonts w:hint="eastAsia"/>
          <w:b/>
          <w:color w:val="auto"/>
          <w:sz w:val="32"/>
          <w:szCs w:val="32"/>
          <w:highlight w:val="none"/>
        </w:rPr>
        <w:t>资格审查文件</w:t>
      </w:r>
    </w:p>
    <w:p>
      <w:pPr>
        <w:autoSpaceDE w:val="0"/>
        <w:autoSpaceDN w:val="0"/>
        <w:adjustRightInd w:val="0"/>
        <w:jc w:val="center"/>
        <w:rPr>
          <w:color w:val="auto"/>
          <w:sz w:val="24"/>
          <w:szCs w:val="24"/>
          <w:highlight w:val="none"/>
        </w:rPr>
      </w:pPr>
      <w:r>
        <w:rPr>
          <w:rFonts w:hint="eastAsia" w:ascii="宋体" w:hAnsi="宋体" w:cs="宋体"/>
          <w:snapToGrid w:val="0"/>
          <w:color w:val="auto"/>
          <w:spacing w:val="4"/>
          <w:kern w:val="0"/>
          <w:sz w:val="24"/>
          <w:szCs w:val="20"/>
          <w:highlight w:val="none"/>
        </w:rPr>
        <w:t>注：按投标须知修改表11.2.2条款及《资格审查表》要求提交</w:t>
      </w:r>
      <w:r>
        <w:rPr>
          <w:rFonts w:hint="eastAsia" w:ascii="宋体" w:hAnsi="宋体" w:cs="宋体"/>
          <w:snapToGrid w:val="0"/>
          <w:color w:val="auto"/>
          <w:spacing w:val="4"/>
          <w:sz w:val="24"/>
          <w:highlight w:val="none"/>
        </w:rPr>
        <w:t>，格式自拟。</w:t>
      </w:r>
    </w:p>
    <w:p>
      <w:pPr>
        <w:autoSpaceDE w:val="0"/>
        <w:autoSpaceDN w:val="0"/>
        <w:adjustRightInd w:val="0"/>
        <w:rPr>
          <w:bCs/>
          <w:color w:val="auto"/>
          <w:sz w:val="24"/>
          <w:szCs w:val="24"/>
          <w:highlight w:val="none"/>
        </w:rPr>
      </w:pPr>
    </w:p>
    <w:p>
      <w:pPr>
        <w:widowControl/>
        <w:jc w:val="left"/>
        <w:rPr>
          <w:bCs/>
          <w:color w:val="auto"/>
          <w:sz w:val="24"/>
          <w:szCs w:val="24"/>
          <w:highlight w:val="none"/>
        </w:rPr>
      </w:pPr>
      <w:r>
        <w:rPr>
          <w:bCs/>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格式四：</w:t>
      </w:r>
    </w:p>
    <w:p>
      <w:pPr>
        <w:autoSpaceDE w:val="0"/>
        <w:autoSpaceDN w:val="0"/>
        <w:adjustRightInd w:val="0"/>
        <w:rPr>
          <w:color w:val="auto"/>
          <w:sz w:val="24"/>
          <w:szCs w:val="24"/>
          <w:highlight w:val="none"/>
        </w:rPr>
      </w:pPr>
    </w:p>
    <w:p>
      <w:pPr>
        <w:autoSpaceDE w:val="0"/>
        <w:autoSpaceDN w:val="0"/>
        <w:adjustRightInd w:val="0"/>
        <w:jc w:val="center"/>
        <w:rPr>
          <w:color w:val="auto"/>
          <w:sz w:val="24"/>
          <w:szCs w:val="24"/>
          <w:highlight w:val="none"/>
        </w:rPr>
      </w:pPr>
      <w:r>
        <w:rPr>
          <w:rFonts w:hint="eastAsia" w:ascii="宋体" w:hAnsi="宋体" w:cs="宋体"/>
          <w:b/>
          <w:snapToGrid w:val="0"/>
          <w:color w:val="auto"/>
          <w:spacing w:val="4"/>
          <w:kern w:val="0"/>
          <w:sz w:val="32"/>
          <w:szCs w:val="32"/>
          <w:highlight w:val="none"/>
        </w:rPr>
        <w:t>技术评审资料</w:t>
      </w:r>
    </w:p>
    <w:p>
      <w:pPr>
        <w:autoSpaceDE w:val="0"/>
        <w:autoSpaceDN w:val="0"/>
        <w:adjustRightInd w:val="0"/>
        <w:rPr>
          <w:color w:val="auto"/>
          <w:sz w:val="24"/>
          <w:szCs w:val="24"/>
          <w:highlight w:val="none"/>
        </w:rPr>
      </w:pPr>
      <w:r>
        <w:rPr>
          <w:rFonts w:hint="eastAsia" w:ascii="宋体" w:hAnsi="宋体" w:cs="宋体"/>
          <w:snapToGrid w:val="0"/>
          <w:color w:val="auto"/>
          <w:spacing w:val="4"/>
          <w:kern w:val="0"/>
          <w:sz w:val="24"/>
          <w:szCs w:val="20"/>
          <w:highlight w:val="none"/>
        </w:rPr>
        <w:t>注：按《技术标有效性审查表》及《技术标详细审查评分表》要求提交</w:t>
      </w:r>
      <w:r>
        <w:rPr>
          <w:rFonts w:hint="eastAsia" w:ascii="宋体" w:hAnsi="宋体" w:cs="宋体"/>
          <w:snapToGrid w:val="0"/>
          <w:color w:val="auto"/>
          <w:spacing w:val="4"/>
          <w:sz w:val="24"/>
          <w:highlight w:val="none"/>
        </w:rPr>
        <w:t>，格式自拟。</w:t>
      </w:r>
    </w:p>
    <w:p>
      <w:pPr>
        <w:autoSpaceDE w:val="0"/>
        <w:autoSpaceDN w:val="0"/>
        <w:adjustRightInd w:val="0"/>
        <w:ind w:firstLine="480" w:firstLineChars="200"/>
        <w:rPr>
          <w:color w:val="auto"/>
          <w:sz w:val="24"/>
          <w:szCs w:val="24"/>
          <w:highlight w:val="none"/>
        </w:rPr>
      </w:pPr>
      <w:bookmarkStart w:id="23" w:name="_Hlk67643171"/>
      <w:r>
        <w:rPr>
          <w:rFonts w:hint="eastAsia"/>
          <w:color w:val="auto"/>
          <w:sz w:val="24"/>
          <w:szCs w:val="24"/>
          <w:highlight w:val="none"/>
        </w:rPr>
        <w:t>如采用现金或者支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autoSpaceDE w:val="0"/>
        <w:autoSpaceDN w:val="0"/>
        <w:adjustRightInd w:val="0"/>
        <w:ind w:firstLine="480" w:firstLineChars="200"/>
        <w:rPr>
          <w:color w:val="auto"/>
          <w:sz w:val="24"/>
          <w:szCs w:val="24"/>
          <w:highlight w:val="none"/>
        </w:rPr>
      </w:pPr>
      <w:r>
        <w:rPr>
          <w:rFonts w:hint="eastAsia"/>
          <w:color w:val="auto"/>
          <w:sz w:val="24"/>
          <w:szCs w:val="24"/>
          <w:highlight w:val="none"/>
        </w:rPr>
        <w:t>如采用非电子形式的银行保函、保证保险、专业工程担保公司担保提交投标保证金的，投标人应在此处提供银行保函、保证保险、专业工程担保公司担保原件扫描件并加盖投标人（或联合体主办方）电子印章。</w:t>
      </w:r>
      <w:bookmarkEnd w:id="23"/>
    </w:p>
    <w:p>
      <w:pPr>
        <w:widowControl/>
        <w:jc w:val="left"/>
        <w:rPr>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w:t>
      </w:r>
      <w:r>
        <w:rPr>
          <w:rFonts w:hint="eastAsia"/>
          <w:color w:val="auto"/>
          <w:sz w:val="24"/>
          <w:szCs w:val="24"/>
          <w:highlight w:val="none"/>
          <w:lang w:val="en-US" w:eastAsia="zh-CN"/>
        </w:rPr>
        <w:t>五</w:t>
      </w:r>
      <w:r>
        <w:rPr>
          <w:rFonts w:hint="eastAsia"/>
          <w:color w:val="auto"/>
          <w:sz w:val="24"/>
          <w:szCs w:val="24"/>
          <w:highlight w:val="none"/>
        </w:rPr>
        <w:t>：</w:t>
      </w:r>
    </w:p>
    <w:p>
      <w:pPr>
        <w:tabs>
          <w:tab w:val="left" w:pos="720"/>
        </w:tabs>
        <w:snapToGrid w:val="0"/>
        <w:spacing w:line="360" w:lineRule="auto"/>
        <w:rPr>
          <w:color w:val="auto"/>
          <w:sz w:val="24"/>
          <w:szCs w:val="24"/>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人员投入承诺书</w:t>
      </w:r>
    </w:p>
    <w:p>
      <w:pPr>
        <w:topLinePunct/>
        <w:adjustRightInd w:val="0"/>
        <w:snapToGrid w:val="0"/>
        <w:spacing w:line="360" w:lineRule="auto"/>
        <w:rPr>
          <w:rFonts w:ascii="宋体" w:hAnsi="宋体" w:cs="宋体"/>
          <w:snapToGrid w:val="0"/>
          <w:color w:val="auto"/>
          <w:spacing w:val="4"/>
          <w:kern w:val="0"/>
          <w:sz w:val="24"/>
          <w:szCs w:val="24"/>
          <w:highlight w:val="none"/>
        </w:rPr>
      </w:pPr>
    </w:p>
    <w:p>
      <w:pPr>
        <w:topLinePunct/>
        <w:adjustRightInd w:val="0"/>
        <w:snapToGrid w:val="0"/>
        <w:spacing w:line="400" w:lineRule="exact"/>
        <w:rPr>
          <w:rFonts w:hint="eastAsia" w:ascii="宋体" w:hAnsi="宋体" w:eastAsia="宋体" w:cs="宋体"/>
          <w:snapToGrid w:val="0"/>
          <w:color w:val="auto"/>
          <w:spacing w:val="4"/>
          <w:kern w:val="0"/>
          <w:sz w:val="24"/>
          <w:szCs w:val="24"/>
          <w:highlight w:val="non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bCs/>
          <w:color w:val="auto"/>
          <w:sz w:val="24"/>
          <w:highlight w:val="none"/>
          <w:u w:val="single"/>
          <w:lang w:eastAsia="zh-CN"/>
        </w:rPr>
        <w:t>广州市公安局海珠区分局</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一旦我方中标，我方愿意做出如下承诺：</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如因我方逾期提供原件核对导致未按期签订合同的，贵单位有权取消我方中标资格。</w:t>
      </w:r>
    </w:p>
    <w:p>
      <w:pPr>
        <w:topLinePunct/>
        <w:adjustRightInd w:val="0"/>
        <w:snapToGrid w:val="0"/>
        <w:spacing w:line="400" w:lineRule="exact"/>
        <w:ind w:firstLine="496" w:firstLineChars="200"/>
        <w:rPr>
          <w:rFonts w:ascii="宋体" w:hAnsi="宋体" w:cs="宋体"/>
          <w:bCs/>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color w:val="auto"/>
          <w:spacing w:val="4"/>
          <w:kern w:val="0"/>
          <w:sz w:val="24"/>
          <w:szCs w:val="24"/>
          <w:highlight w:val="none"/>
        </w:rPr>
        <w:t>经总监理工程师考核，我司未按投标文件投入主要人员或经过更换后的人员不能满足本项目要求的，</w:t>
      </w:r>
      <w:r>
        <w:rPr>
          <w:rFonts w:hint="eastAsia" w:ascii="宋体" w:hAnsi="宋体" w:cs="宋体"/>
          <w:snapToGrid w:val="0"/>
          <w:color w:val="auto"/>
          <w:spacing w:val="4"/>
          <w:kern w:val="0"/>
          <w:sz w:val="24"/>
          <w:szCs w:val="24"/>
          <w:highlight w:val="none"/>
        </w:rPr>
        <w:t>我司承诺</w:t>
      </w:r>
      <w:r>
        <w:rPr>
          <w:rFonts w:hint="eastAsia" w:ascii="宋体" w:hAnsi="宋体" w:cs="宋体"/>
          <w:bCs/>
          <w:snapToGrid w:val="0"/>
          <w:color w:val="auto"/>
          <w:spacing w:val="4"/>
          <w:kern w:val="0"/>
          <w:sz w:val="24"/>
          <w:szCs w:val="24"/>
          <w:highlight w:val="none"/>
        </w:rPr>
        <w:t>除无条件按招标人的要求更换外，还应按合同约定的金额向招标人支付违约金。</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bCs/>
          <w:snapToGrid w:val="0"/>
          <w:color w:val="auto"/>
          <w:spacing w:val="4"/>
          <w:kern w:val="0"/>
          <w:sz w:val="24"/>
          <w:szCs w:val="24"/>
          <w:highlight w:val="none"/>
        </w:rPr>
        <w:t>三、</w:t>
      </w:r>
      <w:r>
        <w:rPr>
          <w:rFonts w:hint="eastAsia" w:ascii="宋体" w:hAnsi="宋体" w:cs="宋体"/>
          <w:snapToGrid w:val="0"/>
          <w:color w:val="auto"/>
          <w:spacing w:val="4"/>
          <w:kern w:val="0"/>
          <w:sz w:val="24"/>
          <w:szCs w:val="24"/>
          <w:highlight w:val="none"/>
        </w:rPr>
        <w:t>如果我司中标，我司保证投标时拟派的人员均能在本项目中任职。</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pPr>
        <w:widowControl/>
        <w:jc w:val="left"/>
        <w:rPr>
          <w:rFonts w:ascii="宋体" w:hAnsi="宋体" w:cs="宋体"/>
          <w:snapToGrid w:val="0"/>
          <w:color w:val="auto"/>
          <w:spacing w:val="4"/>
          <w:kern w:val="0"/>
          <w:sz w:val="24"/>
          <w:szCs w:val="24"/>
          <w:highlight w:val="none"/>
        </w:rPr>
      </w:pPr>
    </w:p>
    <w:p>
      <w:pPr>
        <w:widowControl/>
        <w:jc w:val="left"/>
        <w:rPr>
          <w:rFonts w:ascii="宋体" w:hAnsi="宋体" w:cs="宋体"/>
          <w:snapToGrid w:val="0"/>
          <w:color w:val="auto"/>
          <w:spacing w:val="4"/>
          <w:kern w:val="0"/>
          <w:sz w:val="24"/>
          <w:szCs w:val="24"/>
          <w:highlight w:val="none"/>
        </w:rPr>
      </w:pPr>
      <w:r>
        <w:rPr>
          <w:rFonts w:ascii="宋体" w:hAnsi="宋体" w:cs="宋体"/>
          <w:snapToGrid w:val="0"/>
          <w:color w:val="auto"/>
          <w:spacing w:val="4"/>
          <w:kern w:val="0"/>
          <w:sz w:val="24"/>
          <w:szCs w:val="24"/>
          <w:highlight w:val="none"/>
        </w:rPr>
        <w:br w:type="page"/>
      </w:r>
    </w:p>
    <w:p>
      <w:pPr>
        <w:pStyle w:val="6"/>
        <w:rPr>
          <w:color w:val="auto"/>
          <w:highlight w:val="none"/>
        </w:rPr>
      </w:pPr>
      <w:r>
        <w:rPr>
          <w:rFonts w:hint="eastAsia" w:ascii="宋体" w:hAnsi="宋体" w:cs="宋体"/>
          <w:color w:val="auto"/>
          <w:sz w:val="24"/>
          <w:highlight w:val="none"/>
        </w:rPr>
        <w:t>★技术标投标文件格式</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p>
    <w:p>
      <w:pPr>
        <w:pStyle w:val="6"/>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投标人廉洁承诺书</w:t>
      </w:r>
    </w:p>
    <w:p>
      <w:pPr>
        <w:widowControl/>
        <w:shd w:val="clear" w:color="auto"/>
        <w:spacing w:after="135" w:line="400" w:lineRule="exact"/>
        <w:ind w:right="-197" w:rightChars="-94"/>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广州市公安局海珠区分局</w:t>
      </w:r>
      <w:r>
        <w:rPr>
          <w:rFonts w:hint="eastAsia" w:ascii="宋体" w:hAnsi="宋体" w:cs="宋体"/>
          <w:color w:val="auto"/>
          <w:sz w:val="24"/>
          <w:szCs w:val="24"/>
          <w:highlight w:val="none"/>
        </w:rPr>
        <w:t>：</w:t>
      </w:r>
    </w:p>
    <w:p>
      <w:pPr>
        <w:widowControl/>
        <w:shd w:val="clear"/>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（项目名称/标段名称）</w:t>
      </w:r>
      <w:r>
        <w:rPr>
          <w:rFonts w:hint="eastAsia" w:ascii="宋体" w:hAnsi="宋体" w:cs="宋体"/>
          <w:color w:val="auto"/>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四、不以任何名义向参与招标、评标工作的有关人员提供高消费宴请及娱乐活动和赠送回扣、红包、礼金、购物卡、有价证券、贵重物品和好处费、感谢费等；</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hd w:val="clear"/>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spacing w:after="135"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pPr>
        <w:widowControl/>
        <w:shd w:val="clear" w:color="auto"/>
        <w:spacing w:after="135" w:line="4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widowControl/>
        <w:shd w:val="clear" w:color="auto"/>
        <w:spacing w:line="400" w:lineRule="exact"/>
        <w:ind w:right="-58" w:firstLine="2880"/>
        <w:jc w:val="right"/>
        <w:rPr>
          <w:rFonts w:ascii="宋体" w:hAnsi="宋体" w:cs="宋体"/>
          <w:color w:val="auto"/>
          <w:sz w:val="24"/>
          <w:szCs w:val="24"/>
          <w:highlight w:val="none"/>
          <w:u w:val="single"/>
        </w:rPr>
      </w:pPr>
      <w:r>
        <w:rPr>
          <w:rFonts w:hint="eastAsia" w:ascii="宋体" w:hAnsi="宋体" w:cs="宋体"/>
          <w:color w:val="auto"/>
          <w:sz w:val="24"/>
          <w:szCs w:val="24"/>
          <w:highlight w:val="none"/>
        </w:rPr>
        <w:t>承诺企业：</w:t>
      </w:r>
      <w:r>
        <w:rPr>
          <w:rFonts w:hint="eastAsia" w:ascii="宋体" w:hAnsi="宋体" w:cs="宋体"/>
          <w:color w:val="auto"/>
          <w:sz w:val="24"/>
          <w:szCs w:val="24"/>
          <w:highlight w:val="none"/>
          <w:u w:val="single"/>
        </w:rPr>
        <w:t xml:space="preserve">              (企业公章)</w:t>
      </w:r>
    </w:p>
    <w:p>
      <w:pPr>
        <w:widowControl/>
        <w:shd w:val="clear" w:color="auto"/>
        <w:wordWrap w:val="0"/>
        <w:spacing w:line="400" w:lineRule="exact"/>
        <w:ind w:right="16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法定代表人（签字或盖章）：</w:t>
      </w:r>
      <w:r>
        <w:rPr>
          <w:rFonts w:hint="eastAsia" w:ascii="宋体" w:hAnsi="宋体" w:cs="宋体"/>
          <w:color w:val="auto"/>
          <w:sz w:val="24"/>
          <w:szCs w:val="24"/>
          <w:highlight w:val="none"/>
          <w:u w:val="single"/>
        </w:rPr>
        <w:t xml:space="preserve">                     </w:t>
      </w:r>
    </w:p>
    <w:p>
      <w:pPr>
        <w:widowControl/>
        <w:shd w:val="clear"/>
        <w:ind w:firstLine="6480" w:firstLineChars="2700"/>
        <w:jc w:val="left"/>
        <w:rPr>
          <w:rFonts w:ascii="宋体" w:hAnsi="宋体" w:cs="宋体"/>
          <w:snapToGrid w:val="0"/>
          <w:color w:val="auto"/>
          <w:spacing w:val="4"/>
          <w:kern w:val="0"/>
          <w:sz w:val="24"/>
          <w:szCs w:val="24"/>
          <w:highlight w:val="none"/>
        </w:rPr>
      </w:pPr>
      <w:r>
        <w:rPr>
          <w:rFonts w:hint="eastAsia" w:ascii="宋体" w:hAnsi="宋体" w:cs="宋体"/>
          <w:color w:val="auto"/>
          <w:sz w:val="24"/>
          <w:szCs w:val="24"/>
          <w:highlight w:val="none"/>
        </w:rPr>
        <w:t>年   月    日</w:t>
      </w:r>
    </w:p>
    <w:p>
      <w:pPr>
        <w:widowControl/>
        <w:shd w:val="clear"/>
        <w:tabs>
          <w:tab w:val="center" w:pos="4153"/>
        </w:tabs>
        <w:jc w:val="center"/>
        <w:rPr>
          <w:rFonts w:ascii="宋体" w:hAnsi="宋体" w:cs="宋体"/>
          <w:color w:val="auto"/>
          <w:sz w:val="24"/>
          <w:szCs w:val="24"/>
          <w:highlight w:val="none"/>
        </w:rPr>
      </w:pPr>
    </w:p>
    <w:p>
      <w:pPr>
        <w:widowControl/>
        <w:shd w:val="clear"/>
        <w:jc w:val="left"/>
        <w:rPr>
          <w:rFonts w:ascii="宋体" w:hAnsi="宋体" w:cs="宋体"/>
          <w:color w:val="auto"/>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★技术标投标文件格式七：</w:t>
      </w:r>
    </w:p>
    <w:p>
      <w:pPr>
        <w:pStyle w:val="6"/>
        <w:rPr>
          <w:rFonts w:ascii="宋体" w:hAnsi="宋体" w:cs="宋体"/>
          <w:color w:val="auto"/>
          <w:highlight w:val="none"/>
        </w:rPr>
      </w:pPr>
    </w:p>
    <w:p>
      <w:pPr>
        <w:pStyle w:val="138"/>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承  诺  书</w:t>
      </w:r>
    </w:p>
    <w:p>
      <w:pPr>
        <w:pStyle w:val="134"/>
        <w:spacing w:line="400" w:lineRule="exact"/>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致：</w:t>
      </w:r>
      <w:r>
        <w:rPr>
          <w:rFonts w:hint="eastAsia" w:ascii="宋体" w:hAnsi="宋体" w:cs="宋体"/>
          <w:bCs/>
          <w:color w:val="auto"/>
          <w:highlight w:val="none"/>
          <w:u w:val="single"/>
          <w:lang w:eastAsia="zh-CN"/>
        </w:rPr>
        <w:t>广州市公安局海珠区分局</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经详细阅读本工程招标文件、招标答疑纪要和踏勘现场，我司已理解招标人对本招标项目工程管理的高标准及严格要求，在此，我司郑重作出以下承诺：</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四、经认真进行市场调查，我司承诺本招标项目材料、设备来源有保证，可按投标承诺及时组织到货，无需代换，图纸、资料和设计文件中所要求的条件我司全部能够满足。</w:t>
      </w:r>
    </w:p>
    <w:p>
      <w:pPr>
        <w:pStyle w:val="134"/>
        <w:spacing w:line="400" w:lineRule="exact"/>
        <w:ind w:firstLine="496"/>
        <w:rPr>
          <w:rFonts w:ascii="宋体" w:hAnsi="宋体" w:cs="宋体"/>
          <w:color w:val="auto"/>
          <w:spacing w:val="2"/>
          <w:position w:val="2"/>
          <w:highlight w:val="none"/>
        </w:rPr>
      </w:pPr>
      <w:r>
        <w:rPr>
          <w:rFonts w:hint="eastAsia" w:ascii="宋体" w:hAnsi="宋体" w:cs="宋体"/>
          <w:color w:val="auto"/>
          <w:highlight w:val="none"/>
        </w:rPr>
        <w:t>五、</w:t>
      </w:r>
      <w:r>
        <w:rPr>
          <w:rFonts w:hint="eastAsia" w:ascii="宋体" w:hAnsi="宋体" w:cs="宋体"/>
          <w:color w:val="auto"/>
          <w:spacing w:val="2"/>
          <w:position w:val="2"/>
          <w:highlight w:val="none"/>
        </w:rPr>
        <w:t>鉴于本工程的重要性、复杂性和工期的紧迫性，为确保按时、按质完成本工程的施工任务，我司经慎重考虑，承诺按招标文件的要求投入人员。否则，按合同规定处理，并承担违约责任。</w:t>
      </w:r>
    </w:p>
    <w:p>
      <w:pPr>
        <w:pStyle w:val="134"/>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六、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pPr>
        <w:pStyle w:val="134"/>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七、</w:t>
      </w:r>
      <w:r>
        <w:rPr>
          <w:rFonts w:hint="eastAsia" w:ascii="宋体" w:hAnsi="宋体" w:cs="宋体"/>
          <w:color w:val="auto"/>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34"/>
        <w:spacing w:line="400" w:lineRule="exact"/>
        <w:ind w:firstLine="496"/>
        <w:rPr>
          <w:rFonts w:ascii="宋体" w:hAnsi="宋体" w:cs="宋体"/>
          <w:bCs/>
          <w:color w:val="auto"/>
          <w:highlight w:val="none"/>
        </w:rPr>
      </w:pPr>
      <w:r>
        <w:rPr>
          <w:rFonts w:hint="eastAsia" w:ascii="宋体" w:hAnsi="宋体" w:cs="宋体"/>
          <w:color w:val="auto"/>
          <w:highlight w:val="none"/>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w:t>
      </w:r>
      <w:r>
        <w:rPr>
          <w:rFonts w:hint="eastAsia" w:ascii="宋体" w:hAnsi="宋体" w:cs="宋体"/>
          <w:color w:val="auto"/>
          <w:highlight w:val="none"/>
          <w:u w:val="single"/>
        </w:rPr>
        <w:t>《广州市住房和城乡建设局等9部门关于印发广州市建设工程绿色施工围蔽指导图集（V2.0版）的通知》（穗建质〔2020〕1号）</w:t>
      </w:r>
      <w:r>
        <w:rPr>
          <w:rFonts w:hint="eastAsia" w:ascii="宋体" w:hAnsi="宋体" w:cs="宋体"/>
          <w:color w:val="auto"/>
          <w:highlight w:val="none"/>
        </w:rPr>
        <w:t>和《广州市建筑工程安全生产措施费管理办法》（穗建筑[2003]106号）各项规定和招标文件要求。否则，愿意无条件接受招标人的任何处罚，直至被清退出场，并为此承担相应的法律责任。</w:t>
      </w:r>
    </w:p>
    <w:p>
      <w:pPr>
        <w:pStyle w:val="134"/>
        <w:spacing w:line="400" w:lineRule="exact"/>
        <w:ind w:firstLine="472"/>
        <w:rPr>
          <w:rFonts w:ascii="宋体" w:hAnsi="宋体" w:cs="宋体"/>
          <w:bCs/>
          <w:color w:val="auto"/>
          <w:spacing w:val="-2"/>
          <w:highlight w:val="none"/>
        </w:rPr>
      </w:pPr>
      <w:r>
        <w:rPr>
          <w:rFonts w:hint="eastAsia" w:ascii="宋体" w:hAnsi="宋体" w:cs="宋体"/>
          <w:bCs/>
          <w:color w:val="auto"/>
          <w:spacing w:val="-2"/>
          <w:highlight w:val="none"/>
        </w:rPr>
        <w:t>十、</w:t>
      </w:r>
      <w:r>
        <w:rPr>
          <w:rFonts w:hint="eastAsia" w:ascii="宋体" w:hAnsi="宋体" w:cs="宋体"/>
          <w:color w:val="auto"/>
          <w:spacing w:val="-2"/>
          <w:highlight w:val="none"/>
        </w:rPr>
        <w:t>我司保证本工程竣工验收、竣工资料和竣工备案管理完全符合国家、省、市政府、主管部门颁布的竣工验收和档案管理各项规定及招标文件中提出的各项管理要求。</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十一、我司保证在本项目投标中不存在围标、串标等违法、违规行为，如经招标监管部门查实存在上述行为，我司同意由招标人没收我司提交的投标保证金，并对由此造成的后果承担相应的法律责任。</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1、投标阶段已明确所有工程均自行施工，不再分包的；</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2、合同签订前未按招标文件选择资质合格的分包单位的；</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3、投标阶段或合同签订时有选择工程分包及分包单位，但分包工程实施之前，我单位放弃工程分包的；</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4、我司与分包单位解除合同的。</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十五、如果我司中标，对招标人、监理人为确保工程质量管理和工程进度而下达的调整项目经理部组成人员的指令、通知，我司承诺无条件地在限期内执行并调整到位。</w:t>
      </w:r>
    </w:p>
    <w:p>
      <w:pPr>
        <w:autoSpaceDE w:val="0"/>
        <w:autoSpaceDN w:val="0"/>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pPr>
        <w:pStyle w:val="134"/>
        <w:spacing w:line="400" w:lineRule="exact"/>
        <w:ind w:firstLine="3472" w:firstLineChars="1400"/>
        <w:rPr>
          <w:rFonts w:ascii="宋体" w:hAnsi="宋体" w:cs="宋体"/>
          <w:color w:val="auto"/>
          <w:highlight w:val="none"/>
        </w:rPr>
      </w:pPr>
    </w:p>
    <w:p>
      <w:pPr>
        <w:pStyle w:val="134"/>
        <w:spacing w:line="400" w:lineRule="exact"/>
        <w:ind w:firstLine="3472" w:firstLineChars="1400"/>
        <w:rPr>
          <w:rFonts w:ascii="宋体" w:hAnsi="宋体" w:cs="宋体"/>
          <w:color w:val="auto"/>
          <w:highlight w:val="none"/>
        </w:rPr>
      </w:pPr>
    </w:p>
    <w:p>
      <w:pPr>
        <w:pStyle w:val="134"/>
        <w:spacing w:line="400" w:lineRule="exact"/>
        <w:ind w:firstLine="3472" w:firstLineChars="1400"/>
        <w:rPr>
          <w:rFonts w:ascii="宋体" w:hAnsi="宋体" w:cs="宋体"/>
          <w:color w:val="auto"/>
          <w:highlight w:val="none"/>
        </w:rPr>
      </w:pPr>
      <w:r>
        <w:rPr>
          <w:rFonts w:hint="eastAsia" w:ascii="宋体" w:hAnsi="宋体" w:cs="宋体"/>
          <w:color w:val="auto"/>
          <w:highlight w:val="none"/>
        </w:rPr>
        <w:t>投标人：　　（盖章）</w:t>
      </w:r>
    </w:p>
    <w:p>
      <w:pPr>
        <w:pStyle w:val="134"/>
        <w:spacing w:line="400" w:lineRule="exact"/>
        <w:ind w:firstLine="3472" w:firstLineChars="1400"/>
        <w:rPr>
          <w:rFonts w:ascii="宋体" w:hAnsi="宋体" w:cs="宋体"/>
          <w:color w:val="auto"/>
          <w:highlight w:val="none"/>
        </w:rPr>
      </w:pPr>
      <w:r>
        <w:rPr>
          <w:rFonts w:hint="eastAsia" w:ascii="宋体" w:hAnsi="宋体" w:cs="宋体"/>
          <w:color w:val="auto"/>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pStyle w:val="134"/>
        <w:spacing w:line="400" w:lineRule="exact"/>
        <w:ind w:firstLine="3472" w:firstLineChars="1400"/>
        <w:rPr>
          <w:rFonts w:ascii="宋体" w:hAnsi="宋体" w:cs="宋体"/>
          <w:color w:val="auto"/>
          <w:kern w:val="0"/>
          <w:highlight w:val="none"/>
        </w:rPr>
      </w:pPr>
    </w:p>
    <w:p>
      <w:pPr>
        <w:widowControl/>
        <w:tabs>
          <w:tab w:val="center" w:pos="4153"/>
        </w:tabs>
        <w:ind w:firstLine="3570" w:firstLineChars="1700"/>
        <w:rPr>
          <w:rFonts w:ascii="宋体" w:hAnsi="宋体" w:cs="宋体"/>
          <w:color w:val="auto"/>
          <w:sz w:val="24"/>
          <w:szCs w:val="24"/>
          <w:highlight w:val="none"/>
        </w:rPr>
      </w:pPr>
      <w:r>
        <w:rPr>
          <w:rFonts w:hint="eastAsia" w:ascii="宋体" w:hAnsi="宋体" w:cs="宋体"/>
          <w:color w:val="auto"/>
          <w:highlight w:val="none"/>
        </w:rPr>
        <w:t>日期：     年   月   日</w:t>
      </w:r>
    </w:p>
    <w:p>
      <w:pPr>
        <w:widowControl/>
        <w:tabs>
          <w:tab w:val="center" w:pos="4153"/>
        </w:tabs>
        <w:jc w:val="left"/>
        <w:rPr>
          <w:rFonts w:ascii="宋体" w:hAnsi="宋体" w:cs="宋体"/>
          <w:snapToGrid w:val="0"/>
          <w:color w:val="auto"/>
          <w:spacing w:val="4"/>
          <w:kern w:val="0"/>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★技术标投标文件格式八：</w:t>
      </w:r>
    </w:p>
    <w:p>
      <w:pPr>
        <w:spacing w:line="360" w:lineRule="auto"/>
        <w:ind w:firstLine="3235" w:firstLineChars="895"/>
        <w:rPr>
          <w:rFonts w:ascii="宋体" w:hAnsi="宋体" w:cs="宋体"/>
          <w:b/>
          <w:color w:val="auto"/>
          <w:sz w:val="36"/>
          <w:szCs w:val="36"/>
          <w:highlight w:val="none"/>
        </w:rPr>
      </w:pPr>
      <w:r>
        <w:rPr>
          <w:rFonts w:hint="eastAsia" w:ascii="宋体" w:hAnsi="宋体" w:cs="宋体"/>
          <w:b/>
          <w:color w:val="auto"/>
          <w:sz w:val="36"/>
          <w:szCs w:val="36"/>
          <w:highlight w:val="none"/>
        </w:rPr>
        <w:t>投  标  函</w:t>
      </w:r>
    </w:p>
    <w:p>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lang w:eastAsia="zh-CN"/>
        </w:rPr>
        <w:t>广州市公安局海珠区分局</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工程的招标文件，并已详细审核了全部招标文件及有关附件。</w:t>
      </w:r>
    </w:p>
    <w:p>
      <w:pPr>
        <w:snapToGrid w:val="0"/>
        <w:spacing w:line="400" w:lineRule="exact"/>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w:t>
      </w:r>
      <w:r>
        <w:rPr>
          <w:rFonts w:hint="default" w:ascii="宋体" w:hAnsi="宋体" w:cs="宋体"/>
          <w:color w:val="auto"/>
          <w:sz w:val="24"/>
          <w:szCs w:val="24"/>
          <w:highlight w:val="none"/>
          <w:lang w:val="en-US"/>
        </w:rPr>
        <w:t>超过部分</w:t>
      </w:r>
      <w:r>
        <w:rPr>
          <w:rFonts w:hint="eastAsia" w:ascii="宋体" w:hAnsi="宋体" w:cs="宋体"/>
          <w:color w:val="auto"/>
          <w:sz w:val="24"/>
          <w:szCs w:val="24"/>
          <w:highlight w:val="none"/>
        </w:rPr>
        <w:t>进行赔偿。</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日历天内完成并移交本工程，质量标准达到招标文件中的要求。</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00" w:lineRule="exact"/>
        <w:ind w:firstLine="480"/>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             签名或盖章</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投标人企业公章：                         </w:t>
      </w:r>
    </w:p>
    <w:p>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日期：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日</w:t>
      </w:r>
    </w:p>
    <w:p>
      <w:pPr>
        <w:pStyle w:val="134"/>
        <w:spacing w:line="400" w:lineRule="exact"/>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6"/>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技术标投标文件格式九：</w:t>
      </w:r>
    </w:p>
    <w:tbl>
      <w:tblPr>
        <w:tblStyle w:val="35"/>
        <w:tblW w:w="5000" w:type="pct"/>
        <w:tblInd w:w="0" w:type="dxa"/>
        <w:tblLayout w:type="autofit"/>
        <w:tblCellMar>
          <w:top w:w="0" w:type="dxa"/>
          <w:left w:w="108" w:type="dxa"/>
          <w:bottom w:w="0" w:type="dxa"/>
          <w:right w:w="108" w:type="dxa"/>
        </w:tblCellMar>
      </w:tblPr>
      <w:tblGrid>
        <w:gridCol w:w="770"/>
        <w:gridCol w:w="1427"/>
        <w:gridCol w:w="1896"/>
        <w:gridCol w:w="1769"/>
        <w:gridCol w:w="2661"/>
      </w:tblGrid>
      <w:tr>
        <w:tblPrEx>
          <w:tblCellMar>
            <w:top w:w="0" w:type="dxa"/>
            <w:left w:w="108" w:type="dxa"/>
            <w:bottom w:w="0" w:type="dxa"/>
            <w:right w:w="108" w:type="dxa"/>
          </w:tblCellMar>
        </w:tblPrEx>
        <w:trPr>
          <w:trHeight w:val="1159" w:hRule="atLeast"/>
        </w:trPr>
        <w:tc>
          <w:tcPr>
            <w:tcW w:w="5000" w:type="pct"/>
            <w:gridSpan w:val="5"/>
            <w:tcBorders>
              <w:top w:val="nil"/>
              <w:left w:val="nil"/>
              <w:bottom w:val="single" w:color="auto" w:sz="4" w:space="0"/>
              <w:right w:val="nil"/>
            </w:tcBorders>
            <w:noWrap/>
            <w:vAlign w:val="center"/>
          </w:tcPr>
          <w:p>
            <w:pPr>
              <w:widowControl/>
              <w:jc w:val="center"/>
              <w:rPr>
                <w:rFonts w:ascii="方正大标宋简体" w:hAnsi="等线" w:cs="宋体"/>
                <w:b/>
                <w:bCs/>
                <w:color w:val="auto"/>
                <w:kern w:val="0"/>
                <w:sz w:val="32"/>
                <w:szCs w:val="32"/>
                <w:highlight w:val="none"/>
              </w:rPr>
            </w:pPr>
            <w:bookmarkStart w:id="24" w:name="_Hlk61439518"/>
            <w:r>
              <w:rPr>
                <w:rFonts w:ascii="方正大标宋简体" w:hAnsi="等线" w:cs="宋体"/>
                <w:b/>
                <w:bCs/>
                <w:color w:val="auto"/>
                <w:kern w:val="0"/>
                <w:sz w:val="32"/>
                <w:szCs w:val="32"/>
                <w:highlight w:val="none"/>
              </w:rPr>
              <w:t>施工项目管理团队人员信息表</w:t>
            </w:r>
            <w:bookmarkEnd w:id="24"/>
          </w:p>
        </w:tc>
      </w:tr>
      <w:tr>
        <w:tblPrEx>
          <w:tblCellMar>
            <w:top w:w="0" w:type="dxa"/>
            <w:left w:w="108" w:type="dxa"/>
            <w:bottom w:w="0" w:type="dxa"/>
            <w:right w:w="108" w:type="dxa"/>
          </w:tblCellMar>
        </w:tblPrEx>
        <w:trPr>
          <w:trHeight w:val="1148" w:hRule="atLeast"/>
        </w:trPr>
        <w:tc>
          <w:tcPr>
            <w:tcW w:w="452"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序号</w:t>
            </w:r>
          </w:p>
        </w:tc>
        <w:tc>
          <w:tcPr>
            <w:tcW w:w="837"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姓名</w:t>
            </w:r>
          </w:p>
        </w:tc>
        <w:tc>
          <w:tcPr>
            <w:tcW w:w="1112"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岗位</w:t>
            </w:r>
          </w:p>
        </w:tc>
        <w:tc>
          <w:tcPr>
            <w:tcW w:w="1038"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w:t>
            </w:r>
          </w:p>
        </w:tc>
        <w:tc>
          <w:tcPr>
            <w:tcW w:w="1559"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职称证书或资格证书编号</w:t>
            </w:r>
          </w:p>
        </w:tc>
      </w:tr>
      <w:tr>
        <w:tblPrEx>
          <w:tblCellMar>
            <w:top w:w="0" w:type="dxa"/>
            <w:left w:w="108" w:type="dxa"/>
            <w:bottom w:w="0" w:type="dxa"/>
            <w:right w:w="108" w:type="dxa"/>
          </w:tblCellMar>
        </w:tblPrEx>
        <w:trPr>
          <w:trHeight w:val="582"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ind w:left="0" w:leftChars="0" w:right="0" w:rightChars="0"/>
              <w:jc w:val="center"/>
              <w:rPr>
                <w:rFonts w:hint="eastAsia" w:ascii="仿宋" w:hAnsi="仿宋" w:eastAsia="仿宋" w:cs="宋体"/>
                <w:bCs w:val="0"/>
                <w:color w:val="auto"/>
                <w:kern w:val="0"/>
                <w:sz w:val="24"/>
                <w:szCs w:val="24"/>
                <w:highlight w:val="none"/>
                <w:lang w:val="en-US" w:eastAsia="zh-CN" w:bidi="ar-SA"/>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6</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ind w:left="0" w:leftChars="0" w:right="0" w:rightChars="0"/>
              <w:jc w:val="center"/>
              <w:rPr>
                <w:rFonts w:hint="eastAsia" w:ascii="仿宋" w:hAnsi="仿宋" w:eastAsia="仿宋" w:cs="宋体"/>
                <w:bCs w:val="0"/>
                <w:color w:val="auto"/>
                <w:kern w:val="0"/>
                <w:sz w:val="24"/>
                <w:szCs w:val="24"/>
                <w:highlight w:val="none"/>
                <w:lang w:val="en-US" w:eastAsia="zh-CN" w:bidi="ar-SA"/>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7</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ind w:left="0" w:leftChars="0" w:right="0" w:rightChars="0"/>
              <w:jc w:val="center"/>
              <w:rPr>
                <w:rFonts w:hint="eastAsia" w:ascii="仿宋" w:hAnsi="仿宋" w:eastAsia="仿宋" w:cs="宋体"/>
                <w:bCs w:val="0"/>
                <w:color w:val="auto"/>
                <w:kern w:val="0"/>
                <w:sz w:val="24"/>
                <w:szCs w:val="24"/>
                <w:highlight w:val="none"/>
                <w:lang w:val="en-US" w:eastAsia="zh-CN" w:bidi="ar-SA"/>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452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4"/>
                <w:szCs w:val="24"/>
                <w:highlight w:val="none"/>
              </w:rPr>
              <w:t>备注：</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1、</w:t>
            </w:r>
            <w:r>
              <w:rPr>
                <w:rFonts w:hint="eastAsia" w:ascii="仿宋" w:hAnsi="仿宋" w:eastAsia="仿宋" w:cs="宋体"/>
                <w:b/>
                <w:bCs/>
                <w:color w:val="auto"/>
                <w:kern w:val="0"/>
                <w:sz w:val="24"/>
                <w:szCs w:val="24"/>
                <w:highlight w:val="none"/>
              </w:rPr>
              <w:t>“岗位”要求（除项目负责人和专职安全员外）：拟派技术负责人、质量负责人、安全负责人、造价负责人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仿宋" w:hAnsi="仿宋" w:eastAsia="仿宋" w:cs="宋体"/>
                <w:b/>
                <w:bCs/>
                <w:color w:val="auto"/>
                <w:kern w:val="0"/>
                <w:sz w:val="24"/>
                <w:szCs w:val="24"/>
                <w:highlight w:val="none"/>
              </w:rPr>
              <w:br w:type="textWrapping"/>
            </w:r>
            <w:r>
              <w:rPr>
                <w:rFonts w:hint="eastAsia" w:ascii="仿宋" w:hAnsi="仿宋" w:eastAsia="仿宋"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3、如评标办法对投标人拟投入的项目管理团队进行评审的，</w:t>
            </w:r>
            <w:bookmarkStart w:id="25" w:name="_Hlk61439507"/>
            <w:r>
              <w:rPr>
                <w:rFonts w:hint="eastAsia" w:ascii="仿宋" w:hAnsi="仿宋" w:eastAsia="仿宋" w:cs="宋体"/>
                <w:color w:val="auto"/>
                <w:kern w:val="0"/>
                <w:sz w:val="24"/>
                <w:szCs w:val="24"/>
                <w:highlight w:val="none"/>
              </w:rPr>
              <w:t>如相同岗位投入人员姓名与本表不一致的，以本表中姓名为准；投标人提供的团队人员职称或资格（含证书编号）情况与本表不一致的，以投标人提供的相关证明材料为准。</w:t>
            </w:r>
            <w:bookmarkEnd w:id="25"/>
          </w:p>
        </w:tc>
      </w:tr>
    </w:tbl>
    <w:p>
      <w:pPr>
        <w:widowControl/>
        <w:tabs>
          <w:tab w:val="center" w:pos="4153"/>
        </w:tabs>
        <w:jc w:val="left"/>
        <w:rPr>
          <w:rFonts w:ascii="宋体" w:hAnsi="宋体" w:cs="宋体"/>
          <w:snapToGrid w:val="0"/>
          <w:color w:val="auto"/>
          <w:spacing w:val="4"/>
          <w:kern w:val="0"/>
          <w:sz w:val="24"/>
          <w:szCs w:val="24"/>
          <w:highlight w:val="none"/>
        </w:rPr>
        <w:sectPr>
          <w:pgSz w:w="11907" w:h="16839"/>
          <w:pgMar w:top="1440" w:right="1800" w:bottom="1440" w:left="1800" w:header="851" w:footer="595" w:gutter="0"/>
          <w:cols w:space="720" w:num="1"/>
          <w:docGrid w:type="lines" w:linePitch="312" w:charSpace="0"/>
        </w:sectPr>
      </w:pPr>
    </w:p>
    <w:p>
      <w:pPr>
        <w:tabs>
          <w:tab w:val="left" w:pos="720"/>
        </w:tabs>
        <w:snapToGrid w:val="0"/>
        <w:spacing w:line="360" w:lineRule="auto"/>
        <w:rPr>
          <w:b/>
          <w:color w:val="auto"/>
          <w:sz w:val="32"/>
          <w:szCs w:val="32"/>
          <w:highlight w:val="none"/>
        </w:rPr>
      </w:pPr>
      <w:r>
        <w:rPr>
          <w:rFonts w:hint="eastAsia" w:ascii="宋体" w:hAnsi="宋体" w:cs="宋体"/>
          <w:color w:val="auto"/>
          <w:sz w:val="24"/>
          <w:highlight w:val="none"/>
        </w:rPr>
        <w:t>★技术标投标文件格式十：</w:t>
      </w:r>
    </w:p>
    <w:p>
      <w:pPr>
        <w:tabs>
          <w:tab w:val="left" w:pos="720"/>
        </w:tabs>
        <w:snapToGrid w:val="0"/>
        <w:spacing w:line="360" w:lineRule="auto"/>
        <w:jc w:val="center"/>
        <w:rPr>
          <w:color w:val="auto"/>
          <w:szCs w:val="21"/>
          <w:highlight w:val="none"/>
        </w:rPr>
      </w:pPr>
      <w:r>
        <w:rPr>
          <w:rFonts w:hint="eastAsia"/>
          <w:b/>
          <w:color w:val="auto"/>
          <w:sz w:val="32"/>
          <w:szCs w:val="32"/>
          <w:highlight w:val="none"/>
        </w:rPr>
        <w:t>参与编制技术标投标文件人员名单</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rFonts w:ascii="宋体" w:hAnsi="宋体" w:eastAsia="宋体"/>
          <w:color w:val="auto"/>
          <w:szCs w:val="21"/>
          <w:highlight w:val="none"/>
        </w:rPr>
      </w:pPr>
      <w:r>
        <w:rPr>
          <w:rFonts w:hint="eastAsia" w:ascii="宋体" w:hAnsi="宋体" w:eastAsia="宋体"/>
          <w:color w:val="auto"/>
          <w:szCs w:val="21"/>
          <w:highlight w:val="none"/>
        </w:rPr>
        <w:t>注：参与编制投标文件所有人员名单应包括如编制技术投标方案、负责清样校对、负责打印及复印等所有人员在内的人员名单。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r>
        <w:rPr>
          <w:rFonts w:ascii="仿宋_GB2312" w:hAnsi="楷体" w:eastAsia="仿宋_GB2312"/>
          <w:color w:val="auto"/>
          <w:szCs w:val="21"/>
          <w:highlight w:val="none"/>
        </w:rPr>
        <w:br w:type="page"/>
      </w: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spacing w:line="320" w:lineRule="exact"/>
        <w:rPr>
          <w:rFonts w:ascii="仿宋_GB2312" w:hAnsi="楷体" w:eastAsia="仿宋_GB2312"/>
          <w:color w:val="auto"/>
          <w:szCs w:val="21"/>
          <w:highlight w:val="none"/>
        </w:rPr>
      </w:pPr>
    </w:p>
    <w:p>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第二部分 经济标投标文件</w:t>
      </w:r>
      <w:r>
        <w:rPr>
          <w:color w:val="auto"/>
          <w:sz w:val="24"/>
          <w:szCs w:val="24"/>
          <w:highlight w:val="none"/>
        </w:rPr>
        <w:br w:type="page"/>
      </w:r>
      <w:bookmarkStart w:id="26" w:name="_Toc2272568"/>
      <w:r>
        <w:rPr>
          <w:rFonts w:hint="eastAsia" w:ascii="宋体" w:hAnsi="宋体" w:cs="宋体"/>
          <w:color w:val="auto"/>
          <w:sz w:val="24"/>
          <w:highlight w:val="none"/>
        </w:rPr>
        <w:t xml:space="preserve"> </w:t>
      </w:r>
    </w:p>
    <w:p>
      <w:pPr>
        <w:pStyle w:val="134"/>
        <w:ind w:firstLine="496"/>
        <w:rPr>
          <w:rFonts w:ascii="宋体" w:hAnsi="宋体" w:cs="宋体"/>
          <w:color w:val="auto"/>
          <w:highlight w:val="none"/>
        </w:rPr>
      </w:pPr>
      <w:r>
        <w:rPr>
          <w:rFonts w:hint="eastAsia" w:ascii="宋体" w:hAnsi="宋体" w:cs="宋体"/>
          <w:color w:val="auto"/>
          <w:highlight w:val="none"/>
        </w:rPr>
        <w:t>经济标投标文件格式一：经济标投标文件封面</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7"/>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5"/>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7"/>
        <w:rPr>
          <w:rFonts w:ascii="宋体" w:hAnsi="宋体" w:eastAsia="宋体" w:cs="宋体"/>
          <w:color w:val="auto"/>
          <w:highlight w:val="none"/>
        </w:rPr>
      </w:pPr>
      <w:r>
        <w:rPr>
          <w:rFonts w:hint="eastAsia" w:ascii="宋体" w:hAnsi="宋体" w:eastAsia="宋体" w:cs="宋体"/>
          <w:color w:val="auto"/>
          <w:highlight w:val="none"/>
        </w:rPr>
        <w:t>第二部分（经济标）</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6"/>
        <w:ind w:firstLine="2038" w:firstLineChars="662"/>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p>
    <w:p>
      <w:pPr>
        <w:pStyle w:val="136"/>
        <w:ind w:firstLine="2038" w:firstLineChars="662"/>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tabs>
          <w:tab w:val="left" w:pos="720"/>
        </w:tabs>
        <w:snapToGrid w:val="0"/>
        <w:spacing w:line="360" w:lineRule="auto"/>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经济标投标文件格式二：</w:t>
      </w:r>
    </w:p>
    <w:p>
      <w:pPr>
        <w:spacing w:line="360" w:lineRule="auto"/>
        <w:rPr>
          <w:rFonts w:ascii="宋体" w:hAnsi="宋体" w:cs="宋体"/>
          <w:color w:val="auto"/>
          <w:sz w:val="24"/>
          <w:highlight w:val="none"/>
        </w:rPr>
      </w:pPr>
    </w:p>
    <w:p>
      <w:pPr>
        <w:pStyle w:val="138"/>
        <w:rPr>
          <w:rFonts w:ascii="宋体" w:hAnsi="宋体" w:eastAsia="宋体" w:cs="宋体"/>
          <w:color w:val="auto"/>
          <w:highlight w:val="none"/>
        </w:rPr>
      </w:pPr>
      <w:r>
        <w:rPr>
          <w:rFonts w:hint="eastAsia" w:ascii="宋体" w:hAnsi="宋体" w:eastAsia="宋体" w:cs="宋体"/>
          <w:color w:val="auto"/>
          <w:highlight w:val="none"/>
        </w:rPr>
        <w:t>工程量清单计价表</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r>
        <w:rPr>
          <w:rFonts w:hint="eastAsia" w:ascii="宋体" w:hAnsi="宋体" w:cs="宋体"/>
          <w:color w:val="auto"/>
          <w:highlight w:val="none"/>
        </w:rPr>
        <w:t>注：</w:t>
      </w:r>
      <w:r>
        <w:rPr>
          <w:rFonts w:hint="eastAsia" w:ascii="宋体" w:hAnsi="宋体" w:cs="宋体"/>
          <w:snapToGrid w:val="0"/>
          <w:color w:val="auto"/>
          <w:szCs w:val="20"/>
          <w:highlight w:val="none"/>
        </w:rPr>
        <w:t>按投标须知修改表11.3.2条款要求，</w:t>
      </w:r>
      <w:r>
        <w:rPr>
          <w:rFonts w:hint="eastAsia" w:ascii="宋体" w:hAnsi="宋体" w:cs="宋体"/>
          <w:color w:val="auto"/>
          <w:highlight w:val="none"/>
        </w:rPr>
        <w:t>详见工程量清单。</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★经济标投标文件格式三：</w:t>
      </w:r>
    </w:p>
    <w:p>
      <w:pPr>
        <w:spacing w:line="360" w:lineRule="auto"/>
        <w:jc w:val="center"/>
        <w:rPr>
          <w:b/>
          <w:color w:val="auto"/>
          <w:sz w:val="32"/>
          <w:szCs w:val="32"/>
          <w:highlight w:val="none"/>
        </w:rPr>
      </w:pPr>
      <w:r>
        <w:rPr>
          <w:rFonts w:hint="eastAsia"/>
          <w:b/>
          <w:color w:val="auto"/>
          <w:sz w:val="32"/>
          <w:szCs w:val="32"/>
          <w:highlight w:val="none"/>
        </w:rPr>
        <w:t>参与编制经济标投标文件人员名单</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ascii="宋体" w:hAnsi="宋体" w:cs="宋体"/>
          <w:color w:val="auto"/>
          <w:szCs w:val="21"/>
          <w:highlight w:val="none"/>
        </w:rPr>
      </w:pPr>
      <w:r>
        <w:rPr>
          <w:color w:val="auto"/>
          <w:szCs w:val="21"/>
          <w:highlight w:val="none"/>
        </w:rPr>
        <w:br w:type="page"/>
      </w:r>
      <w:r>
        <w:rPr>
          <w:rFonts w:hint="eastAsia" w:ascii="宋体" w:hAnsi="宋体" w:cs="宋体"/>
          <w:color w:val="auto"/>
          <w:sz w:val="24"/>
          <w:highlight w:val="none"/>
        </w:rPr>
        <w:t>★经济标投标文件格式四：</w:t>
      </w:r>
    </w:p>
    <w:p>
      <w:pPr>
        <w:pStyle w:val="5"/>
        <w:spacing w:after="0" w:line="360" w:lineRule="auto"/>
        <w:ind w:firstLine="0"/>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 xml:space="preserve">         （身份证号：               ）</w:t>
      </w:r>
      <w:r>
        <w:rPr>
          <w:rFonts w:hint="eastAsia" w:ascii="宋体" w:hAnsi="宋体" w:eastAsia="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cs="宋体"/>
          <w:color w:val="auto"/>
          <w:sz w:val="24"/>
          <w:szCs w:val="24"/>
          <w:highlight w:val="none"/>
        </w:rPr>
      </w:pPr>
    </w:p>
    <w:p>
      <w:pPr>
        <w:pStyle w:val="5"/>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5"/>
        <w:spacing w:after="0" w:line="360" w:lineRule="auto"/>
        <w:ind w:firstLine="0"/>
        <w:rPr>
          <w:rFonts w:ascii="宋体" w:hAnsi="宋体" w:eastAsia="宋体" w:cs="宋体"/>
          <w:b/>
          <w:color w:val="auto"/>
          <w:sz w:val="32"/>
          <w:szCs w:val="32"/>
          <w:highlight w:val="none"/>
        </w:rPr>
      </w:pPr>
    </w:p>
    <w:p>
      <w:pPr>
        <w:pStyle w:val="5"/>
        <w:spacing w:after="0" w:line="360" w:lineRule="auto"/>
        <w:ind w:firstLine="640" w:firstLineChars="200"/>
        <w:jc w:val="center"/>
        <w:rPr>
          <w:rFonts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pPr>
        <w:pStyle w:val="5"/>
        <w:spacing w:after="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sz w:val="24"/>
          <w:szCs w:val="24"/>
          <w:highlight w:val="none"/>
        </w:rPr>
        <w:t>。</w:t>
      </w:r>
    </w:p>
    <w:p>
      <w:pPr>
        <w:pStyle w:val="5"/>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35"/>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pPr>
        <w:spacing w:line="360" w:lineRule="auto"/>
        <w:rPr>
          <w:rFonts w:ascii="宋体" w:hAnsi="宋体" w:cs="宋体"/>
          <w:color w:val="auto"/>
          <w:sz w:val="24"/>
          <w:highlight w:val="none"/>
        </w:rPr>
      </w:pPr>
    </w:p>
    <w:p>
      <w:pPr>
        <w:tabs>
          <w:tab w:val="left" w:pos="720"/>
        </w:tabs>
        <w:snapToGrid w:val="0"/>
        <w:spacing w:line="360" w:lineRule="auto"/>
        <w:jc w:val="center"/>
        <w:rPr>
          <w:rStyle w:val="74"/>
          <w:color w:val="auto"/>
          <w:highlight w:val="none"/>
        </w:rPr>
      </w:pPr>
      <w:r>
        <w:rPr>
          <w:rStyle w:val="74"/>
          <w:rFonts w:hint="eastAsia"/>
          <w:color w:val="auto"/>
          <w:highlight w:val="none"/>
        </w:rPr>
        <w:t>第五章</w:t>
      </w:r>
      <w:r>
        <w:rPr>
          <w:rStyle w:val="74"/>
          <w:color w:val="auto"/>
          <w:highlight w:val="none"/>
        </w:rPr>
        <w:t xml:space="preserve">  </w:t>
      </w:r>
      <w:r>
        <w:rPr>
          <w:rStyle w:val="74"/>
          <w:rFonts w:hint="eastAsia"/>
          <w:color w:val="auto"/>
          <w:highlight w:val="none"/>
        </w:rPr>
        <w:t>技术条件（工程建设标准）</w:t>
      </w:r>
      <w:bookmarkEnd w:id="26"/>
    </w:p>
    <w:p>
      <w:pPr>
        <w:rPr>
          <w:rFonts w:ascii="宋体" w:hAnsi="宋体" w:cs="宋体"/>
          <w:color w:val="auto"/>
          <w:sz w:val="24"/>
          <w:szCs w:val="24"/>
          <w:highlight w:val="none"/>
        </w:rPr>
      </w:pPr>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pPr>
        <w:rPr>
          <w:rFonts w:ascii="宋体"/>
          <w:b/>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pPr>
        <w:pStyle w:val="3"/>
        <w:jc w:val="center"/>
        <w:rPr>
          <w:color w:val="auto"/>
          <w:highlight w:val="none"/>
        </w:rPr>
      </w:pPr>
      <w:r>
        <w:rPr>
          <w:color w:val="auto"/>
          <w:sz w:val="24"/>
          <w:szCs w:val="24"/>
          <w:highlight w:val="none"/>
        </w:rPr>
        <w:br w:type="page"/>
      </w:r>
      <w:bookmarkStart w:id="27" w:name="_Toc2272569"/>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27"/>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3"/>
        <w:jc w:val="center"/>
        <w:rPr>
          <w:color w:val="auto"/>
          <w:highlight w:val="none"/>
        </w:rPr>
      </w:pPr>
      <w:r>
        <w:rPr>
          <w:color w:val="auto"/>
          <w:sz w:val="24"/>
          <w:szCs w:val="24"/>
          <w:highlight w:val="none"/>
        </w:rPr>
        <w:br w:type="page"/>
      </w:r>
      <w:bookmarkStart w:id="28"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28"/>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jc w:val="center"/>
        <w:rPr>
          <w:rFonts w:ascii="宋体"/>
          <w:color w:val="auto"/>
          <w:highlight w:val="none"/>
        </w:rPr>
      </w:pPr>
      <w:r>
        <w:rPr>
          <w:color w:val="auto"/>
          <w:sz w:val="24"/>
          <w:szCs w:val="24"/>
          <w:highlight w:val="none"/>
        </w:rPr>
        <w:br w:type="page"/>
      </w:r>
      <w:bookmarkStart w:id="29"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29"/>
    </w:p>
    <w:p>
      <w:pPr>
        <w:jc w:val="center"/>
        <w:rPr>
          <w:color w:val="auto"/>
          <w:sz w:val="24"/>
          <w:szCs w:val="24"/>
          <w:highlight w:val="none"/>
        </w:rPr>
      </w:pPr>
      <w:r>
        <w:rPr>
          <w:rFonts w:hint="eastAsia"/>
          <w:color w:val="auto"/>
          <w:sz w:val="24"/>
          <w:szCs w:val="24"/>
          <w:highlight w:val="none"/>
        </w:rPr>
        <w:t>（另册）</w:t>
      </w: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0000009F" w:csb1="00000000"/>
  </w:font>
  <w:font w:name="方正大标宋简体">
    <w:altName w:val="宋体"/>
    <w:panose1 w:val="00000000000000000000"/>
    <w:charset w:val="00"/>
    <w:family w:val="auto"/>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169126"/>
      <w:docPartObj>
        <w:docPartGallery w:val="autotext"/>
      </w:docPartObj>
    </w:sdtPr>
    <w:sdtContent>
      <w:p>
        <w:pPr>
          <w:pStyle w:val="25"/>
          <w:jc w:val="center"/>
        </w:pPr>
        <w:r>
          <w:fldChar w:fldCharType="begin"/>
        </w:r>
        <w:r>
          <w:instrText xml:space="preserve">PAGE   \* MERGEFORMAT</w:instrText>
        </w:r>
        <w:r>
          <w:fldChar w:fldCharType="separate"/>
        </w:r>
        <w:r>
          <w:rPr>
            <w:lang w:val="zh-CN"/>
          </w:rPr>
          <w:t>1</w:t>
        </w:r>
        <w:r>
          <w:fldChar w:fldCharType="end"/>
        </w:r>
      </w:p>
    </w:sdtContent>
  </w:sdt>
  <w:p>
    <w:pPr>
      <w:pStyle w:val="25"/>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62</w:t>
    </w:r>
    <w:r>
      <w:fldChar w:fldCharType="end"/>
    </w:r>
  </w:p>
  <w:p>
    <w:pPr>
      <w:pStyle w:val="25"/>
      <w:framePr w:wrap="around" w:vAnchor="text" w:hAnchor="margin" w:xAlign="outside" w:y="1"/>
      <w:ind w:left="-4410" w:leftChars="-2100" w:right="-4439" w:rightChars="-2114"/>
      <w:rPr>
        <w:rStyle w:val="40"/>
      </w:rPr>
    </w:pPr>
  </w:p>
  <w:p>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5"/>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0"/>
      </w:rPr>
      <w:instrText xml:space="preserve"> PAGE </w:instrText>
    </w:r>
    <w:r>
      <w:fldChar w:fldCharType="separate"/>
    </w:r>
    <w:r>
      <w:rPr>
        <w:rStyle w:val="40"/>
      </w:rPr>
      <w:t>50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E15D4"/>
    <w:multiLevelType w:val="singleLevel"/>
    <w:tmpl w:val="CE0E15D4"/>
    <w:lvl w:ilvl="0" w:tentative="0">
      <w:start w:val="1"/>
      <w:numFmt w:val="decimal"/>
      <w:suff w:val="nothing"/>
      <w:lvlText w:val="%1、"/>
      <w:lvlJc w:val="left"/>
    </w:lvl>
  </w:abstractNum>
  <w:abstractNum w:abstractNumId="1">
    <w:nsid w:val="13EE1733"/>
    <w:multiLevelType w:val="singleLevel"/>
    <w:tmpl w:val="13EE1733"/>
    <w:lvl w:ilvl="0" w:tentative="0">
      <w:start w:val="1"/>
      <w:numFmt w:val="decimal"/>
      <w:suff w:val="nothing"/>
      <w:lvlText w:val="%1、"/>
      <w:lvlJc w:val="left"/>
    </w:lvl>
  </w:abstractNum>
  <w:abstractNum w:abstractNumId="2">
    <w:nsid w:val="259905B5"/>
    <w:multiLevelType w:val="multilevel"/>
    <w:tmpl w:val="259905B5"/>
    <w:lvl w:ilvl="0" w:tentative="0">
      <w:start w:val="1"/>
      <w:numFmt w:val="chineseCountingThousand"/>
      <w:pStyle w:val="12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lYmJiYzg4MTNmMDQ4MzI2MzQwNzQ2YmUzNjdjNzcifQ=="/>
  </w:docVars>
  <w:rsids>
    <w:rsidRoot w:val="001D1CDC"/>
    <w:rsid w:val="00027712"/>
    <w:rsid w:val="000405B6"/>
    <w:rsid w:val="0005541C"/>
    <w:rsid w:val="00067367"/>
    <w:rsid w:val="00074ED9"/>
    <w:rsid w:val="00080019"/>
    <w:rsid w:val="00083E57"/>
    <w:rsid w:val="000B1C2C"/>
    <w:rsid w:val="000E6033"/>
    <w:rsid w:val="000F4A3D"/>
    <w:rsid w:val="0010465D"/>
    <w:rsid w:val="0010482A"/>
    <w:rsid w:val="00105BE3"/>
    <w:rsid w:val="00132780"/>
    <w:rsid w:val="001507EE"/>
    <w:rsid w:val="00174D1E"/>
    <w:rsid w:val="00182498"/>
    <w:rsid w:val="001914B6"/>
    <w:rsid w:val="00194310"/>
    <w:rsid w:val="001A5E59"/>
    <w:rsid w:val="001B0D24"/>
    <w:rsid w:val="001B280E"/>
    <w:rsid w:val="001B4A86"/>
    <w:rsid w:val="001C2647"/>
    <w:rsid w:val="001C671B"/>
    <w:rsid w:val="001D1CDC"/>
    <w:rsid w:val="002029B3"/>
    <w:rsid w:val="0021702A"/>
    <w:rsid w:val="0021748D"/>
    <w:rsid w:val="00220DAE"/>
    <w:rsid w:val="0023300B"/>
    <w:rsid w:val="00250549"/>
    <w:rsid w:val="0025178F"/>
    <w:rsid w:val="00252337"/>
    <w:rsid w:val="002B4BE2"/>
    <w:rsid w:val="002C10CA"/>
    <w:rsid w:val="002C6E19"/>
    <w:rsid w:val="002C7114"/>
    <w:rsid w:val="002C7C8B"/>
    <w:rsid w:val="00302642"/>
    <w:rsid w:val="00321E9E"/>
    <w:rsid w:val="0032275C"/>
    <w:rsid w:val="00323DA2"/>
    <w:rsid w:val="00330877"/>
    <w:rsid w:val="00332C40"/>
    <w:rsid w:val="00344399"/>
    <w:rsid w:val="00361E21"/>
    <w:rsid w:val="003947EE"/>
    <w:rsid w:val="003A7576"/>
    <w:rsid w:val="003C04C4"/>
    <w:rsid w:val="003C2EAA"/>
    <w:rsid w:val="003C4FB4"/>
    <w:rsid w:val="003E1A0A"/>
    <w:rsid w:val="003E79F4"/>
    <w:rsid w:val="003F15EF"/>
    <w:rsid w:val="004123D8"/>
    <w:rsid w:val="00426C63"/>
    <w:rsid w:val="00446135"/>
    <w:rsid w:val="00497DD9"/>
    <w:rsid w:val="004B581C"/>
    <w:rsid w:val="004B5822"/>
    <w:rsid w:val="004C7847"/>
    <w:rsid w:val="004D3271"/>
    <w:rsid w:val="004D4BEF"/>
    <w:rsid w:val="00511931"/>
    <w:rsid w:val="0055591A"/>
    <w:rsid w:val="00557E62"/>
    <w:rsid w:val="0056790B"/>
    <w:rsid w:val="005778E1"/>
    <w:rsid w:val="0058636A"/>
    <w:rsid w:val="005D1E35"/>
    <w:rsid w:val="00655EE5"/>
    <w:rsid w:val="00693CDB"/>
    <w:rsid w:val="006B1D90"/>
    <w:rsid w:val="006F097C"/>
    <w:rsid w:val="007058C9"/>
    <w:rsid w:val="007113C0"/>
    <w:rsid w:val="007206E6"/>
    <w:rsid w:val="00732F36"/>
    <w:rsid w:val="0076091B"/>
    <w:rsid w:val="007644E4"/>
    <w:rsid w:val="00773CBA"/>
    <w:rsid w:val="007877C4"/>
    <w:rsid w:val="00787DB4"/>
    <w:rsid w:val="007A5888"/>
    <w:rsid w:val="007B161A"/>
    <w:rsid w:val="007B70AD"/>
    <w:rsid w:val="007C0D99"/>
    <w:rsid w:val="007E71D6"/>
    <w:rsid w:val="007F453D"/>
    <w:rsid w:val="007F5E4A"/>
    <w:rsid w:val="00801328"/>
    <w:rsid w:val="008068AC"/>
    <w:rsid w:val="00816C53"/>
    <w:rsid w:val="00817548"/>
    <w:rsid w:val="0084049F"/>
    <w:rsid w:val="0085227E"/>
    <w:rsid w:val="0086140A"/>
    <w:rsid w:val="00870C54"/>
    <w:rsid w:val="00876145"/>
    <w:rsid w:val="008773A2"/>
    <w:rsid w:val="008942F3"/>
    <w:rsid w:val="008A6F84"/>
    <w:rsid w:val="008C1AC8"/>
    <w:rsid w:val="008D3082"/>
    <w:rsid w:val="0094680D"/>
    <w:rsid w:val="0098717E"/>
    <w:rsid w:val="009C25B9"/>
    <w:rsid w:val="009C46A0"/>
    <w:rsid w:val="009D0E27"/>
    <w:rsid w:val="009F1888"/>
    <w:rsid w:val="009F62BF"/>
    <w:rsid w:val="00A072F3"/>
    <w:rsid w:val="00A11CE5"/>
    <w:rsid w:val="00A11D2D"/>
    <w:rsid w:val="00A16028"/>
    <w:rsid w:val="00A20CE2"/>
    <w:rsid w:val="00A264AA"/>
    <w:rsid w:val="00A42BC6"/>
    <w:rsid w:val="00A63DF7"/>
    <w:rsid w:val="00A72656"/>
    <w:rsid w:val="00AA5023"/>
    <w:rsid w:val="00AD08AB"/>
    <w:rsid w:val="00AD1542"/>
    <w:rsid w:val="00AF7C45"/>
    <w:rsid w:val="00B031B2"/>
    <w:rsid w:val="00B27F1E"/>
    <w:rsid w:val="00B51728"/>
    <w:rsid w:val="00B555CB"/>
    <w:rsid w:val="00B62C48"/>
    <w:rsid w:val="00B8004B"/>
    <w:rsid w:val="00B8551A"/>
    <w:rsid w:val="00B86E8F"/>
    <w:rsid w:val="00B86EAA"/>
    <w:rsid w:val="00BA5A46"/>
    <w:rsid w:val="00BB3355"/>
    <w:rsid w:val="00C1638E"/>
    <w:rsid w:val="00C16AE6"/>
    <w:rsid w:val="00C27D8F"/>
    <w:rsid w:val="00C52129"/>
    <w:rsid w:val="00C72052"/>
    <w:rsid w:val="00CD077A"/>
    <w:rsid w:val="00CF37A5"/>
    <w:rsid w:val="00D03816"/>
    <w:rsid w:val="00D2745F"/>
    <w:rsid w:val="00D43081"/>
    <w:rsid w:val="00D4780D"/>
    <w:rsid w:val="00D56BE0"/>
    <w:rsid w:val="00D66D87"/>
    <w:rsid w:val="00D77945"/>
    <w:rsid w:val="00D90379"/>
    <w:rsid w:val="00DC09DC"/>
    <w:rsid w:val="00DD49EF"/>
    <w:rsid w:val="00DE40B2"/>
    <w:rsid w:val="00DE4260"/>
    <w:rsid w:val="00DE4CE5"/>
    <w:rsid w:val="00E32CF9"/>
    <w:rsid w:val="00E36B81"/>
    <w:rsid w:val="00E56444"/>
    <w:rsid w:val="00E56773"/>
    <w:rsid w:val="00E82889"/>
    <w:rsid w:val="00E93CC6"/>
    <w:rsid w:val="00EB48E8"/>
    <w:rsid w:val="00EF153F"/>
    <w:rsid w:val="00EF3947"/>
    <w:rsid w:val="00F01660"/>
    <w:rsid w:val="00F41696"/>
    <w:rsid w:val="00F5335D"/>
    <w:rsid w:val="00F5696C"/>
    <w:rsid w:val="00F75829"/>
    <w:rsid w:val="00F873DB"/>
    <w:rsid w:val="00FB2F7E"/>
    <w:rsid w:val="00FB5C0E"/>
    <w:rsid w:val="00FD121E"/>
    <w:rsid w:val="00FF2413"/>
    <w:rsid w:val="04021E44"/>
    <w:rsid w:val="069B4C27"/>
    <w:rsid w:val="06C83B21"/>
    <w:rsid w:val="08986B20"/>
    <w:rsid w:val="0B7102C7"/>
    <w:rsid w:val="0E3777B0"/>
    <w:rsid w:val="128D65FD"/>
    <w:rsid w:val="12DC139F"/>
    <w:rsid w:val="14975EDD"/>
    <w:rsid w:val="14F43330"/>
    <w:rsid w:val="17045380"/>
    <w:rsid w:val="18705BB2"/>
    <w:rsid w:val="18AC5CCF"/>
    <w:rsid w:val="1A744B3C"/>
    <w:rsid w:val="1B0B2D50"/>
    <w:rsid w:val="1B440A86"/>
    <w:rsid w:val="1CBA09BB"/>
    <w:rsid w:val="1CF32B0D"/>
    <w:rsid w:val="1D357527"/>
    <w:rsid w:val="1E276524"/>
    <w:rsid w:val="243F2D49"/>
    <w:rsid w:val="25203CCD"/>
    <w:rsid w:val="28003A9A"/>
    <w:rsid w:val="291B7D57"/>
    <w:rsid w:val="298E38FB"/>
    <w:rsid w:val="2A1738F0"/>
    <w:rsid w:val="2F897D2D"/>
    <w:rsid w:val="308D1428"/>
    <w:rsid w:val="322D0E57"/>
    <w:rsid w:val="32575C2C"/>
    <w:rsid w:val="33C47C7F"/>
    <w:rsid w:val="34A7277B"/>
    <w:rsid w:val="34D92673"/>
    <w:rsid w:val="34F74012"/>
    <w:rsid w:val="350145ED"/>
    <w:rsid w:val="358402D9"/>
    <w:rsid w:val="36CB4549"/>
    <w:rsid w:val="379A05C5"/>
    <w:rsid w:val="38BA383C"/>
    <w:rsid w:val="3AF94367"/>
    <w:rsid w:val="3AFB2A51"/>
    <w:rsid w:val="41FC43C5"/>
    <w:rsid w:val="42B34BA7"/>
    <w:rsid w:val="4348224F"/>
    <w:rsid w:val="46BA7686"/>
    <w:rsid w:val="476F66C2"/>
    <w:rsid w:val="478B356E"/>
    <w:rsid w:val="488B3063"/>
    <w:rsid w:val="4BB74057"/>
    <w:rsid w:val="4D1901D4"/>
    <w:rsid w:val="4DC210C9"/>
    <w:rsid w:val="4E023609"/>
    <w:rsid w:val="51706D39"/>
    <w:rsid w:val="542043A8"/>
    <w:rsid w:val="556A6147"/>
    <w:rsid w:val="57081D47"/>
    <w:rsid w:val="57A80D67"/>
    <w:rsid w:val="589201B6"/>
    <w:rsid w:val="5ADF4855"/>
    <w:rsid w:val="5AE64F86"/>
    <w:rsid w:val="5C7B5307"/>
    <w:rsid w:val="5D7D27A9"/>
    <w:rsid w:val="5DDB1F64"/>
    <w:rsid w:val="5DE7641D"/>
    <w:rsid w:val="5E16028C"/>
    <w:rsid w:val="5E6F1C8B"/>
    <w:rsid w:val="5FF43883"/>
    <w:rsid w:val="62BB6838"/>
    <w:rsid w:val="64036797"/>
    <w:rsid w:val="685A763A"/>
    <w:rsid w:val="6ABD1D75"/>
    <w:rsid w:val="6AF91B0E"/>
    <w:rsid w:val="6BD2445B"/>
    <w:rsid w:val="6C3C7814"/>
    <w:rsid w:val="6CD73B5B"/>
    <w:rsid w:val="6E166FE8"/>
    <w:rsid w:val="6ECB392F"/>
    <w:rsid w:val="6EFA2466"/>
    <w:rsid w:val="6F8A1A3C"/>
    <w:rsid w:val="700575BD"/>
    <w:rsid w:val="71E97428"/>
    <w:rsid w:val="726F3CEA"/>
    <w:rsid w:val="734405E9"/>
    <w:rsid w:val="79F473AB"/>
    <w:rsid w:val="7AE2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4"/>
    <w:qFormat/>
    <w:uiPriority w:val="0"/>
    <w:pPr>
      <w:keepNext/>
      <w:keepLines/>
      <w:spacing w:after="120" w:line="360" w:lineRule="auto"/>
      <w:jc w:val="left"/>
      <w:outlineLvl w:val="0"/>
    </w:pPr>
    <w:rPr>
      <w:kern w:val="44"/>
      <w:sz w:val="28"/>
      <w:szCs w:val="28"/>
    </w:rPr>
  </w:style>
  <w:style w:type="paragraph" w:styleId="7">
    <w:name w:val="heading 2"/>
    <w:basedOn w:val="1"/>
    <w:next w:val="1"/>
    <w:link w:val="8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86"/>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76"/>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8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5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8"/>
    <w:qFormat/>
    <w:uiPriority w:val="99"/>
    <w:rPr>
      <w:rFonts w:ascii="宋体" w:hAnsi="Courier New"/>
      <w:szCs w:val="20"/>
    </w:rPr>
  </w:style>
  <w:style w:type="paragraph" w:styleId="4">
    <w:name w:val="Title"/>
    <w:basedOn w:val="1"/>
    <w:link w:val="56"/>
    <w:qFormat/>
    <w:uiPriority w:val="0"/>
    <w:pPr>
      <w:spacing w:before="120" w:after="60"/>
      <w:jc w:val="center"/>
    </w:pPr>
    <w:rPr>
      <w:rFonts w:ascii="Arial" w:hAnsi="Arial"/>
      <w:b/>
      <w:sz w:val="44"/>
      <w:szCs w:val="20"/>
    </w:rPr>
  </w:style>
  <w:style w:type="paragraph" w:styleId="5">
    <w:name w:val="Body Text First Indent"/>
    <w:basedOn w:val="6"/>
    <w:link w:val="78"/>
    <w:qFormat/>
    <w:uiPriority w:val="0"/>
    <w:pPr>
      <w:ind w:firstLine="420"/>
    </w:pPr>
    <w:rPr>
      <w:rFonts w:asciiTheme="minorHAnsi" w:hAnsiTheme="minorHAnsi" w:eastAsiaTheme="minorEastAsia" w:cstheme="minorBidi"/>
      <w:szCs w:val="22"/>
    </w:rPr>
  </w:style>
  <w:style w:type="paragraph" w:styleId="6">
    <w:name w:val="Body Text"/>
    <w:basedOn w:val="1"/>
    <w:link w:val="72"/>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60"/>
    <w:qFormat/>
    <w:uiPriority w:val="0"/>
    <w:pPr>
      <w:shd w:val="clear" w:color="auto" w:fill="000080"/>
    </w:pPr>
    <w:rPr>
      <w:rFonts w:ascii="Times New Roman" w:hAnsi="Times New Roman"/>
      <w:szCs w:val="20"/>
    </w:rPr>
  </w:style>
  <w:style w:type="paragraph" w:styleId="17">
    <w:name w:val="annotation text"/>
    <w:basedOn w:val="1"/>
    <w:link w:val="102"/>
    <w:unhideWhenUsed/>
    <w:qFormat/>
    <w:uiPriority w:val="0"/>
    <w:pPr>
      <w:jc w:val="left"/>
    </w:pPr>
  </w:style>
  <w:style w:type="paragraph" w:styleId="18">
    <w:name w:val="Body Text Indent"/>
    <w:basedOn w:val="1"/>
    <w:next w:val="19"/>
    <w:link w:val="65"/>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eastAsia="宋体" w:cs="Times New Roman"/>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3">
    <w:name w:val="endnote text"/>
    <w:basedOn w:val="1"/>
    <w:link w:val="94"/>
    <w:qFormat/>
    <w:uiPriority w:val="0"/>
    <w:pPr>
      <w:snapToGrid w:val="0"/>
      <w:jc w:val="left"/>
    </w:pPr>
    <w:rPr>
      <w:rFonts w:ascii="Times New Roman" w:hAnsi="Times New Roman"/>
      <w:szCs w:val="20"/>
    </w:rPr>
  </w:style>
  <w:style w:type="paragraph" w:styleId="24">
    <w:name w:val="Balloon Text"/>
    <w:basedOn w:val="1"/>
    <w:link w:val="54"/>
    <w:qFormat/>
    <w:uiPriority w:val="0"/>
    <w:rPr>
      <w:rFonts w:ascii="Times New Roman" w:hAnsi="Times New Roman"/>
      <w:sz w:val="18"/>
      <w:szCs w:val="18"/>
    </w:rPr>
  </w:style>
  <w:style w:type="paragraph" w:styleId="25">
    <w:name w:val="footer"/>
    <w:basedOn w:val="1"/>
    <w:link w:val="69"/>
    <w:unhideWhenUsed/>
    <w:qFormat/>
    <w:uiPriority w:val="99"/>
    <w:pPr>
      <w:tabs>
        <w:tab w:val="center" w:pos="4153"/>
        <w:tab w:val="right" w:pos="8306"/>
      </w:tabs>
      <w:snapToGrid w:val="0"/>
      <w:jc w:val="left"/>
    </w:pPr>
    <w:rPr>
      <w:sz w:val="18"/>
      <w:szCs w:val="18"/>
    </w:rPr>
  </w:style>
  <w:style w:type="paragraph" w:styleId="26">
    <w:name w:val="header"/>
    <w:basedOn w:val="1"/>
    <w:link w:val="7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58"/>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5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71"/>
    <w:qFormat/>
    <w:uiPriority w:val="0"/>
    <w:rPr>
      <w:rFonts w:ascii="宋体" w:hAnsi="宋体"/>
      <w:szCs w:val="24"/>
      <w:u w:val="single"/>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96"/>
    <w:qFormat/>
    <w:uiPriority w:val="0"/>
    <w:pPr>
      <w:spacing w:line="360" w:lineRule="auto"/>
      <w:ind w:firstLine="523" w:firstLineChars="218"/>
    </w:pPr>
    <w:rPr>
      <w:rFonts w:ascii="宋体" w:hAnsi="宋体"/>
      <w:b/>
      <w:bCs/>
      <w:sz w:val="24"/>
      <w:szCs w:val="24"/>
    </w:rPr>
  </w:style>
  <w:style w:type="paragraph" w:styleId="34">
    <w:name w:val="Body Text First Indent 2"/>
    <w:basedOn w:val="18"/>
    <w:qFormat/>
    <w:uiPriority w:val="0"/>
    <w:pPr>
      <w:ind w:firstLine="420" w:firstLineChars="200"/>
    </w:pPr>
    <w:rPr>
      <w:rFonts w:ascii="Times New Roman" w:hAnsi="Times New Roman" w:eastAsia="宋体" w:cs="Times New Roman"/>
      <w:szCs w:val="20"/>
    </w:rPr>
  </w:style>
  <w:style w:type="table" w:styleId="36">
    <w:name w:val="Table Grid"/>
    <w:basedOn w:val="3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basedOn w:val="37"/>
    <w:qFormat/>
    <w:uiPriority w:val="9"/>
    <w:rPr>
      <w:rFonts w:ascii="Calibri" w:hAnsi="Calibri" w:eastAsia="宋体" w:cs="Times New Roman"/>
      <w:b/>
      <w:bCs/>
      <w:kern w:val="44"/>
      <w:sz w:val="44"/>
      <w:szCs w:val="44"/>
    </w:rPr>
  </w:style>
  <w:style w:type="character" w:customStyle="1" w:styleId="46">
    <w:name w:val="标题 2 字符"/>
    <w:basedOn w:val="37"/>
    <w:semiHidden/>
    <w:qFormat/>
    <w:uiPriority w:val="9"/>
    <w:rPr>
      <w:rFonts w:asciiTheme="majorHAnsi" w:hAnsiTheme="majorHAnsi" w:eastAsiaTheme="majorEastAsia" w:cstheme="majorBidi"/>
      <w:b/>
      <w:bCs/>
      <w:sz w:val="32"/>
      <w:szCs w:val="32"/>
    </w:rPr>
  </w:style>
  <w:style w:type="character" w:customStyle="1" w:styleId="47">
    <w:name w:val="标题 3 字符"/>
    <w:basedOn w:val="37"/>
    <w:semiHidden/>
    <w:qFormat/>
    <w:uiPriority w:val="9"/>
    <w:rPr>
      <w:rFonts w:ascii="Calibri" w:hAnsi="Calibri" w:eastAsia="宋体" w:cs="Times New Roman"/>
      <w:b/>
      <w:bCs/>
      <w:sz w:val="32"/>
      <w:szCs w:val="32"/>
    </w:rPr>
  </w:style>
  <w:style w:type="character" w:customStyle="1" w:styleId="48">
    <w:name w:val="标题 4 字符"/>
    <w:basedOn w:val="37"/>
    <w:semiHidden/>
    <w:qFormat/>
    <w:uiPriority w:val="9"/>
    <w:rPr>
      <w:rFonts w:asciiTheme="majorHAnsi" w:hAnsiTheme="majorHAnsi" w:eastAsiaTheme="majorEastAsia" w:cstheme="majorBidi"/>
      <w:b/>
      <w:bCs/>
      <w:sz w:val="28"/>
      <w:szCs w:val="28"/>
    </w:rPr>
  </w:style>
  <w:style w:type="character" w:customStyle="1" w:styleId="49">
    <w:name w:val="标题 5 字符"/>
    <w:basedOn w:val="37"/>
    <w:semiHidden/>
    <w:qFormat/>
    <w:uiPriority w:val="9"/>
    <w:rPr>
      <w:rFonts w:ascii="Calibri" w:hAnsi="Calibri" w:eastAsia="宋体" w:cs="Times New Roman"/>
      <w:b/>
      <w:bCs/>
      <w:sz w:val="28"/>
      <w:szCs w:val="28"/>
    </w:rPr>
  </w:style>
  <w:style w:type="character" w:customStyle="1" w:styleId="50">
    <w:name w:val="标题 6 字符"/>
    <w:basedOn w:val="37"/>
    <w:semiHidden/>
    <w:qFormat/>
    <w:uiPriority w:val="9"/>
    <w:rPr>
      <w:rFonts w:asciiTheme="majorHAnsi" w:hAnsiTheme="majorHAnsi" w:eastAsiaTheme="majorEastAsia" w:cstheme="majorBidi"/>
      <w:b/>
      <w:bCs/>
      <w:sz w:val="24"/>
      <w:szCs w:val="24"/>
    </w:rPr>
  </w:style>
  <w:style w:type="character" w:customStyle="1" w:styleId="51">
    <w:name w:val="标题 7 字符"/>
    <w:basedOn w:val="37"/>
    <w:semiHidden/>
    <w:qFormat/>
    <w:uiPriority w:val="9"/>
    <w:rPr>
      <w:rFonts w:ascii="Calibri" w:hAnsi="Calibri" w:eastAsia="宋体" w:cs="Times New Roman"/>
      <w:b/>
      <w:bCs/>
      <w:sz w:val="24"/>
      <w:szCs w:val="24"/>
    </w:rPr>
  </w:style>
  <w:style w:type="character" w:customStyle="1" w:styleId="52">
    <w:name w:val="标题 8 字符"/>
    <w:basedOn w:val="37"/>
    <w:semiHidden/>
    <w:qFormat/>
    <w:uiPriority w:val="9"/>
    <w:rPr>
      <w:rFonts w:asciiTheme="majorHAnsi" w:hAnsiTheme="majorHAnsi" w:eastAsiaTheme="majorEastAsia" w:cstheme="majorBidi"/>
      <w:sz w:val="24"/>
      <w:szCs w:val="24"/>
    </w:rPr>
  </w:style>
  <w:style w:type="character" w:customStyle="1" w:styleId="53">
    <w:name w:val="标题 9 字符"/>
    <w:basedOn w:val="37"/>
    <w:semiHidden/>
    <w:qFormat/>
    <w:uiPriority w:val="9"/>
    <w:rPr>
      <w:rFonts w:asciiTheme="majorHAnsi" w:hAnsiTheme="majorHAnsi" w:eastAsiaTheme="majorEastAsia" w:cstheme="majorBidi"/>
      <w:szCs w:val="21"/>
    </w:rPr>
  </w:style>
  <w:style w:type="character" w:customStyle="1" w:styleId="54">
    <w:name w:val="批注框文本 字符1"/>
    <w:link w:val="24"/>
    <w:qFormat/>
    <w:uiPriority w:val="0"/>
    <w:rPr>
      <w:rFonts w:ascii="Times New Roman" w:hAnsi="Times New Roman" w:eastAsia="宋体" w:cs="Times New Roman"/>
      <w:sz w:val="18"/>
      <w:szCs w:val="18"/>
    </w:rPr>
  </w:style>
  <w:style w:type="character" w:customStyle="1" w:styleId="55">
    <w:name w:val="正文文本缩进 3 字符1"/>
    <w:link w:val="29"/>
    <w:qFormat/>
    <w:uiPriority w:val="0"/>
    <w:rPr>
      <w:rFonts w:ascii="Times New Roman" w:hAnsi="Times New Roman" w:eastAsia="宋体" w:cs="Times New Roman"/>
      <w:color w:val="000000"/>
      <w:sz w:val="24"/>
      <w:szCs w:val="20"/>
    </w:rPr>
  </w:style>
  <w:style w:type="character" w:customStyle="1" w:styleId="56">
    <w:name w:val="标题 字符1"/>
    <w:link w:val="4"/>
    <w:qFormat/>
    <w:uiPriority w:val="0"/>
    <w:rPr>
      <w:rFonts w:ascii="Arial" w:hAnsi="Arial" w:eastAsia="宋体" w:cs="Times New Roman"/>
      <w:b/>
      <w:sz w:val="44"/>
      <w:szCs w:val="20"/>
    </w:rPr>
  </w:style>
  <w:style w:type="character" w:customStyle="1" w:styleId="57">
    <w:name w:val="标题 8 字符1"/>
    <w:link w:val="14"/>
    <w:qFormat/>
    <w:uiPriority w:val="0"/>
    <w:rPr>
      <w:rFonts w:ascii="Arial" w:hAnsi="Arial" w:eastAsia="黑体" w:cs="Times New Roman"/>
      <w:sz w:val="24"/>
      <w:szCs w:val="20"/>
    </w:rPr>
  </w:style>
  <w:style w:type="character" w:customStyle="1" w:styleId="58">
    <w:name w:val="脚注文本 字符1"/>
    <w:link w:val="28"/>
    <w:qFormat/>
    <w:uiPriority w:val="0"/>
    <w:rPr>
      <w:rFonts w:ascii="宋体" w:hAnsi="宋体" w:eastAsia="宋体" w:cs="Times New Roman"/>
      <w:sz w:val="18"/>
      <w:szCs w:val="18"/>
    </w:rPr>
  </w:style>
  <w:style w:type="character" w:customStyle="1" w:styleId="59">
    <w:name w:val="批注框文本 字符"/>
    <w:semiHidden/>
    <w:qFormat/>
    <w:uiPriority w:val="99"/>
    <w:rPr>
      <w:rFonts w:ascii="Calibri" w:hAnsi="Calibri" w:eastAsia="宋体" w:cs="Times New Roman"/>
      <w:sz w:val="18"/>
      <w:szCs w:val="18"/>
    </w:rPr>
  </w:style>
  <w:style w:type="character" w:customStyle="1" w:styleId="60">
    <w:name w:val="文档结构图 字符1"/>
    <w:link w:val="16"/>
    <w:qFormat/>
    <w:uiPriority w:val="0"/>
    <w:rPr>
      <w:rFonts w:ascii="Times New Roman" w:hAnsi="Times New Roman" w:eastAsia="宋体" w:cs="Times New Roman"/>
      <w:szCs w:val="20"/>
      <w:shd w:val="clear" w:color="auto" w:fill="000080"/>
    </w:rPr>
  </w:style>
  <w:style w:type="character" w:customStyle="1" w:styleId="61">
    <w:name w:val="正文文本缩进 2 字符"/>
    <w:semiHidden/>
    <w:qFormat/>
    <w:uiPriority w:val="99"/>
    <w:rPr>
      <w:rFonts w:ascii="Calibri" w:hAnsi="Calibri" w:eastAsia="宋体" w:cs="Times New Roman"/>
    </w:rPr>
  </w:style>
  <w:style w:type="character" w:customStyle="1" w:styleId="62">
    <w:name w:val="正文文本缩进 3 字符"/>
    <w:semiHidden/>
    <w:qFormat/>
    <w:uiPriority w:val="99"/>
    <w:rPr>
      <w:rFonts w:ascii="Calibri" w:hAnsi="Calibri" w:eastAsia="宋体" w:cs="Times New Roman"/>
      <w:sz w:val="16"/>
      <w:szCs w:val="16"/>
    </w:rPr>
  </w:style>
  <w:style w:type="character" w:customStyle="1" w:styleId="63">
    <w:name w:val="文档结构图 字符"/>
    <w:semiHidden/>
    <w:qFormat/>
    <w:uiPriority w:val="99"/>
    <w:rPr>
      <w:rFonts w:ascii="Microsoft YaHei UI" w:hAnsi="Calibri" w:eastAsia="Microsoft YaHei UI" w:cs="Times New Roman"/>
      <w:sz w:val="18"/>
      <w:szCs w:val="18"/>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正文文本缩进 字符1"/>
    <w:link w:val="18"/>
    <w:qFormat/>
    <w:uiPriority w:val="0"/>
    <w:rPr>
      <w:rFonts w:ascii="Times New Roman" w:hAnsi="Times New Roman" w:eastAsia="宋体" w:cs="Times New Roman"/>
      <w:sz w:val="28"/>
      <w:szCs w:val="20"/>
    </w:rPr>
  </w:style>
  <w:style w:type="character" w:customStyle="1" w:styleId="66">
    <w:name w:val="标题 9 字符1"/>
    <w:link w:val="15"/>
    <w:qFormat/>
    <w:uiPriority w:val="0"/>
    <w:rPr>
      <w:rFonts w:ascii="Arial" w:hAnsi="Arial" w:eastAsia="黑体" w:cs="Times New Roman"/>
      <w:szCs w:val="20"/>
    </w:rPr>
  </w:style>
  <w:style w:type="character" w:customStyle="1" w:styleId="67">
    <w:name w:val="批注文字 字符"/>
    <w:semiHidden/>
    <w:qFormat/>
    <w:uiPriority w:val="99"/>
    <w:rPr>
      <w:rFonts w:ascii="Calibri" w:hAnsi="Calibri" w:eastAsia="宋体" w:cs="Times New Roman"/>
    </w:rPr>
  </w:style>
  <w:style w:type="character" w:customStyle="1" w:styleId="68">
    <w:name w:val="纯文本 字符1"/>
    <w:link w:val="2"/>
    <w:qFormat/>
    <w:uiPriority w:val="0"/>
    <w:rPr>
      <w:rFonts w:ascii="宋体" w:hAnsi="Courier New" w:eastAsia="宋体" w:cs="Times New Roman"/>
      <w:szCs w:val="20"/>
    </w:rPr>
  </w:style>
  <w:style w:type="character" w:customStyle="1" w:styleId="69">
    <w:name w:val="页脚 字符1"/>
    <w:link w:val="25"/>
    <w:qFormat/>
    <w:uiPriority w:val="0"/>
    <w:rPr>
      <w:rFonts w:ascii="Calibri" w:hAnsi="Calibri" w:eastAsia="宋体" w:cs="Times New Roman"/>
      <w:sz w:val="18"/>
      <w:szCs w:val="18"/>
    </w:rPr>
  </w:style>
  <w:style w:type="character" w:customStyle="1" w:styleId="70">
    <w:name w:val="页眉 字符"/>
    <w:semiHidden/>
    <w:qFormat/>
    <w:uiPriority w:val="99"/>
    <w:rPr>
      <w:rFonts w:ascii="Calibri" w:hAnsi="Calibri" w:eastAsia="宋体" w:cs="Times New Roman"/>
      <w:sz w:val="18"/>
      <w:szCs w:val="18"/>
    </w:rPr>
  </w:style>
  <w:style w:type="character" w:customStyle="1" w:styleId="71">
    <w:name w:val="正文文本 2 字符1"/>
    <w:link w:val="31"/>
    <w:qFormat/>
    <w:uiPriority w:val="0"/>
    <w:rPr>
      <w:rFonts w:ascii="宋体" w:hAnsi="宋体" w:eastAsia="宋体" w:cs="Times New Roman"/>
      <w:szCs w:val="24"/>
      <w:u w:val="single"/>
    </w:rPr>
  </w:style>
  <w:style w:type="character" w:customStyle="1" w:styleId="72">
    <w:name w:val="正文文本 字符1"/>
    <w:link w:val="6"/>
    <w:qFormat/>
    <w:uiPriority w:val="0"/>
    <w:rPr>
      <w:rFonts w:ascii="Times New Roman" w:hAnsi="Times New Roman" w:eastAsia="宋体" w:cs="Times New Roman"/>
      <w:szCs w:val="20"/>
    </w:rPr>
  </w:style>
  <w:style w:type="character" w:customStyle="1" w:styleId="73">
    <w:name w:val="批注文字 字符1"/>
    <w:qFormat/>
    <w:uiPriority w:val="0"/>
    <w:rPr>
      <w:rFonts w:ascii="宋体" w:hAnsi="宋体" w:eastAsia="宋体" w:cs="Times New Roman"/>
      <w:sz w:val="24"/>
      <w:szCs w:val="24"/>
    </w:rPr>
  </w:style>
  <w:style w:type="character" w:customStyle="1" w:styleId="74">
    <w:name w:val="标题 1 字符1"/>
    <w:link w:val="3"/>
    <w:qFormat/>
    <w:uiPriority w:val="0"/>
    <w:rPr>
      <w:rFonts w:ascii="Arial" w:hAnsi="Arial" w:eastAsia="宋体" w:cs="Times New Roman"/>
      <w:b/>
      <w:kern w:val="44"/>
      <w:sz w:val="28"/>
      <w:szCs w:val="28"/>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标题 5 字符1"/>
    <w:link w:val="11"/>
    <w:qFormat/>
    <w:uiPriority w:val="0"/>
    <w:rPr>
      <w:rFonts w:ascii="Arial" w:hAnsi="Arial" w:eastAsia="宋体" w:cs="Times New Roman"/>
      <w:color w:val="000000"/>
      <w:szCs w:val="21"/>
    </w:rPr>
  </w:style>
  <w:style w:type="character" w:customStyle="1" w:styleId="77">
    <w:name w:val="标题 3 字符1"/>
    <w:link w:val="8"/>
    <w:qFormat/>
    <w:uiPriority w:val="0"/>
    <w:rPr>
      <w:rFonts w:ascii="宋体" w:hAnsi="宋体" w:eastAsia="宋体" w:cs="宋体"/>
      <w:kern w:val="0"/>
      <w:sz w:val="27"/>
      <w:szCs w:val="27"/>
    </w:rPr>
  </w:style>
  <w:style w:type="character" w:customStyle="1" w:styleId="78">
    <w:name w:val="正文首行缩进 字符1"/>
    <w:link w:val="5"/>
    <w:qFormat/>
    <w:uiPriority w:val="0"/>
  </w:style>
  <w:style w:type="character" w:customStyle="1" w:styleId="79">
    <w:name w:val="页眉 字符1"/>
    <w:link w:val="26"/>
    <w:qFormat/>
    <w:uiPriority w:val="0"/>
    <w:rPr>
      <w:rFonts w:ascii="Calibri" w:hAnsi="Calibri" w:eastAsia="宋体" w:cs="Times New Roman"/>
      <w:sz w:val="18"/>
      <w:szCs w:val="18"/>
    </w:rPr>
  </w:style>
  <w:style w:type="character" w:customStyle="1" w:styleId="80">
    <w:name w:val="正文文本缩进 2 字符1"/>
    <w:link w:val="22"/>
    <w:qFormat/>
    <w:uiPriority w:val="0"/>
    <w:rPr>
      <w:rFonts w:ascii="Times New Roman" w:hAnsi="Times New Roman" w:eastAsia="宋体" w:cs="Times New Roman"/>
      <w:color w:val="000000"/>
      <w:sz w:val="24"/>
      <w:szCs w:val="20"/>
    </w:rPr>
  </w:style>
  <w:style w:type="character" w:customStyle="1" w:styleId="81">
    <w:name w:val="页脚 字符"/>
    <w:qFormat/>
    <w:uiPriority w:val="99"/>
    <w:rPr>
      <w:rFonts w:ascii="Calibri" w:hAnsi="Calibri" w:eastAsia="宋体" w:cs="Times New Roman"/>
      <w:sz w:val="18"/>
      <w:szCs w:val="18"/>
    </w:rPr>
  </w:style>
  <w:style w:type="character" w:customStyle="1" w:styleId="82">
    <w:name w:val="尾注文本 字符"/>
    <w:semiHidden/>
    <w:qFormat/>
    <w:uiPriority w:val="99"/>
    <w:rPr>
      <w:rFonts w:ascii="Calibri" w:hAnsi="Calibri" w:eastAsia="宋体" w:cs="Times New Roman"/>
    </w:rPr>
  </w:style>
  <w:style w:type="character" w:customStyle="1" w:styleId="83">
    <w:name w:val="标题 2 字符1"/>
    <w:link w:val="7"/>
    <w:qFormat/>
    <w:uiPriority w:val="0"/>
    <w:rPr>
      <w:rFonts w:ascii="Arial" w:hAnsi="Arial" w:eastAsia="宋体" w:cs="Times New Roman"/>
      <w:b/>
      <w:color w:val="000000"/>
      <w:sz w:val="24"/>
      <w:szCs w:val="24"/>
    </w:rPr>
  </w:style>
  <w:style w:type="character" w:customStyle="1" w:styleId="84">
    <w:name w:val="正文首行缩进 字符"/>
    <w:basedOn w:val="85"/>
    <w:semiHidden/>
    <w:qFormat/>
    <w:uiPriority w:val="99"/>
    <w:rPr>
      <w:rFonts w:ascii="Calibri" w:hAnsi="Calibri" w:eastAsia="宋体" w:cs="Times New Roman"/>
    </w:rPr>
  </w:style>
  <w:style w:type="character" w:customStyle="1" w:styleId="85">
    <w:name w:val="正文文本 字符"/>
    <w:semiHidden/>
    <w:qFormat/>
    <w:uiPriority w:val="99"/>
    <w:rPr>
      <w:rFonts w:ascii="Calibri" w:hAnsi="Calibri" w:eastAsia="宋体" w:cs="Times New Roman"/>
    </w:rPr>
  </w:style>
  <w:style w:type="character" w:customStyle="1" w:styleId="86">
    <w:name w:val="标题 4 字符1"/>
    <w:link w:val="9"/>
    <w:qFormat/>
    <w:uiPriority w:val="0"/>
    <w:rPr>
      <w:rFonts w:ascii="Arial" w:hAnsi="Arial" w:eastAsia="宋体" w:cs="Times New Roman"/>
      <w:color w:val="000000"/>
      <w:szCs w:val="21"/>
    </w:rPr>
  </w:style>
  <w:style w:type="character" w:customStyle="1" w:styleId="87">
    <w:name w:val="脚注文本 字符"/>
    <w:semiHidden/>
    <w:qFormat/>
    <w:uiPriority w:val="99"/>
    <w:rPr>
      <w:rFonts w:ascii="Calibri" w:hAnsi="Calibri" w:eastAsia="宋体" w:cs="Times New Roman"/>
      <w:sz w:val="18"/>
      <w:szCs w:val="18"/>
    </w:rPr>
  </w:style>
  <w:style w:type="character" w:customStyle="1" w:styleId="88">
    <w:name w:val="标题 7 字符1"/>
    <w:link w:val="13"/>
    <w:qFormat/>
    <w:uiPriority w:val="0"/>
    <w:rPr>
      <w:rFonts w:ascii="Times New Roman" w:hAnsi="Times New Roman" w:eastAsia="宋体" w:cs="Times New Roman"/>
      <w:b/>
      <w:sz w:val="24"/>
      <w:szCs w:val="20"/>
    </w:rPr>
  </w:style>
  <w:style w:type="character" w:customStyle="1" w:styleId="89">
    <w:name w:val="标题 字符"/>
    <w:qFormat/>
    <w:uiPriority w:val="10"/>
    <w:rPr>
      <w:rFonts w:ascii="等线 Light" w:hAnsi="等线 Light" w:eastAsia="等线 Light" w:cs="Times New Roman"/>
      <w:b/>
      <w:bCs/>
      <w:sz w:val="32"/>
      <w:szCs w:val="32"/>
    </w:rPr>
  </w:style>
  <w:style w:type="character" w:customStyle="1" w:styleId="90">
    <w:name w:val="日期 字符"/>
    <w:semiHidden/>
    <w:qFormat/>
    <w:uiPriority w:val="99"/>
    <w:rPr>
      <w:rFonts w:ascii="Calibri" w:hAnsi="Calibri" w:eastAsia="宋体" w:cs="Times New Roman"/>
    </w:rPr>
  </w:style>
  <w:style w:type="character" w:customStyle="1" w:styleId="91">
    <w:name w:val="正文文本缩进 字符"/>
    <w:semiHidden/>
    <w:qFormat/>
    <w:uiPriority w:val="99"/>
    <w:rPr>
      <w:rFonts w:ascii="Calibri" w:hAnsi="Calibri" w:eastAsia="宋体" w:cs="Times New Roman"/>
    </w:rPr>
  </w:style>
  <w:style w:type="character" w:customStyle="1" w:styleId="92">
    <w:name w:val="纯文本 字符"/>
    <w:semiHidden/>
    <w:qFormat/>
    <w:uiPriority w:val="99"/>
    <w:rPr>
      <w:rFonts w:ascii="等线" w:hAnsi="Courier New" w:cs="Courier New"/>
    </w:rPr>
  </w:style>
  <w:style w:type="character" w:customStyle="1" w:styleId="93">
    <w:name w:val="正文文本 2 字符"/>
    <w:semiHidden/>
    <w:qFormat/>
    <w:uiPriority w:val="99"/>
    <w:rPr>
      <w:rFonts w:ascii="Calibri" w:hAnsi="Calibri" w:eastAsia="宋体" w:cs="Times New Roman"/>
    </w:rPr>
  </w:style>
  <w:style w:type="character" w:customStyle="1" w:styleId="94">
    <w:name w:val="尾注文本 字符1"/>
    <w:link w:val="23"/>
    <w:qFormat/>
    <w:uiPriority w:val="0"/>
    <w:rPr>
      <w:rFonts w:ascii="Times New Roman" w:hAnsi="Times New Roman" w:eastAsia="宋体" w:cs="Times New Roman"/>
      <w:szCs w:val="20"/>
    </w:rPr>
  </w:style>
  <w:style w:type="character" w:customStyle="1" w:styleId="95">
    <w:name w:val="批注主题 字符"/>
    <w:semiHidden/>
    <w:qFormat/>
    <w:uiPriority w:val="99"/>
    <w:rPr>
      <w:rFonts w:ascii="Calibri" w:hAnsi="Calibri" w:eastAsia="宋体" w:cs="Times New Roman"/>
      <w:b/>
      <w:bCs/>
    </w:rPr>
  </w:style>
  <w:style w:type="character" w:customStyle="1" w:styleId="96">
    <w:name w:val="批注主题 字符1"/>
    <w:link w:val="33"/>
    <w:qFormat/>
    <w:uiPriority w:val="0"/>
    <w:rPr>
      <w:rFonts w:ascii="宋体" w:hAnsi="宋体" w:eastAsia="宋体" w:cs="Times New Roman"/>
      <w:b/>
      <w:bCs/>
      <w:sz w:val="24"/>
      <w:szCs w:val="24"/>
    </w:rPr>
  </w:style>
  <w:style w:type="character" w:customStyle="1" w:styleId="97">
    <w:name w:val="页脚 字符2"/>
    <w:basedOn w:val="37"/>
    <w:semiHidden/>
    <w:qFormat/>
    <w:uiPriority w:val="99"/>
    <w:rPr>
      <w:rFonts w:ascii="Calibri" w:hAnsi="Calibri" w:eastAsia="宋体" w:cs="Times New Roman"/>
      <w:sz w:val="18"/>
      <w:szCs w:val="18"/>
    </w:rPr>
  </w:style>
  <w:style w:type="character" w:customStyle="1" w:styleId="98">
    <w:name w:val="正文文本缩进 2 字符2"/>
    <w:basedOn w:val="37"/>
    <w:semiHidden/>
    <w:qFormat/>
    <w:uiPriority w:val="99"/>
    <w:rPr>
      <w:rFonts w:ascii="Calibri" w:hAnsi="Calibri" w:eastAsia="宋体" w:cs="Times New Roman"/>
    </w:rPr>
  </w:style>
  <w:style w:type="character" w:customStyle="1" w:styleId="99">
    <w:name w:val="正文文本缩进 字符2"/>
    <w:basedOn w:val="37"/>
    <w:semiHidden/>
    <w:qFormat/>
    <w:uiPriority w:val="99"/>
    <w:rPr>
      <w:rFonts w:ascii="Calibri" w:hAnsi="Calibri" w:eastAsia="宋体" w:cs="Times New Roman"/>
    </w:rPr>
  </w:style>
  <w:style w:type="character" w:customStyle="1" w:styleId="100">
    <w:name w:val="脚注文本 字符2"/>
    <w:basedOn w:val="37"/>
    <w:semiHidden/>
    <w:qFormat/>
    <w:uiPriority w:val="99"/>
    <w:rPr>
      <w:rFonts w:ascii="Calibri" w:hAnsi="Calibri" w:eastAsia="宋体" w:cs="Times New Roman"/>
      <w:sz w:val="18"/>
      <w:szCs w:val="18"/>
    </w:rPr>
  </w:style>
  <w:style w:type="character" w:customStyle="1" w:styleId="101">
    <w:name w:val="批注框文本 字符2"/>
    <w:basedOn w:val="37"/>
    <w:semiHidden/>
    <w:qFormat/>
    <w:uiPriority w:val="99"/>
    <w:rPr>
      <w:rFonts w:ascii="Calibri" w:hAnsi="Calibri" w:eastAsia="宋体" w:cs="Times New Roman"/>
      <w:sz w:val="18"/>
      <w:szCs w:val="18"/>
    </w:rPr>
  </w:style>
  <w:style w:type="character" w:customStyle="1" w:styleId="102">
    <w:name w:val="批注文字 字符2"/>
    <w:basedOn w:val="37"/>
    <w:link w:val="17"/>
    <w:semiHidden/>
    <w:qFormat/>
    <w:uiPriority w:val="99"/>
    <w:rPr>
      <w:rFonts w:ascii="Calibri" w:hAnsi="Calibri" w:eastAsia="宋体" w:cs="Times New Roman"/>
    </w:rPr>
  </w:style>
  <w:style w:type="character" w:customStyle="1" w:styleId="103">
    <w:name w:val="批注主题 字符2"/>
    <w:basedOn w:val="102"/>
    <w:semiHidden/>
    <w:qFormat/>
    <w:uiPriority w:val="99"/>
    <w:rPr>
      <w:rFonts w:ascii="Calibri" w:hAnsi="Calibri" w:eastAsia="宋体" w:cs="Times New Roman"/>
      <w:b/>
      <w:bCs/>
    </w:rPr>
  </w:style>
  <w:style w:type="character" w:customStyle="1" w:styleId="104">
    <w:name w:val="正文文本缩进 3 字符2"/>
    <w:basedOn w:val="37"/>
    <w:semiHidden/>
    <w:qFormat/>
    <w:uiPriority w:val="99"/>
    <w:rPr>
      <w:rFonts w:ascii="Calibri" w:hAnsi="Calibri" w:eastAsia="宋体" w:cs="Times New Roman"/>
      <w:sz w:val="16"/>
      <w:szCs w:val="16"/>
    </w:rPr>
  </w:style>
  <w:style w:type="character" w:customStyle="1" w:styleId="105">
    <w:name w:val="文档结构图 字符2"/>
    <w:basedOn w:val="37"/>
    <w:semiHidden/>
    <w:qFormat/>
    <w:uiPriority w:val="99"/>
    <w:rPr>
      <w:rFonts w:ascii="Microsoft YaHei UI" w:hAnsi="Calibri" w:eastAsia="Microsoft YaHei UI" w:cs="Times New Roman"/>
      <w:sz w:val="18"/>
      <w:szCs w:val="18"/>
    </w:rPr>
  </w:style>
  <w:style w:type="character" w:customStyle="1" w:styleId="106">
    <w:name w:val="页眉 字符2"/>
    <w:basedOn w:val="37"/>
    <w:semiHidden/>
    <w:qFormat/>
    <w:uiPriority w:val="99"/>
    <w:rPr>
      <w:rFonts w:ascii="Calibri" w:hAnsi="Calibri" w:eastAsia="宋体" w:cs="Times New Roman"/>
      <w:sz w:val="18"/>
      <w:szCs w:val="18"/>
    </w:rPr>
  </w:style>
  <w:style w:type="character" w:customStyle="1" w:styleId="107">
    <w:name w:val="日期 字符2"/>
    <w:basedOn w:val="37"/>
    <w:semiHidden/>
    <w:qFormat/>
    <w:uiPriority w:val="99"/>
    <w:rPr>
      <w:rFonts w:ascii="Calibri" w:hAnsi="Calibri" w:eastAsia="宋体" w:cs="Times New Roman"/>
    </w:rPr>
  </w:style>
  <w:style w:type="character" w:customStyle="1" w:styleId="108">
    <w:name w:val="正文文本 字符2"/>
    <w:basedOn w:val="37"/>
    <w:semiHidden/>
    <w:qFormat/>
    <w:uiPriority w:val="99"/>
    <w:rPr>
      <w:rFonts w:ascii="Calibri" w:hAnsi="Calibri" w:eastAsia="宋体" w:cs="Times New Roman"/>
    </w:rPr>
  </w:style>
  <w:style w:type="character" w:customStyle="1" w:styleId="109">
    <w:name w:val="纯文本 字符2"/>
    <w:basedOn w:val="37"/>
    <w:semiHidden/>
    <w:qFormat/>
    <w:uiPriority w:val="99"/>
    <w:rPr>
      <w:rFonts w:hAnsi="Courier New" w:cs="Courier New" w:asciiTheme="minorEastAsia"/>
    </w:rPr>
  </w:style>
  <w:style w:type="character" w:customStyle="1" w:styleId="110">
    <w:name w:val="标题 字符2"/>
    <w:basedOn w:val="37"/>
    <w:qFormat/>
    <w:uiPriority w:val="10"/>
    <w:rPr>
      <w:rFonts w:asciiTheme="majorHAnsi" w:hAnsiTheme="majorHAnsi" w:eastAsiaTheme="majorEastAsia" w:cstheme="majorBidi"/>
      <w:b/>
      <w:bCs/>
      <w:sz w:val="32"/>
      <w:szCs w:val="32"/>
    </w:rPr>
  </w:style>
  <w:style w:type="character" w:customStyle="1" w:styleId="111">
    <w:name w:val="正文文本首行缩进 字符1"/>
    <w:basedOn w:val="108"/>
    <w:semiHidden/>
    <w:qFormat/>
    <w:uiPriority w:val="99"/>
    <w:rPr>
      <w:rFonts w:ascii="Calibri" w:hAnsi="Calibri" w:eastAsia="宋体" w:cs="Times New Roman"/>
    </w:rPr>
  </w:style>
  <w:style w:type="character" w:customStyle="1" w:styleId="112">
    <w:name w:val="正文文本 2 字符2"/>
    <w:basedOn w:val="37"/>
    <w:semiHidden/>
    <w:qFormat/>
    <w:uiPriority w:val="99"/>
    <w:rPr>
      <w:rFonts w:ascii="Calibri" w:hAnsi="Calibri" w:eastAsia="宋体" w:cs="Times New Roman"/>
    </w:rPr>
  </w:style>
  <w:style w:type="character" w:customStyle="1" w:styleId="113">
    <w:name w:val="尾注文本 字符2"/>
    <w:basedOn w:val="37"/>
    <w:semiHidden/>
    <w:qFormat/>
    <w:uiPriority w:val="99"/>
    <w:rPr>
      <w:rFonts w:ascii="Calibri" w:hAnsi="Calibri" w:eastAsia="宋体" w:cs="Times New Roman"/>
    </w:rPr>
  </w:style>
  <w:style w:type="paragraph" w:customStyle="1" w:styleId="114">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15">
    <w:name w:val="表头"/>
    <w:basedOn w:val="1"/>
    <w:qFormat/>
    <w:uiPriority w:val="0"/>
    <w:pPr>
      <w:spacing w:line="360" w:lineRule="auto"/>
      <w:jc w:val="center"/>
    </w:pPr>
    <w:rPr>
      <w:rFonts w:ascii="黑体" w:hAnsi="Times New Roman" w:eastAsia="黑体"/>
      <w:kern w:val="0"/>
      <w:sz w:val="24"/>
      <w:szCs w:val="20"/>
    </w:rPr>
  </w:style>
  <w:style w:type="paragraph" w:customStyle="1" w:styleId="116">
    <w:name w:val="_Style 25"/>
    <w:basedOn w:val="1"/>
    <w:next w:val="1"/>
    <w:qFormat/>
    <w:uiPriority w:val="0"/>
  </w:style>
  <w:style w:type="paragraph" w:customStyle="1" w:styleId="11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8">
    <w:name w:val="Char Char Char Char"/>
    <w:basedOn w:val="1"/>
    <w:qFormat/>
    <w:uiPriority w:val="0"/>
    <w:rPr>
      <w:rFonts w:ascii="Times New Roman" w:hAnsi="Times New Roman"/>
      <w:sz w:val="30"/>
      <w:szCs w:val="24"/>
    </w:rPr>
  </w:style>
  <w:style w:type="paragraph" w:customStyle="1" w:styleId="119">
    <w:name w:val="公文抬头"/>
    <w:basedOn w:val="10"/>
    <w:qFormat/>
    <w:uiPriority w:val="0"/>
    <w:pPr>
      <w:ind w:firstLine="0"/>
    </w:pPr>
    <w:rPr>
      <w:rFonts w:ascii="仿宋_GB2312" w:eastAsia="仿宋_GB2312"/>
      <w:sz w:val="30"/>
      <w:szCs w:val="24"/>
    </w:rPr>
  </w:style>
  <w:style w:type="paragraph" w:customStyle="1" w:styleId="120">
    <w:name w:val="列出段落1"/>
    <w:basedOn w:val="1"/>
    <w:qFormat/>
    <w:uiPriority w:val="34"/>
    <w:pPr>
      <w:ind w:firstLine="420" w:firstLineChars="200"/>
    </w:pPr>
    <w:rPr>
      <w:rFonts w:ascii="Times New Roman" w:hAnsi="Times New Roman"/>
      <w:szCs w:val="20"/>
    </w:rPr>
  </w:style>
  <w:style w:type="paragraph" w:customStyle="1" w:styleId="121">
    <w:name w:val="Revision"/>
    <w:semiHidden/>
    <w:qFormat/>
    <w:uiPriority w:val="99"/>
    <w:rPr>
      <w:rFonts w:ascii="Times New Roman" w:hAnsi="Times New Roman" w:eastAsia="宋体" w:cs="Times New Roman"/>
      <w:kern w:val="2"/>
      <w:sz w:val="21"/>
      <w:szCs w:val="20"/>
      <w:lang w:val="en-US" w:eastAsia="zh-CN" w:bidi="ar-SA"/>
    </w:rPr>
  </w:style>
  <w:style w:type="paragraph" w:customStyle="1" w:styleId="122">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3">
    <w:name w:val="TOC Heading"/>
    <w:basedOn w:val="3"/>
    <w:next w:val="1"/>
    <w:qFormat/>
    <w:uiPriority w:val="39"/>
    <w:pPr>
      <w:widowControl/>
      <w:spacing w:before="480" w:after="0" w:line="276" w:lineRule="auto"/>
      <w:outlineLvl w:val="9"/>
    </w:pPr>
    <w:rPr>
      <w:rFonts w:ascii="Cambria" w:hAnsi="Cambria"/>
      <w:color w:val="365F91"/>
      <w:kern w:val="0"/>
    </w:rPr>
  </w:style>
  <w:style w:type="paragraph" w:customStyle="1" w:styleId="124">
    <w:name w:val="Char Char Char1 Char"/>
    <w:basedOn w:val="16"/>
    <w:qFormat/>
    <w:uiPriority w:val="0"/>
    <w:rPr>
      <w:rFonts w:ascii="Tahoma" w:hAnsi="Tahoma"/>
      <w:sz w:val="24"/>
      <w:szCs w:val="24"/>
    </w:rPr>
  </w:style>
  <w:style w:type="paragraph" w:customStyle="1" w:styleId="125">
    <w:name w:val="Char1"/>
    <w:basedOn w:val="1"/>
    <w:qFormat/>
    <w:uiPriority w:val="0"/>
    <w:pPr>
      <w:numPr>
        <w:ilvl w:val="0"/>
        <w:numId w:val="1"/>
      </w:numPr>
    </w:pPr>
    <w:rPr>
      <w:rFonts w:ascii="Times New Roman" w:hAnsi="Times New Roman"/>
      <w:sz w:val="24"/>
      <w:szCs w:val="24"/>
    </w:rPr>
  </w:style>
  <w:style w:type="paragraph" w:customStyle="1" w:styleId="126">
    <w:name w:val="Char"/>
    <w:basedOn w:val="1"/>
    <w:qFormat/>
    <w:uiPriority w:val="0"/>
    <w:rPr>
      <w:rFonts w:ascii="Tahoma" w:hAnsi="Tahoma"/>
      <w:sz w:val="24"/>
      <w:szCs w:val="20"/>
    </w:rPr>
  </w:style>
  <w:style w:type="paragraph" w:customStyle="1" w:styleId="127">
    <w:name w:val="发文落款"/>
    <w:basedOn w:val="114"/>
    <w:qFormat/>
    <w:uiPriority w:val="0"/>
    <w:pPr>
      <w:ind w:left="4094" w:right="607" w:firstLine="0"/>
      <w:jc w:val="center"/>
    </w:pPr>
  </w:style>
  <w:style w:type="character" w:customStyle="1" w:styleId="128">
    <w:name w:val="s2"/>
    <w:qFormat/>
    <w:uiPriority w:val="0"/>
  </w:style>
  <w:style w:type="character" w:customStyle="1" w:styleId="129">
    <w:name w:val="NormalCharacter"/>
    <w:qFormat/>
    <w:uiPriority w:val="0"/>
  </w:style>
  <w:style w:type="character" w:customStyle="1" w:styleId="130">
    <w:name w:val="s3"/>
    <w:qFormat/>
    <w:uiPriority w:val="0"/>
  </w:style>
  <w:style w:type="character" w:customStyle="1" w:styleId="131">
    <w:name w:val="s15"/>
    <w:qFormat/>
    <w:uiPriority w:val="0"/>
    <w:rPr>
      <w:color w:val="2131A1"/>
    </w:rPr>
  </w:style>
  <w:style w:type="paragraph" w:customStyle="1" w:styleId="132">
    <w:name w:val="正文 New New"/>
    <w:qFormat/>
    <w:uiPriority w:val="0"/>
    <w:pPr>
      <w:widowControl w:val="0"/>
      <w:jc w:val="both"/>
    </w:pPr>
    <w:rPr>
      <w:rFonts w:ascii="Times New Roman" w:hAnsi="Times New Roman" w:eastAsia="楷体_GB2312" w:cs="Times New Roman"/>
      <w:kern w:val="0"/>
      <w:sz w:val="20"/>
      <w:szCs w:val="20"/>
      <w:lang w:val="en-US" w:eastAsia="zh-CN" w:bidi="ar-SA"/>
    </w:rPr>
  </w:style>
  <w:style w:type="character" w:customStyle="1" w:styleId="133">
    <w:name w:val="文一 Char"/>
    <w:link w:val="134"/>
    <w:qFormat/>
    <w:uiPriority w:val="0"/>
    <w:rPr>
      <w:rFonts w:eastAsia="宋体"/>
      <w:spacing w:val="4"/>
      <w:sz w:val="24"/>
      <w:szCs w:val="24"/>
    </w:rPr>
  </w:style>
  <w:style w:type="paragraph" w:customStyle="1" w:styleId="134">
    <w:name w:val="文一"/>
    <w:basedOn w:val="1"/>
    <w:link w:val="133"/>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5">
    <w:name w:val="封一"/>
    <w:basedOn w:val="134"/>
    <w:next w:val="134"/>
    <w:qFormat/>
    <w:uiPriority w:val="0"/>
    <w:pPr>
      <w:ind w:firstLine="0" w:firstLineChars="0"/>
      <w:jc w:val="center"/>
    </w:pPr>
    <w:rPr>
      <w:rFonts w:eastAsia="黑体"/>
      <w:b/>
      <w:sz w:val="84"/>
      <w:szCs w:val="84"/>
    </w:rPr>
  </w:style>
  <w:style w:type="paragraph" w:customStyle="1" w:styleId="136">
    <w:name w:val="封四"/>
    <w:basedOn w:val="134"/>
    <w:next w:val="134"/>
    <w:qFormat/>
    <w:uiPriority w:val="0"/>
    <w:pPr>
      <w:jc w:val="left"/>
    </w:pPr>
    <w:rPr>
      <w:sz w:val="30"/>
      <w:szCs w:val="30"/>
    </w:rPr>
  </w:style>
  <w:style w:type="paragraph" w:customStyle="1" w:styleId="137">
    <w:name w:val="封二"/>
    <w:basedOn w:val="134"/>
    <w:next w:val="134"/>
    <w:qFormat/>
    <w:uiPriority w:val="0"/>
    <w:pPr>
      <w:ind w:firstLine="0" w:firstLineChars="0"/>
      <w:jc w:val="center"/>
    </w:pPr>
    <w:rPr>
      <w:rFonts w:eastAsia="黑体"/>
      <w:b/>
      <w:sz w:val="36"/>
      <w:szCs w:val="36"/>
    </w:rPr>
  </w:style>
  <w:style w:type="paragraph" w:customStyle="1" w:styleId="138">
    <w:name w:val="正题"/>
    <w:basedOn w:val="134"/>
    <w:next w:val="134"/>
    <w:qFormat/>
    <w:uiPriority w:val="0"/>
    <w:pPr>
      <w:ind w:firstLine="0" w:firstLineChars="0"/>
      <w:jc w:val="center"/>
    </w:pPr>
    <w:rPr>
      <w:rFonts w:eastAsia="黑体"/>
      <w:b/>
      <w:sz w:val="36"/>
      <w:szCs w:val="36"/>
    </w:rPr>
  </w:style>
  <w:style w:type="paragraph" w:customStyle="1" w:styleId="139">
    <w:name w:val="List Paragraph1"/>
    <w:basedOn w:val="1"/>
    <w:qFormat/>
    <w:uiPriority w:val="0"/>
    <w:pPr>
      <w:ind w:firstLine="420" w:firstLineChars="200"/>
    </w:pPr>
    <w:rPr>
      <w:rFonts w:hAnsi="宋体"/>
      <w:szCs w:val="24"/>
    </w:rPr>
  </w:style>
  <w:style w:type="paragraph" w:customStyle="1" w:styleId="140">
    <w:name w:val="样式 宋体 行距: 1.5 倍行距"/>
    <w:basedOn w:val="1"/>
    <w:qFormat/>
    <w:uiPriority w:val="0"/>
    <w:pPr>
      <w:jc w:val="center"/>
    </w:pPr>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84</Pages>
  <Words>47708</Words>
  <Characters>50219</Characters>
  <Lines>367</Lines>
  <Paragraphs>103</Paragraphs>
  <TotalTime>4</TotalTime>
  <ScaleCrop>false</ScaleCrop>
  <LinksUpToDate>false</LinksUpToDate>
  <CharactersWithSpaces>52539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2021-01-12T09:44:00Z</dcterms:created>
  <dc:creator>NTKO</dc:creator>
  <cp:lastModifiedBy>冼耀华</cp:lastModifiedBy>
  <cp:lastPrinted>2022-01-24T02:16:00Z</cp:lastPrinted>
  <dcterms:modified xsi:type="dcterms:W3CDTF">2023-08-21T02:54:26Z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8D0F3E0B614D4305BD8DBD88A3D339F4_13</vt:lpwstr>
  </property>
</Properties>
</file>