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pacing w:line="360" w:lineRule="auto"/>
        <w:jc w:val="center"/>
        <w:rPr>
          <w:bCs/>
          <w:sz w:val="84"/>
          <w:szCs w:val="84"/>
          <w:highlight w:val="none"/>
        </w:rPr>
      </w:pPr>
    </w:p>
    <w:p>
      <w:pPr>
        <w:pStyle w:val="33"/>
        <w:spacing w:line="360" w:lineRule="auto"/>
        <w:jc w:val="center"/>
        <w:rPr>
          <w:sz w:val="22"/>
          <w:szCs w:val="22"/>
          <w:highlight w:val="none"/>
        </w:rPr>
      </w:pPr>
      <w:r>
        <w:rPr>
          <w:rFonts w:hint="eastAsia"/>
          <w:bCs/>
          <w:sz w:val="72"/>
          <w:szCs w:val="72"/>
          <w:highlight w:val="none"/>
        </w:rPr>
        <w:t>建设工程设计施工总承包合同</w:t>
      </w:r>
    </w:p>
    <w:p>
      <w:pPr>
        <w:pStyle w:val="33"/>
        <w:snapToGrid w:val="0"/>
        <w:rPr>
          <w:rFonts w:hAnsi="宋体" w:cs="宋体"/>
          <w:highlight w:val="none"/>
        </w:rPr>
      </w:pPr>
    </w:p>
    <w:p>
      <w:pPr>
        <w:pStyle w:val="33"/>
        <w:snapToGrid w:val="0"/>
        <w:rPr>
          <w:rFonts w:hAnsi="宋体" w:cs="宋体"/>
          <w:sz w:val="28"/>
          <w:szCs w:val="28"/>
          <w:highlight w:val="none"/>
        </w:rPr>
      </w:pPr>
    </w:p>
    <w:p>
      <w:pPr>
        <w:pStyle w:val="33"/>
        <w:snapToGrid w:val="0"/>
        <w:rPr>
          <w:rFonts w:hAnsi="宋体" w:cs="宋体"/>
          <w:highlight w:val="none"/>
        </w:rPr>
      </w:pPr>
    </w:p>
    <w:p>
      <w:pPr>
        <w:pStyle w:val="33"/>
        <w:spacing w:line="360" w:lineRule="auto"/>
        <w:rPr>
          <w:rFonts w:hAnsi="宋体" w:cs="宋体"/>
          <w:highlight w:val="none"/>
        </w:rPr>
      </w:pPr>
    </w:p>
    <w:p>
      <w:pPr>
        <w:pStyle w:val="33"/>
        <w:spacing w:line="360" w:lineRule="auto"/>
        <w:rPr>
          <w:rFonts w:hAnsi="宋体" w:cs="宋体"/>
          <w:highlight w:val="none"/>
        </w:rPr>
      </w:pPr>
    </w:p>
    <w:p>
      <w:pPr>
        <w:pStyle w:val="33"/>
        <w:spacing w:line="360" w:lineRule="auto"/>
        <w:rPr>
          <w:rFonts w:hAnsi="宋体" w:cs="宋体"/>
          <w:highlight w:val="none"/>
        </w:rPr>
      </w:pPr>
    </w:p>
    <w:p>
      <w:pPr>
        <w:pStyle w:val="33"/>
        <w:spacing w:line="360" w:lineRule="auto"/>
        <w:rPr>
          <w:rFonts w:hAnsi="宋体" w:cs="宋体"/>
          <w:highlight w:val="none"/>
        </w:rPr>
      </w:pPr>
    </w:p>
    <w:p>
      <w:pPr>
        <w:pStyle w:val="33"/>
        <w:spacing w:line="360" w:lineRule="auto"/>
        <w:rPr>
          <w:rFonts w:hAnsi="宋体"/>
          <w:sz w:val="30"/>
          <w:szCs w:val="30"/>
          <w:highlight w:val="none"/>
        </w:rPr>
      </w:pPr>
    </w:p>
    <w:p>
      <w:pPr>
        <w:pStyle w:val="61"/>
        <w:spacing w:afterLines="50" w:line="360" w:lineRule="auto"/>
        <w:ind w:left="1500" w:hanging="1500" w:hangingChars="500"/>
        <w:rPr>
          <w:spacing w:val="34"/>
          <w:sz w:val="30"/>
          <w:szCs w:val="30"/>
          <w:highlight w:val="none"/>
        </w:rPr>
      </w:pPr>
      <w:r>
        <w:rPr>
          <w:rFonts w:hint="eastAsia" w:ascii="宋体" w:hAnsi="宋体"/>
          <w:sz w:val="30"/>
          <w:szCs w:val="30"/>
          <w:highlight w:val="none"/>
        </w:rPr>
        <w:t>项目名称:</w:t>
      </w:r>
      <w:r>
        <w:rPr>
          <w:rFonts w:hint="eastAsia"/>
          <w:color w:val="000000" w:themeColor="text1"/>
          <w:kern w:val="2"/>
          <w:sz w:val="30"/>
          <w:szCs w:val="30"/>
          <w:highlight w:val="none"/>
          <w:u w:val="single"/>
          <w14:textFill>
            <w14:solidFill>
              <w14:schemeClr w14:val="tx1"/>
            </w14:solidFill>
          </w14:textFill>
        </w:rPr>
        <w:t>海珠区住宅类排水单元达标创建工程设计施工总承包（</w:t>
      </w:r>
      <w:r>
        <w:rPr>
          <w:rFonts w:hint="eastAsia"/>
          <w:color w:val="000000" w:themeColor="text1"/>
          <w:kern w:val="2"/>
          <w:sz w:val="30"/>
          <w:szCs w:val="30"/>
          <w:highlight w:val="none"/>
          <w:u w:val="single"/>
          <w:lang w:eastAsia="zh-CN"/>
          <w14:textFill>
            <w14:solidFill>
              <w14:schemeClr w14:val="tx1"/>
            </w14:solidFill>
          </w14:textFill>
        </w:rPr>
        <w:t>标段三</w:t>
      </w:r>
      <w:r>
        <w:rPr>
          <w:rFonts w:hint="eastAsia"/>
          <w:color w:val="000000" w:themeColor="text1"/>
          <w:kern w:val="2"/>
          <w:sz w:val="30"/>
          <w:szCs w:val="30"/>
          <w:highlight w:val="none"/>
          <w:u w:val="single"/>
          <w14:textFill>
            <w14:solidFill>
              <w14:schemeClr w14:val="tx1"/>
            </w14:solidFill>
          </w14:textFill>
        </w:rPr>
        <w:t>）</w:t>
      </w:r>
    </w:p>
    <w:p>
      <w:pPr>
        <w:spacing w:afterLines="50" w:line="360" w:lineRule="auto"/>
        <w:rPr>
          <w:sz w:val="30"/>
          <w:szCs w:val="30"/>
          <w:highlight w:val="none"/>
        </w:rPr>
      </w:pPr>
      <w:r>
        <w:rPr>
          <w:rFonts w:hint="eastAsia"/>
          <w:spacing w:val="34"/>
          <w:sz w:val="30"/>
          <w:szCs w:val="30"/>
          <w:highlight w:val="none"/>
        </w:rPr>
        <w:t>发包人(全称):</w:t>
      </w:r>
      <w:r>
        <w:rPr>
          <w:rFonts w:hint="eastAsia"/>
          <w:sz w:val="30"/>
          <w:szCs w:val="30"/>
          <w:highlight w:val="none"/>
          <w:u w:val="single"/>
        </w:rPr>
        <w:t>广州市海珠区河涌管理所</w:t>
      </w:r>
    </w:p>
    <w:p>
      <w:pPr>
        <w:spacing w:afterLines="50" w:line="360" w:lineRule="auto"/>
        <w:rPr>
          <w:sz w:val="30"/>
          <w:szCs w:val="30"/>
          <w:highlight w:val="none"/>
          <w:u w:val="single"/>
        </w:rPr>
      </w:pPr>
      <w:r>
        <w:rPr>
          <w:rFonts w:hint="eastAsia"/>
          <w:spacing w:val="34"/>
          <w:sz w:val="30"/>
          <w:szCs w:val="30"/>
          <w:highlight w:val="none"/>
        </w:rPr>
        <w:t>承包人(全称):</w:t>
      </w:r>
      <w:r>
        <w:rPr>
          <w:rFonts w:hint="eastAsia"/>
          <w:sz w:val="30"/>
          <w:szCs w:val="30"/>
          <w:highlight w:val="none"/>
          <w:u w:val="single"/>
        </w:rPr>
        <w:t>（主）</w:t>
      </w:r>
    </w:p>
    <w:p>
      <w:pPr>
        <w:spacing w:afterLines="50" w:line="360" w:lineRule="auto"/>
        <w:ind w:firstLine="2100" w:firstLineChars="700"/>
        <w:rPr>
          <w:sz w:val="30"/>
          <w:szCs w:val="30"/>
          <w:highlight w:val="none"/>
          <w:u w:val="single"/>
        </w:rPr>
      </w:pPr>
      <w:r>
        <w:rPr>
          <w:rFonts w:hint="eastAsia"/>
          <w:sz w:val="30"/>
          <w:szCs w:val="30"/>
          <w:highlight w:val="none"/>
          <w:u w:val="single"/>
        </w:rPr>
        <w:t>（成）</w:t>
      </w:r>
    </w:p>
    <w:p>
      <w:pPr>
        <w:spacing w:afterLines="50" w:line="360" w:lineRule="auto"/>
        <w:ind w:firstLine="2100" w:firstLineChars="700"/>
        <w:rPr>
          <w:sz w:val="30"/>
          <w:szCs w:val="30"/>
          <w:highlight w:val="none"/>
          <w:u w:val="single"/>
        </w:rPr>
      </w:pPr>
      <w:r>
        <w:rPr>
          <w:rFonts w:hint="eastAsia"/>
          <w:sz w:val="30"/>
          <w:szCs w:val="30"/>
          <w:highlight w:val="none"/>
          <w:u w:val="single"/>
        </w:rPr>
        <w:t>（成）</w:t>
      </w:r>
    </w:p>
    <w:p>
      <w:pPr>
        <w:spacing w:afterLines="50" w:line="360" w:lineRule="auto"/>
        <w:rPr>
          <w:sz w:val="30"/>
          <w:szCs w:val="30"/>
          <w:highlight w:val="none"/>
          <w:u w:val="single"/>
        </w:rPr>
      </w:pPr>
      <w:r>
        <w:rPr>
          <w:rFonts w:hint="eastAsia"/>
          <w:sz w:val="30"/>
          <w:szCs w:val="30"/>
          <w:highlight w:val="none"/>
        </w:rPr>
        <w:t xml:space="preserve">合同编号: </w:t>
      </w:r>
    </w:p>
    <w:p>
      <w:pPr>
        <w:spacing w:afterLines="50" w:line="360" w:lineRule="auto"/>
        <w:ind w:firstLine="435"/>
        <w:rPr>
          <w:sz w:val="30"/>
          <w:szCs w:val="30"/>
          <w:highlight w:val="none"/>
        </w:rPr>
      </w:pPr>
    </w:p>
    <w:p>
      <w:pPr>
        <w:spacing w:afterLines="50" w:line="360" w:lineRule="auto"/>
        <w:ind w:firstLine="435"/>
        <w:rPr>
          <w:sz w:val="30"/>
          <w:szCs w:val="30"/>
          <w:highlight w:val="none"/>
        </w:rPr>
      </w:pPr>
    </w:p>
    <w:p>
      <w:pPr>
        <w:spacing w:afterLines="50" w:line="360" w:lineRule="auto"/>
        <w:ind w:firstLine="435"/>
        <w:rPr>
          <w:sz w:val="30"/>
          <w:szCs w:val="30"/>
          <w:highlight w:val="none"/>
        </w:rPr>
      </w:pPr>
    </w:p>
    <w:p>
      <w:pPr>
        <w:spacing w:afterLines="50" w:line="360" w:lineRule="auto"/>
        <w:ind w:firstLine="435"/>
        <w:rPr>
          <w:sz w:val="30"/>
          <w:szCs w:val="30"/>
          <w:highlight w:val="none"/>
        </w:rPr>
      </w:pPr>
    </w:p>
    <w:p>
      <w:pPr>
        <w:autoSpaceDE w:val="0"/>
        <w:autoSpaceDN w:val="0"/>
        <w:spacing w:line="500" w:lineRule="atLeast"/>
        <w:textAlignment w:val="bottom"/>
        <w:rPr>
          <w:sz w:val="30"/>
          <w:szCs w:val="30"/>
          <w:highlight w:val="none"/>
        </w:rPr>
      </w:pPr>
      <w:bookmarkStart w:id="0" w:name="_Hlt10045819"/>
      <w:bookmarkEnd w:id="0"/>
      <w:bookmarkStart w:id="1" w:name="_Hlt10302946"/>
      <w:bookmarkEnd w:id="1"/>
      <w:r>
        <w:rPr>
          <w:rFonts w:hint="eastAsia"/>
          <w:sz w:val="30"/>
          <w:szCs w:val="30"/>
          <w:highlight w:val="none"/>
        </w:rPr>
        <w:t>签约日期:年月日</w:t>
      </w:r>
    </w:p>
    <w:p>
      <w:pPr>
        <w:autoSpaceDE w:val="0"/>
        <w:autoSpaceDN w:val="0"/>
        <w:spacing w:line="500" w:lineRule="atLeast"/>
        <w:ind w:firstLine="450" w:firstLineChars="150"/>
        <w:textAlignment w:val="bottom"/>
        <w:rPr>
          <w:sz w:val="30"/>
          <w:szCs w:val="30"/>
          <w:highlight w:val="none"/>
        </w:rPr>
      </w:pPr>
    </w:p>
    <w:p>
      <w:pPr>
        <w:autoSpaceDE w:val="0"/>
        <w:autoSpaceDN w:val="0"/>
        <w:spacing w:line="500" w:lineRule="atLeast"/>
        <w:textAlignment w:val="bottom"/>
        <w:rPr>
          <w:rFonts w:ascii="仿宋_GB2312" w:hAnsi="宋体" w:eastAsia="仿宋_GB2312"/>
          <w:snapToGrid w:val="0"/>
          <w:kern w:val="0"/>
          <w:sz w:val="24"/>
          <w:szCs w:val="24"/>
          <w:highlight w:val="none"/>
        </w:rPr>
      </w:pPr>
      <w:r>
        <w:rPr>
          <w:rFonts w:hint="eastAsia"/>
          <w:sz w:val="30"/>
          <w:szCs w:val="30"/>
          <w:highlight w:val="none"/>
        </w:rPr>
        <w:t>签约地点</w:t>
      </w:r>
      <w:r>
        <w:rPr>
          <w:rFonts w:hint="eastAsia"/>
          <w:sz w:val="30"/>
          <w:szCs w:val="30"/>
          <w:highlight w:val="none"/>
          <w:u w:val="single"/>
        </w:rPr>
        <w:t>:广东·广州</w:t>
      </w:r>
    </w:p>
    <w:p>
      <w:pPr>
        <w:pStyle w:val="493"/>
        <w:spacing w:line="360" w:lineRule="auto"/>
        <w:jc w:val="center"/>
        <w:rPr>
          <w:rFonts w:ascii="宋体" w:hAnsi="宋体"/>
          <w:color w:val="auto"/>
          <w:highlight w:val="none"/>
        </w:rPr>
      </w:pPr>
      <w:r>
        <w:rPr>
          <w:rFonts w:hint="eastAsia" w:ascii="宋体" w:hAnsi="宋体"/>
          <w:color w:val="auto"/>
          <w:highlight w:val="none"/>
          <w:lang w:val="zh-CN"/>
        </w:rPr>
        <w:t>目录</w:t>
      </w:r>
    </w:p>
    <w:p>
      <w:pPr>
        <w:pStyle w:val="41"/>
        <w:tabs>
          <w:tab w:val="right" w:leader="dot" w:pos="9017"/>
        </w:tabs>
        <w:spacing w:line="360" w:lineRule="auto"/>
        <w:rPr>
          <w:rFonts w:ascii="宋体" w:hAnsi="宋体"/>
          <w:b w:val="0"/>
          <w:bCs w:val="0"/>
          <w:caps w:val="0"/>
          <w:sz w:val="21"/>
          <w:szCs w:val="22"/>
          <w:highlight w:val="none"/>
        </w:rPr>
      </w:pPr>
      <w:r>
        <w:rPr>
          <w:rFonts w:hint="eastAsia" w:ascii="宋体" w:hAnsi="宋体"/>
          <w:highlight w:val="none"/>
        </w:rPr>
        <w:fldChar w:fldCharType="begin"/>
      </w:r>
      <w:r>
        <w:rPr>
          <w:rFonts w:hint="eastAsia" w:ascii="宋体" w:hAnsi="宋体"/>
          <w:highlight w:val="none"/>
        </w:rPr>
        <w:instrText xml:space="preserve"> TOC \o "1-3" \h \z \u </w:instrText>
      </w:r>
      <w:r>
        <w:rPr>
          <w:rFonts w:hint="eastAsia" w:ascii="宋体" w:hAnsi="宋体"/>
          <w:highlight w:val="none"/>
        </w:rPr>
        <w:fldChar w:fldCharType="separate"/>
      </w:r>
    </w:p>
    <w:p>
      <w:pPr>
        <w:pStyle w:val="2"/>
        <w:tabs>
          <w:tab w:val="right" w:leader="dot" w:pos="9017"/>
        </w:tabs>
        <w:rPr>
          <w:rFonts w:ascii="宋体" w:hAnsi="宋体"/>
          <w:smallCaps w:val="0"/>
          <w:sz w:val="21"/>
          <w:szCs w:val="22"/>
          <w:highlight w:val="none"/>
        </w:rPr>
      </w:pPr>
      <w:r>
        <w:rPr>
          <w:highlight w:val="none"/>
        </w:rPr>
        <w:fldChar w:fldCharType="begin"/>
      </w:r>
      <w:r>
        <w:rPr>
          <w:highlight w:val="none"/>
        </w:rPr>
        <w:instrText xml:space="preserve"> HYPERLINK \l "_Toc486159964" </w:instrText>
      </w:r>
      <w:r>
        <w:rPr>
          <w:highlight w:val="none"/>
        </w:rPr>
        <w:fldChar w:fldCharType="separate"/>
      </w:r>
      <w:r>
        <w:rPr>
          <w:rStyle w:val="71"/>
          <w:rFonts w:hint="eastAsia" w:ascii="宋体" w:hAnsi="宋体"/>
          <w:color w:val="auto"/>
          <w:highlight w:val="none"/>
        </w:rPr>
        <w:t>第一部分   合同协议</w:t>
      </w:r>
      <w:bookmarkStart w:id="2" w:name="_Hlt536796032"/>
      <w:bookmarkStart w:id="3" w:name="_Hlt536796033"/>
      <w:r>
        <w:rPr>
          <w:rStyle w:val="71"/>
          <w:rFonts w:hint="eastAsia" w:ascii="宋体" w:hAnsi="宋体"/>
          <w:color w:val="auto"/>
          <w:highlight w:val="none"/>
        </w:rPr>
        <w:t>书</w:t>
      </w:r>
      <w:bookmarkEnd w:id="2"/>
      <w:bookmarkEnd w:id="3"/>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_Toc486159964 \h </w:instrText>
      </w:r>
      <w:r>
        <w:rPr>
          <w:rFonts w:hint="eastAsia" w:ascii="宋体" w:hAnsi="宋体"/>
          <w:highlight w:val="none"/>
        </w:rPr>
        <w:fldChar w:fldCharType="separate"/>
      </w:r>
      <w:r>
        <w:rPr>
          <w:rFonts w:hint="eastAsia" w:ascii="宋体" w:hAnsi="宋体"/>
          <w:highlight w:val="none"/>
        </w:rPr>
        <w:t>5</w:t>
      </w:r>
      <w:r>
        <w:rPr>
          <w:rFonts w:hint="eastAsia" w:ascii="宋体" w:hAnsi="宋体"/>
          <w:highlight w:val="none"/>
        </w:rPr>
        <w:fldChar w:fldCharType="end"/>
      </w:r>
      <w:r>
        <w:rPr>
          <w:rFonts w:hint="eastAsia" w:ascii="宋体" w:hAnsi="宋体"/>
          <w:highlight w:val="none"/>
        </w:rPr>
        <w:fldChar w:fldCharType="end"/>
      </w:r>
    </w:p>
    <w:p>
      <w:pPr>
        <w:pStyle w:val="2"/>
        <w:tabs>
          <w:tab w:val="right" w:leader="dot" w:pos="9017"/>
        </w:tabs>
        <w:rPr>
          <w:rFonts w:ascii="宋体" w:hAnsi="宋体"/>
          <w:smallCaps w:val="0"/>
          <w:sz w:val="21"/>
          <w:szCs w:val="22"/>
          <w:highlight w:val="none"/>
        </w:rPr>
      </w:pPr>
      <w:r>
        <w:rPr>
          <w:highlight w:val="none"/>
        </w:rPr>
        <w:fldChar w:fldCharType="begin"/>
      </w:r>
      <w:r>
        <w:rPr>
          <w:highlight w:val="none"/>
        </w:rPr>
        <w:instrText xml:space="preserve"> HYPERLINK \l "_Toc486159967" </w:instrText>
      </w:r>
      <w:r>
        <w:rPr>
          <w:highlight w:val="none"/>
        </w:rPr>
        <w:fldChar w:fldCharType="separate"/>
      </w:r>
      <w:r>
        <w:rPr>
          <w:rStyle w:val="71"/>
          <w:rFonts w:hint="eastAsia" w:ascii="宋体" w:hAnsi="宋体"/>
          <w:color w:val="auto"/>
          <w:highlight w:val="none"/>
        </w:rPr>
        <w:t>第二部分   通</w:t>
      </w:r>
      <w:bookmarkStart w:id="4" w:name="_Hlt536723236"/>
      <w:r>
        <w:rPr>
          <w:rStyle w:val="71"/>
          <w:rFonts w:hint="eastAsia" w:ascii="宋体" w:hAnsi="宋体"/>
          <w:color w:val="auto"/>
          <w:highlight w:val="none"/>
        </w:rPr>
        <w:t>用</w:t>
      </w:r>
      <w:bookmarkEnd w:id="4"/>
      <w:r>
        <w:rPr>
          <w:rStyle w:val="71"/>
          <w:rFonts w:hint="eastAsia" w:ascii="宋体" w:hAnsi="宋体"/>
          <w:color w:val="auto"/>
          <w:highlight w:val="none"/>
        </w:rPr>
        <w:t>合同</w:t>
      </w:r>
      <w:bookmarkStart w:id="5" w:name="_Hlt505176060"/>
      <w:bookmarkStart w:id="6" w:name="_Hlt505176061"/>
      <w:r>
        <w:rPr>
          <w:rStyle w:val="71"/>
          <w:rFonts w:hint="eastAsia" w:ascii="宋体" w:hAnsi="宋体"/>
          <w:color w:val="auto"/>
          <w:highlight w:val="none"/>
        </w:rPr>
        <w:t>条</w:t>
      </w:r>
      <w:bookmarkEnd w:id="5"/>
      <w:bookmarkEnd w:id="6"/>
      <w:r>
        <w:rPr>
          <w:rStyle w:val="71"/>
          <w:rFonts w:hint="eastAsia" w:ascii="宋体" w:hAnsi="宋体"/>
          <w:color w:val="auto"/>
          <w:highlight w:val="none"/>
        </w:rPr>
        <w:t>款</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_Toc486159967 \h </w:instrText>
      </w:r>
      <w:r>
        <w:rPr>
          <w:rFonts w:hint="eastAsia" w:ascii="宋体" w:hAnsi="宋体"/>
          <w:highlight w:val="none"/>
        </w:rPr>
        <w:fldChar w:fldCharType="separate"/>
      </w:r>
      <w:r>
        <w:rPr>
          <w:rFonts w:hint="eastAsia" w:ascii="宋体" w:hAnsi="宋体"/>
          <w:highlight w:val="none"/>
        </w:rPr>
        <w:t>10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"_Toc486159968" </w:instrText>
      </w:r>
      <w:r>
        <w:rPr>
          <w:highlight w:val="none"/>
        </w:rPr>
        <w:fldChar w:fldCharType="separate"/>
      </w:r>
      <w:r>
        <w:rPr>
          <w:rStyle w:val="71"/>
          <w:rFonts w:hint="eastAsia" w:ascii="宋体" w:hAnsi="宋体" w:cs="宋体"/>
          <w:color w:val="auto"/>
          <w:highlight w:val="none"/>
        </w:rPr>
        <w:t>1. 一般约定</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_Toc486159968 \h </w:instrText>
      </w:r>
      <w:r>
        <w:rPr>
          <w:rFonts w:hint="eastAsia" w:ascii="宋体" w:hAnsi="宋体"/>
          <w:highlight w:val="none"/>
        </w:rPr>
        <w:fldChar w:fldCharType="separate"/>
      </w:r>
      <w:r>
        <w:rPr>
          <w:rFonts w:hint="eastAsia" w:ascii="宋体" w:hAnsi="宋体"/>
          <w:highlight w:val="none"/>
        </w:rPr>
        <w:t>10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"_Toc486159969" </w:instrText>
      </w:r>
      <w:r>
        <w:rPr>
          <w:highlight w:val="none"/>
        </w:rPr>
        <w:fldChar w:fldCharType="separate"/>
      </w:r>
      <w:r>
        <w:rPr>
          <w:rStyle w:val="71"/>
          <w:rFonts w:hint="eastAsia" w:ascii="宋体" w:hAnsi="宋体" w:cs="宋体"/>
          <w:color w:val="auto"/>
          <w:highlight w:val="none"/>
        </w:rPr>
        <w:t>1.1 词语定义</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_Toc486159969 \h </w:instrText>
      </w:r>
      <w:r>
        <w:rPr>
          <w:rFonts w:hint="eastAsia" w:ascii="宋体" w:hAnsi="宋体"/>
          <w:highlight w:val="none"/>
        </w:rPr>
        <w:fldChar w:fldCharType="separate"/>
      </w:r>
      <w:r>
        <w:rPr>
          <w:rFonts w:hint="eastAsia" w:ascii="宋体" w:hAnsi="宋体"/>
          <w:highlight w:val="none"/>
        </w:rPr>
        <w:t>10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"_Toc486159970" </w:instrText>
      </w:r>
      <w:r>
        <w:rPr>
          <w:highlight w:val="none"/>
        </w:rPr>
        <w:fldChar w:fldCharType="separate"/>
      </w:r>
      <w:r>
        <w:rPr>
          <w:rStyle w:val="71"/>
          <w:rFonts w:hint="eastAsia" w:ascii="宋体" w:hAnsi="宋体" w:cs="宋体"/>
          <w:color w:val="auto"/>
          <w:highlight w:val="none"/>
        </w:rPr>
        <w:t>1.2 语言文字</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_Toc486159970 \h </w:instrText>
      </w:r>
      <w:r>
        <w:rPr>
          <w:rFonts w:hint="eastAsia" w:ascii="宋体" w:hAnsi="宋体"/>
          <w:highlight w:val="none"/>
        </w:rPr>
        <w:fldChar w:fldCharType="separate"/>
      </w:r>
      <w:r>
        <w:rPr>
          <w:rFonts w:hint="eastAsia" w:ascii="宋体" w:hAnsi="宋体"/>
          <w:highlight w:val="none"/>
        </w:rPr>
        <w:t>12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"_Toc486159971" </w:instrText>
      </w:r>
      <w:r>
        <w:rPr>
          <w:highlight w:val="none"/>
        </w:rPr>
        <w:fldChar w:fldCharType="separate"/>
      </w:r>
      <w:r>
        <w:rPr>
          <w:rStyle w:val="71"/>
          <w:rFonts w:hint="eastAsia" w:ascii="宋体" w:hAnsi="宋体" w:cs="宋体"/>
          <w:color w:val="auto"/>
          <w:highlight w:val="none"/>
        </w:rPr>
        <w:t>1.3 法律</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_Toc486159971 \h </w:instrText>
      </w:r>
      <w:r>
        <w:rPr>
          <w:rFonts w:hint="eastAsia" w:ascii="宋体" w:hAnsi="宋体"/>
          <w:highlight w:val="none"/>
        </w:rPr>
        <w:fldChar w:fldCharType="separate"/>
      </w:r>
      <w:r>
        <w:rPr>
          <w:rFonts w:hint="eastAsia" w:ascii="宋体" w:hAnsi="宋体"/>
          <w:highlight w:val="none"/>
        </w:rPr>
        <w:t>12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"_Toc486159972" </w:instrText>
      </w:r>
      <w:r>
        <w:rPr>
          <w:highlight w:val="none"/>
        </w:rPr>
        <w:fldChar w:fldCharType="separate"/>
      </w:r>
      <w:r>
        <w:rPr>
          <w:rStyle w:val="71"/>
          <w:rFonts w:hint="eastAsia" w:ascii="宋体" w:hAnsi="宋体" w:cs="宋体"/>
          <w:color w:val="auto"/>
          <w:highlight w:val="none"/>
        </w:rPr>
        <w:t>1.4 合同文件的优先顺序</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_Toc486159972 \h </w:instrText>
      </w:r>
      <w:r>
        <w:rPr>
          <w:rFonts w:hint="eastAsia" w:ascii="宋体" w:hAnsi="宋体"/>
          <w:highlight w:val="none"/>
        </w:rPr>
        <w:fldChar w:fldCharType="separate"/>
      </w:r>
      <w:r>
        <w:rPr>
          <w:rFonts w:hint="eastAsia" w:ascii="宋体" w:hAnsi="宋体"/>
          <w:highlight w:val="none"/>
        </w:rPr>
        <w:t>12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"_Toc486159973" </w:instrText>
      </w:r>
      <w:r>
        <w:rPr>
          <w:highlight w:val="none"/>
        </w:rPr>
        <w:fldChar w:fldCharType="separate"/>
      </w:r>
      <w:r>
        <w:rPr>
          <w:rStyle w:val="71"/>
          <w:rFonts w:hint="eastAsia" w:ascii="宋体" w:hAnsi="宋体" w:cs="宋体"/>
          <w:color w:val="auto"/>
          <w:highlight w:val="none"/>
        </w:rPr>
        <w:t>1.5 合同协议书</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_Toc486159973 \h </w:instrText>
      </w:r>
      <w:r>
        <w:rPr>
          <w:rFonts w:hint="eastAsia" w:ascii="宋体" w:hAnsi="宋体"/>
          <w:highlight w:val="none"/>
        </w:rPr>
        <w:fldChar w:fldCharType="separate"/>
      </w:r>
      <w:r>
        <w:rPr>
          <w:rFonts w:hint="eastAsia" w:ascii="宋体" w:hAnsi="宋体"/>
          <w:highlight w:val="none"/>
        </w:rPr>
        <w:t>13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"_Toc486159974" </w:instrText>
      </w:r>
      <w:r>
        <w:rPr>
          <w:highlight w:val="none"/>
        </w:rPr>
        <w:fldChar w:fldCharType="separate"/>
      </w:r>
      <w:r>
        <w:rPr>
          <w:rStyle w:val="71"/>
          <w:rFonts w:hint="eastAsia" w:ascii="宋体" w:hAnsi="宋体" w:cs="宋体"/>
          <w:color w:val="auto"/>
          <w:highlight w:val="none"/>
        </w:rPr>
        <w:t>1.6 文件的提供和照管</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_Toc486159974 \h </w:instrText>
      </w:r>
      <w:r>
        <w:rPr>
          <w:rFonts w:hint="eastAsia" w:ascii="宋体" w:hAnsi="宋体"/>
          <w:highlight w:val="none"/>
        </w:rPr>
        <w:fldChar w:fldCharType="separate"/>
      </w:r>
      <w:r>
        <w:rPr>
          <w:rFonts w:hint="eastAsia" w:ascii="宋体" w:hAnsi="宋体"/>
          <w:highlight w:val="none"/>
        </w:rPr>
        <w:t>13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"_Toc486159975" </w:instrText>
      </w:r>
      <w:r>
        <w:rPr>
          <w:highlight w:val="none"/>
        </w:rPr>
        <w:fldChar w:fldCharType="separate"/>
      </w:r>
      <w:r>
        <w:rPr>
          <w:rStyle w:val="71"/>
          <w:rFonts w:hint="eastAsia" w:ascii="宋体" w:hAnsi="宋体" w:cs="宋体"/>
          <w:color w:val="auto"/>
          <w:highlight w:val="none"/>
        </w:rPr>
        <w:t>1.7 联络</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_Toc486159975 \h </w:instrText>
      </w:r>
      <w:r>
        <w:rPr>
          <w:rFonts w:hint="eastAsia" w:ascii="宋体" w:hAnsi="宋体"/>
          <w:highlight w:val="none"/>
        </w:rPr>
        <w:fldChar w:fldCharType="separate"/>
      </w:r>
      <w:r>
        <w:rPr>
          <w:rFonts w:hint="eastAsia" w:ascii="宋体" w:hAnsi="宋体"/>
          <w:highlight w:val="none"/>
        </w:rPr>
        <w:t>13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"_Toc486159976" </w:instrText>
      </w:r>
      <w:r>
        <w:rPr>
          <w:highlight w:val="none"/>
        </w:rPr>
        <w:fldChar w:fldCharType="separate"/>
      </w:r>
      <w:r>
        <w:rPr>
          <w:rStyle w:val="71"/>
          <w:rFonts w:hint="eastAsia" w:ascii="宋体" w:hAnsi="宋体" w:cs="宋体"/>
          <w:color w:val="auto"/>
          <w:highlight w:val="none"/>
        </w:rPr>
        <w:t>1.8 转让</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_Toc486159976 \h </w:instrText>
      </w:r>
      <w:r>
        <w:rPr>
          <w:rFonts w:hint="eastAsia" w:ascii="宋体" w:hAnsi="宋体"/>
          <w:highlight w:val="none"/>
        </w:rPr>
        <w:fldChar w:fldCharType="separate"/>
      </w:r>
      <w:r>
        <w:rPr>
          <w:rFonts w:hint="eastAsia" w:ascii="宋体" w:hAnsi="宋体"/>
          <w:highlight w:val="none"/>
        </w:rPr>
        <w:t>13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"_Toc486159977" </w:instrText>
      </w:r>
      <w:r>
        <w:rPr>
          <w:highlight w:val="none"/>
        </w:rPr>
        <w:fldChar w:fldCharType="separate"/>
      </w:r>
      <w:r>
        <w:rPr>
          <w:rStyle w:val="71"/>
          <w:rFonts w:hint="eastAsia" w:ascii="宋体" w:hAnsi="宋体" w:cs="宋体"/>
          <w:color w:val="auto"/>
          <w:highlight w:val="none"/>
        </w:rPr>
        <w:t>1.9 严禁贿赂</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_Toc486159977 \h </w:instrText>
      </w:r>
      <w:r>
        <w:rPr>
          <w:rFonts w:hint="eastAsia" w:ascii="宋体" w:hAnsi="宋体"/>
          <w:highlight w:val="none"/>
        </w:rPr>
        <w:fldChar w:fldCharType="separate"/>
      </w:r>
      <w:r>
        <w:rPr>
          <w:rFonts w:hint="eastAsia" w:ascii="宋体" w:hAnsi="宋体"/>
          <w:highlight w:val="none"/>
        </w:rPr>
        <w:t>14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"_Toc486159978" </w:instrText>
      </w:r>
      <w:r>
        <w:rPr>
          <w:highlight w:val="none"/>
        </w:rPr>
        <w:fldChar w:fldCharType="separate"/>
      </w:r>
      <w:r>
        <w:rPr>
          <w:rStyle w:val="71"/>
          <w:rFonts w:hint="eastAsia" w:ascii="宋体" w:hAnsi="宋体" w:cs="宋体"/>
          <w:color w:val="auto"/>
          <w:highlight w:val="none"/>
        </w:rPr>
        <w:t>1.10 化石、文物</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_Toc486159978 \h </w:instrText>
      </w:r>
      <w:r>
        <w:rPr>
          <w:rFonts w:hint="eastAsia" w:ascii="宋体" w:hAnsi="宋体"/>
          <w:highlight w:val="none"/>
        </w:rPr>
        <w:fldChar w:fldCharType="separate"/>
      </w:r>
      <w:r>
        <w:rPr>
          <w:rFonts w:hint="eastAsia" w:ascii="宋体" w:hAnsi="宋体"/>
          <w:highlight w:val="none"/>
        </w:rPr>
        <w:t>14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"_Toc486159979" </w:instrText>
      </w:r>
      <w:r>
        <w:rPr>
          <w:highlight w:val="none"/>
        </w:rPr>
        <w:fldChar w:fldCharType="separate"/>
      </w:r>
      <w:r>
        <w:rPr>
          <w:rStyle w:val="71"/>
          <w:rFonts w:hint="eastAsia" w:ascii="宋体" w:hAnsi="宋体" w:cs="宋体"/>
          <w:color w:val="auto"/>
          <w:highlight w:val="none"/>
        </w:rPr>
        <w:t>1.11 知识产权</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_Toc486159979 \h </w:instrText>
      </w:r>
      <w:r>
        <w:rPr>
          <w:rFonts w:hint="eastAsia" w:ascii="宋体" w:hAnsi="宋体"/>
          <w:highlight w:val="none"/>
        </w:rPr>
        <w:fldChar w:fldCharType="separate"/>
      </w:r>
      <w:r>
        <w:rPr>
          <w:rFonts w:hint="eastAsia" w:ascii="宋体" w:hAnsi="宋体"/>
          <w:highlight w:val="none"/>
        </w:rPr>
        <w:t>14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"_Toc486159980" </w:instrText>
      </w:r>
      <w:r>
        <w:rPr>
          <w:highlight w:val="none"/>
        </w:rPr>
        <w:fldChar w:fldCharType="separate"/>
      </w:r>
      <w:r>
        <w:rPr>
          <w:rStyle w:val="71"/>
          <w:rFonts w:hint="eastAsia" w:ascii="宋体" w:hAnsi="宋体" w:cs="宋体"/>
          <w:color w:val="auto"/>
          <w:highlight w:val="none"/>
        </w:rPr>
        <w:t>1.12 文件及信息的保密</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_Toc486159980 \h </w:instrText>
      </w:r>
      <w:r>
        <w:rPr>
          <w:rFonts w:hint="eastAsia" w:ascii="宋体" w:hAnsi="宋体"/>
          <w:highlight w:val="none"/>
        </w:rPr>
        <w:fldChar w:fldCharType="separate"/>
      </w:r>
      <w:r>
        <w:rPr>
          <w:rFonts w:hint="eastAsia" w:ascii="宋体" w:hAnsi="宋体"/>
          <w:highlight w:val="none"/>
        </w:rPr>
        <w:t>14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"_Toc486159981" </w:instrText>
      </w:r>
      <w:r>
        <w:rPr>
          <w:highlight w:val="none"/>
        </w:rPr>
        <w:fldChar w:fldCharType="separate"/>
      </w:r>
      <w:r>
        <w:rPr>
          <w:rStyle w:val="71"/>
          <w:rFonts w:hint="eastAsia" w:ascii="宋体" w:hAnsi="宋体" w:cs="宋体"/>
          <w:color w:val="auto"/>
          <w:highlight w:val="none"/>
        </w:rPr>
        <w:t>1.13 发包人要求中的错误（B）</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_Toc486159981 \h </w:instrText>
      </w:r>
      <w:r>
        <w:rPr>
          <w:rFonts w:hint="eastAsia" w:ascii="宋体" w:hAnsi="宋体"/>
          <w:highlight w:val="none"/>
        </w:rPr>
        <w:fldChar w:fldCharType="separate"/>
      </w:r>
      <w:r>
        <w:rPr>
          <w:rFonts w:hint="eastAsia" w:ascii="宋体" w:hAnsi="宋体"/>
          <w:highlight w:val="none"/>
        </w:rPr>
        <w:t>14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"_Toc486159982" </w:instrText>
      </w:r>
      <w:r>
        <w:rPr>
          <w:highlight w:val="none"/>
        </w:rPr>
        <w:fldChar w:fldCharType="separate"/>
      </w:r>
      <w:r>
        <w:rPr>
          <w:rStyle w:val="71"/>
          <w:rFonts w:hint="eastAsia" w:ascii="宋体" w:hAnsi="宋体" w:cs="宋体"/>
          <w:color w:val="auto"/>
          <w:highlight w:val="none"/>
        </w:rPr>
        <w:t>1.14 发包人要求违法</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_Toc486159982 \h </w:instrText>
      </w:r>
      <w:r>
        <w:rPr>
          <w:rFonts w:hint="eastAsia" w:ascii="宋体" w:hAnsi="宋体"/>
          <w:highlight w:val="none"/>
        </w:rPr>
        <w:fldChar w:fldCharType="separate"/>
      </w:r>
      <w:r>
        <w:rPr>
          <w:rFonts w:hint="eastAsia" w:ascii="宋体" w:hAnsi="宋体"/>
          <w:highlight w:val="none"/>
        </w:rPr>
        <w:t>15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"_Toc486159983" </w:instrText>
      </w:r>
      <w:r>
        <w:rPr>
          <w:highlight w:val="none"/>
        </w:rPr>
        <w:fldChar w:fldCharType="separate"/>
      </w:r>
      <w:r>
        <w:rPr>
          <w:rStyle w:val="71"/>
          <w:rFonts w:hint="eastAsia" w:ascii="宋体" w:hAnsi="宋体" w:cs="宋体"/>
          <w:color w:val="auto"/>
          <w:highlight w:val="none"/>
        </w:rPr>
        <w:t>2．发包人义务</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_Toc486159983 \h </w:instrText>
      </w:r>
      <w:r>
        <w:rPr>
          <w:rFonts w:hint="eastAsia" w:ascii="宋体" w:hAnsi="宋体"/>
          <w:highlight w:val="none"/>
        </w:rPr>
        <w:fldChar w:fldCharType="separate"/>
      </w:r>
      <w:r>
        <w:rPr>
          <w:rFonts w:hint="eastAsia" w:ascii="宋体" w:hAnsi="宋体"/>
          <w:highlight w:val="none"/>
        </w:rPr>
        <w:t>15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"_Toc486159984" </w:instrText>
      </w:r>
      <w:r>
        <w:rPr>
          <w:highlight w:val="none"/>
        </w:rPr>
        <w:fldChar w:fldCharType="separate"/>
      </w:r>
      <w:r>
        <w:rPr>
          <w:rStyle w:val="71"/>
          <w:rFonts w:hint="eastAsia" w:ascii="宋体" w:hAnsi="宋体" w:cs="宋体"/>
          <w:color w:val="auto"/>
          <w:highlight w:val="none"/>
        </w:rPr>
        <w:t>2.1 遵守法律</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_Toc486159984 \h </w:instrText>
      </w:r>
      <w:r>
        <w:rPr>
          <w:rFonts w:hint="eastAsia" w:ascii="宋体" w:hAnsi="宋体"/>
          <w:highlight w:val="none"/>
        </w:rPr>
        <w:fldChar w:fldCharType="separate"/>
      </w:r>
      <w:r>
        <w:rPr>
          <w:rFonts w:hint="eastAsia" w:ascii="宋体" w:hAnsi="宋体"/>
          <w:highlight w:val="none"/>
        </w:rPr>
        <w:t>15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"_Toc486159985" </w:instrText>
      </w:r>
      <w:r>
        <w:rPr>
          <w:highlight w:val="none"/>
        </w:rPr>
        <w:fldChar w:fldCharType="separate"/>
      </w:r>
      <w:r>
        <w:rPr>
          <w:rStyle w:val="71"/>
          <w:rFonts w:hint="eastAsia" w:ascii="宋体" w:hAnsi="宋体" w:cs="宋体"/>
          <w:color w:val="auto"/>
          <w:highlight w:val="none"/>
        </w:rPr>
        <w:t>2.2 发出承包人开始工作通知</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_Toc486159985 \h </w:instrText>
      </w:r>
      <w:r>
        <w:rPr>
          <w:rFonts w:hint="eastAsia" w:ascii="宋体" w:hAnsi="宋体"/>
          <w:highlight w:val="none"/>
        </w:rPr>
        <w:fldChar w:fldCharType="separate"/>
      </w:r>
      <w:r>
        <w:rPr>
          <w:rFonts w:hint="eastAsia" w:ascii="宋体" w:hAnsi="宋体"/>
          <w:highlight w:val="none"/>
        </w:rPr>
        <w:t>15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"_Toc486159986" </w:instrText>
      </w:r>
      <w:r>
        <w:rPr>
          <w:highlight w:val="none"/>
        </w:rPr>
        <w:fldChar w:fldCharType="separate"/>
      </w:r>
      <w:r>
        <w:rPr>
          <w:rStyle w:val="71"/>
          <w:rFonts w:hint="eastAsia" w:ascii="宋体" w:hAnsi="宋体" w:cs="宋体"/>
          <w:color w:val="auto"/>
          <w:highlight w:val="none"/>
        </w:rPr>
        <w:t>2.3 提供施工场地</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_Toc486159986 \h </w:instrText>
      </w:r>
      <w:r>
        <w:rPr>
          <w:rFonts w:hint="eastAsia" w:ascii="宋体" w:hAnsi="宋体"/>
          <w:highlight w:val="none"/>
        </w:rPr>
        <w:fldChar w:fldCharType="separate"/>
      </w:r>
      <w:r>
        <w:rPr>
          <w:rFonts w:hint="eastAsia" w:ascii="宋体" w:hAnsi="宋体"/>
          <w:highlight w:val="none"/>
        </w:rPr>
        <w:t>15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"_Toc486159987" </w:instrText>
      </w:r>
      <w:r>
        <w:rPr>
          <w:highlight w:val="none"/>
        </w:rPr>
        <w:fldChar w:fldCharType="separate"/>
      </w:r>
      <w:r>
        <w:rPr>
          <w:rStyle w:val="71"/>
          <w:rFonts w:hint="eastAsia" w:ascii="宋体" w:hAnsi="宋体" w:cs="宋体"/>
          <w:color w:val="auto"/>
          <w:highlight w:val="none"/>
        </w:rPr>
        <w:t>2.4 办理证件和批件</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_Toc486159987 \h </w:instrText>
      </w:r>
      <w:r>
        <w:rPr>
          <w:rFonts w:hint="eastAsia" w:ascii="宋体" w:hAnsi="宋体"/>
          <w:highlight w:val="none"/>
        </w:rPr>
        <w:fldChar w:fldCharType="separate"/>
      </w:r>
      <w:r>
        <w:rPr>
          <w:rFonts w:hint="eastAsia" w:ascii="宋体" w:hAnsi="宋体"/>
          <w:highlight w:val="none"/>
        </w:rPr>
        <w:t>15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"_Toc486159988" </w:instrText>
      </w:r>
      <w:r>
        <w:rPr>
          <w:highlight w:val="none"/>
        </w:rPr>
        <w:fldChar w:fldCharType="separate"/>
      </w:r>
      <w:r>
        <w:rPr>
          <w:rStyle w:val="71"/>
          <w:rFonts w:hint="eastAsia" w:ascii="宋体" w:hAnsi="宋体" w:cs="宋体"/>
          <w:color w:val="auto"/>
          <w:highlight w:val="none"/>
        </w:rPr>
        <w:t>2.5 支付合同价款</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_Toc486159988 \h </w:instrText>
      </w:r>
      <w:r>
        <w:rPr>
          <w:rFonts w:hint="eastAsia" w:ascii="宋体" w:hAnsi="宋体"/>
          <w:highlight w:val="none"/>
        </w:rPr>
        <w:fldChar w:fldCharType="separate"/>
      </w:r>
      <w:r>
        <w:rPr>
          <w:rFonts w:hint="eastAsia" w:ascii="宋体" w:hAnsi="宋体"/>
          <w:highlight w:val="none"/>
        </w:rPr>
        <w:t>15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"_Toc486159989" </w:instrText>
      </w:r>
      <w:r>
        <w:rPr>
          <w:highlight w:val="none"/>
        </w:rPr>
        <w:fldChar w:fldCharType="separate"/>
      </w:r>
      <w:r>
        <w:rPr>
          <w:rStyle w:val="71"/>
          <w:rFonts w:hint="eastAsia" w:ascii="宋体" w:hAnsi="宋体" w:cs="宋体"/>
          <w:color w:val="auto"/>
          <w:highlight w:val="none"/>
        </w:rPr>
        <w:t>2.6 组织竣工验收</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_Toc486159989 \h </w:instrText>
      </w:r>
      <w:r>
        <w:rPr>
          <w:rFonts w:hint="eastAsia" w:ascii="宋体" w:hAnsi="宋体"/>
          <w:highlight w:val="none"/>
        </w:rPr>
        <w:fldChar w:fldCharType="separate"/>
      </w:r>
      <w:r>
        <w:rPr>
          <w:rFonts w:hint="eastAsia" w:ascii="宋体" w:hAnsi="宋体"/>
          <w:highlight w:val="none"/>
        </w:rPr>
        <w:t>15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"_Toc486159990" </w:instrText>
      </w:r>
      <w:r>
        <w:rPr>
          <w:highlight w:val="none"/>
        </w:rPr>
        <w:fldChar w:fldCharType="separate"/>
      </w:r>
      <w:r>
        <w:rPr>
          <w:rStyle w:val="71"/>
          <w:rFonts w:hint="eastAsia" w:ascii="宋体" w:hAnsi="宋体" w:cs="宋体"/>
          <w:color w:val="auto"/>
          <w:highlight w:val="none"/>
        </w:rPr>
        <w:t>2.7 其他义务</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_Toc486159990 \h </w:instrText>
      </w:r>
      <w:r>
        <w:rPr>
          <w:rFonts w:hint="eastAsia" w:ascii="宋体" w:hAnsi="宋体"/>
          <w:highlight w:val="none"/>
        </w:rPr>
        <w:fldChar w:fldCharType="separate"/>
      </w:r>
      <w:r>
        <w:rPr>
          <w:rFonts w:hint="eastAsia" w:ascii="宋体" w:hAnsi="宋体"/>
          <w:highlight w:val="none"/>
        </w:rPr>
        <w:t>15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"_Toc486159991" </w:instrText>
      </w:r>
      <w:r>
        <w:rPr>
          <w:highlight w:val="none"/>
        </w:rPr>
        <w:fldChar w:fldCharType="separate"/>
      </w:r>
      <w:r>
        <w:rPr>
          <w:rStyle w:val="71"/>
          <w:rFonts w:hint="eastAsia" w:ascii="宋体" w:hAnsi="宋体" w:cs="宋体"/>
          <w:color w:val="auto"/>
          <w:highlight w:val="none"/>
        </w:rPr>
        <w:t>3. 监理人</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_Toc486159991 \h </w:instrText>
      </w:r>
      <w:r>
        <w:rPr>
          <w:rFonts w:hint="eastAsia" w:ascii="宋体" w:hAnsi="宋体"/>
          <w:highlight w:val="none"/>
        </w:rPr>
        <w:fldChar w:fldCharType="separate"/>
      </w:r>
      <w:r>
        <w:rPr>
          <w:rFonts w:hint="eastAsia" w:ascii="宋体" w:hAnsi="宋体"/>
          <w:highlight w:val="none"/>
        </w:rPr>
        <w:t>16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"_Toc486159992" </w:instrText>
      </w:r>
      <w:r>
        <w:rPr>
          <w:highlight w:val="none"/>
        </w:rPr>
        <w:fldChar w:fldCharType="separate"/>
      </w:r>
      <w:r>
        <w:rPr>
          <w:rStyle w:val="71"/>
          <w:rFonts w:hint="eastAsia" w:ascii="宋体" w:hAnsi="宋体" w:cs="宋体"/>
          <w:color w:val="auto"/>
          <w:highlight w:val="none"/>
        </w:rPr>
        <w:t>3.1 监理人的职责和权力</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_Toc486159992 \h </w:instrText>
      </w:r>
      <w:r>
        <w:rPr>
          <w:rFonts w:hint="eastAsia" w:ascii="宋体" w:hAnsi="宋体"/>
          <w:highlight w:val="none"/>
        </w:rPr>
        <w:fldChar w:fldCharType="separate"/>
      </w:r>
      <w:r>
        <w:rPr>
          <w:rFonts w:hint="eastAsia" w:ascii="宋体" w:hAnsi="宋体"/>
          <w:highlight w:val="none"/>
        </w:rPr>
        <w:t>16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"_Toc486159993" </w:instrText>
      </w:r>
      <w:r>
        <w:rPr>
          <w:highlight w:val="none"/>
        </w:rPr>
        <w:fldChar w:fldCharType="separate"/>
      </w:r>
      <w:r>
        <w:rPr>
          <w:rStyle w:val="71"/>
          <w:rFonts w:hint="eastAsia" w:ascii="宋体" w:hAnsi="宋体" w:cs="宋体"/>
          <w:color w:val="auto"/>
          <w:highlight w:val="none"/>
        </w:rPr>
        <w:t>3.2 总监理工程师</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_Toc486159993 \h </w:instrText>
      </w:r>
      <w:r>
        <w:rPr>
          <w:rFonts w:hint="eastAsia" w:ascii="宋体" w:hAnsi="宋体"/>
          <w:highlight w:val="none"/>
        </w:rPr>
        <w:fldChar w:fldCharType="separate"/>
      </w:r>
      <w:r>
        <w:rPr>
          <w:rFonts w:hint="eastAsia" w:ascii="宋体" w:hAnsi="宋体"/>
          <w:highlight w:val="none"/>
        </w:rPr>
        <w:t>16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"_Toc486159994" </w:instrText>
      </w:r>
      <w:r>
        <w:rPr>
          <w:highlight w:val="none"/>
        </w:rPr>
        <w:fldChar w:fldCharType="separate"/>
      </w:r>
      <w:r>
        <w:rPr>
          <w:rStyle w:val="71"/>
          <w:rFonts w:hint="eastAsia" w:ascii="宋体" w:hAnsi="宋体" w:cs="宋体"/>
          <w:color w:val="auto"/>
          <w:highlight w:val="none"/>
        </w:rPr>
        <w:t>3.3 监理人员</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_Toc486159994 \h </w:instrText>
      </w:r>
      <w:r>
        <w:rPr>
          <w:rFonts w:hint="eastAsia" w:ascii="宋体" w:hAnsi="宋体"/>
          <w:highlight w:val="none"/>
        </w:rPr>
        <w:fldChar w:fldCharType="separate"/>
      </w:r>
      <w:r>
        <w:rPr>
          <w:rFonts w:hint="eastAsia" w:ascii="宋体" w:hAnsi="宋体"/>
          <w:highlight w:val="none"/>
        </w:rPr>
        <w:t>16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"_Toc486159995" </w:instrText>
      </w:r>
      <w:r>
        <w:rPr>
          <w:highlight w:val="none"/>
        </w:rPr>
        <w:fldChar w:fldCharType="separate"/>
      </w:r>
      <w:r>
        <w:rPr>
          <w:rStyle w:val="71"/>
          <w:rFonts w:hint="eastAsia" w:ascii="宋体" w:hAnsi="宋体" w:cs="宋体"/>
          <w:color w:val="auto"/>
          <w:highlight w:val="none"/>
        </w:rPr>
        <w:t>3.4 监理人的指示</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_Toc486159995 \h </w:instrText>
      </w:r>
      <w:r>
        <w:rPr>
          <w:rFonts w:hint="eastAsia" w:ascii="宋体" w:hAnsi="宋体"/>
          <w:highlight w:val="none"/>
        </w:rPr>
        <w:fldChar w:fldCharType="separate"/>
      </w:r>
      <w:r>
        <w:rPr>
          <w:rFonts w:hint="eastAsia" w:ascii="宋体" w:hAnsi="宋体"/>
          <w:highlight w:val="none"/>
        </w:rPr>
        <w:t>16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"_Toc486159996" </w:instrText>
      </w:r>
      <w:r>
        <w:rPr>
          <w:highlight w:val="none"/>
        </w:rPr>
        <w:fldChar w:fldCharType="separate"/>
      </w:r>
      <w:r>
        <w:rPr>
          <w:rStyle w:val="71"/>
          <w:rFonts w:hint="eastAsia" w:ascii="宋体" w:hAnsi="宋体" w:cs="宋体"/>
          <w:color w:val="auto"/>
          <w:highlight w:val="none"/>
        </w:rPr>
        <w:t>3.5 商定或确定</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_Toc486159996 \h </w:instrText>
      </w:r>
      <w:r>
        <w:rPr>
          <w:rFonts w:hint="eastAsia" w:ascii="宋体" w:hAnsi="宋体"/>
          <w:highlight w:val="none"/>
        </w:rPr>
        <w:fldChar w:fldCharType="separate"/>
      </w:r>
      <w:r>
        <w:rPr>
          <w:rFonts w:hint="eastAsia" w:ascii="宋体" w:hAnsi="宋体"/>
          <w:highlight w:val="none"/>
        </w:rPr>
        <w:t>17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"_Toc486159997" </w:instrText>
      </w:r>
      <w:r>
        <w:rPr>
          <w:highlight w:val="none"/>
        </w:rPr>
        <w:fldChar w:fldCharType="separate"/>
      </w:r>
      <w:r>
        <w:rPr>
          <w:rStyle w:val="71"/>
          <w:rFonts w:hint="eastAsia" w:ascii="宋体" w:hAnsi="宋体" w:cs="宋体"/>
          <w:color w:val="auto"/>
          <w:highlight w:val="none"/>
        </w:rPr>
        <w:t>4. 承包人</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_Toc486159997 \h </w:instrText>
      </w:r>
      <w:r>
        <w:rPr>
          <w:rFonts w:hint="eastAsia" w:ascii="宋体" w:hAnsi="宋体"/>
          <w:highlight w:val="none"/>
        </w:rPr>
        <w:fldChar w:fldCharType="separate"/>
      </w:r>
      <w:r>
        <w:rPr>
          <w:rFonts w:hint="eastAsia" w:ascii="宋体" w:hAnsi="宋体"/>
          <w:highlight w:val="none"/>
        </w:rPr>
        <w:t>17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"_Toc486159998" </w:instrText>
      </w:r>
      <w:r>
        <w:rPr>
          <w:highlight w:val="none"/>
        </w:rPr>
        <w:fldChar w:fldCharType="separate"/>
      </w:r>
      <w:r>
        <w:rPr>
          <w:rStyle w:val="71"/>
          <w:rFonts w:hint="eastAsia" w:ascii="宋体" w:hAnsi="宋体" w:cs="宋体"/>
          <w:color w:val="auto"/>
          <w:highlight w:val="none"/>
        </w:rPr>
        <w:t>4.1 承包人的一般义务</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_Toc486159998 \h </w:instrText>
      </w:r>
      <w:r>
        <w:rPr>
          <w:rFonts w:hint="eastAsia" w:ascii="宋体" w:hAnsi="宋体"/>
          <w:highlight w:val="none"/>
        </w:rPr>
        <w:fldChar w:fldCharType="separate"/>
      </w:r>
      <w:r>
        <w:rPr>
          <w:rFonts w:hint="eastAsia" w:ascii="宋体" w:hAnsi="宋体"/>
          <w:highlight w:val="none"/>
        </w:rPr>
        <w:t>17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"_Toc486159999" </w:instrText>
      </w:r>
      <w:r>
        <w:rPr>
          <w:highlight w:val="none"/>
        </w:rPr>
        <w:fldChar w:fldCharType="separate"/>
      </w:r>
      <w:r>
        <w:rPr>
          <w:rStyle w:val="71"/>
          <w:rFonts w:hint="eastAsia" w:ascii="宋体" w:hAnsi="宋体" w:cs="宋体"/>
          <w:color w:val="auto"/>
          <w:highlight w:val="none"/>
        </w:rPr>
        <w:t>4.2 履约担保</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_Toc486159999 \h </w:instrText>
      </w:r>
      <w:r>
        <w:rPr>
          <w:rFonts w:hint="eastAsia" w:ascii="宋体" w:hAnsi="宋体"/>
          <w:highlight w:val="none"/>
        </w:rPr>
        <w:fldChar w:fldCharType="separate"/>
      </w:r>
      <w:r>
        <w:rPr>
          <w:rFonts w:hint="eastAsia" w:ascii="宋体" w:hAnsi="宋体"/>
          <w:highlight w:val="none"/>
        </w:rPr>
        <w:t>18</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"_Toc486160000" </w:instrText>
      </w:r>
      <w:r>
        <w:rPr>
          <w:highlight w:val="none"/>
        </w:rPr>
        <w:fldChar w:fldCharType="separate"/>
      </w:r>
      <w:r>
        <w:rPr>
          <w:rStyle w:val="71"/>
          <w:rFonts w:hint="eastAsia" w:ascii="宋体" w:hAnsi="宋体" w:cs="宋体"/>
          <w:color w:val="auto"/>
          <w:highlight w:val="none"/>
        </w:rPr>
        <w:t>4.3 分包和不得转包</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_Toc486160000 \h </w:instrText>
      </w:r>
      <w:r>
        <w:rPr>
          <w:rFonts w:hint="eastAsia" w:ascii="宋体" w:hAnsi="宋体"/>
          <w:highlight w:val="none"/>
        </w:rPr>
        <w:fldChar w:fldCharType="separate"/>
      </w:r>
      <w:r>
        <w:rPr>
          <w:rFonts w:hint="eastAsia" w:ascii="宋体" w:hAnsi="宋体"/>
          <w:highlight w:val="none"/>
        </w:rPr>
        <w:t>18</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"_Toc486160001" </w:instrText>
      </w:r>
      <w:r>
        <w:rPr>
          <w:highlight w:val="none"/>
        </w:rPr>
        <w:fldChar w:fldCharType="separate"/>
      </w:r>
      <w:r>
        <w:rPr>
          <w:rStyle w:val="71"/>
          <w:rFonts w:hint="eastAsia" w:ascii="宋体" w:hAnsi="宋体" w:cs="宋体"/>
          <w:color w:val="auto"/>
          <w:highlight w:val="none"/>
        </w:rPr>
        <w:t>4.4 联合体</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_Toc486160001 \h </w:instrText>
      </w:r>
      <w:r>
        <w:rPr>
          <w:rFonts w:hint="eastAsia" w:ascii="宋体" w:hAnsi="宋体"/>
          <w:highlight w:val="none"/>
        </w:rPr>
        <w:fldChar w:fldCharType="separate"/>
      </w:r>
      <w:r>
        <w:rPr>
          <w:rFonts w:hint="eastAsia" w:ascii="宋体" w:hAnsi="宋体"/>
          <w:highlight w:val="none"/>
        </w:rPr>
        <w:t>18</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"_Toc486160002" </w:instrText>
      </w:r>
      <w:r>
        <w:rPr>
          <w:highlight w:val="none"/>
        </w:rPr>
        <w:fldChar w:fldCharType="separate"/>
      </w:r>
      <w:r>
        <w:rPr>
          <w:rStyle w:val="71"/>
          <w:rFonts w:hint="eastAsia" w:ascii="宋体" w:hAnsi="宋体" w:cs="宋体"/>
          <w:color w:val="auto"/>
          <w:highlight w:val="none"/>
        </w:rPr>
        <w:t>4.5 承包人项目经理</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_Toc486160002 \h </w:instrText>
      </w:r>
      <w:r>
        <w:rPr>
          <w:rFonts w:hint="eastAsia" w:ascii="宋体" w:hAnsi="宋体"/>
          <w:highlight w:val="none"/>
        </w:rPr>
        <w:fldChar w:fldCharType="separate"/>
      </w:r>
      <w:r>
        <w:rPr>
          <w:rFonts w:hint="eastAsia" w:ascii="宋体" w:hAnsi="宋体"/>
          <w:highlight w:val="none"/>
        </w:rPr>
        <w:t>18</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"_Toc486160003" </w:instrText>
      </w:r>
      <w:r>
        <w:rPr>
          <w:highlight w:val="none"/>
        </w:rPr>
        <w:fldChar w:fldCharType="separate"/>
      </w:r>
      <w:r>
        <w:rPr>
          <w:rStyle w:val="71"/>
          <w:rFonts w:hint="eastAsia" w:ascii="宋体" w:hAnsi="宋体" w:cs="宋体"/>
          <w:color w:val="auto"/>
          <w:highlight w:val="none"/>
        </w:rPr>
        <w:t>4.6 承包人人员的管理</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_Toc486160003 \h </w:instrText>
      </w:r>
      <w:r>
        <w:rPr>
          <w:rFonts w:hint="eastAsia" w:ascii="宋体" w:hAnsi="宋体"/>
          <w:highlight w:val="none"/>
        </w:rPr>
        <w:fldChar w:fldCharType="separate"/>
      </w:r>
      <w:r>
        <w:rPr>
          <w:rFonts w:hint="eastAsia" w:ascii="宋体" w:hAnsi="宋体"/>
          <w:highlight w:val="none"/>
        </w:rPr>
        <w:t>19</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"_Toc486160004" </w:instrText>
      </w:r>
      <w:r>
        <w:rPr>
          <w:highlight w:val="none"/>
        </w:rPr>
        <w:fldChar w:fldCharType="separate"/>
      </w:r>
      <w:r>
        <w:rPr>
          <w:rStyle w:val="71"/>
          <w:rFonts w:hint="eastAsia" w:ascii="宋体" w:hAnsi="宋体" w:cs="宋体"/>
          <w:color w:val="auto"/>
          <w:highlight w:val="none"/>
        </w:rPr>
        <w:t>4.7 撤换承包人项目经理和其他人员</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_Toc486160004 \h </w:instrText>
      </w:r>
      <w:r>
        <w:rPr>
          <w:rFonts w:hint="eastAsia" w:ascii="宋体" w:hAnsi="宋体"/>
          <w:highlight w:val="none"/>
        </w:rPr>
        <w:fldChar w:fldCharType="separate"/>
      </w:r>
      <w:r>
        <w:rPr>
          <w:rFonts w:hint="eastAsia" w:ascii="宋体" w:hAnsi="宋体"/>
          <w:highlight w:val="none"/>
        </w:rPr>
        <w:t>19</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"_Toc486160005" </w:instrText>
      </w:r>
      <w:r>
        <w:rPr>
          <w:highlight w:val="none"/>
        </w:rPr>
        <w:fldChar w:fldCharType="separate"/>
      </w:r>
      <w:r>
        <w:rPr>
          <w:rStyle w:val="71"/>
          <w:rFonts w:hint="eastAsia" w:ascii="宋体" w:hAnsi="宋体" w:cs="宋体"/>
          <w:color w:val="auto"/>
          <w:highlight w:val="none"/>
        </w:rPr>
        <w:t>4.8 保障承包人人员的合法权益</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_Toc486160005 \h </w:instrText>
      </w:r>
      <w:r>
        <w:rPr>
          <w:rFonts w:hint="eastAsia" w:ascii="宋体" w:hAnsi="宋体"/>
          <w:highlight w:val="none"/>
        </w:rPr>
        <w:fldChar w:fldCharType="separate"/>
      </w:r>
      <w:r>
        <w:rPr>
          <w:rFonts w:hint="eastAsia" w:ascii="宋体" w:hAnsi="宋体"/>
          <w:highlight w:val="none"/>
        </w:rPr>
        <w:t>19</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"_Toc486160006" </w:instrText>
      </w:r>
      <w:r>
        <w:rPr>
          <w:highlight w:val="none"/>
        </w:rPr>
        <w:fldChar w:fldCharType="separate"/>
      </w:r>
      <w:r>
        <w:rPr>
          <w:rStyle w:val="71"/>
          <w:rFonts w:hint="eastAsia" w:ascii="宋体" w:hAnsi="宋体" w:cs="宋体"/>
          <w:color w:val="auto"/>
          <w:highlight w:val="none"/>
        </w:rPr>
        <w:t>4.9 工程价款应专款专用</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_Toc486160006 \h </w:instrText>
      </w:r>
      <w:r>
        <w:rPr>
          <w:rFonts w:hint="eastAsia" w:ascii="宋体" w:hAnsi="宋体"/>
          <w:highlight w:val="none"/>
        </w:rPr>
        <w:fldChar w:fldCharType="separate"/>
      </w:r>
      <w:r>
        <w:rPr>
          <w:rFonts w:hint="eastAsia" w:ascii="宋体" w:hAnsi="宋体"/>
          <w:highlight w:val="none"/>
        </w:rPr>
        <w:t>20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"_Toc486160007" </w:instrText>
      </w:r>
      <w:r>
        <w:rPr>
          <w:highlight w:val="none"/>
        </w:rPr>
        <w:fldChar w:fldCharType="separate"/>
      </w:r>
      <w:r>
        <w:rPr>
          <w:rStyle w:val="71"/>
          <w:rFonts w:hint="eastAsia" w:ascii="宋体" w:hAnsi="宋体" w:cs="宋体"/>
          <w:color w:val="auto"/>
          <w:highlight w:val="none"/>
        </w:rPr>
        <w:t>4.10 承包人现场查勘</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_Toc486160007 \h </w:instrText>
      </w:r>
      <w:r>
        <w:rPr>
          <w:rFonts w:hint="eastAsia" w:ascii="宋体" w:hAnsi="宋体"/>
          <w:highlight w:val="none"/>
        </w:rPr>
        <w:fldChar w:fldCharType="separate"/>
      </w:r>
      <w:r>
        <w:rPr>
          <w:rFonts w:hint="eastAsia" w:ascii="宋体" w:hAnsi="宋体"/>
          <w:highlight w:val="none"/>
        </w:rPr>
        <w:t>20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"_Toc486160008" </w:instrText>
      </w:r>
      <w:r>
        <w:rPr>
          <w:highlight w:val="none"/>
        </w:rPr>
        <w:fldChar w:fldCharType="separate"/>
      </w:r>
      <w:r>
        <w:rPr>
          <w:rStyle w:val="71"/>
          <w:rFonts w:hint="eastAsia" w:ascii="宋体" w:hAnsi="宋体" w:cs="宋体"/>
          <w:color w:val="auto"/>
          <w:highlight w:val="none"/>
        </w:rPr>
        <w:t>4.11 不可预见的困难和费用（B）</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_Toc486160008 \h </w:instrText>
      </w:r>
      <w:r>
        <w:rPr>
          <w:rFonts w:hint="eastAsia" w:ascii="宋体" w:hAnsi="宋体"/>
          <w:highlight w:val="none"/>
        </w:rPr>
        <w:fldChar w:fldCharType="separate"/>
      </w:r>
      <w:r>
        <w:rPr>
          <w:rFonts w:hint="eastAsia" w:ascii="宋体" w:hAnsi="宋体"/>
          <w:highlight w:val="none"/>
        </w:rPr>
        <w:t>20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"_Toc486160009" </w:instrText>
      </w:r>
      <w:r>
        <w:rPr>
          <w:highlight w:val="none"/>
        </w:rPr>
        <w:fldChar w:fldCharType="separate"/>
      </w:r>
      <w:r>
        <w:rPr>
          <w:rStyle w:val="71"/>
          <w:rFonts w:hint="eastAsia" w:ascii="宋体" w:hAnsi="宋体" w:cs="宋体"/>
          <w:color w:val="auto"/>
          <w:highlight w:val="none"/>
        </w:rPr>
        <w:t>4.12 进度计划</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_Toc486160009 \h </w:instrText>
      </w:r>
      <w:r>
        <w:rPr>
          <w:rFonts w:hint="eastAsia" w:ascii="宋体" w:hAnsi="宋体"/>
          <w:highlight w:val="none"/>
        </w:rPr>
        <w:fldChar w:fldCharType="separate"/>
      </w:r>
      <w:r>
        <w:rPr>
          <w:rFonts w:hint="eastAsia" w:ascii="宋体" w:hAnsi="宋体"/>
          <w:highlight w:val="none"/>
        </w:rPr>
        <w:t>20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"_Toc486160010" </w:instrText>
      </w:r>
      <w:r>
        <w:rPr>
          <w:highlight w:val="none"/>
        </w:rPr>
        <w:fldChar w:fldCharType="separate"/>
      </w:r>
      <w:r>
        <w:rPr>
          <w:rStyle w:val="71"/>
          <w:rFonts w:hint="eastAsia" w:ascii="宋体" w:hAnsi="宋体" w:cs="宋体"/>
          <w:color w:val="auto"/>
          <w:highlight w:val="none"/>
        </w:rPr>
        <w:t>4.13 质量保证</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_Toc486160010 \h </w:instrText>
      </w:r>
      <w:r>
        <w:rPr>
          <w:rFonts w:hint="eastAsia" w:ascii="宋体" w:hAnsi="宋体"/>
          <w:highlight w:val="none"/>
        </w:rPr>
        <w:fldChar w:fldCharType="separate"/>
      </w:r>
      <w:r>
        <w:rPr>
          <w:rFonts w:hint="eastAsia" w:ascii="宋体" w:hAnsi="宋体"/>
          <w:highlight w:val="none"/>
        </w:rPr>
        <w:t>21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"_Toc486160011" </w:instrText>
      </w:r>
      <w:r>
        <w:rPr>
          <w:highlight w:val="none"/>
        </w:rPr>
        <w:fldChar w:fldCharType="separate"/>
      </w:r>
      <w:r>
        <w:rPr>
          <w:rStyle w:val="71"/>
          <w:rFonts w:hint="eastAsia" w:ascii="宋体" w:hAnsi="宋体" w:cs="宋体"/>
          <w:color w:val="auto"/>
          <w:highlight w:val="none"/>
        </w:rPr>
        <w:t>5. 设计</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_Toc486160011 \h </w:instrText>
      </w:r>
      <w:r>
        <w:rPr>
          <w:rFonts w:hint="eastAsia" w:ascii="宋体" w:hAnsi="宋体"/>
          <w:highlight w:val="none"/>
        </w:rPr>
        <w:fldChar w:fldCharType="separate"/>
      </w:r>
      <w:r>
        <w:rPr>
          <w:rFonts w:hint="eastAsia" w:ascii="宋体" w:hAnsi="宋体"/>
          <w:highlight w:val="none"/>
        </w:rPr>
        <w:t>21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"_Toc486160012" </w:instrText>
      </w:r>
      <w:r>
        <w:rPr>
          <w:highlight w:val="none"/>
        </w:rPr>
        <w:fldChar w:fldCharType="separate"/>
      </w:r>
      <w:r>
        <w:rPr>
          <w:rStyle w:val="71"/>
          <w:rFonts w:hint="eastAsia" w:ascii="宋体" w:hAnsi="宋体" w:cs="宋体"/>
          <w:color w:val="auto"/>
          <w:highlight w:val="none"/>
        </w:rPr>
        <w:t>5.1 承包人的设计义务</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_Toc486160012 \h </w:instrText>
      </w:r>
      <w:r>
        <w:rPr>
          <w:rFonts w:hint="eastAsia" w:ascii="宋体" w:hAnsi="宋体"/>
          <w:highlight w:val="none"/>
        </w:rPr>
        <w:fldChar w:fldCharType="separate"/>
      </w:r>
      <w:r>
        <w:rPr>
          <w:rFonts w:hint="eastAsia" w:ascii="宋体" w:hAnsi="宋体"/>
          <w:highlight w:val="none"/>
        </w:rPr>
        <w:t>21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"_Toc486160013" </w:instrText>
      </w:r>
      <w:r>
        <w:rPr>
          <w:highlight w:val="none"/>
        </w:rPr>
        <w:fldChar w:fldCharType="separate"/>
      </w:r>
      <w:r>
        <w:rPr>
          <w:rStyle w:val="71"/>
          <w:rFonts w:hint="eastAsia" w:ascii="宋体" w:hAnsi="宋体" w:cs="宋体"/>
          <w:color w:val="auto"/>
          <w:highlight w:val="none"/>
        </w:rPr>
        <w:t>5.2 承包人设计进度计划</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_Toc486160013 \h </w:instrText>
      </w:r>
      <w:r>
        <w:rPr>
          <w:rFonts w:hint="eastAsia" w:ascii="宋体" w:hAnsi="宋体"/>
          <w:highlight w:val="none"/>
        </w:rPr>
        <w:fldChar w:fldCharType="separate"/>
      </w:r>
      <w:r>
        <w:rPr>
          <w:rFonts w:hint="eastAsia" w:ascii="宋体" w:hAnsi="宋体"/>
          <w:highlight w:val="none"/>
        </w:rPr>
        <w:t>21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"_Toc486160014" </w:instrText>
      </w:r>
      <w:r>
        <w:rPr>
          <w:highlight w:val="none"/>
        </w:rPr>
        <w:fldChar w:fldCharType="separate"/>
      </w:r>
      <w:r>
        <w:rPr>
          <w:rStyle w:val="71"/>
          <w:rFonts w:hint="eastAsia" w:ascii="宋体" w:hAnsi="宋体" w:cs="宋体"/>
          <w:color w:val="auto"/>
          <w:highlight w:val="none"/>
        </w:rPr>
        <w:t>5.3 设计审查</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_Toc486160014 \h </w:instrText>
      </w:r>
      <w:r>
        <w:rPr>
          <w:rFonts w:hint="eastAsia" w:ascii="宋体" w:hAnsi="宋体"/>
          <w:highlight w:val="none"/>
        </w:rPr>
        <w:fldChar w:fldCharType="separate"/>
      </w:r>
      <w:r>
        <w:rPr>
          <w:rFonts w:hint="eastAsia" w:ascii="宋体" w:hAnsi="宋体"/>
          <w:highlight w:val="none"/>
        </w:rPr>
        <w:t>21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"_Toc486160015" </w:instrText>
      </w:r>
      <w:r>
        <w:rPr>
          <w:highlight w:val="none"/>
        </w:rPr>
        <w:fldChar w:fldCharType="separate"/>
      </w:r>
      <w:r>
        <w:rPr>
          <w:rStyle w:val="71"/>
          <w:rFonts w:hint="eastAsia" w:ascii="宋体" w:hAnsi="宋体" w:cs="宋体"/>
          <w:color w:val="auto"/>
          <w:highlight w:val="none"/>
        </w:rPr>
        <w:t>5.4 培训</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_Toc486160015 \h </w:instrText>
      </w:r>
      <w:r>
        <w:rPr>
          <w:rFonts w:hint="eastAsia" w:ascii="宋体" w:hAnsi="宋体"/>
          <w:highlight w:val="none"/>
        </w:rPr>
        <w:fldChar w:fldCharType="separate"/>
      </w:r>
      <w:r>
        <w:rPr>
          <w:rFonts w:hint="eastAsia" w:ascii="宋体" w:hAnsi="宋体"/>
          <w:highlight w:val="none"/>
        </w:rPr>
        <w:t>22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"_Toc486160016" </w:instrText>
      </w:r>
      <w:r>
        <w:rPr>
          <w:highlight w:val="none"/>
        </w:rPr>
        <w:fldChar w:fldCharType="separate"/>
      </w:r>
      <w:r>
        <w:rPr>
          <w:rStyle w:val="71"/>
          <w:rFonts w:hint="eastAsia" w:ascii="宋体" w:hAnsi="宋体" w:cs="宋体"/>
          <w:color w:val="auto"/>
          <w:highlight w:val="none"/>
        </w:rPr>
        <w:t>5.5 竣工文件</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_Toc486160016 \h </w:instrText>
      </w:r>
      <w:r>
        <w:rPr>
          <w:rFonts w:hint="eastAsia" w:ascii="宋体" w:hAnsi="宋体"/>
          <w:highlight w:val="none"/>
        </w:rPr>
        <w:fldChar w:fldCharType="separate"/>
      </w:r>
      <w:r>
        <w:rPr>
          <w:rFonts w:hint="eastAsia" w:ascii="宋体" w:hAnsi="宋体"/>
          <w:highlight w:val="none"/>
        </w:rPr>
        <w:t>22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"_Toc486160017" </w:instrText>
      </w:r>
      <w:r>
        <w:rPr>
          <w:highlight w:val="none"/>
        </w:rPr>
        <w:fldChar w:fldCharType="separate"/>
      </w:r>
      <w:r>
        <w:rPr>
          <w:rStyle w:val="71"/>
          <w:rFonts w:hint="eastAsia" w:ascii="宋体" w:hAnsi="宋体" w:cs="宋体"/>
          <w:color w:val="auto"/>
          <w:highlight w:val="none"/>
        </w:rPr>
        <w:t>5.6 操作和维修手册</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_Toc486160017 \h </w:instrText>
      </w:r>
      <w:r>
        <w:rPr>
          <w:rFonts w:hint="eastAsia" w:ascii="宋体" w:hAnsi="宋体"/>
          <w:highlight w:val="none"/>
        </w:rPr>
        <w:fldChar w:fldCharType="separate"/>
      </w:r>
      <w:r>
        <w:rPr>
          <w:rFonts w:hint="eastAsia" w:ascii="宋体" w:hAnsi="宋体"/>
          <w:highlight w:val="none"/>
        </w:rPr>
        <w:t>22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"_Toc486160018" </w:instrText>
      </w:r>
      <w:r>
        <w:rPr>
          <w:highlight w:val="none"/>
        </w:rPr>
        <w:fldChar w:fldCharType="separate"/>
      </w:r>
      <w:r>
        <w:rPr>
          <w:rStyle w:val="71"/>
          <w:rFonts w:hint="eastAsia" w:ascii="宋体" w:hAnsi="宋体" w:cs="宋体"/>
          <w:color w:val="auto"/>
          <w:highlight w:val="none"/>
        </w:rPr>
        <w:t>5.7 承包人文件错误</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_Toc486160018 \h </w:instrText>
      </w:r>
      <w:r>
        <w:rPr>
          <w:rFonts w:hint="eastAsia" w:ascii="宋体" w:hAnsi="宋体"/>
          <w:highlight w:val="none"/>
        </w:rPr>
        <w:fldChar w:fldCharType="separate"/>
      </w:r>
      <w:r>
        <w:rPr>
          <w:rFonts w:hint="eastAsia" w:ascii="宋体" w:hAnsi="宋体"/>
          <w:highlight w:val="none"/>
        </w:rPr>
        <w:t>22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"_Toc486160019" </w:instrText>
      </w:r>
      <w:r>
        <w:rPr>
          <w:highlight w:val="none"/>
        </w:rPr>
        <w:fldChar w:fldCharType="separate"/>
      </w:r>
      <w:r>
        <w:rPr>
          <w:rStyle w:val="71"/>
          <w:rFonts w:hint="eastAsia" w:ascii="宋体" w:hAnsi="宋体" w:cs="宋体"/>
          <w:color w:val="auto"/>
          <w:highlight w:val="none"/>
        </w:rPr>
        <w:t>6. 材料和工程设备</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_Toc486160019 \h </w:instrText>
      </w:r>
      <w:r>
        <w:rPr>
          <w:rFonts w:hint="eastAsia" w:ascii="宋体" w:hAnsi="宋体"/>
          <w:highlight w:val="none"/>
        </w:rPr>
        <w:fldChar w:fldCharType="separate"/>
      </w:r>
      <w:r>
        <w:rPr>
          <w:rFonts w:hint="eastAsia" w:ascii="宋体" w:hAnsi="宋体"/>
          <w:highlight w:val="none"/>
        </w:rPr>
        <w:t>23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"_Toc486160020" </w:instrText>
      </w:r>
      <w:r>
        <w:rPr>
          <w:highlight w:val="none"/>
        </w:rPr>
        <w:fldChar w:fldCharType="separate"/>
      </w:r>
      <w:r>
        <w:rPr>
          <w:rStyle w:val="71"/>
          <w:rFonts w:hint="eastAsia" w:ascii="宋体" w:hAnsi="宋体" w:cs="宋体"/>
          <w:color w:val="auto"/>
          <w:highlight w:val="none"/>
        </w:rPr>
        <w:t>6.1 承包人提供的材料和工程设备</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_Toc486160020 \h </w:instrText>
      </w:r>
      <w:r>
        <w:rPr>
          <w:rFonts w:hint="eastAsia" w:ascii="宋体" w:hAnsi="宋体"/>
          <w:highlight w:val="none"/>
        </w:rPr>
        <w:fldChar w:fldCharType="separate"/>
      </w:r>
      <w:r>
        <w:rPr>
          <w:rFonts w:hint="eastAsia" w:ascii="宋体" w:hAnsi="宋体"/>
          <w:highlight w:val="none"/>
        </w:rPr>
        <w:t>23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"_Toc486160021" </w:instrText>
      </w:r>
      <w:r>
        <w:rPr>
          <w:highlight w:val="none"/>
        </w:rPr>
        <w:fldChar w:fldCharType="separate"/>
      </w:r>
      <w:r>
        <w:rPr>
          <w:rStyle w:val="71"/>
          <w:rFonts w:hint="eastAsia" w:ascii="宋体" w:hAnsi="宋体" w:cs="宋体"/>
          <w:color w:val="auto"/>
          <w:highlight w:val="none"/>
        </w:rPr>
        <w:t>6.2 发包人提供的材料和工程设备（B）</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_Toc486160021 \h </w:instrText>
      </w:r>
      <w:r>
        <w:rPr>
          <w:rFonts w:hint="eastAsia" w:ascii="宋体" w:hAnsi="宋体"/>
          <w:highlight w:val="none"/>
        </w:rPr>
        <w:fldChar w:fldCharType="separate"/>
      </w:r>
      <w:r>
        <w:rPr>
          <w:rFonts w:hint="eastAsia" w:ascii="宋体" w:hAnsi="宋体"/>
          <w:highlight w:val="none"/>
        </w:rPr>
        <w:t>23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"_Toc486160022" </w:instrText>
      </w:r>
      <w:r>
        <w:rPr>
          <w:highlight w:val="none"/>
        </w:rPr>
        <w:fldChar w:fldCharType="separate"/>
      </w:r>
      <w:r>
        <w:rPr>
          <w:rStyle w:val="71"/>
          <w:rFonts w:hint="eastAsia" w:ascii="宋体" w:hAnsi="宋体" w:cs="宋体"/>
          <w:color w:val="auto"/>
          <w:highlight w:val="none"/>
        </w:rPr>
        <w:t>6.3 专用于工程的材料和工程设备</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_Toc486160022 \h </w:instrText>
      </w:r>
      <w:r>
        <w:rPr>
          <w:rFonts w:hint="eastAsia" w:ascii="宋体" w:hAnsi="宋体"/>
          <w:highlight w:val="none"/>
        </w:rPr>
        <w:fldChar w:fldCharType="separate"/>
      </w:r>
      <w:r>
        <w:rPr>
          <w:rFonts w:hint="eastAsia" w:ascii="宋体" w:hAnsi="宋体"/>
          <w:highlight w:val="none"/>
        </w:rPr>
        <w:t>23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"_Toc486160023" </w:instrText>
      </w:r>
      <w:r>
        <w:rPr>
          <w:highlight w:val="none"/>
        </w:rPr>
        <w:fldChar w:fldCharType="separate"/>
      </w:r>
      <w:r>
        <w:rPr>
          <w:rStyle w:val="71"/>
          <w:rFonts w:hint="eastAsia" w:ascii="宋体" w:hAnsi="宋体" w:cs="宋体"/>
          <w:color w:val="auto"/>
          <w:highlight w:val="none"/>
        </w:rPr>
        <w:t>6.4 实施方法</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_Toc486160023 \h </w:instrText>
      </w:r>
      <w:r>
        <w:rPr>
          <w:rFonts w:hint="eastAsia" w:ascii="宋体" w:hAnsi="宋体"/>
          <w:highlight w:val="none"/>
        </w:rPr>
        <w:fldChar w:fldCharType="separate"/>
      </w:r>
      <w:r>
        <w:rPr>
          <w:rFonts w:hint="eastAsia" w:ascii="宋体" w:hAnsi="宋体"/>
          <w:highlight w:val="none"/>
        </w:rPr>
        <w:t>23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"_Toc486160024" </w:instrText>
      </w:r>
      <w:r>
        <w:rPr>
          <w:highlight w:val="none"/>
        </w:rPr>
        <w:fldChar w:fldCharType="separate"/>
      </w:r>
      <w:r>
        <w:rPr>
          <w:rStyle w:val="71"/>
          <w:rFonts w:hint="eastAsia" w:ascii="宋体" w:hAnsi="宋体" w:cs="宋体"/>
          <w:color w:val="auto"/>
          <w:highlight w:val="none"/>
        </w:rPr>
        <w:t>6.5 禁止使用不合格的材料和工程设备</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_Toc486160024 \h </w:instrText>
      </w:r>
      <w:r>
        <w:rPr>
          <w:rFonts w:hint="eastAsia" w:ascii="宋体" w:hAnsi="宋体"/>
          <w:highlight w:val="none"/>
        </w:rPr>
        <w:fldChar w:fldCharType="separate"/>
      </w:r>
      <w:r>
        <w:rPr>
          <w:rFonts w:hint="eastAsia" w:ascii="宋体" w:hAnsi="宋体"/>
          <w:highlight w:val="none"/>
        </w:rPr>
        <w:t>23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"_Toc486160025" </w:instrText>
      </w:r>
      <w:r>
        <w:rPr>
          <w:highlight w:val="none"/>
        </w:rPr>
        <w:fldChar w:fldCharType="separate"/>
      </w:r>
      <w:r>
        <w:rPr>
          <w:rStyle w:val="71"/>
          <w:rFonts w:hint="eastAsia" w:ascii="宋体" w:hAnsi="宋体" w:cs="宋体"/>
          <w:color w:val="auto"/>
          <w:highlight w:val="none"/>
        </w:rPr>
        <w:t>7. 施工设备和临时设施</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_Toc486160025 \h </w:instrText>
      </w:r>
      <w:r>
        <w:rPr>
          <w:rFonts w:hint="eastAsia" w:ascii="宋体" w:hAnsi="宋体"/>
          <w:highlight w:val="none"/>
        </w:rPr>
        <w:fldChar w:fldCharType="separate"/>
      </w:r>
      <w:r>
        <w:rPr>
          <w:rFonts w:hint="eastAsia" w:ascii="宋体" w:hAnsi="宋体"/>
          <w:highlight w:val="none"/>
        </w:rPr>
        <w:t>24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"_Toc486160026" </w:instrText>
      </w:r>
      <w:r>
        <w:rPr>
          <w:highlight w:val="none"/>
        </w:rPr>
        <w:fldChar w:fldCharType="separate"/>
      </w:r>
      <w:r>
        <w:rPr>
          <w:rStyle w:val="71"/>
          <w:rFonts w:hint="eastAsia" w:ascii="宋体" w:hAnsi="宋体" w:cs="宋体"/>
          <w:color w:val="auto"/>
          <w:highlight w:val="none"/>
        </w:rPr>
        <w:t>7.1 承包人提供的施工设备和临时设施</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_Toc486160026 \h </w:instrText>
      </w:r>
      <w:r>
        <w:rPr>
          <w:rFonts w:hint="eastAsia" w:ascii="宋体" w:hAnsi="宋体"/>
          <w:highlight w:val="none"/>
        </w:rPr>
        <w:fldChar w:fldCharType="separate"/>
      </w:r>
      <w:r>
        <w:rPr>
          <w:rFonts w:hint="eastAsia" w:ascii="宋体" w:hAnsi="宋体"/>
          <w:highlight w:val="none"/>
        </w:rPr>
        <w:t>24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"_Toc486160027" </w:instrText>
      </w:r>
      <w:r>
        <w:rPr>
          <w:highlight w:val="none"/>
        </w:rPr>
        <w:fldChar w:fldCharType="separate"/>
      </w:r>
      <w:r>
        <w:rPr>
          <w:rStyle w:val="71"/>
          <w:rFonts w:hint="eastAsia" w:ascii="宋体" w:hAnsi="宋体" w:cs="宋体"/>
          <w:color w:val="auto"/>
          <w:highlight w:val="none"/>
        </w:rPr>
        <w:t>7.2 发包人提供的施工设备和临时设施（B）</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_Toc486160027 \h </w:instrText>
      </w:r>
      <w:r>
        <w:rPr>
          <w:rFonts w:hint="eastAsia" w:ascii="宋体" w:hAnsi="宋体"/>
          <w:highlight w:val="none"/>
        </w:rPr>
        <w:fldChar w:fldCharType="separate"/>
      </w:r>
      <w:r>
        <w:rPr>
          <w:rFonts w:hint="eastAsia" w:ascii="宋体" w:hAnsi="宋体"/>
          <w:highlight w:val="none"/>
        </w:rPr>
        <w:t>24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"_Toc486160028" </w:instrText>
      </w:r>
      <w:r>
        <w:rPr>
          <w:highlight w:val="none"/>
        </w:rPr>
        <w:fldChar w:fldCharType="separate"/>
      </w:r>
      <w:r>
        <w:rPr>
          <w:rStyle w:val="71"/>
          <w:rFonts w:hint="eastAsia" w:ascii="宋体" w:hAnsi="宋体" w:cs="宋体"/>
          <w:color w:val="auto"/>
          <w:highlight w:val="none"/>
        </w:rPr>
        <w:t>7.3 要求承包人增加或更换施工设备</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_Toc486160028 \h </w:instrText>
      </w:r>
      <w:r>
        <w:rPr>
          <w:rFonts w:hint="eastAsia" w:ascii="宋体" w:hAnsi="宋体"/>
          <w:highlight w:val="none"/>
        </w:rPr>
        <w:fldChar w:fldCharType="separate"/>
      </w:r>
      <w:r>
        <w:rPr>
          <w:rFonts w:hint="eastAsia" w:ascii="宋体" w:hAnsi="宋体"/>
          <w:highlight w:val="none"/>
        </w:rPr>
        <w:t>24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"_Toc486160029" </w:instrText>
      </w:r>
      <w:r>
        <w:rPr>
          <w:highlight w:val="none"/>
        </w:rPr>
        <w:fldChar w:fldCharType="separate"/>
      </w:r>
      <w:r>
        <w:rPr>
          <w:rStyle w:val="71"/>
          <w:rFonts w:hint="eastAsia" w:ascii="宋体" w:hAnsi="宋体" w:cs="宋体"/>
          <w:color w:val="auto"/>
          <w:highlight w:val="none"/>
        </w:rPr>
        <w:t>7.4 施工设备和临时设施专用于合同工程</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_Toc486160029 \h </w:instrText>
      </w:r>
      <w:r>
        <w:rPr>
          <w:rFonts w:hint="eastAsia" w:ascii="宋体" w:hAnsi="宋体"/>
          <w:highlight w:val="none"/>
        </w:rPr>
        <w:fldChar w:fldCharType="separate"/>
      </w:r>
      <w:r>
        <w:rPr>
          <w:rFonts w:hint="eastAsia" w:ascii="宋体" w:hAnsi="宋体"/>
          <w:highlight w:val="none"/>
        </w:rPr>
        <w:t>24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"_Toc486160030" </w:instrText>
      </w:r>
      <w:r>
        <w:rPr>
          <w:highlight w:val="none"/>
        </w:rPr>
        <w:fldChar w:fldCharType="separate"/>
      </w:r>
      <w:r>
        <w:rPr>
          <w:rStyle w:val="71"/>
          <w:rFonts w:hint="eastAsia" w:ascii="宋体" w:hAnsi="宋体" w:cs="宋体"/>
          <w:color w:val="auto"/>
          <w:highlight w:val="none"/>
        </w:rPr>
        <w:t>8. 交通运输</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_Toc486160030 \h </w:instrText>
      </w:r>
      <w:r>
        <w:rPr>
          <w:rFonts w:hint="eastAsia" w:ascii="宋体" w:hAnsi="宋体"/>
          <w:highlight w:val="none"/>
        </w:rPr>
        <w:fldChar w:fldCharType="separate"/>
      </w:r>
      <w:r>
        <w:rPr>
          <w:rFonts w:hint="eastAsia" w:ascii="宋体" w:hAnsi="宋体"/>
          <w:highlight w:val="none"/>
        </w:rPr>
        <w:t>24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"_Toc486160031" </w:instrText>
      </w:r>
      <w:r>
        <w:rPr>
          <w:highlight w:val="none"/>
        </w:rPr>
        <w:fldChar w:fldCharType="separate"/>
      </w:r>
      <w:r>
        <w:rPr>
          <w:rStyle w:val="71"/>
          <w:rFonts w:hint="eastAsia" w:ascii="宋体" w:hAnsi="宋体" w:cs="宋体"/>
          <w:color w:val="auto"/>
          <w:highlight w:val="none"/>
        </w:rPr>
        <w:t>8.1 道路通行权和场外设施（B）</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_Toc486160031 \h </w:instrText>
      </w:r>
      <w:r>
        <w:rPr>
          <w:rFonts w:hint="eastAsia" w:ascii="宋体" w:hAnsi="宋体"/>
          <w:highlight w:val="none"/>
        </w:rPr>
        <w:fldChar w:fldCharType="separate"/>
      </w:r>
      <w:r>
        <w:rPr>
          <w:rFonts w:hint="eastAsia" w:ascii="宋体" w:hAnsi="宋体"/>
          <w:highlight w:val="none"/>
        </w:rPr>
        <w:t>24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"_Toc486160032" </w:instrText>
      </w:r>
      <w:r>
        <w:rPr>
          <w:highlight w:val="none"/>
        </w:rPr>
        <w:fldChar w:fldCharType="separate"/>
      </w:r>
      <w:r>
        <w:rPr>
          <w:rStyle w:val="71"/>
          <w:rFonts w:hint="eastAsia" w:ascii="宋体" w:hAnsi="宋体" w:cs="宋体"/>
          <w:color w:val="auto"/>
          <w:highlight w:val="none"/>
        </w:rPr>
        <w:t>8.2 场内施工道路</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_Toc486160032 \h </w:instrText>
      </w:r>
      <w:r>
        <w:rPr>
          <w:rFonts w:hint="eastAsia" w:ascii="宋体" w:hAnsi="宋体"/>
          <w:highlight w:val="none"/>
        </w:rPr>
        <w:fldChar w:fldCharType="separate"/>
      </w:r>
      <w:r>
        <w:rPr>
          <w:rFonts w:hint="eastAsia" w:ascii="宋体" w:hAnsi="宋体"/>
          <w:highlight w:val="none"/>
        </w:rPr>
        <w:t>24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"_Toc486160033" </w:instrText>
      </w:r>
      <w:r>
        <w:rPr>
          <w:highlight w:val="none"/>
        </w:rPr>
        <w:fldChar w:fldCharType="separate"/>
      </w:r>
      <w:r>
        <w:rPr>
          <w:rStyle w:val="71"/>
          <w:rFonts w:hint="eastAsia" w:ascii="宋体" w:hAnsi="宋体" w:cs="宋体"/>
          <w:color w:val="auto"/>
          <w:highlight w:val="none"/>
        </w:rPr>
        <w:t>8.3 场外交通</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_Toc486160033 \h </w:instrText>
      </w:r>
      <w:r>
        <w:rPr>
          <w:rFonts w:hint="eastAsia" w:ascii="宋体" w:hAnsi="宋体"/>
          <w:highlight w:val="none"/>
        </w:rPr>
        <w:fldChar w:fldCharType="separate"/>
      </w:r>
      <w:r>
        <w:rPr>
          <w:rFonts w:hint="eastAsia" w:ascii="宋体" w:hAnsi="宋体"/>
          <w:highlight w:val="none"/>
        </w:rPr>
        <w:t>24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"_Toc486160034" </w:instrText>
      </w:r>
      <w:r>
        <w:rPr>
          <w:highlight w:val="none"/>
        </w:rPr>
        <w:fldChar w:fldCharType="separate"/>
      </w:r>
      <w:r>
        <w:rPr>
          <w:rStyle w:val="71"/>
          <w:rFonts w:hint="eastAsia" w:ascii="宋体" w:hAnsi="宋体" w:cs="宋体"/>
          <w:color w:val="auto"/>
          <w:highlight w:val="none"/>
        </w:rPr>
        <w:t>8.4 超大件和超重件的运输</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_Toc486160034 \h </w:instrText>
      </w:r>
      <w:r>
        <w:rPr>
          <w:rFonts w:hint="eastAsia" w:ascii="宋体" w:hAnsi="宋体"/>
          <w:highlight w:val="none"/>
        </w:rPr>
        <w:fldChar w:fldCharType="separate"/>
      </w:r>
      <w:r>
        <w:rPr>
          <w:rFonts w:hint="eastAsia" w:ascii="宋体" w:hAnsi="宋体"/>
          <w:highlight w:val="none"/>
        </w:rPr>
        <w:t>25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"_Toc486160035" </w:instrText>
      </w:r>
      <w:r>
        <w:rPr>
          <w:highlight w:val="none"/>
        </w:rPr>
        <w:fldChar w:fldCharType="separate"/>
      </w:r>
      <w:r>
        <w:rPr>
          <w:rStyle w:val="71"/>
          <w:rFonts w:hint="eastAsia" w:ascii="宋体" w:hAnsi="宋体" w:cs="宋体"/>
          <w:color w:val="auto"/>
          <w:highlight w:val="none"/>
        </w:rPr>
        <w:t>8.5 道路和桥梁的损坏责任</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_Toc486160035 \h </w:instrText>
      </w:r>
      <w:r>
        <w:rPr>
          <w:rFonts w:hint="eastAsia" w:ascii="宋体" w:hAnsi="宋体"/>
          <w:highlight w:val="none"/>
        </w:rPr>
        <w:fldChar w:fldCharType="separate"/>
      </w:r>
      <w:r>
        <w:rPr>
          <w:rFonts w:hint="eastAsia" w:ascii="宋体" w:hAnsi="宋体"/>
          <w:highlight w:val="none"/>
        </w:rPr>
        <w:t>25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"_Toc486160036" </w:instrText>
      </w:r>
      <w:r>
        <w:rPr>
          <w:highlight w:val="none"/>
        </w:rPr>
        <w:fldChar w:fldCharType="separate"/>
      </w:r>
      <w:r>
        <w:rPr>
          <w:rStyle w:val="71"/>
          <w:rFonts w:hint="eastAsia" w:ascii="宋体" w:hAnsi="宋体" w:cs="宋体"/>
          <w:color w:val="auto"/>
          <w:highlight w:val="none"/>
        </w:rPr>
        <w:t>8.6 水路和航空运输</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_Toc486160036 \h </w:instrText>
      </w:r>
      <w:r>
        <w:rPr>
          <w:rFonts w:hint="eastAsia" w:ascii="宋体" w:hAnsi="宋体"/>
          <w:highlight w:val="none"/>
        </w:rPr>
        <w:fldChar w:fldCharType="separate"/>
      </w:r>
      <w:r>
        <w:rPr>
          <w:rFonts w:hint="eastAsia" w:ascii="宋体" w:hAnsi="宋体"/>
          <w:highlight w:val="none"/>
        </w:rPr>
        <w:t>25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"_Toc486160037" </w:instrText>
      </w:r>
      <w:r>
        <w:rPr>
          <w:highlight w:val="none"/>
        </w:rPr>
        <w:fldChar w:fldCharType="separate"/>
      </w:r>
      <w:r>
        <w:rPr>
          <w:rStyle w:val="71"/>
          <w:rFonts w:hint="eastAsia" w:ascii="宋体" w:hAnsi="宋体" w:cs="宋体"/>
          <w:color w:val="auto"/>
          <w:highlight w:val="none"/>
        </w:rPr>
        <w:t>9. 测量放线</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_Toc486160037 \h </w:instrText>
      </w:r>
      <w:r>
        <w:rPr>
          <w:rFonts w:hint="eastAsia" w:ascii="宋体" w:hAnsi="宋体"/>
          <w:highlight w:val="none"/>
        </w:rPr>
        <w:fldChar w:fldCharType="separate"/>
      </w:r>
      <w:r>
        <w:rPr>
          <w:rFonts w:hint="eastAsia" w:ascii="宋体" w:hAnsi="宋体"/>
          <w:highlight w:val="none"/>
        </w:rPr>
        <w:t>25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"_Toc486160038" </w:instrText>
      </w:r>
      <w:r>
        <w:rPr>
          <w:highlight w:val="none"/>
        </w:rPr>
        <w:fldChar w:fldCharType="separate"/>
      </w:r>
      <w:r>
        <w:rPr>
          <w:rStyle w:val="71"/>
          <w:rFonts w:hint="eastAsia" w:ascii="宋体" w:hAnsi="宋体" w:cs="宋体"/>
          <w:color w:val="auto"/>
          <w:highlight w:val="none"/>
        </w:rPr>
        <w:t>9.1 施工控制网</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_Toc486160038 \h </w:instrText>
      </w:r>
      <w:r>
        <w:rPr>
          <w:rFonts w:hint="eastAsia" w:ascii="宋体" w:hAnsi="宋体"/>
          <w:highlight w:val="none"/>
        </w:rPr>
        <w:fldChar w:fldCharType="separate"/>
      </w:r>
      <w:r>
        <w:rPr>
          <w:rFonts w:hint="eastAsia" w:ascii="宋体" w:hAnsi="宋体"/>
          <w:highlight w:val="none"/>
        </w:rPr>
        <w:t>25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"_Toc486160039" </w:instrText>
      </w:r>
      <w:r>
        <w:rPr>
          <w:highlight w:val="none"/>
        </w:rPr>
        <w:fldChar w:fldCharType="separate"/>
      </w:r>
      <w:r>
        <w:rPr>
          <w:rStyle w:val="71"/>
          <w:rFonts w:hint="eastAsia" w:ascii="宋体" w:hAnsi="宋体" w:cs="宋体"/>
          <w:color w:val="auto"/>
          <w:highlight w:val="none"/>
        </w:rPr>
        <w:t>9.2 施工测量</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_Toc486160039 \h </w:instrText>
      </w:r>
      <w:r>
        <w:rPr>
          <w:rFonts w:hint="eastAsia" w:ascii="宋体" w:hAnsi="宋体"/>
          <w:highlight w:val="none"/>
        </w:rPr>
        <w:fldChar w:fldCharType="separate"/>
      </w:r>
      <w:r>
        <w:rPr>
          <w:rFonts w:hint="eastAsia" w:ascii="宋体" w:hAnsi="宋体"/>
          <w:highlight w:val="none"/>
        </w:rPr>
        <w:t>25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"_Toc486160040" </w:instrText>
      </w:r>
      <w:r>
        <w:rPr>
          <w:highlight w:val="none"/>
        </w:rPr>
        <w:fldChar w:fldCharType="separate"/>
      </w:r>
      <w:r>
        <w:rPr>
          <w:rStyle w:val="71"/>
          <w:rFonts w:hint="eastAsia" w:ascii="宋体" w:hAnsi="宋体" w:cs="宋体"/>
          <w:color w:val="auto"/>
          <w:highlight w:val="none"/>
        </w:rPr>
        <w:t>9.3 基准资料错误的责任</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_Toc486160040 \h </w:instrText>
      </w:r>
      <w:r>
        <w:rPr>
          <w:rFonts w:hint="eastAsia" w:ascii="宋体" w:hAnsi="宋体"/>
          <w:highlight w:val="none"/>
        </w:rPr>
        <w:fldChar w:fldCharType="separate"/>
      </w:r>
      <w:r>
        <w:rPr>
          <w:rFonts w:hint="eastAsia" w:ascii="宋体" w:hAnsi="宋体"/>
          <w:highlight w:val="none"/>
        </w:rPr>
        <w:t>25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"_Toc486160041" </w:instrText>
      </w:r>
      <w:r>
        <w:rPr>
          <w:highlight w:val="none"/>
        </w:rPr>
        <w:fldChar w:fldCharType="separate"/>
      </w:r>
      <w:r>
        <w:rPr>
          <w:rStyle w:val="71"/>
          <w:rFonts w:hint="eastAsia" w:ascii="宋体" w:hAnsi="宋体" w:cs="宋体"/>
          <w:color w:val="auto"/>
          <w:highlight w:val="none"/>
        </w:rPr>
        <w:t>9.4 监理人使用施工控制网</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_Toc486160041 \h </w:instrText>
      </w:r>
      <w:r>
        <w:rPr>
          <w:rFonts w:hint="eastAsia" w:ascii="宋体" w:hAnsi="宋体"/>
          <w:highlight w:val="none"/>
        </w:rPr>
        <w:fldChar w:fldCharType="separate"/>
      </w:r>
      <w:r>
        <w:rPr>
          <w:rFonts w:hint="eastAsia" w:ascii="宋体" w:hAnsi="宋体"/>
          <w:highlight w:val="none"/>
        </w:rPr>
        <w:t>26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"_Toc486160042" </w:instrText>
      </w:r>
      <w:r>
        <w:rPr>
          <w:highlight w:val="none"/>
        </w:rPr>
        <w:fldChar w:fldCharType="separate"/>
      </w:r>
      <w:r>
        <w:rPr>
          <w:rStyle w:val="71"/>
          <w:rFonts w:hint="eastAsia" w:ascii="宋体" w:hAnsi="宋体" w:cs="宋体"/>
          <w:color w:val="auto"/>
          <w:highlight w:val="none"/>
        </w:rPr>
        <w:t>10. 安全、治安保卫和环境保护</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_Toc486160042 \h </w:instrText>
      </w:r>
      <w:r>
        <w:rPr>
          <w:rFonts w:hint="eastAsia" w:ascii="宋体" w:hAnsi="宋体"/>
          <w:highlight w:val="none"/>
        </w:rPr>
        <w:fldChar w:fldCharType="separate"/>
      </w:r>
      <w:r>
        <w:rPr>
          <w:rFonts w:hint="eastAsia" w:ascii="宋体" w:hAnsi="宋体"/>
          <w:highlight w:val="none"/>
        </w:rPr>
        <w:t>26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"_Toc486160043" </w:instrText>
      </w:r>
      <w:r>
        <w:rPr>
          <w:highlight w:val="none"/>
        </w:rPr>
        <w:fldChar w:fldCharType="separate"/>
      </w:r>
      <w:r>
        <w:rPr>
          <w:rStyle w:val="71"/>
          <w:rFonts w:hint="eastAsia" w:ascii="宋体" w:hAnsi="宋体" w:cs="宋体"/>
          <w:color w:val="auto"/>
          <w:highlight w:val="none"/>
        </w:rPr>
        <w:t>10.1 发包人的安全责任</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_Toc486160043 \h </w:instrText>
      </w:r>
      <w:r>
        <w:rPr>
          <w:rFonts w:hint="eastAsia" w:ascii="宋体" w:hAnsi="宋体"/>
          <w:highlight w:val="none"/>
        </w:rPr>
        <w:fldChar w:fldCharType="separate"/>
      </w:r>
      <w:r>
        <w:rPr>
          <w:rFonts w:hint="eastAsia" w:ascii="宋体" w:hAnsi="宋体"/>
          <w:highlight w:val="none"/>
        </w:rPr>
        <w:t>26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"_Toc486160044" </w:instrText>
      </w:r>
      <w:r>
        <w:rPr>
          <w:highlight w:val="none"/>
        </w:rPr>
        <w:fldChar w:fldCharType="separate"/>
      </w:r>
      <w:r>
        <w:rPr>
          <w:rStyle w:val="71"/>
          <w:rFonts w:hint="eastAsia" w:ascii="宋体" w:hAnsi="宋体" w:cs="宋体"/>
          <w:color w:val="auto"/>
          <w:highlight w:val="none"/>
        </w:rPr>
        <w:t>10.2 承包人的安全责任</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_Toc486160044 \h </w:instrText>
      </w:r>
      <w:r>
        <w:rPr>
          <w:rFonts w:hint="eastAsia" w:ascii="宋体" w:hAnsi="宋体"/>
          <w:highlight w:val="none"/>
        </w:rPr>
        <w:fldChar w:fldCharType="separate"/>
      </w:r>
      <w:r>
        <w:rPr>
          <w:rFonts w:hint="eastAsia" w:ascii="宋体" w:hAnsi="宋体"/>
          <w:highlight w:val="none"/>
        </w:rPr>
        <w:t>26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"_Toc486160045" </w:instrText>
      </w:r>
      <w:r>
        <w:rPr>
          <w:highlight w:val="none"/>
        </w:rPr>
        <w:fldChar w:fldCharType="separate"/>
      </w:r>
      <w:r>
        <w:rPr>
          <w:rStyle w:val="71"/>
          <w:rFonts w:hint="eastAsia" w:ascii="宋体" w:hAnsi="宋体" w:cs="宋体"/>
          <w:color w:val="auto"/>
          <w:highlight w:val="none"/>
        </w:rPr>
        <w:t>10.3 治安保卫</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_Toc486160045 \h </w:instrText>
      </w:r>
      <w:r>
        <w:rPr>
          <w:rFonts w:hint="eastAsia" w:ascii="宋体" w:hAnsi="宋体"/>
          <w:highlight w:val="none"/>
        </w:rPr>
        <w:fldChar w:fldCharType="separate"/>
      </w:r>
      <w:r>
        <w:rPr>
          <w:rFonts w:hint="eastAsia" w:ascii="宋体" w:hAnsi="宋体"/>
          <w:highlight w:val="none"/>
        </w:rPr>
        <w:t>27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"_Toc486160046" </w:instrText>
      </w:r>
      <w:r>
        <w:rPr>
          <w:highlight w:val="none"/>
        </w:rPr>
        <w:fldChar w:fldCharType="separate"/>
      </w:r>
      <w:r>
        <w:rPr>
          <w:rStyle w:val="71"/>
          <w:rFonts w:hint="eastAsia" w:ascii="宋体" w:hAnsi="宋体" w:cs="宋体"/>
          <w:color w:val="auto"/>
          <w:highlight w:val="none"/>
        </w:rPr>
        <w:t>10.4 环境保护</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_Toc486160046 \h </w:instrText>
      </w:r>
      <w:r>
        <w:rPr>
          <w:rFonts w:hint="eastAsia" w:ascii="宋体" w:hAnsi="宋体"/>
          <w:highlight w:val="none"/>
        </w:rPr>
        <w:fldChar w:fldCharType="separate"/>
      </w:r>
      <w:r>
        <w:rPr>
          <w:rFonts w:hint="eastAsia" w:ascii="宋体" w:hAnsi="宋体"/>
          <w:highlight w:val="none"/>
        </w:rPr>
        <w:t>27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"_Toc486160047" </w:instrText>
      </w:r>
      <w:r>
        <w:rPr>
          <w:highlight w:val="none"/>
        </w:rPr>
        <w:fldChar w:fldCharType="separate"/>
      </w:r>
      <w:r>
        <w:rPr>
          <w:rStyle w:val="71"/>
          <w:rFonts w:hint="eastAsia" w:ascii="宋体" w:hAnsi="宋体" w:cs="宋体"/>
          <w:color w:val="auto"/>
          <w:highlight w:val="none"/>
        </w:rPr>
        <w:t>10.5 事故处理</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_Toc486160047 \h </w:instrText>
      </w:r>
      <w:r>
        <w:rPr>
          <w:rFonts w:hint="eastAsia" w:ascii="宋体" w:hAnsi="宋体"/>
          <w:highlight w:val="none"/>
        </w:rPr>
        <w:fldChar w:fldCharType="separate"/>
      </w:r>
      <w:r>
        <w:rPr>
          <w:rFonts w:hint="eastAsia" w:ascii="宋体" w:hAnsi="宋体"/>
          <w:highlight w:val="none"/>
        </w:rPr>
        <w:t>27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"_Toc486160048" </w:instrText>
      </w:r>
      <w:r>
        <w:rPr>
          <w:highlight w:val="none"/>
        </w:rPr>
        <w:fldChar w:fldCharType="separate"/>
      </w:r>
      <w:r>
        <w:rPr>
          <w:rStyle w:val="71"/>
          <w:rFonts w:hint="eastAsia" w:ascii="宋体" w:hAnsi="宋体" w:cs="宋体"/>
          <w:color w:val="auto"/>
          <w:highlight w:val="none"/>
        </w:rPr>
        <w:t>11. 开始工作和竣工</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_Toc486160048 \h </w:instrText>
      </w:r>
      <w:r>
        <w:rPr>
          <w:rFonts w:hint="eastAsia" w:ascii="宋体" w:hAnsi="宋体"/>
          <w:highlight w:val="none"/>
        </w:rPr>
        <w:fldChar w:fldCharType="separate"/>
      </w:r>
      <w:r>
        <w:rPr>
          <w:rFonts w:hint="eastAsia" w:ascii="宋体" w:hAnsi="宋体"/>
          <w:highlight w:val="none"/>
        </w:rPr>
        <w:t>27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"_Toc486160049" </w:instrText>
      </w:r>
      <w:r>
        <w:rPr>
          <w:highlight w:val="none"/>
        </w:rPr>
        <w:fldChar w:fldCharType="separate"/>
      </w:r>
      <w:r>
        <w:rPr>
          <w:rStyle w:val="71"/>
          <w:rFonts w:hint="eastAsia" w:ascii="宋体" w:hAnsi="宋体" w:cs="宋体"/>
          <w:color w:val="auto"/>
          <w:highlight w:val="none"/>
        </w:rPr>
        <w:t>11.1 开始工作</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_Toc486160049 \h </w:instrText>
      </w:r>
      <w:r>
        <w:rPr>
          <w:rFonts w:hint="eastAsia" w:ascii="宋体" w:hAnsi="宋体"/>
          <w:highlight w:val="none"/>
        </w:rPr>
        <w:fldChar w:fldCharType="separate"/>
      </w:r>
      <w:r>
        <w:rPr>
          <w:rFonts w:hint="eastAsia" w:ascii="宋体" w:hAnsi="宋体"/>
          <w:highlight w:val="none"/>
        </w:rPr>
        <w:t>27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"_Toc486160050" </w:instrText>
      </w:r>
      <w:r>
        <w:rPr>
          <w:highlight w:val="none"/>
        </w:rPr>
        <w:fldChar w:fldCharType="separate"/>
      </w:r>
      <w:r>
        <w:rPr>
          <w:rStyle w:val="71"/>
          <w:rFonts w:hint="eastAsia" w:ascii="宋体" w:hAnsi="宋体" w:cs="宋体"/>
          <w:color w:val="auto"/>
          <w:highlight w:val="none"/>
        </w:rPr>
        <w:t>11.2 竣工</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_Toc486160050 \h </w:instrText>
      </w:r>
      <w:r>
        <w:rPr>
          <w:rFonts w:hint="eastAsia" w:ascii="宋体" w:hAnsi="宋体"/>
          <w:highlight w:val="none"/>
        </w:rPr>
        <w:fldChar w:fldCharType="separate"/>
      </w:r>
      <w:r>
        <w:rPr>
          <w:rFonts w:hint="eastAsia" w:ascii="宋体" w:hAnsi="宋体"/>
          <w:highlight w:val="none"/>
        </w:rPr>
        <w:t>27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"_Toc486160051" </w:instrText>
      </w:r>
      <w:r>
        <w:rPr>
          <w:highlight w:val="none"/>
        </w:rPr>
        <w:fldChar w:fldCharType="separate"/>
      </w:r>
      <w:r>
        <w:rPr>
          <w:rStyle w:val="71"/>
          <w:rFonts w:hint="eastAsia" w:ascii="宋体" w:hAnsi="宋体" w:cs="宋体"/>
          <w:color w:val="auto"/>
          <w:highlight w:val="none"/>
        </w:rPr>
        <w:t>11.3 发包人引起的工期延误</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_Toc486160051 \h </w:instrText>
      </w:r>
      <w:r>
        <w:rPr>
          <w:rFonts w:hint="eastAsia" w:ascii="宋体" w:hAnsi="宋体"/>
          <w:highlight w:val="none"/>
        </w:rPr>
        <w:fldChar w:fldCharType="separate"/>
      </w:r>
      <w:r>
        <w:rPr>
          <w:rFonts w:hint="eastAsia" w:ascii="宋体" w:hAnsi="宋体"/>
          <w:highlight w:val="none"/>
        </w:rPr>
        <w:t>28</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"_Toc486160052" </w:instrText>
      </w:r>
      <w:r>
        <w:rPr>
          <w:highlight w:val="none"/>
        </w:rPr>
        <w:fldChar w:fldCharType="separate"/>
      </w:r>
      <w:r>
        <w:rPr>
          <w:rStyle w:val="71"/>
          <w:rFonts w:hint="eastAsia" w:ascii="宋体" w:hAnsi="宋体" w:cs="宋体"/>
          <w:color w:val="auto"/>
          <w:highlight w:val="none"/>
        </w:rPr>
        <w:t>11.4 异常恶劣的气候条件</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_Toc486160052 \h </w:instrText>
      </w:r>
      <w:r>
        <w:rPr>
          <w:rFonts w:hint="eastAsia" w:ascii="宋体" w:hAnsi="宋体"/>
          <w:highlight w:val="none"/>
        </w:rPr>
        <w:fldChar w:fldCharType="separate"/>
      </w:r>
      <w:r>
        <w:rPr>
          <w:rFonts w:hint="eastAsia" w:ascii="宋体" w:hAnsi="宋体"/>
          <w:highlight w:val="none"/>
        </w:rPr>
        <w:t>28</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"_Toc486160053" </w:instrText>
      </w:r>
      <w:r>
        <w:rPr>
          <w:highlight w:val="none"/>
        </w:rPr>
        <w:fldChar w:fldCharType="separate"/>
      </w:r>
      <w:r>
        <w:rPr>
          <w:rStyle w:val="71"/>
          <w:rFonts w:hint="eastAsia" w:ascii="宋体" w:hAnsi="宋体" w:cs="宋体"/>
          <w:color w:val="auto"/>
          <w:highlight w:val="none"/>
        </w:rPr>
        <w:t>11.5 承包人引起的工期延误</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_Toc486160053 \h </w:instrText>
      </w:r>
      <w:r>
        <w:rPr>
          <w:rFonts w:hint="eastAsia" w:ascii="宋体" w:hAnsi="宋体"/>
          <w:highlight w:val="none"/>
        </w:rPr>
        <w:fldChar w:fldCharType="separate"/>
      </w:r>
      <w:r>
        <w:rPr>
          <w:rFonts w:hint="eastAsia" w:ascii="宋体" w:hAnsi="宋体"/>
          <w:highlight w:val="none"/>
        </w:rPr>
        <w:t>28</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"_Toc486160054" </w:instrText>
      </w:r>
      <w:r>
        <w:rPr>
          <w:highlight w:val="none"/>
        </w:rPr>
        <w:fldChar w:fldCharType="separate"/>
      </w:r>
      <w:r>
        <w:rPr>
          <w:rStyle w:val="71"/>
          <w:rFonts w:hint="eastAsia" w:ascii="宋体" w:hAnsi="宋体" w:cs="宋体"/>
          <w:color w:val="auto"/>
          <w:highlight w:val="none"/>
        </w:rPr>
        <w:t>11.6 工期提前</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_Toc486160054 \h </w:instrText>
      </w:r>
      <w:r>
        <w:rPr>
          <w:rFonts w:hint="eastAsia" w:ascii="宋体" w:hAnsi="宋体"/>
          <w:highlight w:val="none"/>
        </w:rPr>
        <w:fldChar w:fldCharType="separate"/>
      </w:r>
      <w:r>
        <w:rPr>
          <w:rFonts w:hint="eastAsia" w:ascii="宋体" w:hAnsi="宋体"/>
          <w:highlight w:val="none"/>
        </w:rPr>
        <w:t>28</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"_Toc486160055" </w:instrText>
      </w:r>
      <w:r>
        <w:rPr>
          <w:highlight w:val="none"/>
        </w:rPr>
        <w:fldChar w:fldCharType="separate"/>
      </w:r>
      <w:r>
        <w:rPr>
          <w:rStyle w:val="71"/>
          <w:rFonts w:hint="eastAsia" w:ascii="宋体" w:hAnsi="宋体" w:cs="宋体"/>
          <w:color w:val="auto"/>
          <w:highlight w:val="none"/>
        </w:rPr>
        <w:t>11.7 行政审批迟延</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_Toc486160055 \h </w:instrText>
      </w:r>
      <w:r>
        <w:rPr>
          <w:rFonts w:hint="eastAsia" w:ascii="宋体" w:hAnsi="宋体"/>
          <w:highlight w:val="none"/>
        </w:rPr>
        <w:fldChar w:fldCharType="separate"/>
      </w:r>
      <w:r>
        <w:rPr>
          <w:rFonts w:hint="eastAsia" w:ascii="宋体" w:hAnsi="宋体"/>
          <w:highlight w:val="none"/>
        </w:rPr>
        <w:t>28</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"_Toc486160056" </w:instrText>
      </w:r>
      <w:r>
        <w:rPr>
          <w:highlight w:val="none"/>
        </w:rPr>
        <w:fldChar w:fldCharType="separate"/>
      </w:r>
      <w:r>
        <w:rPr>
          <w:rStyle w:val="71"/>
          <w:rFonts w:hint="eastAsia" w:ascii="宋体" w:hAnsi="宋体" w:cs="宋体"/>
          <w:color w:val="auto"/>
          <w:highlight w:val="none"/>
        </w:rPr>
        <w:t>12. 暂停工作</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_Toc486160056 \h </w:instrText>
      </w:r>
      <w:r>
        <w:rPr>
          <w:rFonts w:hint="eastAsia" w:ascii="宋体" w:hAnsi="宋体"/>
          <w:highlight w:val="none"/>
        </w:rPr>
        <w:fldChar w:fldCharType="separate"/>
      </w:r>
      <w:r>
        <w:rPr>
          <w:rFonts w:hint="eastAsia" w:ascii="宋体" w:hAnsi="宋体"/>
          <w:highlight w:val="none"/>
        </w:rPr>
        <w:t>29</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"_Toc486160057" </w:instrText>
      </w:r>
      <w:r>
        <w:rPr>
          <w:highlight w:val="none"/>
        </w:rPr>
        <w:fldChar w:fldCharType="separate"/>
      </w:r>
      <w:r>
        <w:rPr>
          <w:rStyle w:val="71"/>
          <w:rFonts w:hint="eastAsia" w:ascii="宋体" w:hAnsi="宋体" w:cs="宋体"/>
          <w:color w:val="auto"/>
          <w:highlight w:val="none"/>
        </w:rPr>
        <w:t>12.1 由发包人暂停工作</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_Toc486160057 \h </w:instrText>
      </w:r>
      <w:r>
        <w:rPr>
          <w:rFonts w:hint="eastAsia" w:ascii="宋体" w:hAnsi="宋体"/>
          <w:highlight w:val="none"/>
        </w:rPr>
        <w:fldChar w:fldCharType="separate"/>
      </w:r>
      <w:r>
        <w:rPr>
          <w:rFonts w:hint="eastAsia" w:ascii="宋体" w:hAnsi="宋体"/>
          <w:highlight w:val="none"/>
        </w:rPr>
        <w:t>29</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"_Toc486160058" </w:instrText>
      </w:r>
      <w:r>
        <w:rPr>
          <w:highlight w:val="none"/>
        </w:rPr>
        <w:fldChar w:fldCharType="separate"/>
      </w:r>
      <w:r>
        <w:rPr>
          <w:rStyle w:val="71"/>
          <w:rFonts w:hint="eastAsia" w:ascii="宋体" w:hAnsi="宋体" w:cs="宋体"/>
          <w:color w:val="auto"/>
          <w:highlight w:val="none"/>
        </w:rPr>
        <w:t>12.2 由承包人暂停工作</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_Toc486160058 \h </w:instrText>
      </w:r>
      <w:r>
        <w:rPr>
          <w:rFonts w:hint="eastAsia" w:ascii="宋体" w:hAnsi="宋体"/>
          <w:highlight w:val="none"/>
        </w:rPr>
        <w:fldChar w:fldCharType="separate"/>
      </w:r>
      <w:r>
        <w:rPr>
          <w:rFonts w:hint="eastAsia" w:ascii="宋体" w:hAnsi="宋体"/>
          <w:highlight w:val="none"/>
        </w:rPr>
        <w:t>29</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"_Toc486160059" </w:instrText>
      </w:r>
      <w:r>
        <w:rPr>
          <w:highlight w:val="none"/>
        </w:rPr>
        <w:fldChar w:fldCharType="separate"/>
      </w:r>
      <w:r>
        <w:rPr>
          <w:rStyle w:val="71"/>
          <w:rFonts w:hint="eastAsia" w:ascii="宋体" w:hAnsi="宋体" w:cs="宋体"/>
          <w:color w:val="auto"/>
          <w:highlight w:val="none"/>
        </w:rPr>
        <w:t>12.3 暂停工作后的照管</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_Toc486160059 \h </w:instrText>
      </w:r>
      <w:r>
        <w:rPr>
          <w:rFonts w:hint="eastAsia" w:ascii="宋体" w:hAnsi="宋体"/>
          <w:highlight w:val="none"/>
        </w:rPr>
        <w:fldChar w:fldCharType="separate"/>
      </w:r>
      <w:r>
        <w:rPr>
          <w:rFonts w:hint="eastAsia" w:ascii="宋体" w:hAnsi="宋体"/>
          <w:highlight w:val="none"/>
        </w:rPr>
        <w:t>29</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"_Toc486160060" </w:instrText>
      </w:r>
      <w:r>
        <w:rPr>
          <w:highlight w:val="none"/>
        </w:rPr>
        <w:fldChar w:fldCharType="separate"/>
      </w:r>
      <w:r>
        <w:rPr>
          <w:rStyle w:val="71"/>
          <w:rFonts w:hint="eastAsia" w:ascii="宋体" w:hAnsi="宋体" w:cs="宋体"/>
          <w:color w:val="auto"/>
          <w:highlight w:val="none"/>
        </w:rPr>
        <w:t>12.4 暂停工作后的复工</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_Toc486160060 \h </w:instrText>
      </w:r>
      <w:r>
        <w:rPr>
          <w:rFonts w:hint="eastAsia" w:ascii="宋体" w:hAnsi="宋体"/>
          <w:highlight w:val="none"/>
        </w:rPr>
        <w:fldChar w:fldCharType="separate"/>
      </w:r>
      <w:r>
        <w:rPr>
          <w:rFonts w:hint="eastAsia" w:ascii="宋体" w:hAnsi="宋体"/>
          <w:highlight w:val="none"/>
        </w:rPr>
        <w:t>29</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"_Toc486160061" </w:instrText>
      </w:r>
      <w:r>
        <w:rPr>
          <w:highlight w:val="none"/>
        </w:rPr>
        <w:fldChar w:fldCharType="separate"/>
      </w:r>
      <w:r>
        <w:rPr>
          <w:rStyle w:val="71"/>
          <w:rFonts w:hint="eastAsia" w:ascii="宋体" w:hAnsi="宋体" w:cs="宋体"/>
          <w:color w:val="auto"/>
          <w:highlight w:val="none"/>
        </w:rPr>
        <w:t>12.5 暂停工作56天以上</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_Toc486160061 \h </w:instrText>
      </w:r>
      <w:r>
        <w:rPr>
          <w:rFonts w:hint="eastAsia" w:ascii="宋体" w:hAnsi="宋体"/>
          <w:highlight w:val="none"/>
        </w:rPr>
        <w:fldChar w:fldCharType="separate"/>
      </w:r>
      <w:r>
        <w:rPr>
          <w:rFonts w:hint="eastAsia" w:ascii="宋体" w:hAnsi="宋体"/>
          <w:highlight w:val="none"/>
        </w:rPr>
        <w:t>30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"_Toc486160062" </w:instrText>
      </w:r>
      <w:r>
        <w:rPr>
          <w:highlight w:val="none"/>
        </w:rPr>
        <w:fldChar w:fldCharType="separate"/>
      </w:r>
      <w:r>
        <w:rPr>
          <w:rStyle w:val="71"/>
          <w:rFonts w:hint="eastAsia" w:ascii="宋体" w:hAnsi="宋体" w:cs="宋体"/>
          <w:color w:val="auto"/>
          <w:highlight w:val="none"/>
        </w:rPr>
        <w:t>13. 工程质量</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_Toc486160062 \h </w:instrText>
      </w:r>
      <w:r>
        <w:rPr>
          <w:rFonts w:hint="eastAsia" w:ascii="宋体" w:hAnsi="宋体"/>
          <w:highlight w:val="none"/>
        </w:rPr>
        <w:fldChar w:fldCharType="separate"/>
      </w:r>
      <w:r>
        <w:rPr>
          <w:rFonts w:hint="eastAsia" w:ascii="宋体" w:hAnsi="宋体"/>
          <w:highlight w:val="none"/>
        </w:rPr>
        <w:t>30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"_Toc486160063" </w:instrText>
      </w:r>
      <w:r>
        <w:rPr>
          <w:highlight w:val="none"/>
        </w:rPr>
        <w:fldChar w:fldCharType="separate"/>
      </w:r>
      <w:r>
        <w:rPr>
          <w:rStyle w:val="71"/>
          <w:rFonts w:hint="eastAsia" w:ascii="宋体" w:hAnsi="宋体" w:cs="宋体"/>
          <w:color w:val="auto"/>
          <w:highlight w:val="none"/>
        </w:rPr>
        <w:t>13.1 工程质量要求</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_Toc486160063 \h </w:instrText>
      </w:r>
      <w:r>
        <w:rPr>
          <w:rFonts w:hint="eastAsia" w:ascii="宋体" w:hAnsi="宋体"/>
          <w:highlight w:val="none"/>
        </w:rPr>
        <w:fldChar w:fldCharType="separate"/>
      </w:r>
      <w:r>
        <w:rPr>
          <w:rFonts w:hint="eastAsia" w:ascii="宋体" w:hAnsi="宋体"/>
          <w:highlight w:val="none"/>
        </w:rPr>
        <w:t>30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"_Toc486160064" </w:instrText>
      </w:r>
      <w:r>
        <w:rPr>
          <w:highlight w:val="none"/>
        </w:rPr>
        <w:fldChar w:fldCharType="separate"/>
      </w:r>
      <w:r>
        <w:rPr>
          <w:rStyle w:val="71"/>
          <w:rFonts w:hint="eastAsia" w:ascii="宋体" w:hAnsi="宋体" w:cs="宋体"/>
          <w:color w:val="auto"/>
          <w:highlight w:val="none"/>
        </w:rPr>
        <w:t>13.2 承包人的质量检查</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_Toc486160064 \h </w:instrText>
      </w:r>
      <w:r>
        <w:rPr>
          <w:rFonts w:hint="eastAsia" w:ascii="宋体" w:hAnsi="宋体"/>
          <w:highlight w:val="none"/>
        </w:rPr>
        <w:fldChar w:fldCharType="separate"/>
      </w:r>
      <w:r>
        <w:rPr>
          <w:rFonts w:hint="eastAsia" w:ascii="宋体" w:hAnsi="宋体"/>
          <w:highlight w:val="none"/>
        </w:rPr>
        <w:t>30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"_Toc486160065" </w:instrText>
      </w:r>
      <w:r>
        <w:rPr>
          <w:highlight w:val="none"/>
        </w:rPr>
        <w:fldChar w:fldCharType="separate"/>
      </w:r>
      <w:r>
        <w:rPr>
          <w:rStyle w:val="71"/>
          <w:rFonts w:hint="eastAsia" w:ascii="宋体" w:hAnsi="宋体" w:cs="宋体"/>
          <w:color w:val="auto"/>
          <w:highlight w:val="none"/>
        </w:rPr>
        <w:t>13.3 监理人的质量检查</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_Toc486160065 \h </w:instrText>
      </w:r>
      <w:r>
        <w:rPr>
          <w:rFonts w:hint="eastAsia" w:ascii="宋体" w:hAnsi="宋体"/>
          <w:highlight w:val="none"/>
        </w:rPr>
        <w:fldChar w:fldCharType="separate"/>
      </w:r>
      <w:r>
        <w:rPr>
          <w:rFonts w:hint="eastAsia" w:ascii="宋体" w:hAnsi="宋体"/>
          <w:highlight w:val="none"/>
        </w:rPr>
        <w:t>30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"_Toc486160066" </w:instrText>
      </w:r>
      <w:r>
        <w:rPr>
          <w:highlight w:val="none"/>
        </w:rPr>
        <w:fldChar w:fldCharType="separate"/>
      </w:r>
      <w:r>
        <w:rPr>
          <w:rStyle w:val="71"/>
          <w:rFonts w:hint="eastAsia" w:ascii="宋体" w:hAnsi="宋体" w:cs="宋体"/>
          <w:color w:val="auto"/>
          <w:highlight w:val="none"/>
        </w:rPr>
        <w:t>13.4 工程隐蔽部位覆盖前的检查</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_Toc486160066 \h </w:instrText>
      </w:r>
      <w:r>
        <w:rPr>
          <w:rFonts w:hint="eastAsia" w:ascii="宋体" w:hAnsi="宋体"/>
          <w:highlight w:val="none"/>
        </w:rPr>
        <w:fldChar w:fldCharType="separate"/>
      </w:r>
      <w:r>
        <w:rPr>
          <w:rFonts w:hint="eastAsia" w:ascii="宋体" w:hAnsi="宋体"/>
          <w:highlight w:val="none"/>
        </w:rPr>
        <w:t>30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"_Toc486160067" </w:instrText>
      </w:r>
      <w:r>
        <w:rPr>
          <w:highlight w:val="none"/>
        </w:rPr>
        <w:fldChar w:fldCharType="separate"/>
      </w:r>
      <w:r>
        <w:rPr>
          <w:rStyle w:val="71"/>
          <w:rFonts w:hint="eastAsia" w:ascii="宋体" w:hAnsi="宋体" w:cs="宋体"/>
          <w:color w:val="auto"/>
          <w:highlight w:val="none"/>
        </w:rPr>
        <w:t>13.5 清除不合格工程</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_Toc486160067 \h </w:instrText>
      </w:r>
      <w:r>
        <w:rPr>
          <w:rFonts w:hint="eastAsia" w:ascii="宋体" w:hAnsi="宋体"/>
          <w:highlight w:val="none"/>
        </w:rPr>
        <w:fldChar w:fldCharType="separate"/>
      </w:r>
      <w:r>
        <w:rPr>
          <w:rFonts w:hint="eastAsia" w:ascii="宋体" w:hAnsi="宋体"/>
          <w:highlight w:val="none"/>
        </w:rPr>
        <w:t>31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"_Toc486160068" </w:instrText>
      </w:r>
      <w:r>
        <w:rPr>
          <w:highlight w:val="none"/>
        </w:rPr>
        <w:fldChar w:fldCharType="separate"/>
      </w:r>
      <w:r>
        <w:rPr>
          <w:rStyle w:val="71"/>
          <w:rFonts w:hint="eastAsia" w:ascii="宋体" w:hAnsi="宋体" w:cs="宋体"/>
          <w:color w:val="auto"/>
          <w:highlight w:val="none"/>
        </w:rPr>
        <w:t>14. 试验和检验</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_Toc486160068 \h </w:instrText>
      </w:r>
      <w:r>
        <w:rPr>
          <w:rFonts w:hint="eastAsia" w:ascii="宋体" w:hAnsi="宋体"/>
          <w:highlight w:val="none"/>
        </w:rPr>
        <w:fldChar w:fldCharType="separate"/>
      </w:r>
      <w:r>
        <w:rPr>
          <w:rFonts w:hint="eastAsia" w:ascii="宋体" w:hAnsi="宋体"/>
          <w:highlight w:val="none"/>
        </w:rPr>
        <w:t>31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"_Toc486160069" </w:instrText>
      </w:r>
      <w:r>
        <w:rPr>
          <w:highlight w:val="none"/>
        </w:rPr>
        <w:fldChar w:fldCharType="separate"/>
      </w:r>
      <w:r>
        <w:rPr>
          <w:rStyle w:val="71"/>
          <w:rFonts w:hint="eastAsia" w:ascii="宋体" w:hAnsi="宋体" w:cs="宋体"/>
          <w:color w:val="auto"/>
          <w:highlight w:val="none"/>
        </w:rPr>
        <w:t>14.1 材料、工程设备和工程的试验和检验</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_Toc486160069 \h </w:instrText>
      </w:r>
      <w:r>
        <w:rPr>
          <w:rFonts w:hint="eastAsia" w:ascii="宋体" w:hAnsi="宋体"/>
          <w:highlight w:val="none"/>
        </w:rPr>
        <w:fldChar w:fldCharType="separate"/>
      </w:r>
      <w:r>
        <w:rPr>
          <w:rFonts w:hint="eastAsia" w:ascii="宋体" w:hAnsi="宋体"/>
          <w:highlight w:val="none"/>
        </w:rPr>
        <w:t>31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"_Toc486160070" </w:instrText>
      </w:r>
      <w:r>
        <w:rPr>
          <w:highlight w:val="none"/>
        </w:rPr>
        <w:fldChar w:fldCharType="separate"/>
      </w:r>
      <w:r>
        <w:rPr>
          <w:rStyle w:val="71"/>
          <w:rFonts w:hint="eastAsia" w:ascii="宋体" w:hAnsi="宋体" w:cs="宋体"/>
          <w:color w:val="auto"/>
          <w:highlight w:val="none"/>
        </w:rPr>
        <w:t>14.2 现场材料试验</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_Toc486160070 \h </w:instrText>
      </w:r>
      <w:r>
        <w:rPr>
          <w:rFonts w:hint="eastAsia" w:ascii="宋体" w:hAnsi="宋体"/>
          <w:highlight w:val="none"/>
        </w:rPr>
        <w:fldChar w:fldCharType="separate"/>
      </w:r>
      <w:r>
        <w:rPr>
          <w:rFonts w:hint="eastAsia" w:ascii="宋体" w:hAnsi="宋体"/>
          <w:highlight w:val="none"/>
        </w:rPr>
        <w:t>32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"_Toc486160071" </w:instrText>
      </w:r>
      <w:r>
        <w:rPr>
          <w:highlight w:val="none"/>
        </w:rPr>
        <w:fldChar w:fldCharType="separate"/>
      </w:r>
      <w:r>
        <w:rPr>
          <w:rStyle w:val="71"/>
          <w:rFonts w:hint="eastAsia" w:ascii="宋体" w:hAnsi="宋体" w:cs="宋体"/>
          <w:color w:val="auto"/>
          <w:highlight w:val="none"/>
        </w:rPr>
        <w:t>14.3 现场工艺试验</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_Toc486160071 \h </w:instrText>
      </w:r>
      <w:r>
        <w:rPr>
          <w:rFonts w:hint="eastAsia" w:ascii="宋体" w:hAnsi="宋体"/>
          <w:highlight w:val="none"/>
        </w:rPr>
        <w:fldChar w:fldCharType="separate"/>
      </w:r>
      <w:r>
        <w:rPr>
          <w:rFonts w:hint="eastAsia" w:ascii="宋体" w:hAnsi="宋体"/>
          <w:highlight w:val="none"/>
        </w:rPr>
        <w:t>32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"_Toc486160072" </w:instrText>
      </w:r>
      <w:r>
        <w:rPr>
          <w:highlight w:val="none"/>
        </w:rPr>
        <w:fldChar w:fldCharType="separate"/>
      </w:r>
      <w:r>
        <w:rPr>
          <w:rStyle w:val="71"/>
          <w:rFonts w:hint="eastAsia" w:ascii="宋体" w:hAnsi="宋体" w:cs="宋体"/>
          <w:color w:val="auto"/>
          <w:highlight w:val="none"/>
        </w:rPr>
        <w:t>15. 变更</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_Toc486160072 \h </w:instrText>
      </w:r>
      <w:r>
        <w:rPr>
          <w:rFonts w:hint="eastAsia" w:ascii="宋体" w:hAnsi="宋体"/>
          <w:highlight w:val="none"/>
        </w:rPr>
        <w:fldChar w:fldCharType="separate"/>
      </w:r>
      <w:r>
        <w:rPr>
          <w:rFonts w:hint="eastAsia" w:ascii="宋体" w:hAnsi="宋体"/>
          <w:highlight w:val="none"/>
        </w:rPr>
        <w:t>32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"_Toc486160073" </w:instrText>
      </w:r>
      <w:r>
        <w:rPr>
          <w:highlight w:val="none"/>
        </w:rPr>
        <w:fldChar w:fldCharType="separate"/>
      </w:r>
      <w:r>
        <w:rPr>
          <w:rStyle w:val="71"/>
          <w:rFonts w:hint="eastAsia" w:ascii="宋体" w:hAnsi="宋体" w:cs="宋体"/>
          <w:color w:val="auto"/>
          <w:highlight w:val="none"/>
        </w:rPr>
        <w:t>15.1 变更权</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_Toc486160073 \h </w:instrText>
      </w:r>
      <w:r>
        <w:rPr>
          <w:rFonts w:hint="eastAsia" w:ascii="宋体" w:hAnsi="宋体"/>
          <w:highlight w:val="none"/>
        </w:rPr>
        <w:fldChar w:fldCharType="separate"/>
      </w:r>
      <w:r>
        <w:rPr>
          <w:rFonts w:hint="eastAsia" w:ascii="宋体" w:hAnsi="宋体"/>
          <w:highlight w:val="none"/>
        </w:rPr>
        <w:t>32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"_Toc486160074" </w:instrText>
      </w:r>
      <w:r>
        <w:rPr>
          <w:highlight w:val="none"/>
        </w:rPr>
        <w:fldChar w:fldCharType="separate"/>
      </w:r>
      <w:r>
        <w:rPr>
          <w:rStyle w:val="71"/>
          <w:rFonts w:hint="eastAsia" w:ascii="宋体" w:hAnsi="宋体" w:cs="宋体"/>
          <w:color w:val="auto"/>
          <w:highlight w:val="none"/>
        </w:rPr>
        <w:t>15.2 承包人的合理化建议</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_Toc486160074 \h </w:instrText>
      </w:r>
      <w:r>
        <w:rPr>
          <w:rFonts w:hint="eastAsia" w:ascii="宋体" w:hAnsi="宋体"/>
          <w:highlight w:val="none"/>
        </w:rPr>
        <w:fldChar w:fldCharType="separate"/>
      </w:r>
      <w:r>
        <w:rPr>
          <w:rFonts w:hint="eastAsia" w:ascii="宋体" w:hAnsi="宋体"/>
          <w:highlight w:val="none"/>
        </w:rPr>
        <w:t>32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"_Toc486160075" </w:instrText>
      </w:r>
      <w:r>
        <w:rPr>
          <w:highlight w:val="none"/>
        </w:rPr>
        <w:fldChar w:fldCharType="separate"/>
      </w:r>
      <w:r>
        <w:rPr>
          <w:rStyle w:val="71"/>
          <w:rFonts w:hint="eastAsia" w:ascii="宋体" w:hAnsi="宋体" w:cs="宋体"/>
          <w:color w:val="auto"/>
          <w:highlight w:val="none"/>
        </w:rPr>
        <w:t>15.3 变更程序</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_Toc486160075 \h </w:instrText>
      </w:r>
      <w:r>
        <w:rPr>
          <w:rFonts w:hint="eastAsia" w:ascii="宋体" w:hAnsi="宋体"/>
          <w:highlight w:val="none"/>
        </w:rPr>
        <w:fldChar w:fldCharType="separate"/>
      </w:r>
      <w:r>
        <w:rPr>
          <w:rFonts w:hint="eastAsia" w:ascii="宋体" w:hAnsi="宋体"/>
          <w:highlight w:val="none"/>
        </w:rPr>
        <w:t>32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"_Toc486160076" </w:instrText>
      </w:r>
      <w:r>
        <w:rPr>
          <w:highlight w:val="none"/>
        </w:rPr>
        <w:fldChar w:fldCharType="separate"/>
      </w:r>
      <w:r>
        <w:rPr>
          <w:rStyle w:val="71"/>
          <w:rFonts w:hint="eastAsia" w:ascii="宋体" w:hAnsi="宋体" w:cs="宋体"/>
          <w:color w:val="auto"/>
          <w:highlight w:val="none"/>
        </w:rPr>
        <w:t>15.4 暂列金额</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_Toc486160076 \h </w:instrText>
      </w:r>
      <w:r>
        <w:rPr>
          <w:rFonts w:hint="eastAsia" w:ascii="宋体" w:hAnsi="宋体"/>
          <w:highlight w:val="none"/>
        </w:rPr>
        <w:fldChar w:fldCharType="separate"/>
      </w:r>
      <w:r>
        <w:rPr>
          <w:rFonts w:hint="eastAsia" w:ascii="宋体" w:hAnsi="宋体"/>
          <w:highlight w:val="none"/>
        </w:rPr>
        <w:t>33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"_Toc486160077" </w:instrText>
      </w:r>
      <w:r>
        <w:rPr>
          <w:highlight w:val="none"/>
        </w:rPr>
        <w:fldChar w:fldCharType="separate"/>
      </w:r>
      <w:r>
        <w:rPr>
          <w:rStyle w:val="71"/>
          <w:rFonts w:hint="eastAsia" w:ascii="宋体" w:hAnsi="宋体" w:cs="宋体"/>
          <w:color w:val="auto"/>
          <w:highlight w:val="none"/>
        </w:rPr>
        <w:t>15.5 计日工（A）</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_Toc486160077 \h </w:instrText>
      </w:r>
      <w:r>
        <w:rPr>
          <w:rFonts w:hint="eastAsia" w:ascii="宋体" w:hAnsi="宋体"/>
          <w:highlight w:val="none"/>
        </w:rPr>
        <w:fldChar w:fldCharType="separate"/>
      </w:r>
      <w:r>
        <w:rPr>
          <w:rFonts w:hint="eastAsia" w:ascii="宋体" w:hAnsi="宋体"/>
          <w:highlight w:val="none"/>
        </w:rPr>
        <w:t>33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"_Toc486160078" </w:instrText>
      </w:r>
      <w:r>
        <w:rPr>
          <w:highlight w:val="none"/>
        </w:rPr>
        <w:fldChar w:fldCharType="separate"/>
      </w:r>
      <w:r>
        <w:rPr>
          <w:rStyle w:val="71"/>
          <w:rFonts w:hint="eastAsia" w:ascii="宋体" w:hAnsi="宋体" w:cs="宋体"/>
          <w:color w:val="auto"/>
          <w:highlight w:val="none"/>
        </w:rPr>
        <w:t>15.6 暂估价（B）</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_Toc486160078 \h </w:instrText>
      </w:r>
      <w:r>
        <w:rPr>
          <w:rFonts w:hint="eastAsia" w:ascii="宋体" w:hAnsi="宋体"/>
          <w:highlight w:val="none"/>
        </w:rPr>
        <w:fldChar w:fldCharType="separate"/>
      </w:r>
      <w:r>
        <w:rPr>
          <w:rFonts w:hint="eastAsia" w:ascii="宋体" w:hAnsi="宋体"/>
          <w:highlight w:val="none"/>
        </w:rPr>
        <w:t>33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"_Toc486160079" </w:instrText>
      </w:r>
      <w:r>
        <w:rPr>
          <w:highlight w:val="none"/>
        </w:rPr>
        <w:fldChar w:fldCharType="separate"/>
      </w:r>
      <w:r>
        <w:rPr>
          <w:rStyle w:val="71"/>
          <w:rFonts w:hint="eastAsia" w:ascii="宋体" w:hAnsi="宋体" w:cs="宋体"/>
          <w:color w:val="auto"/>
          <w:highlight w:val="none"/>
        </w:rPr>
        <w:t>16. 价格调整</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_Toc486160079 \h </w:instrText>
      </w:r>
      <w:r>
        <w:rPr>
          <w:rFonts w:hint="eastAsia" w:ascii="宋体" w:hAnsi="宋体"/>
          <w:highlight w:val="none"/>
        </w:rPr>
        <w:fldChar w:fldCharType="separate"/>
      </w:r>
      <w:r>
        <w:rPr>
          <w:rFonts w:hint="eastAsia" w:ascii="宋体" w:hAnsi="宋体"/>
          <w:highlight w:val="none"/>
        </w:rPr>
        <w:t>33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"_Toc486160080" </w:instrText>
      </w:r>
      <w:r>
        <w:rPr>
          <w:highlight w:val="none"/>
        </w:rPr>
        <w:fldChar w:fldCharType="separate"/>
      </w:r>
      <w:r>
        <w:rPr>
          <w:rStyle w:val="71"/>
          <w:rFonts w:hint="eastAsia" w:ascii="宋体" w:hAnsi="宋体" w:cs="宋体"/>
          <w:color w:val="auto"/>
          <w:highlight w:val="none"/>
        </w:rPr>
        <w:t>16.1 物价波动引起的调整（B）</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_Toc486160080 \h </w:instrText>
      </w:r>
      <w:r>
        <w:rPr>
          <w:rFonts w:hint="eastAsia" w:ascii="宋体" w:hAnsi="宋体"/>
          <w:highlight w:val="none"/>
        </w:rPr>
        <w:fldChar w:fldCharType="separate"/>
      </w:r>
      <w:r>
        <w:rPr>
          <w:rFonts w:hint="eastAsia" w:ascii="宋体" w:hAnsi="宋体"/>
          <w:highlight w:val="none"/>
        </w:rPr>
        <w:t>33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"_Toc486160081" </w:instrText>
      </w:r>
      <w:r>
        <w:rPr>
          <w:highlight w:val="none"/>
        </w:rPr>
        <w:fldChar w:fldCharType="separate"/>
      </w:r>
      <w:r>
        <w:rPr>
          <w:rStyle w:val="71"/>
          <w:rFonts w:hint="eastAsia" w:ascii="宋体" w:hAnsi="宋体" w:cs="宋体"/>
          <w:color w:val="auto"/>
          <w:highlight w:val="none"/>
        </w:rPr>
        <w:t>16.2 法律变化引起的调整</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_Toc486160081 \h </w:instrText>
      </w:r>
      <w:r>
        <w:rPr>
          <w:rFonts w:hint="eastAsia" w:ascii="宋体" w:hAnsi="宋体"/>
          <w:highlight w:val="none"/>
        </w:rPr>
        <w:fldChar w:fldCharType="separate"/>
      </w:r>
      <w:r>
        <w:rPr>
          <w:rFonts w:hint="eastAsia" w:ascii="宋体" w:hAnsi="宋体"/>
          <w:highlight w:val="none"/>
        </w:rPr>
        <w:t>33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"_Toc486160082" </w:instrText>
      </w:r>
      <w:r>
        <w:rPr>
          <w:highlight w:val="none"/>
        </w:rPr>
        <w:fldChar w:fldCharType="separate"/>
      </w:r>
      <w:r>
        <w:rPr>
          <w:rStyle w:val="71"/>
          <w:rFonts w:hint="eastAsia" w:ascii="宋体" w:hAnsi="宋体" w:cs="宋体"/>
          <w:color w:val="auto"/>
          <w:highlight w:val="none"/>
        </w:rPr>
        <w:t>17. 合同价格与支付</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_Toc486160082 \h </w:instrText>
      </w:r>
      <w:r>
        <w:rPr>
          <w:rFonts w:hint="eastAsia" w:ascii="宋体" w:hAnsi="宋体"/>
          <w:highlight w:val="none"/>
        </w:rPr>
        <w:fldChar w:fldCharType="separate"/>
      </w:r>
      <w:r>
        <w:rPr>
          <w:rFonts w:hint="eastAsia" w:ascii="宋体" w:hAnsi="宋体"/>
          <w:highlight w:val="none"/>
        </w:rPr>
        <w:t>34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"_Toc486160083" </w:instrText>
      </w:r>
      <w:r>
        <w:rPr>
          <w:highlight w:val="none"/>
        </w:rPr>
        <w:fldChar w:fldCharType="separate"/>
      </w:r>
      <w:r>
        <w:rPr>
          <w:rStyle w:val="71"/>
          <w:rFonts w:hint="eastAsia" w:ascii="宋体" w:hAnsi="宋体" w:cs="宋体"/>
          <w:color w:val="auto"/>
          <w:highlight w:val="none"/>
        </w:rPr>
        <w:t>17.1 合同价格</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_Toc486160083 \h </w:instrText>
      </w:r>
      <w:r>
        <w:rPr>
          <w:rFonts w:hint="eastAsia" w:ascii="宋体" w:hAnsi="宋体"/>
          <w:highlight w:val="none"/>
        </w:rPr>
        <w:fldChar w:fldCharType="separate"/>
      </w:r>
      <w:r>
        <w:rPr>
          <w:rFonts w:hint="eastAsia" w:ascii="宋体" w:hAnsi="宋体"/>
          <w:highlight w:val="none"/>
        </w:rPr>
        <w:t>34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"_Toc486160084" </w:instrText>
      </w:r>
      <w:r>
        <w:rPr>
          <w:highlight w:val="none"/>
        </w:rPr>
        <w:fldChar w:fldCharType="separate"/>
      </w:r>
      <w:r>
        <w:rPr>
          <w:rStyle w:val="71"/>
          <w:rFonts w:hint="eastAsia" w:ascii="宋体" w:hAnsi="宋体" w:cs="宋体"/>
          <w:color w:val="auto"/>
          <w:highlight w:val="none"/>
        </w:rPr>
        <w:t>17.2 预付款</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_Toc486160084 \h </w:instrText>
      </w:r>
      <w:r>
        <w:rPr>
          <w:rFonts w:hint="eastAsia" w:ascii="宋体" w:hAnsi="宋体"/>
          <w:highlight w:val="none"/>
        </w:rPr>
        <w:fldChar w:fldCharType="separate"/>
      </w:r>
      <w:r>
        <w:rPr>
          <w:rFonts w:hint="eastAsia" w:ascii="宋体" w:hAnsi="宋体"/>
          <w:highlight w:val="none"/>
        </w:rPr>
        <w:t>34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"_Toc486160085" </w:instrText>
      </w:r>
      <w:r>
        <w:rPr>
          <w:highlight w:val="none"/>
        </w:rPr>
        <w:fldChar w:fldCharType="separate"/>
      </w:r>
      <w:r>
        <w:rPr>
          <w:rStyle w:val="71"/>
          <w:rFonts w:hint="eastAsia" w:ascii="宋体" w:hAnsi="宋体" w:cs="宋体"/>
          <w:color w:val="auto"/>
          <w:highlight w:val="none"/>
        </w:rPr>
        <w:t>17.3 工程进度付款</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_Toc486160085 \h </w:instrText>
      </w:r>
      <w:r>
        <w:rPr>
          <w:rFonts w:hint="eastAsia" w:ascii="宋体" w:hAnsi="宋体"/>
          <w:highlight w:val="none"/>
        </w:rPr>
        <w:fldChar w:fldCharType="separate"/>
      </w:r>
      <w:r>
        <w:rPr>
          <w:rFonts w:hint="eastAsia" w:ascii="宋体" w:hAnsi="宋体"/>
          <w:highlight w:val="none"/>
        </w:rPr>
        <w:t>34</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"_Toc486160086" </w:instrText>
      </w:r>
      <w:r>
        <w:rPr>
          <w:highlight w:val="none"/>
        </w:rPr>
        <w:fldChar w:fldCharType="separate"/>
      </w:r>
      <w:r>
        <w:rPr>
          <w:rStyle w:val="71"/>
          <w:rFonts w:hint="eastAsia" w:ascii="宋体" w:hAnsi="宋体" w:cs="宋体"/>
          <w:color w:val="auto"/>
          <w:highlight w:val="none"/>
        </w:rPr>
        <w:t>17.4 质量保证金</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_Toc486160086 \h </w:instrText>
      </w:r>
      <w:r>
        <w:rPr>
          <w:rFonts w:hint="eastAsia" w:ascii="宋体" w:hAnsi="宋体"/>
          <w:highlight w:val="none"/>
        </w:rPr>
        <w:fldChar w:fldCharType="separate"/>
      </w:r>
      <w:r>
        <w:rPr>
          <w:rFonts w:hint="eastAsia" w:ascii="宋体" w:hAnsi="宋体"/>
          <w:highlight w:val="none"/>
        </w:rPr>
        <w:t>36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"_Toc486160087" </w:instrText>
      </w:r>
      <w:r>
        <w:rPr>
          <w:highlight w:val="none"/>
        </w:rPr>
        <w:fldChar w:fldCharType="separate"/>
      </w:r>
      <w:r>
        <w:rPr>
          <w:rStyle w:val="71"/>
          <w:rFonts w:hint="eastAsia" w:ascii="宋体" w:hAnsi="宋体" w:cs="宋体"/>
          <w:color w:val="auto"/>
          <w:highlight w:val="none"/>
        </w:rPr>
        <w:t>17.5 竣工结算</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_Toc486160087 \h </w:instrText>
      </w:r>
      <w:r>
        <w:rPr>
          <w:rFonts w:hint="eastAsia" w:ascii="宋体" w:hAnsi="宋体"/>
          <w:highlight w:val="none"/>
        </w:rPr>
        <w:fldChar w:fldCharType="separate"/>
      </w:r>
      <w:r>
        <w:rPr>
          <w:rFonts w:hint="eastAsia" w:ascii="宋体" w:hAnsi="宋体"/>
          <w:highlight w:val="none"/>
        </w:rPr>
        <w:t>36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"_Toc486160088" </w:instrText>
      </w:r>
      <w:r>
        <w:rPr>
          <w:highlight w:val="none"/>
        </w:rPr>
        <w:fldChar w:fldCharType="separate"/>
      </w:r>
      <w:r>
        <w:rPr>
          <w:rStyle w:val="71"/>
          <w:rFonts w:hint="eastAsia" w:ascii="宋体" w:hAnsi="宋体" w:cs="宋体"/>
          <w:color w:val="auto"/>
          <w:highlight w:val="none"/>
        </w:rPr>
        <w:t>17.6 最终结清</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_Toc486160088 \h </w:instrText>
      </w:r>
      <w:r>
        <w:rPr>
          <w:rFonts w:hint="eastAsia" w:ascii="宋体" w:hAnsi="宋体"/>
          <w:highlight w:val="none"/>
        </w:rPr>
        <w:fldChar w:fldCharType="separate"/>
      </w:r>
      <w:r>
        <w:rPr>
          <w:rFonts w:hint="eastAsia" w:ascii="宋体" w:hAnsi="宋体"/>
          <w:highlight w:val="none"/>
        </w:rPr>
        <w:t>37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"_Toc486160089" </w:instrText>
      </w:r>
      <w:r>
        <w:rPr>
          <w:highlight w:val="none"/>
        </w:rPr>
        <w:fldChar w:fldCharType="separate"/>
      </w:r>
      <w:r>
        <w:rPr>
          <w:rStyle w:val="71"/>
          <w:rFonts w:hint="eastAsia" w:ascii="宋体" w:hAnsi="宋体" w:cs="宋体"/>
          <w:color w:val="auto"/>
          <w:highlight w:val="none"/>
        </w:rPr>
        <w:t>18. 竣工试验和竣工验收</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_Toc486160089 \h </w:instrText>
      </w:r>
      <w:r>
        <w:rPr>
          <w:rFonts w:hint="eastAsia" w:ascii="宋体" w:hAnsi="宋体"/>
          <w:highlight w:val="none"/>
        </w:rPr>
        <w:fldChar w:fldCharType="separate"/>
      </w:r>
      <w:r>
        <w:rPr>
          <w:rFonts w:hint="eastAsia" w:ascii="宋体" w:hAnsi="宋体"/>
          <w:highlight w:val="none"/>
        </w:rPr>
        <w:t>37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"_Toc486160090" </w:instrText>
      </w:r>
      <w:r>
        <w:rPr>
          <w:highlight w:val="none"/>
        </w:rPr>
        <w:fldChar w:fldCharType="separate"/>
      </w:r>
      <w:r>
        <w:rPr>
          <w:rStyle w:val="71"/>
          <w:rFonts w:hint="eastAsia" w:ascii="宋体" w:hAnsi="宋体" w:cs="宋体"/>
          <w:color w:val="auto"/>
          <w:highlight w:val="none"/>
        </w:rPr>
        <w:t>18.1 竣工试验</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_Toc486160090 \h </w:instrText>
      </w:r>
      <w:r>
        <w:rPr>
          <w:rFonts w:hint="eastAsia" w:ascii="宋体" w:hAnsi="宋体"/>
          <w:highlight w:val="none"/>
        </w:rPr>
        <w:fldChar w:fldCharType="separate"/>
      </w:r>
      <w:r>
        <w:rPr>
          <w:rFonts w:hint="eastAsia" w:ascii="宋体" w:hAnsi="宋体"/>
          <w:highlight w:val="none"/>
        </w:rPr>
        <w:t>37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"_Toc486160091" </w:instrText>
      </w:r>
      <w:r>
        <w:rPr>
          <w:highlight w:val="none"/>
        </w:rPr>
        <w:fldChar w:fldCharType="separate"/>
      </w:r>
      <w:r>
        <w:rPr>
          <w:rStyle w:val="71"/>
          <w:rFonts w:hint="eastAsia" w:ascii="宋体" w:hAnsi="宋体" w:cs="宋体"/>
          <w:color w:val="auto"/>
          <w:highlight w:val="none"/>
        </w:rPr>
        <w:t>18.2 竣工验收申请报告</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_Toc486160091 \h </w:instrText>
      </w:r>
      <w:r>
        <w:rPr>
          <w:rFonts w:hint="eastAsia" w:ascii="宋体" w:hAnsi="宋体"/>
          <w:highlight w:val="none"/>
        </w:rPr>
        <w:fldChar w:fldCharType="separate"/>
      </w:r>
      <w:r>
        <w:rPr>
          <w:rFonts w:hint="eastAsia" w:ascii="宋体" w:hAnsi="宋体"/>
          <w:highlight w:val="none"/>
        </w:rPr>
        <w:t>38</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"_Toc486160092" </w:instrText>
      </w:r>
      <w:r>
        <w:rPr>
          <w:highlight w:val="none"/>
        </w:rPr>
        <w:fldChar w:fldCharType="separate"/>
      </w:r>
      <w:r>
        <w:rPr>
          <w:rStyle w:val="71"/>
          <w:rFonts w:hint="eastAsia" w:ascii="宋体" w:hAnsi="宋体" w:cs="宋体"/>
          <w:color w:val="auto"/>
          <w:highlight w:val="none"/>
        </w:rPr>
        <w:t>18.3 竣工验收</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_Toc486160092 \h </w:instrText>
      </w:r>
      <w:r>
        <w:rPr>
          <w:rFonts w:hint="eastAsia" w:ascii="宋体" w:hAnsi="宋体"/>
          <w:highlight w:val="none"/>
        </w:rPr>
        <w:fldChar w:fldCharType="separate"/>
      </w:r>
      <w:r>
        <w:rPr>
          <w:rFonts w:hint="eastAsia" w:ascii="宋体" w:hAnsi="宋体"/>
          <w:highlight w:val="none"/>
        </w:rPr>
        <w:t>38</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"_Toc486160093" </w:instrText>
      </w:r>
      <w:r>
        <w:rPr>
          <w:highlight w:val="none"/>
        </w:rPr>
        <w:fldChar w:fldCharType="separate"/>
      </w:r>
      <w:r>
        <w:rPr>
          <w:rStyle w:val="71"/>
          <w:rFonts w:hint="eastAsia" w:ascii="宋体" w:hAnsi="宋体" w:cs="宋体"/>
          <w:color w:val="auto"/>
          <w:highlight w:val="none"/>
        </w:rPr>
        <w:t>18.4 国家验收</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_Toc486160093 \h </w:instrText>
      </w:r>
      <w:r>
        <w:rPr>
          <w:rFonts w:hint="eastAsia" w:ascii="宋体" w:hAnsi="宋体"/>
          <w:highlight w:val="none"/>
        </w:rPr>
        <w:fldChar w:fldCharType="separate"/>
      </w:r>
      <w:r>
        <w:rPr>
          <w:rFonts w:hint="eastAsia" w:ascii="宋体" w:hAnsi="宋体"/>
          <w:highlight w:val="none"/>
        </w:rPr>
        <w:t>39</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"_Toc486160094" </w:instrText>
      </w:r>
      <w:r>
        <w:rPr>
          <w:highlight w:val="none"/>
        </w:rPr>
        <w:fldChar w:fldCharType="separate"/>
      </w:r>
      <w:r>
        <w:rPr>
          <w:rStyle w:val="71"/>
          <w:rFonts w:hint="eastAsia" w:ascii="宋体" w:hAnsi="宋体" w:cs="宋体"/>
          <w:color w:val="auto"/>
          <w:highlight w:val="none"/>
        </w:rPr>
        <w:t>18.5 区段工程验收</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_Toc486160094 \h </w:instrText>
      </w:r>
      <w:r>
        <w:rPr>
          <w:rFonts w:hint="eastAsia" w:ascii="宋体" w:hAnsi="宋体"/>
          <w:highlight w:val="none"/>
        </w:rPr>
        <w:fldChar w:fldCharType="separate"/>
      </w:r>
      <w:r>
        <w:rPr>
          <w:rFonts w:hint="eastAsia" w:ascii="宋体" w:hAnsi="宋体"/>
          <w:highlight w:val="none"/>
        </w:rPr>
        <w:t>39</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"_Toc486160095" </w:instrText>
      </w:r>
      <w:r>
        <w:rPr>
          <w:highlight w:val="none"/>
        </w:rPr>
        <w:fldChar w:fldCharType="separate"/>
      </w:r>
      <w:r>
        <w:rPr>
          <w:rStyle w:val="71"/>
          <w:rFonts w:hint="eastAsia" w:ascii="宋体" w:hAnsi="宋体" w:cs="宋体"/>
          <w:color w:val="auto"/>
          <w:highlight w:val="none"/>
        </w:rPr>
        <w:t>18.6 施工期运行</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_Toc486160095 \h </w:instrText>
      </w:r>
      <w:r>
        <w:rPr>
          <w:rFonts w:hint="eastAsia" w:ascii="宋体" w:hAnsi="宋体"/>
          <w:highlight w:val="none"/>
        </w:rPr>
        <w:fldChar w:fldCharType="separate"/>
      </w:r>
      <w:r>
        <w:rPr>
          <w:rFonts w:hint="eastAsia" w:ascii="宋体" w:hAnsi="宋体"/>
          <w:highlight w:val="none"/>
        </w:rPr>
        <w:t>39</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"_Toc486160096" </w:instrText>
      </w:r>
      <w:r>
        <w:rPr>
          <w:highlight w:val="none"/>
        </w:rPr>
        <w:fldChar w:fldCharType="separate"/>
      </w:r>
      <w:r>
        <w:rPr>
          <w:rStyle w:val="71"/>
          <w:rFonts w:hint="eastAsia" w:ascii="宋体" w:hAnsi="宋体" w:cs="宋体"/>
          <w:color w:val="auto"/>
          <w:highlight w:val="none"/>
        </w:rPr>
        <w:t>18.7 竣工清场</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_Toc486160096 \h </w:instrText>
      </w:r>
      <w:r>
        <w:rPr>
          <w:rFonts w:hint="eastAsia" w:ascii="宋体" w:hAnsi="宋体"/>
          <w:highlight w:val="none"/>
        </w:rPr>
        <w:fldChar w:fldCharType="separate"/>
      </w:r>
      <w:r>
        <w:rPr>
          <w:rFonts w:hint="eastAsia" w:ascii="宋体" w:hAnsi="宋体"/>
          <w:highlight w:val="none"/>
        </w:rPr>
        <w:t>39</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"_Toc486160097" </w:instrText>
      </w:r>
      <w:r>
        <w:rPr>
          <w:highlight w:val="none"/>
        </w:rPr>
        <w:fldChar w:fldCharType="separate"/>
      </w:r>
      <w:r>
        <w:rPr>
          <w:rStyle w:val="71"/>
          <w:rFonts w:hint="eastAsia" w:ascii="宋体" w:hAnsi="宋体" w:cs="宋体"/>
          <w:color w:val="auto"/>
          <w:highlight w:val="none"/>
        </w:rPr>
        <w:t>18.8 施工队伍的撤离</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_Toc486160097 \h </w:instrText>
      </w:r>
      <w:r>
        <w:rPr>
          <w:rFonts w:hint="eastAsia" w:ascii="宋体" w:hAnsi="宋体"/>
          <w:highlight w:val="none"/>
        </w:rPr>
        <w:fldChar w:fldCharType="separate"/>
      </w:r>
      <w:r>
        <w:rPr>
          <w:rFonts w:hint="eastAsia" w:ascii="宋体" w:hAnsi="宋体"/>
          <w:highlight w:val="none"/>
        </w:rPr>
        <w:t>39</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"_Toc486160098" </w:instrText>
      </w:r>
      <w:r>
        <w:rPr>
          <w:highlight w:val="none"/>
        </w:rPr>
        <w:fldChar w:fldCharType="separate"/>
      </w:r>
      <w:r>
        <w:rPr>
          <w:rStyle w:val="71"/>
          <w:rFonts w:hint="eastAsia" w:ascii="宋体" w:hAnsi="宋体" w:cs="宋体"/>
          <w:color w:val="auto"/>
          <w:highlight w:val="none"/>
        </w:rPr>
        <w:t>18.9 竣工后试验（B）</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_Toc486160098 \h </w:instrText>
      </w:r>
      <w:r>
        <w:rPr>
          <w:rFonts w:hint="eastAsia" w:ascii="宋体" w:hAnsi="宋体"/>
          <w:highlight w:val="none"/>
        </w:rPr>
        <w:fldChar w:fldCharType="separate"/>
      </w:r>
      <w:r>
        <w:rPr>
          <w:rFonts w:hint="eastAsia" w:ascii="宋体" w:hAnsi="宋体"/>
          <w:highlight w:val="none"/>
        </w:rPr>
        <w:t>40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"_Toc486160099" </w:instrText>
      </w:r>
      <w:r>
        <w:rPr>
          <w:highlight w:val="none"/>
        </w:rPr>
        <w:fldChar w:fldCharType="separate"/>
      </w:r>
      <w:r>
        <w:rPr>
          <w:rStyle w:val="71"/>
          <w:rFonts w:hint="eastAsia" w:ascii="宋体" w:hAnsi="宋体" w:cs="宋体"/>
          <w:color w:val="auto"/>
          <w:highlight w:val="none"/>
        </w:rPr>
        <w:t>19. 缺陷责任与保修责任</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_Toc486160099 \h </w:instrText>
      </w:r>
      <w:r>
        <w:rPr>
          <w:rFonts w:hint="eastAsia" w:ascii="宋体" w:hAnsi="宋体"/>
          <w:highlight w:val="none"/>
        </w:rPr>
        <w:fldChar w:fldCharType="separate"/>
      </w:r>
      <w:r>
        <w:rPr>
          <w:rFonts w:hint="eastAsia" w:ascii="宋体" w:hAnsi="宋体"/>
          <w:highlight w:val="none"/>
        </w:rPr>
        <w:t>40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"_Toc486160100" </w:instrText>
      </w:r>
      <w:r>
        <w:rPr>
          <w:highlight w:val="none"/>
        </w:rPr>
        <w:fldChar w:fldCharType="separate"/>
      </w:r>
      <w:r>
        <w:rPr>
          <w:rStyle w:val="71"/>
          <w:rFonts w:hint="eastAsia" w:ascii="宋体" w:hAnsi="宋体" w:cs="宋体"/>
          <w:color w:val="auto"/>
          <w:highlight w:val="none"/>
        </w:rPr>
        <w:t>19.1 缺陷责任期的起算时间</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_Toc486160100 \h </w:instrText>
      </w:r>
      <w:r>
        <w:rPr>
          <w:rFonts w:hint="eastAsia" w:ascii="宋体" w:hAnsi="宋体"/>
          <w:highlight w:val="none"/>
        </w:rPr>
        <w:fldChar w:fldCharType="separate"/>
      </w:r>
      <w:r>
        <w:rPr>
          <w:rFonts w:hint="eastAsia" w:ascii="宋体" w:hAnsi="宋体"/>
          <w:highlight w:val="none"/>
        </w:rPr>
        <w:t>40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"_Toc486160101" </w:instrText>
      </w:r>
      <w:r>
        <w:rPr>
          <w:highlight w:val="none"/>
        </w:rPr>
        <w:fldChar w:fldCharType="separate"/>
      </w:r>
      <w:r>
        <w:rPr>
          <w:rStyle w:val="71"/>
          <w:rFonts w:hint="eastAsia" w:ascii="宋体" w:hAnsi="宋体" w:cs="宋体"/>
          <w:color w:val="auto"/>
          <w:highlight w:val="none"/>
        </w:rPr>
        <w:t>19.2 缺陷责任</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_Toc486160101 \h </w:instrText>
      </w:r>
      <w:r>
        <w:rPr>
          <w:rFonts w:hint="eastAsia" w:ascii="宋体" w:hAnsi="宋体"/>
          <w:highlight w:val="none"/>
        </w:rPr>
        <w:fldChar w:fldCharType="separate"/>
      </w:r>
      <w:r>
        <w:rPr>
          <w:rFonts w:hint="eastAsia" w:ascii="宋体" w:hAnsi="宋体"/>
          <w:highlight w:val="none"/>
        </w:rPr>
        <w:t>40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"_Toc486160102" </w:instrText>
      </w:r>
      <w:r>
        <w:rPr>
          <w:highlight w:val="none"/>
        </w:rPr>
        <w:fldChar w:fldCharType="separate"/>
      </w:r>
      <w:r>
        <w:rPr>
          <w:rStyle w:val="71"/>
          <w:rFonts w:hint="eastAsia" w:ascii="宋体" w:hAnsi="宋体" w:cs="宋体"/>
          <w:color w:val="auto"/>
          <w:highlight w:val="none"/>
        </w:rPr>
        <w:t>19.3 缺陷责任期的延长</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_Toc486160102 \h </w:instrText>
      </w:r>
      <w:r>
        <w:rPr>
          <w:rFonts w:hint="eastAsia" w:ascii="宋体" w:hAnsi="宋体"/>
          <w:highlight w:val="none"/>
        </w:rPr>
        <w:fldChar w:fldCharType="separate"/>
      </w:r>
      <w:r>
        <w:rPr>
          <w:rFonts w:hint="eastAsia" w:ascii="宋体" w:hAnsi="宋体"/>
          <w:highlight w:val="none"/>
        </w:rPr>
        <w:t>40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"_Toc486160103" </w:instrText>
      </w:r>
      <w:r>
        <w:rPr>
          <w:highlight w:val="none"/>
        </w:rPr>
        <w:fldChar w:fldCharType="separate"/>
      </w:r>
      <w:r>
        <w:rPr>
          <w:rStyle w:val="71"/>
          <w:rFonts w:hint="eastAsia" w:ascii="宋体" w:hAnsi="宋体" w:cs="宋体"/>
          <w:color w:val="auto"/>
          <w:highlight w:val="none"/>
        </w:rPr>
        <w:t>19.4 进一步试验和试运行</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_Toc486160103 \h </w:instrText>
      </w:r>
      <w:r>
        <w:rPr>
          <w:rFonts w:hint="eastAsia" w:ascii="宋体" w:hAnsi="宋体"/>
          <w:highlight w:val="none"/>
        </w:rPr>
        <w:fldChar w:fldCharType="separate"/>
      </w:r>
      <w:r>
        <w:rPr>
          <w:rFonts w:hint="eastAsia" w:ascii="宋体" w:hAnsi="宋体"/>
          <w:highlight w:val="none"/>
        </w:rPr>
        <w:t>40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"_Toc486160104" </w:instrText>
      </w:r>
      <w:r>
        <w:rPr>
          <w:highlight w:val="none"/>
        </w:rPr>
        <w:fldChar w:fldCharType="separate"/>
      </w:r>
      <w:r>
        <w:rPr>
          <w:rStyle w:val="71"/>
          <w:rFonts w:hint="eastAsia" w:ascii="宋体" w:hAnsi="宋体" w:cs="宋体"/>
          <w:color w:val="auto"/>
          <w:highlight w:val="none"/>
        </w:rPr>
        <w:t>19.5 承包人的进入权</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_Toc486160104 \h </w:instrText>
      </w:r>
      <w:r>
        <w:rPr>
          <w:rFonts w:hint="eastAsia" w:ascii="宋体" w:hAnsi="宋体"/>
          <w:highlight w:val="none"/>
        </w:rPr>
        <w:fldChar w:fldCharType="separate"/>
      </w:r>
      <w:r>
        <w:rPr>
          <w:rFonts w:hint="eastAsia" w:ascii="宋体" w:hAnsi="宋体"/>
          <w:highlight w:val="none"/>
        </w:rPr>
        <w:t>40</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"_Toc486160105" </w:instrText>
      </w:r>
      <w:r>
        <w:rPr>
          <w:highlight w:val="none"/>
        </w:rPr>
        <w:fldChar w:fldCharType="separate"/>
      </w:r>
      <w:r>
        <w:rPr>
          <w:rStyle w:val="71"/>
          <w:rFonts w:hint="eastAsia" w:ascii="宋体" w:hAnsi="宋体" w:cs="宋体"/>
          <w:color w:val="auto"/>
          <w:highlight w:val="none"/>
        </w:rPr>
        <w:t>19.6 缺陷责任期终止证书</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_Toc486160105 \h </w:instrText>
      </w:r>
      <w:r>
        <w:rPr>
          <w:rFonts w:hint="eastAsia" w:ascii="宋体" w:hAnsi="宋体"/>
          <w:highlight w:val="none"/>
        </w:rPr>
        <w:fldChar w:fldCharType="separate"/>
      </w:r>
      <w:r>
        <w:rPr>
          <w:rFonts w:hint="eastAsia" w:ascii="宋体" w:hAnsi="宋体"/>
          <w:highlight w:val="none"/>
        </w:rPr>
        <w:t>41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"_Toc486160106" </w:instrText>
      </w:r>
      <w:r>
        <w:rPr>
          <w:highlight w:val="none"/>
        </w:rPr>
        <w:fldChar w:fldCharType="separate"/>
      </w:r>
      <w:r>
        <w:rPr>
          <w:rStyle w:val="71"/>
          <w:rFonts w:hint="eastAsia" w:ascii="宋体" w:hAnsi="宋体" w:cs="宋体"/>
          <w:color w:val="auto"/>
          <w:highlight w:val="none"/>
        </w:rPr>
        <w:t>19.7 保修责任</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_Toc486160106 \h </w:instrText>
      </w:r>
      <w:r>
        <w:rPr>
          <w:rFonts w:hint="eastAsia" w:ascii="宋体" w:hAnsi="宋体"/>
          <w:highlight w:val="none"/>
        </w:rPr>
        <w:fldChar w:fldCharType="separate"/>
      </w:r>
      <w:r>
        <w:rPr>
          <w:rFonts w:hint="eastAsia" w:ascii="宋体" w:hAnsi="宋体"/>
          <w:highlight w:val="none"/>
        </w:rPr>
        <w:t>41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"_Toc486160107" </w:instrText>
      </w:r>
      <w:r>
        <w:rPr>
          <w:highlight w:val="none"/>
        </w:rPr>
        <w:fldChar w:fldCharType="separate"/>
      </w:r>
      <w:r>
        <w:rPr>
          <w:rStyle w:val="71"/>
          <w:rFonts w:hint="eastAsia" w:ascii="宋体" w:hAnsi="宋体" w:cs="宋体"/>
          <w:color w:val="auto"/>
          <w:highlight w:val="none"/>
        </w:rPr>
        <w:t>20. 保险</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_Toc486160107 \h </w:instrText>
      </w:r>
      <w:r>
        <w:rPr>
          <w:rFonts w:hint="eastAsia" w:ascii="宋体" w:hAnsi="宋体"/>
          <w:highlight w:val="none"/>
        </w:rPr>
        <w:fldChar w:fldCharType="separate"/>
      </w:r>
      <w:r>
        <w:rPr>
          <w:rFonts w:hint="eastAsia" w:ascii="宋体" w:hAnsi="宋体"/>
          <w:highlight w:val="none"/>
        </w:rPr>
        <w:t>41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"_Toc486160108" </w:instrText>
      </w:r>
      <w:r>
        <w:rPr>
          <w:highlight w:val="none"/>
        </w:rPr>
        <w:fldChar w:fldCharType="separate"/>
      </w:r>
      <w:r>
        <w:rPr>
          <w:rStyle w:val="71"/>
          <w:rFonts w:hint="eastAsia" w:ascii="宋体" w:hAnsi="宋体" w:cs="宋体"/>
          <w:color w:val="auto"/>
          <w:highlight w:val="none"/>
        </w:rPr>
        <w:t>20.1 设计和工程保险</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_Toc486160108 \h </w:instrText>
      </w:r>
      <w:r>
        <w:rPr>
          <w:rFonts w:hint="eastAsia" w:ascii="宋体" w:hAnsi="宋体"/>
          <w:highlight w:val="none"/>
        </w:rPr>
        <w:fldChar w:fldCharType="separate"/>
      </w:r>
      <w:r>
        <w:rPr>
          <w:rFonts w:hint="eastAsia" w:ascii="宋体" w:hAnsi="宋体"/>
          <w:highlight w:val="none"/>
        </w:rPr>
        <w:t>41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"_Toc486160109" </w:instrText>
      </w:r>
      <w:r>
        <w:rPr>
          <w:highlight w:val="none"/>
        </w:rPr>
        <w:fldChar w:fldCharType="separate"/>
      </w:r>
      <w:r>
        <w:rPr>
          <w:rStyle w:val="71"/>
          <w:rFonts w:hint="eastAsia" w:ascii="宋体" w:hAnsi="宋体" w:cs="宋体"/>
          <w:color w:val="auto"/>
          <w:highlight w:val="none"/>
        </w:rPr>
        <w:t>20.2 工伤保险</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_Toc486160109 \h </w:instrText>
      </w:r>
      <w:r>
        <w:rPr>
          <w:rFonts w:hint="eastAsia" w:ascii="宋体" w:hAnsi="宋体"/>
          <w:highlight w:val="none"/>
        </w:rPr>
        <w:fldChar w:fldCharType="separate"/>
      </w:r>
      <w:r>
        <w:rPr>
          <w:rFonts w:hint="eastAsia" w:ascii="宋体" w:hAnsi="宋体"/>
          <w:highlight w:val="none"/>
        </w:rPr>
        <w:t>41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"_Toc486160110" </w:instrText>
      </w:r>
      <w:r>
        <w:rPr>
          <w:highlight w:val="none"/>
        </w:rPr>
        <w:fldChar w:fldCharType="separate"/>
      </w:r>
      <w:r>
        <w:rPr>
          <w:rStyle w:val="71"/>
          <w:rFonts w:hint="eastAsia" w:ascii="宋体" w:hAnsi="宋体" w:cs="宋体"/>
          <w:color w:val="auto"/>
          <w:highlight w:val="none"/>
        </w:rPr>
        <w:t>20.3 人身意外伤害险</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_Toc486160110 \h </w:instrText>
      </w:r>
      <w:r>
        <w:rPr>
          <w:rFonts w:hint="eastAsia" w:ascii="宋体" w:hAnsi="宋体"/>
          <w:highlight w:val="none"/>
        </w:rPr>
        <w:fldChar w:fldCharType="separate"/>
      </w:r>
      <w:r>
        <w:rPr>
          <w:rFonts w:hint="eastAsia" w:ascii="宋体" w:hAnsi="宋体"/>
          <w:highlight w:val="none"/>
        </w:rPr>
        <w:t>41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"_Toc486160111" </w:instrText>
      </w:r>
      <w:r>
        <w:rPr>
          <w:highlight w:val="none"/>
        </w:rPr>
        <w:fldChar w:fldCharType="separate"/>
      </w:r>
      <w:r>
        <w:rPr>
          <w:rStyle w:val="71"/>
          <w:rFonts w:hint="eastAsia" w:ascii="宋体" w:hAnsi="宋体" w:cs="宋体"/>
          <w:color w:val="auto"/>
          <w:highlight w:val="none"/>
        </w:rPr>
        <w:t>20.4 其他保险</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_Toc486160111 \h </w:instrText>
      </w:r>
      <w:r>
        <w:rPr>
          <w:rFonts w:hint="eastAsia" w:ascii="宋体" w:hAnsi="宋体"/>
          <w:highlight w:val="none"/>
        </w:rPr>
        <w:fldChar w:fldCharType="separate"/>
      </w:r>
      <w:r>
        <w:rPr>
          <w:rFonts w:hint="eastAsia" w:ascii="宋体" w:hAnsi="宋体"/>
          <w:highlight w:val="none"/>
        </w:rPr>
        <w:t>41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"_Toc486160112" </w:instrText>
      </w:r>
      <w:r>
        <w:rPr>
          <w:highlight w:val="none"/>
        </w:rPr>
        <w:fldChar w:fldCharType="separate"/>
      </w:r>
      <w:r>
        <w:rPr>
          <w:rStyle w:val="71"/>
          <w:rFonts w:hint="eastAsia" w:ascii="宋体" w:hAnsi="宋体" w:cs="宋体"/>
          <w:color w:val="auto"/>
          <w:highlight w:val="none"/>
        </w:rPr>
        <w:t>20.5 对各项保险的一般要求</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_Toc486160112 \h </w:instrText>
      </w:r>
      <w:r>
        <w:rPr>
          <w:rFonts w:hint="eastAsia" w:ascii="宋体" w:hAnsi="宋体"/>
          <w:highlight w:val="none"/>
        </w:rPr>
        <w:fldChar w:fldCharType="separate"/>
      </w:r>
      <w:r>
        <w:rPr>
          <w:rFonts w:hint="eastAsia" w:ascii="宋体" w:hAnsi="宋体"/>
          <w:highlight w:val="none"/>
        </w:rPr>
        <w:t>41</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"_Toc486160113" </w:instrText>
      </w:r>
      <w:r>
        <w:rPr>
          <w:highlight w:val="none"/>
        </w:rPr>
        <w:fldChar w:fldCharType="separate"/>
      </w:r>
      <w:r>
        <w:rPr>
          <w:rStyle w:val="71"/>
          <w:rFonts w:hint="eastAsia" w:ascii="宋体" w:hAnsi="宋体" w:cs="宋体"/>
          <w:color w:val="auto"/>
          <w:highlight w:val="none"/>
        </w:rPr>
        <w:t>21. 不可抗力</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_Toc486160113 \h </w:instrText>
      </w:r>
      <w:r>
        <w:rPr>
          <w:rFonts w:hint="eastAsia" w:ascii="宋体" w:hAnsi="宋体"/>
          <w:highlight w:val="none"/>
        </w:rPr>
        <w:fldChar w:fldCharType="separate"/>
      </w:r>
      <w:r>
        <w:rPr>
          <w:rFonts w:hint="eastAsia" w:ascii="宋体" w:hAnsi="宋体"/>
          <w:highlight w:val="none"/>
        </w:rPr>
        <w:t>42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"_Toc486160114" </w:instrText>
      </w:r>
      <w:r>
        <w:rPr>
          <w:highlight w:val="none"/>
        </w:rPr>
        <w:fldChar w:fldCharType="separate"/>
      </w:r>
      <w:r>
        <w:rPr>
          <w:rStyle w:val="71"/>
          <w:rFonts w:hint="eastAsia" w:ascii="宋体" w:hAnsi="宋体" w:cs="宋体"/>
          <w:color w:val="auto"/>
          <w:highlight w:val="none"/>
        </w:rPr>
        <w:t>21.1 不可抗力的确认</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_Toc486160114 \h </w:instrText>
      </w:r>
      <w:r>
        <w:rPr>
          <w:rFonts w:hint="eastAsia" w:ascii="宋体" w:hAnsi="宋体"/>
          <w:highlight w:val="none"/>
        </w:rPr>
        <w:fldChar w:fldCharType="separate"/>
      </w:r>
      <w:r>
        <w:rPr>
          <w:rFonts w:hint="eastAsia" w:ascii="宋体" w:hAnsi="宋体"/>
          <w:highlight w:val="none"/>
        </w:rPr>
        <w:t>42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"_Toc486160115" </w:instrText>
      </w:r>
      <w:r>
        <w:rPr>
          <w:highlight w:val="none"/>
        </w:rPr>
        <w:fldChar w:fldCharType="separate"/>
      </w:r>
      <w:r>
        <w:rPr>
          <w:rStyle w:val="71"/>
          <w:rFonts w:hint="eastAsia" w:ascii="宋体" w:hAnsi="宋体" w:cs="宋体"/>
          <w:color w:val="auto"/>
          <w:highlight w:val="none"/>
        </w:rPr>
        <w:t>21.2 不可抗力的通知</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_Toc486160115 \h </w:instrText>
      </w:r>
      <w:r>
        <w:rPr>
          <w:rFonts w:hint="eastAsia" w:ascii="宋体" w:hAnsi="宋体"/>
          <w:highlight w:val="none"/>
        </w:rPr>
        <w:fldChar w:fldCharType="separate"/>
      </w:r>
      <w:r>
        <w:rPr>
          <w:rFonts w:hint="eastAsia" w:ascii="宋体" w:hAnsi="宋体"/>
          <w:highlight w:val="none"/>
        </w:rPr>
        <w:t>42</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"_Toc486160116" </w:instrText>
      </w:r>
      <w:r>
        <w:rPr>
          <w:highlight w:val="none"/>
        </w:rPr>
        <w:fldChar w:fldCharType="separate"/>
      </w:r>
      <w:r>
        <w:rPr>
          <w:rStyle w:val="71"/>
          <w:rFonts w:hint="eastAsia" w:ascii="宋体" w:hAnsi="宋体" w:cs="宋体"/>
          <w:color w:val="auto"/>
          <w:highlight w:val="none"/>
        </w:rPr>
        <w:t>21.3 不可抗力后果及其处理</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_Toc486160116 \h </w:instrText>
      </w:r>
      <w:r>
        <w:rPr>
          <w:rFonts w:hint="eastAsia" w:ascii="宋体" w:hAnsi="宋体"/>
          <w:highlight w:val="none"/>
        </w:rPr>
        <w:fldChar w:fldCharType="separate"/>
      </w:r>
      <w:r>
        <w:rPr>
          <w:rFonts w:hint="eastAsia" w:ascii="宋体" w:hAnsi="宋体"/>
          <w:highlight w:val="none"/>
        </w:rPr>
        <w:t>43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"_Toc486160117" </w:instrText>
      </w:r>
      <w:r>
        <w:rPr>
          <w:highlight w:val="none"/>
        </w:rPr>
        <w:fldChar w:fldCharType="separate"/>
      </w:r>
      <w:r>
        <w:rPr>
          <w:rStyle w:val="71"/>
          <w:rFonts w:hint="eastAsia" w:ascii="宋体" w:hAnsi="宋体" w:cs="宋体"/>
          <w:color w:val="auto"/>
          <w:highlight w:val="none"/>
        </w:rPr>
        <w:t>22. 违约</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_Toc486160117 \h </w:instrText>
      </w:r>
      <w:r>
        <w:rPr>
          <w:rFonts w:hint="eastAsia" w:ascii="宋体" w:hAnsi="宋体"/>
          <w:highlight w:val="none"/>
        </w:rPr>
        <w:fldChar w:fldCharType="separate"/>
      </w:r>
      <w:r>
        <w:rPr>
          <w:rFonts w:hint="eastAsia" w:ascii="宋体" w:hAnsi="宋体"/>
          <w:highlight w:val="none"/>
        </w:rPr>
        <w:t>43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"_Toc486160118" </w:instrText>
      </w:r>
      <w:r>
        <w:rPr>
          <w:highlight w:val="none"/>
        </w:rPr>
        <w:fldChar w:fldCharType="separate"/>
      </w:r>
      <w:r>
        <w:rPr>
          <w:rStyle w:val="71"/>
          <w:rFonts w:hint="eastAsia" w:ascii="宋体" w:hAnsi="宋体" w:cs="宋体"/>
          <w:color w:val="auto"/>
          <w:highlight w:val="none"/>
        </w:rPr>
        <w:t>22.1 承包人违约</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_Toc486160118 \h </w:instrText>
      </w:r>
      <w:r>
        <w:rPr>
          <w:rFonts w:hint="eastAsia" w:ascii="宋体" w:hAnsi="宋体"/>
          <w:highlight w:val="none"/>
        </w:rPr>
        <w:fldChar w:fldCharType="separate"/>
      </w:r>
      <w:r>
        <w:rPr>
          <w:rFonts w:hint="eastAsia" w:ascii="宋体" w:hAnsi="宋体"/>
          <w:highlight w:val="none"/>
        </w:rPr>
        <w:t>43</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"_Toc486160119" </w:instrText>
      </w:r>
      <w:r>
        <w:rPr>
          <w:highlight w:val="none"/>
        </w:rPr>
        <w:fldChar w:fldCharType="separate"/>
      </w:r>
      <w:r>
        <w:rPr>
          <w:rStyle w:val="71"/>
          <w:rFonts w:hint="eastAsia" w:ascii="宋体" w:hAnsi="宋体" w:cs="宋体"/>
          <w:color w:val="auto"/>
          <w:highlight w:val="none"/>
        </w:rPr>
        <w:t>22.2 发包人违约</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_Toc486160119 \h </w:instrText>
      </w:r>
      <w:r>
        <w:rPr>
          <w:rFonts w:hint="eastAsia" w:ascii="宋体" w:hAnsi="宋体"/>
          <w:highlight w:val="none"/>
        </w:rPr>
        <w:fldChar w:fldCharType="separate"/>
      </w:r>
      <w:r>
        <w:rPr>
          <w:rFonts w:hint="eastAsia" w:ascii="宋体" w:hAnsi="宋体"/>
          <w:highlight w:val="none"/>
        </w:rPr>
        <w:t>45</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"_Toc486160120" </w:instrText>
      </w:r>
      <w:r>
        <w:rPr>
          <w:highlight w:val="none"/>
        </w:rPr>
        <w:fldChar w:fldCharType="separate"/>
      </w:r>
      <w:r>
        <w:rPr>
          <w:rStyle w:val="71"/>
          <w:rFonts w:hint="eastAsia" w:ascii="宋体" w:hAnsi="宋体" w:cs="宋体"/>
          <w:color w:val="auto"/>
          <w:highlight w:val="none"/>
        </w:rPr>
        <w:t>22.3 第三人造成的违约</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_Toc486160120 \h </w:instrText>
      </w:r>
      <w:r>
        <w:rPr>
          <w:rFonts w:hint="eastAsia" w:ascii="宋体" w:hAnsi="宋体"/>
          <w:highlight w:val="none"/>
        </w:rPr>
        <w:fldChar w:fldCharType="separate"/>
      </w:r>
      <w:r>
        <w:rPr>
          <w:rFonts w:hint="eastAsia" w:ascii="宋体" w:hAnsi="宋体"/>
          <w:highlight w:val="none"/>
        </w:rPr>
        <w:t>46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"_Toc486160121" </w:instrText>
      </w:r>
      <w:r>
        <w:rPr>
          <w:highlight w:val="none"/>
        </w:rPr>
        <w:fldChar w:fldCharType="separate"/>
      </w:r>
      <w:r>
        <w:rPr>
          <w:rStyle w:val="71"/>
          <w:rFonts w:hint="eastAsia" w:ascii="宋体" w:hAnsi="宋体" w:cs="宋体"/>
          <w:color w:val="auto"/>
          <w:highlight w:val="none"/>
        </w:rPr>
        <w:t>23. 索赔</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_Toc486160121 \h </w:instrText>
      </w:r>
      <w:r>
        <w:rPr>
          <w:rFonts w:hint="eastAsia" w:ascii="宋体" w:hAnsi="宋体"/>
          <w:highlight w:val="none"/>
        </w:rPr>
        <w:fldChar w:fldCharType="separate"/>
      </w:r>
      <w:r>
        <w:rPr>
          <w:rFonts w:hint="eastAsia" w:ascii="宋体" w:hAnsi="宋体"/>
          <w:highlight w:val="none"/>
        </w:rPr>
        <w:t>46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"_Toc486160122" </w:instrText>
      </w:r>
      <w:r>
        <w:rPr>
          <w:highlight w:val="none"/>
        </w:rPr>
        <w:fldChar w:fldCharType="separate"/>
      </w:r>
      <w:r>
        <w:rPr>
          <w:rStyle w:val="71"/>
          <w:rFonts w:hint="eastAsia" w:ascii="宋体" w:hAnsi="宋体" w:cs="宋体"/>
          <w:color w:val="auto"/>
          <w:highlight w:val="none"/>
        </w:rPr>
        <w:t>23.1 承包人索赔的提出</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_Toc486160122 \h </w:instrText>
      </w:r>
      <w:r>
        <w:rPr>
          <w:rFonts w:hint="eastAsia" w:ascii="宋体" w:hAnsi="宋体"/>
          <w:highlight w:val="none"/>
        </w:rPr>
        <w:fldChar w:fldCharType="separate"/>
      </w:r>
      <w:r>
        <w:rPr>
          <w:rFonts w:hint="eastAsia" w:ascii="宋体" w:hAnsi="宋体"/>
          <w:highlight w:val="none"/>
        </w:rPr>
        <w:t>46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"_Toc486160123" </w:instrText>
      </w:r>
      <w:r>
        <w:rPr>
          <w:highlight w:val="none"/>
        </w:rPr>
        <w:fldChar w:fldCharType="separate"/>
      </w:r>
      <w:r>
        <w:rPr>
          <w:rStyle w:val="71"/>
          <w:rFonts w:hint="eastAsia" w:ascii="宋体" w:hAnsi="宋体" w:cs="宋体"/>
          <w:color w:val="auto"/>
          <w:highlight w:val="none"/>
        </w:rPr>
        <w:t>23.2 承包人索赔处理程序</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_Toc486160123 \h </w:instrText>
      </w:r>
      <w:r>
        <w:rPr>
          <w:rFonts w:hint="eastAsia" w:ascii="宋体" w:hAnsi="宋体"/>
          <w:highlight w:val="none"/>
        </w:rPr>
        <w:fldChar w:fldCharType="separate"/>
      </w:r>
      <w:r>
        <w:rPr>
          <w:rFonts w:hint="eastAsia" w:ascii="宋体" w:hAnsi="宋体"/>
          <w:highlight w:val="none"/>
        </w:rPr>
        <w:t>46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"_Toc486160124" </w:instrText>
      </w:r>
      <w:r>
        <w:rPr>
          <w:highlight w:val="none"/>
        </w:rPr>
        <w:fldChar w:fldCharType="separate"/>
      </w:r>
      <w:r>
        <w:rPr>
          <w:rStyle w:val="71"/>
          <w:rFonts w:hint="eastAsia" w:ascii="宋体" w:hAnsi="宋体" w:cs="宋体"/>
          <w:color w:val="auto"/>
          <w:highlight w:val="none"/>
        </w:rPr>
        <w:t>23.3 承包人提出索赔的期限</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_Toc486160124 \h </w:instrText>
      </w:r>
      <w:r>
        <w:rPr>
          <w:rFonts w:hint="eastAsia" w:ascii="宋体" w:hAnsi="宋体"/>
          <w:highlight w:val="none"/>
        </w:rPr>
        <w:fldChar w:fldCharType="separate"/>
      </w:r>
      <w:r>
        <w:rPr>
          <w:rFonts w:hint="eastAsia" w:ascii="宋体" w:hAnsi="宋体"/>
          <w:highlight w:val="none"/>
        </w:rPr>
        <w:t>46</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"_Toc486160125" </w:instrText>
      </w:r>
      <w:r>
        <w:rPr>
          <w:highlight w:val="none"/>
        </w:rPr>
        <w:fldChar w:fldCharType="separate"/>
      </w:r>
      <w:r>
        <w:rPr>
          <w:rStyle w:val="71"/>
          <w:rFonts w:hint="eastAsia" w:ascii="宋体" w:hAnsi="宋体" w:cs="宋体"/>
          <w:color w:val="auto"/>
          <w:highlight w:val="none"/>
        </w:rPr>
        <w:t>23.4 发包人的索赔</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_Toc486160125 \h </w:instrText>
      </w:r>
      <w:r>
        <w:rPr>
          <w:rFonts w:hint="eastAsia" w:ascii="宋体" w:hAnsi="宋体"/>
          <w:highlight w:val="none"/>
        </w:rPr>
        <w:fldChar w:fldCharType="separate"/>
      </w:r>
      <w:r>
        <w:rPr>
          <w:rFonts w:hint="eastAsia" w:ascii="宋体" w:hAnsi="宋体"/>
          <w:highlight w:val="none"/>
        </w:rPr>
        <w:t>47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"_Toc486160126" </w:instrText>
      </w:r>
      <w:r>
        <w:rPr>
          <w:highlight w:val="none"/>
        </w:rPr>
        <w:fldChar w:fldCharType="separate"/>
      </w:r>
      <w:r>
        <w:rPr>
          <w:rStyle w:val="71"/>
          <w:rFonts w:hint="eastAsia" w:ascii="宋体" w:hAnsi="宋体" w:cs="宋体"/>
          <w:color w:val="auto"/>
          <w:highlight w:val="none"/>
        </w:rPr>
        <w:t>24. 争议的解决</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_Toc486160126 \h </w:instrText>
      </w:r>
      <w:r>
        <w:rPr>
          <w:rFonts w:hint="eastAsia" w:ascii="宋体" w:hAnsi="宋体"/>
          <w:highlight w:val="none"/>
        </w:rPr>
        <w:fldChar w:fldCharType="separate"/>
      </w:r>
      <w:r>
        <w:rPr>
          <w:rFonts w:hint="eastAsia" w:ascii="宋体" w:hAnsi="宋体"/>
          <w:highlight w:val="none"/>
        </w:rPr>
        <w:t>47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"_Toc486160127" </w:instrText>
      </w:r>
      <w:r>
        <w:rPr>
          <w:highlight w:val="none"/>
        </w:rPr>
        <w:fldChar w:fldCharType="separate"/>
      </w:r>
      <w:r>
        <w:rPr>
          <w:rStyle w:val="71"/>
          <w:rFonts w:hint="eastAsia" w:ascii="宋体" w:hAnsi="宋体" w:cs="宋体"/>
          <w:color w:val="auto"/>
          <w:highlight w:val="none"/>
        </w:rPr>
        <w:t>24.1 争议的解决方式</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_Toc486160127 \h </w:instrText>
      </w:r>
      <w:r>
        <w:rPr>
          <w:rFonts w:hint="eastAsia" w:ascii="宋体" w:hAnsi="宋体"/>
          <w:highlight w:val="none"/>
        </w:rPr>
        <w:fldChar w:fldCharType="separate"/>
      </w:r>
      <w:r>
        <w:rPr>
          <w:rFonts w:hint="eastAsia" w:ascii="宋体" w:hAnsi="宋体"/>
          <w:highlight w:val="none"/>
        </w:rPr>
        <w:t>47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"_Toc486160128" </w:instrText>
      </w:r>
      <w:r>
        <w:rPr>
          <w:highlight w:val="none"/>
        </w:rPr>
        <w:fldChar w:fldCharType="separate"/>
      </w:r>
      <w:r>
        <w:rPr>
          <w:rStyle w:val="71"/>
          <w:rFonts w:hint="eastAsia" w:ascii="宋体" w:hAnsi="宋体" w:cs="宋体"/>
          <w:color w:val="auto"/>
          <w:highlight w:val="none"/>
        </w:rPr>
        <w:t>24.2 友好解决</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_Toc486160128 \h </w:instrText>
      </w:r>
      <w:r>
        <w:rPr>
          <w:rFonts w:hint="eastAsia" w:ascii="宋体" w:hAnsi="宋体"/>
          <w:highlight w:val="none"/>
        </w:rPr>
        <w:fldChar w:fldCharType="separate"/>
      </w:r>
      <w:r>
        <w:rPr>
          <w:rFonts w:hint="eastAsia" w:ascii="宋体" w:hAnsi="宋体"/>
          <w:highlight w:val="none"/>
        </w:rPr>
        <w:t>47</w:t>
      </w:r>
      <w:r>
        <w:rPr>
          <w:rFonts w:hint="eastAsia" w:ascii="宋体" w:hAnsi="宋体"/>
          <w:highlight w:val="none"/>
        </w:rPr>
        <w:fldChar w:fldCharType="end"/>
      </w:r>
      <w:r>
        <w:rPr>
          <w:rFonts w:hint="eastAsia" w:ascii="宋体" w:hAnsi="宋体"/>
          <w:highlight w:val="none"/>
        </w:rPr>
        <w:fldChar w:fldCharType="end"/>
      </w:r>
    </w:p>
    <w:p>
      <w:pPr>
        <w:pStyle w:val="32"/>
        <w:tabs>
          <w:tab w:val="right" w:leader="dot" w:pos="9017"/>
        </w:tabs>
        <w:rPr>
          <w:rFonts w:ascii="宋体" w:hAnsi="宋体"/>
          <w:iCs w:val="0"/>
          <w:sz w:val="21"/>
          <w:szCs w:val="22"/>
          <w:highlight w:val="none"/>
        </w:rPr>
      </w:pPr>
      <w:r>
        <w:rPr>
          <w:highlight w:val="none"/>
        </w:rPr>
        <w:fldChar w:fldCharType="begin"/>
      </w:r>
      <w:r>
        <w:rPr>
          <w:highlight w:val="none"/>
        </w:rPr>
        <w:instrText xml:space="preserve"> HYPERLINK \l "_Toc486160129" </w:instrText>
      </w:r>
      <w:r>
        <w:rPr>
          <w:highlight w:val="none"/>
        </w:rPr>
        <w:fldChar w:fldCharType="separate"/>
      </w:r>
      <w:r>
        <w:rPr>
          <w:rStyle w:val="71"/>
          <w:rFonts w:hint="eastAsia" w:ascii="宋体" w:hAnsi="宋体" w:cs="宋体"/>
          <w:color w:val="auto"/>
          <w:highlight w:val="none"/>
        </w:rPr>
        <w:t>24.3 争议评审</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_Toc486160129 \h </w:instrText>
      </w:r>
      <w:r>
        <w:rPr>
          <w:rFonts w:hint="eastAsia" w:ascii="宋体" w:hAnsi="宋体"/>
          <w:highlight w:val="none"/>
        </w:rPr>
        <w:fldChar w:fldCharType="separate"/>
      </w:r>
      <w:r>
        <w:rPr>
          <w:rFonts w:hint="eastAsia" w:ascii="宋体" w:hAnsi="宋体"/>
          <w:highlight w:val="none"/>
        </w:rPr>
        <w:t>47</w:t>
      </w:r>
      <w:r>
        <w:rPr>
          <w:rFonts w:hint="eastAsia" w:ascii="宋体" w:hAnsi="宋体"/>
          <w:highlight w:val="none"/>
        </w:rPr>
        <w:fldChar w:fldCharType="end"/>
      </w:r>
      <w:r>
        <w:rPr>
          <w:rFonts w:hint="eastAsia" w:ascii="宋体" w:hAnsi="宋体"/>
          <w:highlight w:val="none"/>
        </w:rPr>
        <w:fldChar w:fldCharType="end"/>
      </w:r>
    </w:p>
    <w:p>
      <w:pPr>
        <w:pStyle w:val="2"/>
        <w:tabs>
          <w:tab w:val="right" w:leader="dot" w:pos="9017"/>
        </w:tabs>
        <w:rPr>
          <w:rFonts w:ascii="宋体" w:hAnsi="宋体"/>
          <w:smallCaps w:val="0"/>
          <w:sz w:val="21"/>
          <w:szCs w:val="22"/>
          <w:highlight w:val="none"/>
        </w:rPr>
      </w:pPr>
      <w:r>
        <w:rPr>
          <w:highlight w:val="none"/>
        </w:rPr>
        <w:fldChar w:fldCharType="begin"/>
      </w:r>
      <w:r>
        <w:rPr>
          <w:highlight w:val="none"/>
        </w:rPr>
        <w:instrText xml:space="preserve"> HYPERLINK \l "_Toc486160130" </w:instrText>
      </w:r>
      <w:r>
        <w:rPr>
          <w:highlight w:val="none"/>
        </w:rPr>
        <w:fldChar w:fldCharType="separate"/>
      </w:r>
      <w:r>
        <w:rPr>
          <w:rStyle w:val="71"/>
          <w:rFonts w:hint="eastAsia" w:ascii="宋体" w:hAnsi="宋体"/>
          <w:color w:val="auto"/>
          <w:highlight w:val="none"/>
        </w:rPr>
        <w:t>第三部分专用</w:t>
      </w:r>
      <w:bookmarkStart w:id="7" w:name="_Hlt505176746"/>
      <w:bookmarkStart w:id="8" w:name="_Hlt505176745"/>
      <w:r>
        <w:rPr>
          <w:rStyle w:val="71"/>
          <w:rFonts w:hint="eastAsia" w:ascii="宋体" w:hAnsi="宋体"/>
          <w:color w:val="auto"/>
          <w:highlight w:val="none"/>
        </w:rPr>
        <w:t>合</w:t>
      </w:r>
      <w:bookmarkEnd w:id="7"/>
      <w:bookmarkEnd w:id="8"/>
      <w:r>
        <w:rPr>
          <w:rStyle w:val="71"/>
          <w:rFonts w:hint="eastAsia" w:ascii="宋体" w:hAnsi="宋体"/>
          <w:color w:val="auto"/>
          <w:highlight w:val="none"/>
        </w:rPr>
        <w:t>同</w:t>
      </w:r>
      <w:bookmarkStart w:id="9" w:name="_Hlt505176070"/>
      <w:r>
        <w:rPr>
          <w:rStyle w:val="71"/>
          <w:rFonts w:hint="eastAsia" w:ascii="宋体" w:hAnsi="宋体"/>
          <w:color w:val="auto"/>
          <w:highlight w:val="none"/>
        </w:rPr>
        <w:t>条</w:t>
      </w:r>
      <w:bookmarkEnd w:id="9"/>
      <w:r>
        <w:rPr>
          <w:rStyle w:val="71"/>
          <w:rFonts w:hint="eastAsia" w:ascii="宋体" w:hAnsi="宋体"/>
          <w:color w:val="auto"/>
          <w:highlight w:val="none"/>
        </w:rPr>
        <w:t>款</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_Toc486160130 \h </w:instrText>
      </w:r>
      <w:r>
        <w:rPr>
          <w:rFonts w:hint="eastAsia" w:ascii="宋体" w:hAnsi="宋体"/>
          <w:highlight w:val="none"/>
        </w:rPr>
        <w:fldChar w:fldCharType="separate"/>
      </w:r>
      <w:r>
        <w:rPr>
          <w:rFonts w:hint="eastAsia" w:ascii="宋体" w:hAnsi="宋体"/>
          <w:highlight w:val="none"/>
        </w:rPr>
        <w:t>49</w:t>
      </w:r>
      <w:r>
        <w:rPr>
          <w:rFonts w:hint="eastAsia" w:ascii="宋体" w:hAnsi="宋体"/>
          <w:highlight w:val="none"/>
        </w:rPr>
        <w:fldChar w:fldCharType="end"/>
      </w:r>
      <w:r>
        <w:rPr>
          <w:rFonts w:hint="eastAsia" w:ascii="宋体" w:hAnsi="宋体"/>
          <w:highlight w:val="none"/>
        </w:rPr>
        <w:fldChar w:fldCharType="end"/>
      </w:r>
    </w:p>
    <w:p>
      <w:pPr>
        <w:pStyle w:val="2"/>
        <w:tabs>
          <w:tab w:val="right" w:leader="dot" w:pos="9017"/>
        </w:tabs>
        <w:rPr>
          <w:rFonts w:ascii="宋体" w:hAnsi="宋体"/>
          <w:smallCaps w:val="0"/>
          <w:sz w:val="21"/>
          <w:szCs w:val="22"/>
          <w:highlight w:val="none"/>
        </w:rPr>
      </w:pPr>
      <w:r>
        <w:rPr>
          <w:highlight w:val="none"/>
        </w:rPr>
        <w:fldChar w:fldCharType="begin"/>
      </w:r>
      <w:r>
        <w:rPr>
          <w:highlight w:val="none"/>
        </w:rPr>
        <w:instrText xml:space="preserve"> HYPERLINK \l "_Toc486160131" </w:instrText>
      </w:r>
      <w:r>
        <w:rPr>
          <w:highlight w:val="none"/>
        </w:rPr>
        <w:fldChar w:fldCharType="separate"/>
      </w:r>
      <w:r>
        <w:rPr>
          <w:rStyle w:val="71"/>
          <w:rFonts w:hint="eastAsia" w:ascii="宋体" w:hAnsi="宋体"/>
          <w:color w:val="auto"/>
          <w:highlight w:val="none"/>
        </w:rPr>
        <w:t>第四部分  合同附件</w:t>
      </w:r>
      <w:r>
        <w:rPr>
          <w:rFonts w:hint="eastAsia" w:ascii="宋体" w:hAnsi="宋体"/>
          <w:highlight w:val="none"/>
        </w:rPr>
        <w:tab/>
      </w:r>
      <w:r>
        <w:rPr>
          <w:rFonts w:hint="eastAsia" w:ascii="宋体" w:hAnsi="宋体"/>
          <w:highlight w:val="none"/>
        </w:rPr>
        <w:fldChar w:fldCharType="begin"/>
      </w:r>
      <w:r>
        <w:rPr>
          <w:rFonts w:hint="eastAsia" w:ascii="宋体" w:hAnsi="宋体"/>
          <w:highlight w:val="none"/>
        </w:rPr>
        <w:instrText xml:space="preserve"> PAGEREF _Toc486160131 \h </w:instrText>
      </w:r>
      <w:r>
        <w:rPr>
          <w:rFonts w:hint="eastAsia" w:ascii="宋体" w:hAnsi="宋体"/>
          <w:highlight w:val="none"/>
        </w:rPr>
        <w:fldChar w:fldCharType="separate"/>
      </w:r>
      <w:r>
        <w:rPr>
          <w:rFonts w:hint="eastAsia" w:ascii="宋体" w:hAnsi="宋体"/>
          <w:highlight w:val="none"/>
        </w:rPr>
        <w:t>97</w:t>
      </w:r>
      <w:r>
        <w:rPr>
          <w:rFonts w:hint="eastAsia" w:ascii="宋体" w:hAnsi="宋体"/>
          <w:highlight w:val="none"/>
        </w:rPr>
        <w:fldChar w:fldCharType="end"/>
      </w:r>
      <w:r>
        <w:rPr>
          <w:rFonts w:hint="eastAsia" w:ascii="宋体" w:hAnsi="宋体"/>
          <w:highlight w:val="none"/>
        </w:rPr>
        <w:fldChar w:fldCharType="end"/>
      </w:r>
    </w:p>
    <w:p>
      <w:pPr>
        <w:spacing w:line="360" w:lineRule="auto"/>
        <w:rPr>
          <w:rFonts w:ascii="宋体" w:hAnsi="宋体"/>
          <w:highlight w:val="none"/>
        </w:rPr>
      </w:pPr>
      <w:r>
        <w:rPr>
          <w:rFonts w:hint="eastAsia" w:ascii="宋体" w:hAnsi="宋体"/>
          <w:highlight w:val="none"/>
        </w:rPr>
        <w:fldChar w:fldCharType="end"/>
      </w:r>
    </w:p>
    <w:p>
      <w:pPr>
        <w:adjustRightInd w:val="0"/>
        <w:snapToGrid w:val="0"/>
        <w:spacing w:line="360" w:lineRule="auto"/>
        <w:ind w:firstLine="470" w:firstLineChars="196"/>
        <w:rPr>
          <w:rFonts w:ascii="宋体" w:hAnsi="宋体"/>
          <w:snapToGrid w:val="0"/>
          <w:kern w:val="0"/>
          <w:sz w:val="24"/>
          <w:szCs w:val="24"/>
          <w:highlight w:val="none"/>
        </w:rPr>
      </w:pPr>
    </w:p>
    <w:p>
      <w:pPr>
        <w:spacing w:line="360" w:lineRule="auto"/>
        <w:jc w:val="center"/>
        <w:rPr>
          <w:rFonts w:ascii="宋体" w:hAnsi="宋体"/>
          <w:b/>
          <w:sz w:val="32"/>
          <w:szCs w:val="32"/>
          <w:highlight w:val="none"/>
        </w:rPr>
        <w:sectPr>
          <w:headerReference r:id="rId4" w:type="first"/>
          <w:headerReference r:id="rId3" w:type="default"/>
          <w:footerReference r:id="rId5" w:type="default"/>
          <w:footerReference r:id="rId6" w:type="even"/>
          <w:pgSz w:w="11907" w:h="16840"/>
          <w:pgMar w:top="720" w:right="720" w:bottom="720" w:left="720" w:header="851" w:footer="992" w:gutter="0"/>
          <w:pgNumType w:start="0"/>
          <w:cols w:space="720" w:num="1"/>
          <w:titlePg/>
          <w:docGrid w:linePitch="312" w:charSpace="0"/>
        </w:sectPr>
      </w:pPr>
    </w:p>
    <w:p>
      <w:pPr>
        <w:pStyle w:val="4"/>
        <w:spacing w:line="360" w:lineRule="auto"/>
        <w:jc w:val="center"/>
        <w:rPr>
          <w:rFonts w:ascii="宋体" w:hAnsi="宋体" w:eastAsia="宋体"/>
          <w:highlight w:val="none"/>
        </w:rPr>
      </w:pPr>
      <w:bookmarkStart w:id="10" w:name="_Toc476860352"/>
      <w:bookmarkStart w:id="11" w:name="_Toc486159964"/>
      <w:bookmarkStart w:id="12" w:name="_Toc411736417"/>
      <w:bookmarkStart w:id="13" w:name="_Toc411736141"/>
      <w:r>
        <w:rPr>
          <w:rFonts w:hint="eastAsia" w:ascii="宋体" w:hAnsi="宋体" w:eastAsia="宋体"/>
          <w:highlight w:val="none"/>
        </w:rPr>
        <w:t>第一部分   合同协议书</w:t>
      </w:r>
      <w:bookmarkEnd w:id="10"/>
      <w:bookmarkEnd w:id="11"/>
      <w:bookmarkEnd w:id="12"/>
      <w:bookmarkEnd w:id="13"/>
    </w:p>
    <w:p>
      <w:pPr>
        <w:spacing w:line="360" w:lineRule="auto"/>
        <w:ind w:firstLine="420" w:firstLineChars="200"/>
        <w:rPr>
          <w:rFonts w:ascii="宋体" w:hAnsi="宋体"/>
          <w:szCs w:val="21"/>
          <w:highlight w:val="none"/>
          <w:u w:val="single"/>
        </w:rPr>
      </w:pPr>
      <w:r>
        <w:rPr>
          <w:rFonts w:hint="eastAsia" w:ascii="宋体" w:hAnsi="宋体"/>
          <w:szCs w:val="21"/>
          <w:highlight w:val="none"/>
        </w:rPr>
        <w:t>鉴于：</w:t>
      </w:r>
      <w:r>
        <w:rPr>
          <w:rFonts w:hint="eastAsia" w:ascii="宋体" w:hAnsi="宋体"/>
          <w:szCs w:val="21"/>
          <w:highlight w:val="none"/>
          <w:u w:val="single"/>
        </w:rPr>
        <w:t>广州市海珠区河涌管理所</w:t>
      </w:r>
      <w:r>
        <w:rPr>
          <w:rFonts w:hint="eastAsia" w:ascii="宋体" w:hAnsi="宋体"/>
          <w:szCs w:val="21"/>
          <w:highlight w:val="none"/>
        </w:rPr>
        <w:t>（以下称发包人）</w:t>
      </w:r>
      <w:r>
        <w:rPr>
          <w:rFonts w:hint="eastAsia" w:ascii="宋体" w:hAnsi="宋体" w:cs="宋体"/>
          <w:szCs w:val="21"/>
          <w:highlight w:val="none"/>
        </w:rPr>
        <w:t>采用</w:t>
      </w:r>
      <w:r>
        <w:rPr>
          <w:rFonts w:hint="eastAsia" w:ascii="宋体" w:hAnsi="宋体" w:cs="Arial"/>
          <w:szCs w:val="21"/>
          <w:highlight w:val="none"/>
        </w:rPr>
        <w:t>设计施工总承包</w:t>
      </w:r>
      <w:r>
        <w:rPr>
          <w:rFonts w:hint="eastAsia" w:ascii="宋体" w:hAnsi="宋体" w:cs="宋体"/>
          <w:szCs w:val="21"/>
          <w:highlight w:val="none"/>
        </w:rPr>
        <w:t>模式建设项目（以下简称“本项目”）。</w:t>
      </w:r>
      <w:r>
        <w:rPr>
          <w:rFonts w:hint="eastAsia" w:ascii="宋体" w:hAnsi="宋体"/>
          <w:szCs w:val="21"/>
          <w:highlight w:val="none"/>
          <w:u w:val="single"/>
        </w:rPr>
        <w:t>（主）      （成）      （</w:t>
      </w:r>
      <w:r>
        <w:rPr>
          <w:rFonts w:hint="eastAsia" w:ascii="宋体" w:hAnsi="宋体"/>
          <w:szCs w:val="21"/>
          <w:highlight w:val="none"/>
        </w:rPr>
        <w:t>以下称承包人）</w:t>
      </w:r>
      <w:r>
        <w:rPr>
          <w:rFonts w:hint="eastAsia" w:ascii="宋体" w:hAnsi="宋体" w:cs="宋体"/>
          <w:szCs w:val="21"/>
          <w:highlight w:val="none"/>
        </w:rPr>
        <w:t>参加本项目投标并中标（中标通知书编号：，</w:t>
      </w:r>
      <w:r>
        <w:rPr>
          <w:rFonts w:hint="eastAsia" w:ascii="宋体" w:hAnsi="宋体" w:cs="宋体"/>
          <w:kern w:val="0"/>
          <w:szCs w:val="21"/>
          <w:highlight w:val="none"/>
        </w:rPr>
        <w:t>为了加强建设实施管理工作</w:t>
      </w:r>
      <w:r>
        <w:rPr>
          <w:rFonts w:hint="eastAsia" w:ascii="宋体" w:hAnsi="宋体" w:cs="宋体"/>
          <w:szCs w:val="21"/>
          <w:highlight w:val="none"/>
        </w:rPr>
        <w:t>，经双方充分协商一致，订立本设计施工总承包合同，以此共同恪守。</w:t>
      </w:r>
    </w:p>
    <w:p>
      <w:pPr>
        <w:adjustRightInd w:val="0"/>
        <w:snapToGrid w:val="0"/>
        <w:spacing w:line="360" w:lineRule="auto"/>
        <w:ind w:right="11" w:firstLine="422" w:firstLineChars="200"/>
        <w:rPr>
          <w:rFonts w:ascii="宋体" w:hAnsi="宋体"/>
          <w:b/>
          <w:bCs/>
          <w:snapToGrid w:val="0"/>
          <w:kern w:val="0"/>
          <w:szCs w:val="21"/>
          <w:highlight w:val="none"/>
        </w:rPr>
      </w:pPr>
      <w:r>
        <w:rPr>
          <w:rFonts w:hint="eastAsia" w:ascii="宋体" w:hAnsi="宋体"/>
          <w:b/>
          <w:bCs/>
          <w:snapToGrid w:val="0"/>
          <w:kern w:val="0"/>
          <w:szCs w:val="21"/>
          <w:highlight w:val="none"/>
        </w:rPr>
        <w:t>1、工程概况</w:t>
      </w:r>
    </w:p>
    <w:p>
      <w:pPr>
        <w:adjustRightInd w:val="0"/>
        <w:snapToGrid w:val="0"/>
        <w:spacing w:line="360" w:lineRule="auto"/>
        <w:ind w:left="2054" w:leftChars="228" w:right="11" w:hanging="1575" w:hangingChars="750"/>
        <w:rPr>
          <w:rFonts w:ascii="宋体" w:hAnsi="宋体"/>
          <w:bCs/>
          <w:snapToGrid w:val="0"/>
          <w:kern w:val="0"/>
          <w:szCs w:val="21"/>
          <w:highlight w:val="none"/>
        </w:rPr>
      </w:pPr>
      <w:r>
        <w:rPr>
          <w:rFonts w:hint="eastAsia" w:ascii="宋体" w:hAnsi="宋体"/>
          <w:bCs/>
          <w:snapToGrid w:val="0"/>
          <w:kern w:val="0"/>
          <w:szCs w:val="21"/>
          <w:highlight w:val="none"/>
        </w:rPr>
        <w:t>（1）工程名称：海珠区住宅类排水单元达标创建工程设计施工总承包（</w:t>
      </w:r>
      <w:r>
        <w:rPr>
          <w:rFonts w:hint="eastAsia" w:ascii="宋体" w:hAnsi="宋体"/>
          <w:bCs/>
          <w:snapToGrid w:val="0"/>
          <w:kern w:val="0"/>
          <w:szCs w:val="21"/>
          <w:highlight w:val="none"/>
          <w:lang w:eastAsia="zh-CN"/>
        </w:rPr>
        <w:t>标段三</w:t>
      </w:r>
      <w:r>
        <w:rPr>
          <w:rFonts w:hint="eastAsia" w:ascii="宋体" w:hAnsi="宋体"/>
          <w:bCs/>
          <w:snapToGrid w:val="0"/>
          <w:kern w:val="0"/>
          <w:szCs w:val="21"/>
          <w:highlight w:val="none"/>
        </w:rPr>
        <w:t>）。</w:t>
      </w:r>
    </w:p>
    <w:p>
      <w:pPr>
        <w:adjustRightInd w:val="0"/>
        <w:snapToGrid w:val="0"/>
        <w:spacing w:line="360" w:lineRule="auto"/>
        <w:ind w:right="11" w:firstLine="420" w:firstLineChars="200"/>
        <w:rPr>
          <w:rFonts w:ascii="宋体" w:hAnsi="宋体"/>
          <w:b/>
          <w:bCs/>
          <w:snapToGrid w:val="0"/>
          <w:kern w:val="0"/>
          <w:szCs w:val="21"/>
          <w:highlight w:val="none"/>
        </w:rPr>
      </w:pPr>
      <w:r>
        <w:rPr>
          <w:rFonts w:hint="eastAsia" w:ascii="宋体" w:hAnsi="宋体"/>
          <w:bCs/>
          <w:snapToGrid w:val="0"/>
          <w:kern w:val="0"/>
          <w:szCs w:val="21"/>
          <w:highlight w:val="none"/>
        </w:rPr>
        <w:t>（2）工程地点：广州市海珠区沙园街、南石头街、瑞宝街。</w:t>
      </w:r>
    </w:p>
    <w:p>
      <w:pPr>
        <w:adjustRightInd w:val="0"/>
        <w:snapToGrid w:val="0"/>
        <w:spacing w:line="360" w:lineRule="auto"/>
        <w:ind w:right="11" w:firstLine="420" w:firstLineChars="200"/>
        <w:rPr>
          <w:rFonts w:ascii="宋体" w:hAnsi="宋体"/>
          <w:snapToGrid w:val="0"/>
          <w:kern w:val="0"/>
          <w:szCs w:val="21"/>
          <w:highlight w:val="none"/>
        </w:rPr>
      </w:pPr>
      <w:r>
        <w:rPr>
          <w:rFonts w:hint="eastAsia" w:ascii="宋体" w:hAnsi="宋体"/>
          <w:snapToGrid w:val="0"/>
          <w:kern w:val="0"/>
          <w:szCs w:val="21"/>
          <w:highlight w:val="none"/>
        </w:rPr>
        <w:t>（3）工程立项情况：穗海发改投批〔2023〕3 号 。</w:t>
      </w:r>
    </w:p>
    <w:p>
      <w:pPr>
        <w:adjustRightInd w:val="0"/>
        <w:snapToGrid w:val="0"/>
        <w:spacing w:line="360" w:lineRule="auto"/>
        <w:ind w:right="11" w:firstLine="420" w:firstLineChars="200"/>
        <w:rPr>
          <w:rFonts w:ascii="宋体" w:hAnsi="宋体"/>
          <w:snapToGrid w:val="0"/>
          <w:kern w:val="0"/>
          <w:szCs w:val="21"/>
          <w:highlight w:val="none"/>
        </w:rPr>
      </w:pPr>
      <w:r>
        <w:rPr>
          <w:rFonts w:hint="eastAsia" w:ascii="宋体" w:hAnsi="宋体"/>
          <w:snapToGrid w:val="0"/>
          <w:kern w:val="0"/>
          <w:szCs w:val="21"/>
          <w:highlight w:val="none"/>
        </w:rPr>
        <w:t>（4）工程规模：本工程为排水单元达标创建工程，总面积为1.01平方公里。新建DN200~600污水管5.640km、DN200~d1000雨水管20.620km、DN100雨水立管6.267km。拆除重建d300~DN500污水管0.425km、拆除重建d300~d500雨水管0.387km。</w:t>
      </w:r>
    </w:p>
    <w:p>
      <w:pPr>
        <w:adjustRightInd w:val="0"/>
        <w:snapToGrid w:val="0"/>
        <w:spacing w:line="360" w:lineRule="auto"/>
        <w:ind w:right="11" w:firstLine="420" w:firstLineChars="200"/>
        <w:rPr>
          <w:rFonts w:ascii="宋体" w:hAnsi="宋体"/>
          <w:snapToGrid w:val="0"/>
          <w:kern w:val="0"/>
          <w:szCs w:val="21"/>
          <w:highlight w:val="none"/>
        </w:rPr>
      </w:pPr>
      <w:r>
        <w:rPr>
          <w:rFonts w:hint="eastAsia" w:ascii="宋体" w:hAnsi="宋体"/>
          <w:snapToGrid w:val="0"/>
          <w:kern w:val="0"/>
          <w:szCs w:val="21"/>
          <w:highlight w:val="none"/>
        </w:rPr>
        <w:t>（5）资金来源：区财政资金。</w:t>
      </w:r>
    </w:p>
    <w:p>
      <w:pPr>
        <w:adjustRightInd w:val="0"/>
        <w:snapToGrid w:val="0"/>
        <w:spacing w:line="360" w:lineRule="auto"/>
        <w:ind w:right="11" w:firstLine="420" w:firstLineChars="200"/>
        <w:rPr>
          <w:rFonts w:ascii="宋体" w:hAnsi="宋体"/>
          <w:snapToGrid w:val="0"/>
          <w:kern w:val="0"/>
          <w:szCs w:val="21"/>
          <w:highlight w:val="none"/>
        </w:rPr>
      </w:pPr>
      <w:r>
        <w:rPr>
          <w:rFonts w:hint="eastAsia" w:ascii="宋体" w:hAnsi="宋体"/>
          <w:snapToGrid w:val="0"/>
          <w:kern w:val="0"/>
          <w:szCs w:val="21"/>
          <w:highlight w:val="none"/>
        </w:rPr>
        <w:t>2、工程内容、承包范围和承包方式</w:t>
      </w:r>
    </w:p>
    <w:p>
      <w:pPr>
        <w:adjustRightInd w:val="0"/>
        <w:snapToGrid w:val="0"/>
        <w:spacing w:line="360" w:lineRule="auto"/>
        <w:ind w:right="11" w:firstLine="420" w:firstLineChars="200"/>
        <w:rPr>
          <w:rFonts w:ascii="宋体" w:hAnsi="宋体"/>
          <w:snapToGrid w:val="0"/>
          <w:kern w:val="0"/>
          <w:szCs w:val="21"/>
          <w:highlight w:val="none"/>
        </w:rPr>
      </w:pPr>
      <w:r>
        <w:rPr>
          <w:rFonts w:hint="eastAsia" w:ascii="宋体" w:hAnsi="宋体"/>
          <w:snapToGrid w:val="0"/>
          <w:kern w:val="0"/>
          <w:szCs w:val="21"/>
          <w:highlight w:val="none"/>
        </w:rPr>
        <w:t>2.1工程内容：本工程为排水单元达标创建工程，总面积为1.01平方公里。新建DN200~600污水管5.640km、DN200~d1000雨水管20.620km、DN100雨水立管6.267km。拆除重建d300~DN500污水管0.425km、拆除重建d300~d500雨水管0.387km。</w:t>
      </w:r>
    </w:p>
    <w:p>
      <w:pPr>
        <w:adjustRightInd w:val="0"/>
        <w:snapToGrid w:val="0"/>
        <w:spacing w:line="360" w:lineRule="auto"/>
        <w:ind w:right="11" w:firstLine="420" w:firstLineChars="200"/>
        <w:rPr>
          <w:rFonts w:ascii="宋体" w:hAnsi="宋体"/>
          <w:snapToGrid w:val="0"/>
          <w:kern w:val="0"/>
          <w:szCs w:val="21"/>
          <w:highlight w:val="none"/>
        </w:rPr>
      </w:pPr>
      <w:r>
        <w:rPr>
          <w:rFonts w:ascii="宋体" w:hAnsi="宋体"/>
          <w:snapToGrid w:val="0"/>
          <w:kern w:val="0"/>
          <w:szCs w:val="21"/>
          <w:highlight w:val="none"/>
        </w:rPr>
        <w:t>具体如下：</w:t>
      </w:r>
    </w:p>
    <w:p>
      <w:pPr>
        <w:adjustRightInd w:val="0"/>
        <w:snapToGrid w:val="0"/>
        <w:spacing w:line="360" w:lineRule="auto"/>
        <w:ind w:right="11" w:firstLine="420" w:firstLineChars="200"/>
        <w:rPr>
          <w:rFonts w:ascii="宋体" w:hAnsi="宋体"/>
          <w:snapToGrid w:val="0"/>
          <w:kern w:val="0"/>
          <w:szCs w:val="21"/>
          <w:highlight w:val="none"/>
        </w:rPr>
      </w:pPr>
      <w:r>
        <w:rPr>
          <w:rFonts w:hint="eastAsia" w:ascii="宋体" w:hAnsi="宋体"/>
          <w:snapToGrid w:val="0"/>
          <w:kern w:val="0"/>
          <w:szCs w:val="21"/>
          <w:highlight w:val="none"/>
        </w:rPr>
        <w:t>工程位于海珠区以下</w:t>
      </w: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rPr>
        <w:t>个街道，分别为:沙园街(11个排水单元)、南石头街(9个排水单元)、瑞宝街(20排水个单元)，共</w:t>
      </w:r>
      <w:r>
        <w:rPr>
          <w:rFonts w:hint="eastAsia" w:ascii="宋体" w:hAnsi="宋体"/>
          <w:snapToGrid w:val="0"/>
          <w:kern w:val="0"/>
          <w:szCs w:val="21"/>
          <w:highlight w:val="none"/>
          <w:lang w:val="en-US" w:eastAsia="zh-CN"/>
        </w:rPr>
        <w:t>40</w:t>
      </w:r>
      <w:r>
        <w:rPr>
          <w:rFonts w:hint="eastAsia" w:ascii="宋体" w:hAnsi="宋体"/>
          <w:snapToGrid w:val="0"/>
          <w:kern w:val="0"/>
          <w:szCs w:val="21"/>
          <w:highlight w:val="none"/>
        </w:rPr>
        <w:t>个单元。</w:t>
      </w:r>
    </w:p>
    <w:p>
      <w:pPr>
        <w:adjustRightInd w:val="0"/>
        <w:snapToGrid w:val="0"/>
        <w:spacing w:line="360" w:lineRule="auto"/>
        <w:ind w:right="11"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2.2承包范围： </w:t>
      </w:r>
    </w:p>
    <w:p>
      <w:pPr>
        <w:adjustRightInd w:val="0"/>
        <w:snapToGrid w:val="0"/>
        <w:spacing w:line="360" w:lineRule="auto"/>
        <w:ind w:right="11" w:firstLine="420" w:firstLineChars="200"/>
        <w:rPr>
          <w:rFonts w:ascii="宋体" w:hAnsi="宋体"/>
          <w:snapToGrid w:val="0"/>
          <w:kern w:val="0"/>
          <w:szCs w:val="21"/>
          <w:highlight w:val="none"/>
        </w:rPr>
      </w:pPr>
      <w:r>
        <w:rPr>
          <w:rFonts w:hint="eastAsia" w:ascii="宋体" w:hAnsi="宋体"/>
          <w:snapToGrid w:val="0"/>
          <w:kern w:val="0"/>
          <w:szCs w:val="21"/>
          <w:highlight w:val="none"/>
        </w:rPr>
        <w:t>（2）工程设计工作：根据已有初步设计编制施工图及工程量</w:t>
      </w:r>
      <w:r>
        <w:rPr>
          <w:rFonts w:hint="eastAsia"/>
          <w:highlight w:val="none"/>
        </w:rPr>
        <w:t>清单、</w:t>
      </w:r>
      <w:r>
        <w:rPr>
          <w:rFonts w:hint="eastAsia" w:ascii="宋体" w:hAnsi="宋体"/>
          <w:snapToGrid w:val="0"/>
          <w:kern w:val="0"/>
          <w:szCs w:val="21"/>
          <w:highlight w:val="none"/>
        </w:rPr>
        <w:t>编制施工图预算（含工程量清单编制）、现场指导与监督、配合编制竣工图及相关报建等工作。</w:t>
      </w:r>
    </w:p>
    <w:p>
      <w:pPr>
        <w:spacing w:line="360" w:lineRule="auto"/>
        <w:ind w:firstLine="457" w:firstLineChars="218"/>
        <w:rPr>
          <w:rFonts w:ascii="宋体" w:hAnsi="宋体"/>
          <w:bCs/>
          <w:snapToGrid w:val="0"/>
          <w:kern w:val="0"/>
          <w:szCs w:val="21"/>
          <w:highlight w:val="none"/>
        </w:rPr>
      </w:pPr>
      <w:r>
        <w:rPr>
          <w:rFonts w:hint="eastAsia" w:ascii="宋体" w:hAnsi="宋体"/>
          <w:snapToGrid w:val="0"/>
          <w:kern w:val="0"/>
          <w:szCs w:val="21"/>
          <w:highlight w:val="none"/>
        </w:rPr>
        <w:t>（3）工程施工：按照招标文件及合同约定的范围和</w:t>
      </w:r>
      <w:r>
        <w:rPr>
          <w:rFonts w:hint="eastAsia" w:ascii="宋体" w:hAnsi="宋体"/>
          <w:bCs/>
          <w:snapToGrid w:val="0"/>
          <w:kern w:val="0"/>
          <w:szCs w:val="21"/>
          <w:highlight w:val="none"/>
        </w:rPr>
        <w:t>招标人批复的施工图进行施工总承包，包括但不限于包工、包料、包设备、包质量、包安全生产、包文明施工、包工期、包承包范围内工程验收通过、包移交、包结算、包资料整理、包施工总承包管理和现场整体组织、包专业协调及配合、包保修等。</w:t>
      </w:r>
    </w:p>
    <w:p>
      <w:pPr>
        <w:spacing w:line="360" w:lineRule="auto"/>
        <w:ind w:firstLine="457" w:firstLineChars="218"/>
        <w:rPr>
          <w:rFonts w:ascii="宋体" w:hAnsi="宋体"/>
          <w:bCs/>
          <w:snapToGrid w:val="0"/>
          <w:kern w:val="0"/>
          <w:szCs w:val="21"/>
          <w:highlight w:val="none"/>
        </w:rPr>
      </w:pPr>
      <w:r>
        <w:rPr>
          <w:rFonts w:hint="eastAsia" w:ascii="宋体" w:hAnsi="宋体"/>
          <w:bCs/>
          <w:snapToGrid w:val="0"/>
          <w:kern w:val="0"/>
          <w:szCs w:val="21"/>
          <w:highlight w:val="none"/>
        </w:rPr>
        <w:t>2.3承包方式：</w:t>
      </w:r>
    </w:p>
    <w:p>
      <w:pPr>
        <w:spacing w:line="360" w:lineRule="auto"/>
        <w:ind w:firstLine="457" w:firstLineChars="218"/>
        <w:rPr>
          <w:rFonts w:ascii="宋体" w:hAnsi="宋体"/>
          <w:bCs/>
          <w:snapToGrid w:val="0"/>
          <w:kern w:val="0"/>
          <w:szCs w:val="21"/>
          <w:highlight w:val="none"/>
        </w:rPr>
      </w:pPr>
      <w:r>
        <w:rPr>
          <w:rFonts w:hint="eastAsia" w:ascii="宋体" w:hAnsi="宋体"/>
          <w:bCs/>
          <w:snapToGrid w:val="0"/>
          <w:kern w:val="0"/>
          <w:szCs w:val="21"/>
          <w:highlight w:val="none"/>
        </w:rPr>
        <w:t>工程设计：</w:t>
      </w:r>
      <w:r>
        <w:rPr>
          <w:rFonts w:hint="eastAsia" w:ascii="宋体" w:hAnsi="宋体"/>
          <w:highlight w:val="none"/>
        </w:rPr>
        <w:t>设计服务费用以批复的概算中的设计费乘以（1-中标下浮率）减去发包人应支付的初步设计费计算。</w:t>
      </w:r>
      <w:r>
        <w:rPr>
          <w:rFonts w:hint="eastAsia" w:ascii="宋体" w:hAnsi="宋体"/>
          <w:bCs/>
          <w:snapToGrid w:val="0"/>
          <w:kern w:val="0"/>
          <w:szCs w:val="21"/>
          <w:highlight w:val="none"/>
        </w:rPr>
        <w:t>最终结算价以</w:t>
      </w:r>
      <w:r>
        <w:rPr>
          <w:rFonts w:hint="eastAsia" w:ascii="宋体" w:hAnsi="宋体"/>
          <w:bCs/>
          <w:snapToGrid w:val="0"/>
          <w:kern w:val="0"/>
          <w:szCs w:val="21"/>
          <w:highlight w:val="none"/>
          <w:u w:val="single"/>
        </w:rPr>
        <w:t>财政部门或经招标人确定的第三方造价咨询机构</w:t>
      </w:r>
      <w:r>
        <w:rPr>
          <w:rFonts w:hint="eastAsia" w:ascii="宋体" w:hAnsi="宋体"/>
          <w:bCs/>
          <w:snapToGrid w:val="0"/>
          <w:kern w:val="0"/>
          <w:szCs w:val="21"/>
          <w:highlight w:val="none"/>
        </w:rPr>
        <w:t>的审核结果为准。</w:t>
      </w:r>
    </w:p>
    <w:p>
      <w:pPr>
        <w:spacing w:line="360" w:lineRule="auto"/>
        <w:ind w:firstLine="457" w:firstLineChars="218"/>
        <w:rPr>
          <w:rFonts w:ascii="宋体" w:hAnsi="宋体"/>
          <w:bCs/>
          <w:snapToGrid w:val="0"/>
          <w:kern w:val="0"/>
          <w:szCs w:val="21"/>
          <w:highlight w:val="none"/>
        </w:rPr>
      </w:pPr>
      <w:r>
        <w:rPr>
          <w:rFonts w:hint="eastAsia" w:ascii="宋体" w:hAnsi="宋体"/>
          <w:bCs/>
          <w:snapToGrid w:val="0"/>
          <w:kern w:val="0"/>
          <w:szCs w:val="21"/>
          <w:highlight w:val="none"/>
        </w:rPr>
        <w:t>工程施工：施工采用综合单价包干，项目措施费包干，工程量按实结算。综合单价包干、项目措施费包干指造价咨询单位工程概算审核报告中对应价格按照合同约定下浮率后包干。项目措施费调减的特殊情况：工程实施内容减少，按分部分项工程费计算减少超过10%的，超过部分按分部分项工程费的比例调减措施项目费。</w:t>
      </w:r>
    </w:p>
    <w:p>
      <w:pPr>
        <w:spacing w:line="360" w:lineRule="auto"/>
        <w:ind w:firstLine="457" w:firstLineChars="218"/>
        <w:rPr>
          <w:rFonts w:ascii="宋体" w:hAnsi="宋体"/>
          <w:bCs/>
          <w:snapToGrid w:val="0"/>
          <w:kern w:val="0"/>
          <w:szCs w:val="21"/>
          <w:highlight w:val="none"/>
        </w:rPr>
      </w:pPr>
      <w:r>
        <w:rPr>
          <w:rFonts w:hint="eastAsia" w:ascii="宋体" w:hAnsi="宋体"/>
          <w:bCs/>
          <w:snapToGrid w:val="0"/>
          <w:kern w:val="0"/>
          <w:szCs w:val="21"/>
          <w:highlight w:val="none"/>
        </w:rPr>
        <w:t>2.4考虑到[□电力进线与10kv供配电工程（含临电）、□给水（含临水）、□燃气、□幕墙、□钢结构、□装修、□园林、□其他]专业设计的专业性及特殊性，若承包人的专业能力不满足要求或设计成果不能得到相关专业主管部门的认可，则承包人应经发包人批准后委托专业单位设计，相应的专业工程设计费包含在本工程设计收费总额中，并按此原则签订专业设计分包合同，支付时由承包人转付给专业设计单位，发包人无需为此补偿任何费用。</w:t>
      </w:r>
    </w:p>
    <w:p>
      <w:pPr>
        <w:spacing w:line="360" w:lineRule="auto"/>
        <w:ind w:firstLine="457" w:firstLineChars="218"/>
        <w:rPr>
          <w:rFonts w:ascii="宋体" w:hAnsi="宋体"/>
          <w:bCs/>
          <w:snapToGrid w:val="0"/>
          <w:kern w:val="0"/>
          <w:szCs w:val="21"/>
          <w:highlight w:val="none"/>
        </w:rPr>
      </w:pPr>
      <w:r>
        <w:rPr>
          <w:rFonts w:hint="eastAsia" w:ascii="宋体" w:hAnsi="宋体"/>
          <w:bCs/>
          <w:snapToGrid w:val="0"/>
          <w:kern w:val="0"/>
          <w:szCs w:val="21"/>
          <w:highlight w:val="none"/>
        </w:rPr>
        <w:t>2.5发包人根据工程实施情况，有权对承包人的承包范围及内容进行适当调整，承包人必须无条件服从。</w:t>
      </w:r>
    </w:p>
    <w:p>
      <w:pPr>
        <w:adjustRightInd w:val="0"/>
        <w:snapToGrid w:val="0"/>
        <w:spacing w:line="360" w:lineRule="auto"/>
        <w:ind w:right="11" w:firstLine="422" w:firstLineChars="200"/>
        <w:rPr>
          <w:rFonts w:ascii="宋体" w:hAnsi="宋体"/>
          <w:b/>
          <w:bCs/>
          <w:snapToGrid w:val="0"/>
          <w:kern w:val="0"/>
          <w:szCs w:val="21"/>
          <w:highlight w:val="none"/>
        </w:rPr>
      </w:pPr>
      <w:r>
        <w:rPr>
          <w:rFonts w:hint="eastAsia" w:ascii="宋体" w:hAnsi="宋体"/>
          <w:b/>
          <w:bCs/>
          <w:snapToGrid w:val="0"/>
          <w:kern w:val="0"/>
          <w:szCs w:val="21"/>
          <w:highlight w:val="none"/>
        </w:rPr>
        <w:t>3、合同工期</w:t>
      </w:r>
    </w:p>
    <w:p>
      <w:pPr>
        <w:adjustRightInd w:val="0"/>
        <w:snapToGrid w:val="0"/>
        <w:spacing w:line="360" w:lineRule="auto"/>
        <w:ind w:right="11" w:firstLine="420" w:firstLineChars="200"/>
        <w:rPr>
          <w:rFonts w:ascii="宋体" w:hAnsi="宋体"/>
          <w:bCs/>
          <w:snapToGrid w:val="0"/>
          <w:kern w:val="0"/>
          <w:szCs w:val="21"/>
          <w:highlight w:val="none"/>
        </w:rPr>
      </w:pPr>
      <w:r>
        <w:rPr>
          <w:rFonts w:hint="eastAsia" w:ascii="宋体" w:hAnsi="宋体"/>
          <w:bCs/>
          <w:snapToGrid w:val="0"/>
          <w:kern w:val="0"/>
          <w:szCs w:val="21"/>
          <w:highlight w:val="none"/>
        </w:rPr>
        <w:t>3.1 本合同工期约定为：</w:t>
      </w:r>
      <w:r>
        <w:rPr>
          <w:rFonts w:hint="eastAsia" w:ascii="宋体" w:hAnsi="宋体"/>
          <w:szCs w:val="21"/>
          <w:highlight w:val="none"/>
          <w:u w:val="single"/>
        </w:rPr>
        <w:t>365</w:t>
      </w:r>
      <w:r>
        <w:rPr>
          <w:rFonts w:hint="eastAsia" w:ascii="宋体" w:hAnsi="宋体"/>
          <w:bCs/>
          <w:snapToGrid w:val="0"/>
          <w:kern w:val="0"/>
          <w:szCs w:val="21"/>
          <w:highlight w:val="none"/>
        </w:rPr>
        <w:t>日历天，自合同签订之日起至竣工验收之日止。关键节点工期要求：</w:t>
      </w:r>
    </w:p>
    <w:p>
      <w:pPr>
        <w:spacing w:line="360" w:lineRule="auto"/>
        <w:ind w:left="-365" w:leftChars="-174" w:firstLine="898" w:firstLineChars="428"/>
        <w:rPr>
          <w:rFonts w:ascii="宋体" w:hAnsi="宋体"/>
          <w:szCs w:val="21"/>
          <w:highlight w:val="none"/>
        </w:rPr>
      </w:pPr>
      <w:r>
        <w:rPr>
          <w:rFonts w:hint="eastAsia" w:ascii="宋体" w:hAnsi="宋体"/>
          <w:szCs w:val="21"/>
          <w:highlight w:val="none"/>
        </w:rPr>
        <w:t>3.1施工节点工期：</w:t>
      </w:r>
    </w:p>
    <w:p>
      <w:pPr>
        <w:spacing w:line="360" w:lineRule="auto"/>
        <w:ind w:firstLine="457" w:firstLineChars="218"/>
        <w:rPr>
          <w:rFonts w:ascii="宋体" w:hAnsi="宋体"/>
          <w:bCs/>
          <w:snapToGrid w:val="0"/>
          <w:kern w:val="0"/>
          <w:szCs w:val="21"/>
          <w:highlight w:val="none"/>
        </w:rPr>
      </w:pPr>
      <w:r>
        <w:rPr>
          <w:rFonts w:hint="eastAsia" w:ascii="宋体" w:hAnsi="宋体"/>
          <w:bCs/>
          <w:snapToGrid w:val="0"/>
          <w:kern w:val="0"/>
          <w:szCs w:val="21"/>
          <w:highlight w:val="none"/>
        </w:rPr>
        <w:t>发包人根据工程实际情况，有权对本工程中的关键节点工期进行适当提前调整，承包人必须采取一切有效措施保证关键节点工期的调整，不得延误，并不得要求另行增加费用，相关赶工措施费用应在投标报价中综合考虑。</w:t>
      </w:r>
    </w:p>
    <w:p>
      <w:pPr>
        <w:spacing w:line="360" w:lineRule="auto"/>
        <w:ind w:firstLine="457" w:firstLineChars="218"/>
        <w:rPr>
          <w:rFonts w:ascii="宋体" w:hAnsi="宋体"/>
          <w:bCs/>
          <w:snapToGrid w:val="0"/>
          <w:kern w:val="0"/>
          <w:szCs w:val="21"/>
          <w:highlight w:val="none"/>
        </w:rPr>
      </w:pPr>
      <w:r>
        <w:rPr>
          <w:rFonts w:hint="eastAsia" w:ascii="宋体" w:hAnsi="宋体"/>
          <w:bCs/>
          <w:snapToGrid w:val="0"/>
          <w:kern w:val="0"/>
          <w:szCs w:val="21"/>
          <w:highlight w:val="none"/>
        </w:rPr>
        <w:t>3.2 本工程的合同工期包括因承包人的设计未能达到发包人及相关政府部门的要求而需要修改或重新设计所涉及的额外工程期限，承包人被视为已对上述审批时间作出考虑和预留。</w:t>
      </w:r>
    </w:p>
    <w:p>
      <w:pPr>
        <w:spacing w:line="360" w:lineRule="auto"/>
        <w:ind w:firstLine="457" w:firstLineChars="218"/>
        <w:rPr>
          <w:rFonts w:ascii="宋体" w:hAnsi="宋体"/>
          <w:bCs/>
          <w:snapToGrid w:val="0"/>
          <w:kern w:val="0"/>
          <w:szCs w:val="21"/>
          <w:highlight w:val="none"/>
        </w:rPr>
      </w:pPr>
      <w:r>
        <w:rPr>
          <w:rFonts w:hint="eastAsia" w:ascii="宋体" w:hAnsi="宋体"/>
          <w:bCs/>
          <w:snapToGrid w:val="0"/>
          <w:kern w:val="0"/>
          <w:szCs w:val="21"/>
          <w:highlight w:val="none"/>
        </w:rPr>
        <w:t>3.3 发包人根据工程实施情况，有权对合同工程工期（包括关键节点工期和竣工日期）进行适当调整。</w:t>
      </w:r>
    </w:p>
    <w:p>
      <w:pPr>
        <w:adjustRightInd w:val="0"/>
        <w:snapToGrid w:val="0"/>
        <w:spacing w:line="360" w:lineRule="auto"/>
        <w:ind w:right="11" w:firstLine="422" w:firstLineChars="200"/>
        <w:rPr>
          <w:rFonts w:ascii="宋体" w:hAnsi="宋体"/>
          <w:b/>
          <w:bCs/>
          <w:snapToGrid w:val="0"/>
          <w:kern w:val="0"/>
          <w:szCs w:val="21"/>
          <w:highlight w:val="none"/>
        </w:rPr>
      </w:pPr>
      <w:r>
        <w:rPr>
          <w:rFonts w:hint="eastAsia" w:ascii="宋体" w:hAnsi="宋体"/>
          <w:b/>
          <w:bCs/>
          <w:snapToGrid w:val="0"/>
          <w:kern w:val="0"/>
          <w:szCs w:val="21"/>
          <w:highlight w:val="none"/>
        </w:rPr>
        <w:t>4、质量标准：</w:t>
      </w:r>
    </w:p>
    <w:p>
      <w:pPr>
        <w:spacing w:line="360" w:lineRule="auto"/>
        <w:ind w:firstLine="457" w:firstLineChars="218"/>
        <w:rPr>
          <w:rFonts w:ascii="宋体" w:hAnsi="宋体"/>
          <w:bCs/>
          <w:snapToGrid w:val="0"/>
          <w:kern w:val="0"/>
          <w:szCs w:val="21"/>
          <w:highlight w:val="none"/>
        </w:rPr>
      </w:pPr>
      <w:r>
        <w:rPr>
          <w:rFonts w:hint="eastAsia" w:ascii="宋体" w:hAnsi="宋体"/>
          <w:bCs/>
          <w:snapToGrid w:val="0"/>
          <w:kern w:val="0"/>
          <w:szCs w:val="21"/>
          <w:highlight w:val="none"/>
        </w:rPr>
        <w:t>4.1 设计要求的质量标准：</w:t>
      </w:r>
      <w:r>
        <w:rPr>
          <w:rFonts w:hint="eastAsia" w:ascii="宋体" w:hAnsi="宋体"/>
          <w:bCs/>
          <w:snapToGrid w:val="0"/>
          <w:kern w:val="0"/>
          <w:szCs w:val="21"/>
          <w:highlight w:val="none"/>
          <w:u w:val="single"/>
        </w:rPr>
        <w:t>符合相关规范规定和招标人要求。</w:t>
      </w:r>
    </w:p>
    <w:p>
      <w:pPr>
        <w:spacing w:line="360" w:lineRule="auto"/>
        <w:ind w:firstLine="457" w:firstLineChars="218"/>
        <w:rPr>
          <w:rFonts w:ascii="宋体" w:hAnsi="宋体"/>
          <w:bCs/>
          <w:snapToGrid w:val="0"/>
          <w:kern w:val="0"/>
          <w:szCs w:val="21"/>
          <w:highlight w:val="none"/>
          <w:u w:val="single"/>
        </w:rPr>
      </w:pPr>
      <w:r>
        <w:rPr>
          <w:rFonts w:hint="eastAsia" w:ascii="宋体" w:hAnsi="宋体"/>
          <w:bCs/>
          <w:snapToGrid w:val="0"/>
          <w:kern w:val="0"/>
          <w:szCs w:val="21"/>
          <w:highlight w:val="none"/>
        </w:rPr>
        <w:t>4.2 施工要求的质量标准：</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eastAsia="zh-CN"/>
        </w:rPr>
        <w:t>优良</w:t>
      </w:r>
      <w:r>
        <w:rPr>
          <w:rFonts w:hint="eastAsia" w:ascii="宋体" w:hAnsi="宋体"/>
          <w:bCs/>
          <w:snapToGrid w:val="0"/>
          <w:kern w:val="0"/>
          <w:szCs w:val="21"/>
          <w:highlight w:val="none"/>
          <w:u w:val="single"/>
        </w:rPr>
        <w:t>。</w:t>
      </w:r>
    </w:p>
    <w:p>
      <w:pPr>
        <w:adjustRightInd w:val="0"/>
        <w:snapToGrid w:val="0"/>
        <w:spacing w:line="360" w:lineRule="auto"/>
        <w:ind w:right="11" w:firstLine="422" w:firstLineChars="200"/>
        <w:rPr>
          <w:rFonts w:ascii="宋体" w:hAnsi="宋体"/>
          <w:b/>
          <w:bCs/>
          <w:snapToGrid w:val="0"/>
          <w:kern w:val="0"/>
          <w:szCs w:val="21"/>
          <w:highlight w:val="none"/>
        </w:rPr>
      </w:pPr>
      <w:r>
        <w:rPr>
          <w:rFonts w:hint="eastAsia" w:ascii="宋体" w:hAnsi="宋体"/>
          <w:b/>
          <w:bCs/>
          <w:snapToGrid w:val="0"/>
          <w:kern w:val="0"/>
          <w:szCs w:val="21"/>
          <w:highlight w:val="none"/>
        </w:rPr>
        <w:t>5、职业健康安全管理目标和环境管理目标</w:t>
      </w:r>
    </w:p>
    <w:p>
      <w:pPr>
        <w:adjustRightInd w:val="0"/>
        <w:snapToGrid w:val="0"/>
        <w:spacing w:line="360" w:lineRule="auto"/>
        <w:ind w:right="11" w:firstLine="420" w:firstLineChars="200"/>
        <w:outlineLvl w:val="2"/>
        <w:rPr>
          <w:rFonts w:ascii="宋体" w:hAnsi="宋体"/>
          <w:bCs/>
          <w:snapToGrid w:val="0"/>
          <w:kern w:val="0"/>
          <w:szCs w:val="21"/>
          <w:highlight w:val="none"/>
        </w:rPr>
      </w:pPr>
      <w:bookmarkStart w:id="14" w:name="_Toc486159623"/>
      <w:bookmarkStart w:id="15" w:name="_Toc486159965"/>
      <w:r>
        <w:rPr>
          <w:rFonts w:hint="eastAsia" w:ascii="宋体" w:hAnsi="宋体"/>
          <w:bCs/>
          <w:snapToGrid w:val="0"/>
          <w:kern w:val="0"/>
          <w:szCs w:val="21"/>
          <w:highlight w:val="none"/>
        </w:rPr>
        <w:t>（1）职业健康安全管理目标：</w:t>
      </w:r>
    </w:p>
    <w:p>
      <w:pPr>
        <w:spacing w:line="360" w:lineRule="auto"/>
        <w:ind w:firstLine="420" w:firstLineChars="200"/>
        <w:rPr>
          <w:rFonts w:ascii="宋体" w:hAnsi="宋体"/>
          <w:bCs/>
          <w:snapToGrid w:val="0"/>
          <w:kern w:val="0"/>
          <w:szCs w:val="21"/>
          <w:highlight w:val="none"/>
        </w:rPr>
      </w:pPr>
      <w:r>
        <w:rPr>
          <w:rFonts w:ascii="宋体" w:hAnsi="宋体"/>
          <w:bCs/>
          <w:snapToGrid w:val="0"/>
          <w:kern w:val="0"/>
          <w:szCs w:val="21"/>
          <w:highlight w:val="none"/>
        </w:rPr>
        <w:t>安全文明控制目标：（1）不发生较大以上安全责任事故和职业病危险事故</w:t>
      </w:r>
      <w:r>
        <w:rPr>
          <w:rFonts w:hint="eastAsia" w:ascii="宋体" w:hAnsi="宋体"/>
          <w:bCs/>
          <w:snapToGrid w:val="0"/>
          <w:kern w:val="0"/>
          <w:szCs w:val="21"/>
          <w:highlight w:val="none"/>
        </w:rPr>
        <w:t>；</w:t>
      </w:r>
      <w:r>
        <w:rPr>
          <w:rFonts w:ascii="宋体" w:hAnsi="宋体"/>
          <w:bCs/>
          <w:snapToGrid w:val="0"/>
          <w:kern w:val="0"/>
          <w:szCs w:val="21"/>
          <w:highlight w:val="none"/>
        </w:rPr>
        <w:t>（</w:t>
      </w:r>
      <w:r>
        <w:rPr>
          <w:rFonts w:hint="eastAsia" w:ascii="宋体" w:hAnsi="宋体"/>
          <w:bCs/>
          <w:snapToGrid w:val="0"/>
          <w:kern w:val="0"/>
          <w:szCs w:val="21"/>
          <w:highlight w:val="none"/>
        </w:rPr>
        <w:t>2</w:t>
      </w:r>
      <w:r>
        <w:rPr>
          <w:rFonts w:ascii="宋体" w:hAnsi="宋体"/>
          <w:bCs/>
          <w:snapToGrid w:val="0"/>
          <w:kern w:val="0"/>
          <w:szCs w:val="21"/>
          <w:highlight w:val="none"/>
        </w:rPr>
        <w:t>）每年由单位主要责任人带队组织安全生产专项检查不少于４次；（</w:t>
      </w:r>
      <w:r>
        <w:rPr>
          <w:rFonts w:hint="eastAsia" w:ascii="宋体" w:hAnsi="宋体"/>
          <w:bCs/>
          <w:snapToGrid w:val="0"/>
          <w:kern w:val="0"/>
          <w:szCs w:val="21"/>
          <w:highlight w:val="none"/>
        </w:rPr>
        <w:t>3</w:t>
      </w:r>
      <w:r>
        <w:rPr>
          <w:rFonts w:ascii="宋体" w:hAnsi="宋体"/>
          <w:bCs/>
          <w:snapToGrid w:val="0"/>
          <w:kern w:val="0"/>
          <w:szCs w:val="21"/>
          <w:highlight w:val="none"/>
        </w:rPr>
        <w:t>）事故隐患自查覆盖率达</w:t>
      </w:r>
      <w:r>
        <w:rPr>
          <w:rFonts w:hint="eastAsia" w:ascii="宋体" w:hAnsi="宋体"/>
          <w:bCs/>
          <w:snapToGrid w:val="0"/>
          <w:kern w:val="0"/>
          <w:szCs w:val="21"/>
          <w:highlight w:val="none"/>
        </w:rPr>
        <w:t>100%</w:t>
      </w:r>
      <w:r>
        <w:rPr>
          <w:rFonts w:ascii="宋体" w:hAnsi="宋体"/>
          <w:bCs/>
          <w:snapToGrid w:val="0"/>
          <w:kern w:val="0"/>
          <w:szCs w:val="21"/>
          <w:highlight w:val="none"/>
        </w:rPr>
        <w:t>以上，一般事故隐患整改率</w:t>
      </w:r>
      <w:r>
        <w:rPr>
          <w:rFonts w:hint="eastAsia" w:ascii="宋体" w:hAnsi="宋体"/>
          <w:bCs/>
          <w:snapToGrid w:val="0"/>
          <w:kern w:val="0"/>
          <w:szCs w:val="21"/>
          <w:highlight w:val="none"/>
        </w:rPr>
        <w:t>100%</w:t>
      </w:r>
      <w:r>
        <w:rPr>
          <w:rFonts w:ascii="宋体" w:hAnsi="宋体"/>
          <w:bCs/>
          <w:snapToGrid w:val="0"/>
          <w:kern w:val="0"/>
          <w:szCs w:val="21"/>
          <w:highlight w:val="none"/>
        </w:rPr>
        <w:t>，安全生产非法违法行为举报投诉查办率</w:t>
      </w:r>
      <w:r>
        <w:rPr>
          <w:rFonts w:hint="eastAsia" w:ascii="宋体" w:hAnsi="宋体"/>
          <w:bCs/>
          <w:snapToGrid w:val="0"/>
          <w:kern w:val="0"/>
          <w:szCs w:val="21"/>
          <w:highlight w:val="none"/>
        </w:rPr>
        <w:t>100%；（4）完成隐患排查治理信息平台推广应用任务；（5）完成本单位安全生产改革发展目标任务。</w:t>
      </w:r>
    </w:p>
    <w:bookmarkEnd w:id="14"/>
    <w:bookmarkEnd w:id="15"/>
    <w:p>
      <w:pPr>
        <w:pStyle w:val="148"/>
        <w:ind w:firstLine="422"/>
        <w:rPr>
          <w:rFonts w:ascii="宋体" w:hAnsi="宋体"/>
          <w:spacing w:val="0"/>
          <w:sz w:val="21"/>
          <w:szCs w:val="21"/>
          <w:highlight w:val="none"/>
        </w:rPr>
      </w:pPr>
      <w:r>
        <w:rPr>
          <w:rFonts w:hint="eastAsia" w:ascii="宋体" w:hAnsi="宋体"/>
          <w:b/>
          <w:bCs/>
          <w:spacing w:val="0"/>
          <w:sz w:val="21"/>
          <w:szCs w:val="21"/>
          <w:highlight w:val="none"/>
        </w:rPr>
        <w:t xml:space="preserve">□ </w:t>
      </w:r>
      <w:r>
        <w:rPr>
          <w:rFonts w:hint="eastAsia" w:ascii="宋体" w:hAnsi="宋体"/>
          <w:bCs/>
          <w:spacing w:val="0"/>
          <w:sz w:val="21"/>
          <w:szCs w:val="21"/>
          <w:highlight w:val="none"/>
        </w:rPr>
        <w:t>达到广州市安全文明样板工地标准。</w:t>
      </w:r>
    </w:p>
    <w:p>
      <w:pPr>
        <w:adjustRightInd w:val="0"/>
        <w:snapToGrid w:val="0"/>
        <w:spacing w:line="360" w:lineRule="auto"/>
        <w:ind w:right="11" w:firstLine="422" w:firstLineChars="200"/>
        <w:rPr>
          <w:rFonts w:ascii="宋体" w:hAnsi="宋体"/>
          <w:bCs/>
          <w:snapToGrid w:val="0"/>
          <w:kern w:val="0"/>
          <w:szCs w:val="21"/>
          <w:highlight w:val="none"/>
        </w:rPr>
      </w:pPr>
      <w:r>
        <w:rPr>
          <w:rFonts w:hint="eastAsia" w:ascii="宋体" w:hAnsi="宋体"/>
          <w:b/>
          <w:bCs/>
          <w:snapToGrid w:val="0"/>
          <w:kern w:val="0"/>
          <w:szCs w:val="21"/>
          <w:highlight w:val="none"/>
        </w:rPr>
        <w:t>□</w:t>
      </w:r>
      <w:r>
        <w:rPr>
          <w:rFonts w:hint="eastAsia" w:ascii="宋体" w:hAnsi="宋体"/>
          <w:bCs/>
          <w:snapToGrid w:val="0"/>
          <w:kern w:val="0"/>
          <w:szCs w:val="21"/>
          <w:highlight w:val="none"/>
        </w:rPr>
        <w:t xml:space="preserve"> 广州市安全文明样板工地，争创广东省安全文明样板工地。</w:t>
      </w:r>
    </w:p>
    <w:p>
      <w:pPr>
        <w:adjustRightInd w:val="0"/>
        <w:snapToGrid w:val="0"/>
        <w:spacing w:line="360" w:lineRule="auto"/>
        <w:ind w:right="11" w:firstLine="422" w:firstLineChars="200"/>
        <w:rPr>
          <w:rFonts w:ascii="宋体" w:hAnsi="宋体"/>
          <w:bCs/>
          <w:snapToGrid w:val="0"/>
          <w:kern w:val="0"/>
          <w:szCs w:val="21"/>
          <w:highlight w:val="none"/>
        </w:rPr>
      </w:pPr>
      <w:r>
        <w:rPr>
          <w:rFonts w:hint="eastAsia" w:ascii="宋体" w:hAnsi="宋体"/>
          <w:b/>
          <w:bCs/>
          <w:snapToGrid w:val="0"/>
          <w:kern w:val="0"/>
          <w:szCs w:val="21"/>
          <w:highlight w:val="none"/>
        </w:rPr>
        <w:t>□</w:t>
      </w:r>
      <w:r>
        <w:rPr>
          <w:rFonts w:hint="eastAsia" w:ascii="宋体" w:hAnsi="宋体"/>
          <w:bCs/>
          <w:snapToGrid w:val="0"/>
          <w:kern w:val="0"/>
          <w:szCs w:val="21"/>
          <w:highlight w:val="none"/>
        </w:rPr>
        <w:t xml:space="preserve"> 其他</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zh-CN"/>
        </w:rPr>
        <w:t>。</w:t>
      </w:r>
    </w:p>
    <w:p>
      <w:pPr>
        <w:adjustRightInd w:val="0"/>
        <w:snapToGrid w:val="0"/>
        <w:spacing w:line="360" w:lineRule="auto"/>
        <w:ind w:right="11" w:firstLine="420" w:firstLineChars="200"/>
        <w:outlineLvl w:val="2"/>
        <w:rPr>
          <w:rFonts w:ascii="宋体" w:hAnsi="宋体"/>
          <w:bCs/>
          <w:snapToGrid w:val="0"/>
          <w:kern w:val="0"/>
          <w:szCs w:val="21"/>
          <w:highlight w:val="none"/>
        </w:rPr>
      </w:pPr>
      <w:bookmarkStart w:id="16" w:name="_Toc486159966"/>
      <w:bookmarkStart w:id="17" w:name="_Toc486159624"/>
      <w:r>
        <w:rPr>
          <w:rFonts w:hint="eastAsia" w:ascii="宋体" w:hAnsi="宋体"/>
          <w:bCs/>
          <w:snapToGrid w:val="0"/>
          <w:kern w:val="0"/>
          <w:szCs w:val="21"/>
          <w:highlight w:val="none"/>
        </w:rPr>
        <w:t>（2）环境管理目标：</w:t>
      </w:r>
      <w:bookmarkEnd w:id="16"/>
      <w:bookmarkEnd w:id="17"/>
    </w:p>
    <w:p>
      <w:pPr>
        <w:adjustRightInd w:val="0"/>
        <w:snapToGrid w:val="0"/>
        <w:spacing w:line="360" w:lineRule="auto"/>
        <w:ind w:right="11" w:firstLine="420" w:firstLineChars="200"/>
        <w:rPr>
          <w:rFonts w:ascii="宋体" w:hAnsi="宋体"/>
          <w:bCs/>
          <w:snapToGrid w:val="0"/>
          <w:kern w:val="0"/>
          <w:szCs w:val="21"/>
          <w:highlight w:val="none"/>
        </w:rPr>
      </w:pPr>
      <w:r>
        <w:rPr>
          <w:rFonts w:hint="eastAsia" w:ascii="宋体" w:hAnsi="宋体"/>
          <w:snapToGrid w:val="0"/>
          <w:kern w:val="0"/>
          <w:szCs w:val="21"/>
          <w:highlight w:val="none"/>
        </w:rPr>
        <w:t>严格执行</w:t>
      </w:r>
      <w:r>
        <w:rPr>
          <w:rFonts w:hint="eastAsia" w:ascii="宋体" w:hAnsi="宋体"/>
          <w:bCs/>
          <w:snapToGrid w:val="0"/>
          <w:kern w:val="0"/>
          <w:szCs w:val="21"/>
          <w:highlight w:val="none"/>
        </w:rPr>
        <w:t>《广州市建设工程现场文明施工管理办法》（穗建质〔2008〕937号）、《广州市建设工程文明施工管理规定》 （广州市人民政府令第62号）、《广州市城乡建设委员会关于印发广州市加强建筑工地环保管理工作方案的通知》（穗建质〔2014〕754号） 、《广州市委宣传部 广州市住房和城乡建设委员会</w:t>
      </w:r>
      <w:r>
        <w:rPr>
          <w:rFonts w:hint="eastAsia" w:ascii="宋体" w:hAnsi="宋体"/>
          <w:snapToGrid w:val="0"/>
          <w:kern w:val="0"/>
          <w:szCs w:val="21"/>
          <w:highlight w:val="none"/>
        </w:rPr>
        <w:t xml:space="preserve"> 广州市城市管理委员会关于完善广州市建设工程施工围蔽管理提升实施技术要求和标准图集的通知》（穗建质〔2016〕1085号）、《广州市住房和城乡建设委员会关于印发广州市建设工程绿色施工围蔽指导图集（V1.0试行版）的通知》（穗建质〔2018〕1953号）、《广州市水务局关于印发汽车式起重机安全管理工作指引（试行）的通知》（穗水质安[2018]152号）及其他最新的相关规定。</w:t>
      </w:r>
    </w:p>
    <w:p>
      <w:pPr>
        <w:adjustRightInd w:val="0"/>
        <w:snapToGrid w:val="0"/>
        <w:spacing w:line="360" w:lineRule="auto"/>
        <w:ind w:right="11" w:firstLine="422" w:firstLineChars="200"/>
        <w:rPr>
          <w:rFonts w:ascii="宋体" w:hAnsi="宋体"/>
          <w:b/>
          <w:bCs/>
          <w:snapToGrid w:val="0"/>
          <w:kern w:val="0"/>
          <w:szCs w:val="21"/>
          <w:highlight w:val="none"/>
        </w:rPr>
      </w:pPr>
      <w:r>
        <w:rPr>
          <w:rFonts w:hint="eastAsia" w:ascii="宋体" w:hAnsi="宋体"/>
          <w:b/>
          <w:bCs/>
          <w:snapToGrid w:val="0"/>
          <w:kern w:val="0"/>
          <w:szCs w:val="21"/>
          <w:highlight w:val="none"/>
        </w:rPr>
        <w:t>6、合同价款</w:t>
      </w:r>
    </w:p>
    <w:p>
      <w:pPr>
        <w:adjustRightInd w:val="0"/>
        <w:snapToGrid w:val="0"/>
        <w:spacing w:line="360" w:lineRule="auto"/>
        <w:ind w:right="11" w:firstLine="420" w:firstLineChars="200"/>
        <w:rPr>
          <w:rFonts w:ascii="宋体" w:hAnsi="宋体"/>
          <w:bCs/>
          <w:snapToGrid w:val="0"/>
          <w:kern w:val="0"/>
          <w:szCs w:val="21"/>
          <w:highlight w:val="none"/>
        </w:rPr>
      </w:pPr>
      <w:r>
        <w:rPr>
          <w:rFonts w:hint="eastAsia" w:ascii="宋体" w:hAnsi="宋体"/>
          <w:bCs/>
          <w:snapToGrid w:val="0"/>
          <w:kern w:val="0"/>
          <w:szCs w:val="21"/>
          <w:highlight w:val="none"/>
        </w:rPr>
        <w:t>6.1本合同以人民币为报价和结算货币，除非发包人、承包人双方另有约定。</w:t>
      </w:r>
    </w:p>
    <w:p>
      <w:pPr>
        <w:adjustRightInd w:val="0"/>
        <w:snapToGrid w:val="0"/>
        <w:spacing w:line="360" w:lineRule="auto"/>
        <w:ind w:right="11" w:firstLine="420" w:firstLineChars="200"/>
        <w:rPr>
          <w:rFonts w:ascii="宋体" w:hAnsi="宋体"/>
          <w:bCs/>
          <w:snapToGrid w:val="0"/>
          <w:color w:val="000000" w:themeColor="text1"/>
          <w:kern w:val="0"/>
          <w:szCs w:val="21"/>
          <w:highlight w:val="none"/>
          <w14:textFill>
            <w14:solidFill>
              <w14:schemeClr w14:val="tx1"/>
            </w14:solidFill>
          </w14:textFill>
        </w:rPr>
      </w:pPr>
      <w:r>
        <w:rPr>
          <w:rFonts w:hint="eastAsia" w:ascii="宋体" w:hAnsi="宋体"/>
          <w:bCs/>
          <w:snapToGrid w:val="0"/>
          <w:color w:val="000000" w:themeColor="text1"/>
          <w:kern w:val="0"/>
          <w:szCs w:val="21"/>
          <w:highlight w:val="none"/>
          <w14:textFill>
            <w14:solidFill>
              <w14:schemeClr w14:val="tx1"/>
            </w14:solidFill>
          </w14:textFill>
        </w:rPr>
        <w:t>6.2签约合同暂定总价为元（大写：），其中：</w:t>
      </w:r>
    </w:p>
    <w:p>
      <w:pPr>
        <w:adjustRightInd w:val="0"/>
        <w:snapToGrid w:val="0"/>
        <w:spacing w:line="360" w:lineRule="auto"/>
        <w:ind w:right="11" w:firstLine="420" w:firstLineChars="200"/>
        <w:rPr>
          <w:rFonts w:ascii="宋体" w:hAnsi="宋体"/>
          <w:bCs/>
          <w:snapToGrid w:val="0"/>
          <w:color w:val="000000" w:themeColor="text1"/>
          <w:kern w:val="0"/>
          <w:szCs w:val="21"/>
          <w:highlight w:val="none"/>
          <w14:textFill>
            <w14:solidFill>
              <w14:schemeClr w14:val="tx1"/>
            </w14:solidFill>
          </w14:textFill>
        </w:rPr>
      </w:pPr>
      <w:r>
        <w:rPr>
          <w:rFonts w:hint="eastAsia" w:ascii="宋体" w:hAnsi="宋体"/>
          <w:bCs/>
          <w:snapToGrid w:val="0"/>
          <w:color w:val="000000" w:themeColor="text1"/>
          <w:kern w:val="0"/>
          <w:szCs w:val="21"/>
          <w:highlight w:val="none"/>
          <w14:textFill>
            <w14:solidFill>
              <w14:schemeClr w14:val="tx1"/>
            </w14:solidFill>
          </w14:textFill>
        </w:rPr>
        <w:t>建安工程费（以下简称“工程费”或“施工费”）暂定为元，</w:t>
      </w:r>
    </w:p>
    <w:p>
      <w:pPr>
        <w:adjustRightInd w:val="0"/>
        <w:snapToGrid w:val="0"/>
        <w:spacing w:line="360" w:lineRule="auto"/>
        <w:ind w:right="11" w:firstLine="420" w:firstLineChars="200"/>
        <w:rPr>
          <w:rFonts w:ascii="宋体" w:hAnsi="宋体"/>
          <w:bCs/>
          <w:snapToGrid w:val="0"/>
          <w:color w:val="000000" w:themeColor="text1"/>
          <w:kern w:val="0"/>
          <w:szCs w:val="21"/>
          <w:highlight w:val="none"/>
          <w14:textFill>
            <w14:solidFill>
              <w14:schemeClr w14:val="tx1"/>
            </w14:solidFill>
          </w14:textFill>
        </w:rPr>
      </w:pPr>
      <w:r>
        <w:rPr>
          <w:rFonts w:hint="eastAsia" w:ascii="宋体" w:hAnsi="宋体"/>
          <w:bCs/>
          <w:snapToGrid w:val="0"/>
          <w:color w:val="000000" w:themeColor="text1"/>
          <w:kern w:val="0"/>
          <w:szCs w:val="21"/>
          <w:highlight w:val="none"/>
          <w14:textFill>
            <w14:solidFill>
              <w14:schemeClr w14:val="tx1"/>
            </w14:solidFill>
          </w14:textFill>
        </w:rPr>
        <w:t>本项目设计费暂定为元。</w:t>
      </w:r>
    </w:p>
    <w:p>
      <w:pPr>
        <w:adjustRightInd w:val="0"/>
        <w:snapToGrid w:val="0"/>
        <w:spacing w:line="360" w:lineRule="auto"/>
        <w:ind w:right="11" w:firstLine="420" w:firstLineChars="200"/>
        <w:rPr>
          <w:rFonts w:ascii="宋体" w:hAnsi="宋体"/>
          <w:bCs/>
          <w:snapToGrid w:val="0"/>
          <w:kern w:val="0"/>
          <w:szCs w:val="21"/>
          <w:highlight w:val="none"/>
        </w:rPr>
      </w:pPr>
      <w:r>
        <w:rPr>
          <w:rFonts w:hint="eastAsia" w:ascii="宋体" w:hAnsi="宋体"/>
          <w:bCs/>
          <w:snapToGrid w:val="0"/>
          <w:color w:val="000000" w:themeColor="text1"/>
          <w:kern w:val="0"/>
          <w:szCs w:val="21"/>
          <w:highlight w:val="none"/>
          <w14:textFill>
            <w14:solidFill>
              <w14:schemeClr w14:val="tx1"/>
            </w14:solidFill>
          </w14:textFill>
        </w:rPr>
        <w:t>6.3本合同价款仅作为签约合同价（即中标价），实际合同价款按合同条款第17条约定确定，</w:t>
      </w:r>
      <w:r>
        <w:rPr>
          <w:rFonts w:hint="eastAsia" w:ascii="宋体" w:hAnsi="宋体"/>
          <w:bCs/>
          <w:snapToGrid w:val="0"/>
          <w:kern w:val="0"/>
          <w:szCs w:val="21"/>
          <w:highlight w:val="none"/>
        </w:rPr>
        <w:t>待</w:t>
      </w:r>
      <w:r>
        <w:rPr>
          <w:rFonts w:hint="eastAsia" w:ascii="宋体" w:hAnsi="宋体"/>
          <w:bCs/>
          <w:snapToGrid w:val="0"/>
          <w:kern w:val="0"/>
          <w:szCs w:val="21"/>
          <w:highlight w:val="none"/>
          <w:u w:val="single"/>
        </w:rPr>
        <w:t>上级部门预算评审</w:t>
      </w:r>
      <w:r>
        <w:rPr>
          <w:rFonts w:hint="eastAsia" w:ascii="宋体" w:hAnsi="宋体"/>
          <w:bCs/>
          <w:snapToGrid w:val="0"/>
          <w:kern w:val="0"/>
          <w:szCs w:val="21"/>
          <w:highlight w:val="none"/>
        </w:rPr>
        <w:t>后，签订修正合同修订合同价款。最终结算价以</w:t>
      </w:r>
      <w:r>
        <w:rPr>
          <w:rFonts w:hint="eastAsia" w:ascii="宋体" w:hAnsi="宋体"/>
          <w:bCs/>
          <w:snapToGrid w:val="0"/>
          <w:kern w:val="0"/>
          <w:szCs w:val="21"/>
          <w:highlight w:val="none"/>
          <w:u w:val="single"/>
        </w:rPr>
        <w:t>财政投资评审</w:t>
      </w:r>
      <w:r>
        <w:rPr>
          <w:rFonts w:hint="eastAsia" w:ascii="宋体" w:hAnsi="宋体"/>
          <w:bCs/>
          <w:snapToGrid w:val="0"/>
          <w:kern w:val="0"/>
          <w:szCs w:val="21"/>
          <w:highlight w:val="none"/>
        </w:rPr>
        <w:t>审定的金额为准。</w:t>
      </w:r>
    </w:p>
    <w:p>
      <w:pPr>
        <w:adjustRightInd w:val="0"/>
        <w:snapToGrid w:val="0"/>
        <w:spacing w:line="360" w:lineRule="auto"/>
        <w:ind w:right="11" w:firstLine="422" w:firstLineChars="200"/>
        <w:rPr>
          <w:rFonts w:ascii="宋体" w:hAnsi="宋体"/>
          <w:b/>
          <w:bCs/>
          <w:snapToGrid w:val="0"/>
          <w:kern w:val="0"/>
          <w:szCs w:val="21"/>
          <w:highlight w:val="none"/>
        </w:rPr>
      </w:pPr>
      <w:r>
        <w:rPr>
          <w:rFonts w:hint="eastAsia" w:ascii="宋体" w:hAnsi="宋体"/>
          <w:b/>
          <w:bCs/>
          <w:snapToGrid w:val="0"/>
          <w:kern w:val="0"/>
          <w:szCs w:val="21"/>
          <w:highlight w:val="none"/>
        </w:rPr>
        <w:t>7、组成合同的文件</w:t>
      </w:r>
    </w:p>
    <w:p>
      <w:pPr>
        <w:adjustRightInd w:val="0"/>
        <w:snapToGrid w:val="0"/>
        <w:spacing w:line="360" w:lineRule="auto"/>
        <w:ind w:right="11" w:firstLine="420" w:firstLineChars="200"/>
        <w:rPr>
          <w:rFonts w:ascii="宋体" w:hAnsi="宋体"/>
          <w:bCs/>
          <w:snapToGrid w:val="0"/>
          <w:kern w:val="0"/>
          <w:szCs w:val="21"/>
          <w:highlight w:val="none"/>
        </w:rPr>
      </w:pPr>
      <w:r>
        <w:rPr>
          <w:rFonts w:hint="eastAsia" w:ascii="宋体" w:hAnsi="宋体"/>
          <w:bCs/>
          <w:snapToGrid w:val="0"/>
          <w:kern w:val="0"/>
          <w:szCs w:val="21"/>
          <w:highlight w:val="none"/>
        </w:rPr>
        <w:t>下列文件应被认为是组成本合同的一部分，并互为补充和解释，如各文件存在冲突之处，以如下排列次序在前者优先适用：</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（l）合同协议书；</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（2）中标通知书；</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（3）专用合同条款；</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（4）通用合同条款；</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（5）招标文件（含澄清文件）；</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（6）投标文件；</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（7）价格清单；</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（8）发包人各项管理规定；</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（9）设计任务书;</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（10）施工管理任务书;</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（11）品质工程创建方案；</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（12）工程造价控制方案；</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（13）其他合同文件。</w:t>
      </w:r>
    </w:p>
    <w:p>
      <w:pPr>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在发包人作出决定之前</w:t>
      </w:r>
      <w:r>
        <w:rPr>
          <w:rFonts w:hint="eastAsia" w:ascii="宋体" w:hAnsi="宋体"/>
          <w:bCs/>
          <w:snapToGrid w:val="0"/>
          <w:kern w:val="0"/>
          <w:szCs w:val="21"/>
          <w:highlight w:val="none"/>
        </w:rPr>
        <w:t>，承包人必须无条件先行执行发包人的决定。</w:t>
      </w:r>
    </w:p>
    <w:p>
      <w:pPr>
        <w:adjustRightInd w:val="0"/>
        <w:snapToGrid w:val="0"/>
        <w:spacing w:line="360" w:lineRule="auto"/>
        <w:ind w:right="11" w:firstLine="422" w:firstLineChars="200"/>
        <w:rPr>
          <w:rFonts w:ascii="宋体" w:hAnsi="宋体"/>
          <w:bCs/>
          <w:snapToGrid w:val="0"/>
          <w:kern w:val="0"/>
          <w:szCs w:val="21"/>
          <w:highlight w:val="none"/>
        </w:rPr>
      </w:pPr>
      <w:r>
        <w:rPr>
          <w:rFonts w:hint="eastAsia" w:ascii="宋体" w:hAnsi="宋体"/>
          <w:b/>
          <w:bCs/>
          <w:snapToGrid w:val="0"/>
          <w:kern w:val="0"/>
          <w:szCs w:val="21"/>
          <w:highlight w:val="none"/>
        </w:rPr>
        <w:t>8、</w:t>
      </w:r>
      <w:r>
        <w:rPr>
          <w:rFonts w:hint="eastAsia" w:ascii="宋体" w:hAnsi="宋体"/>
          <w:bCs/>
          <w:snapToGrid w:val="0"/>
          <w:kern w:val="0"/>
          <w:szCs w:val="21"/>
          <w:highlight w:val="none"/>
        </w:rPr>
        <w:t>合同协议书中有关词语含义与合同条款中分别赋予它们的定义相同。</w:t>
      </w:r>
    </w:p>
    <w:p>
      <w:pPr>
        <w:adjustRightInd w:val="0"/>
        <w:snapToGrid w:val="0"/>
        <w:spacing w:line="360" w:lineRule="auto"/>
        <w:ind w:right="11" w:firstLine="422" w:firstLineChars="200"/>
        <w:rPr>
          <w:rFonts w:ascii="宋体" w:hAnsi="宋体"/>
          <w:bCs/>
          <w:snapToGrid w:val="0"/>
          <w:kern w:val="0"/>
          <w:szCs w:val="21"/>
          <w:highlight w:val="none"/>
        </w:rPr>
      </w:pPr>
      <w:r>
        <w:rPr>
          <w:rFonts w:hint="eastAsia" w:ascii="宋体" w:hAnsi="宋体"/>
          <w:b/>
          <w:bCs/>
          <w:snapToGrid w:val="0"/>
          <w:kern w:val="0"/>
          <w:szCs w:val="21"/>
          <w:highlight w:val="none"/>
        </w:rPr>
        <w:t>9、</w:t>
      </w:r>
      <w:r>
        <w:rPr>
          <w:rFonts w:hint="eastAsia" w:ascii="宋体" w:hAnsi="宋体"/>
          <w:bCs/>
          <w:snapToGrid w:val="0"/>
          <w:kern w:val="0"/>
          <w:szCs w:val="21"/>
          <w:highlight w:val="none"/>
        </w:rPr>
        <w:t>承包人向发包人承诺按照合同约定进行设计、施工、竣工验收、移交、结算、管理及配合服务，并在质量保修期内承担工程质量保修责任。</w:t>
      </w:r>
    </w:p>
    <w:p>
      <w:pPr>
        <w:adjustRightInd w:val="0"/>
        <w:snapToGrid w:val="0"/>
        <w:spacing w:line="360" w:lineRule="auto"/>
        <w:ind w:right="11" w:firstLine="422" w:firstLineChars="200"/>
        <w:rPr>
          <w:rFonts w:ascii="宋体" w:hAnsi="宋体"/>
          <w:bCs/>
          <w:snapToGrid w:val="0"/>
          <w:kern w:val="0"/>
          <w:szCs w:val="21"/>
          <w:highlight w:val="none"/>
        </w:rPr>
      </w:pPr>
      <w:r>
        <w:rPr>
          <w:rFonts w:hint="eastAsia" w:ascii="宋体" w:hAnsi="宋体"/>
          <w:b/>
          <w:bCs/>
          <w:snapToGrid w:val="0"/>
          <w:kern w:val="0"/>
          <w:szCs w:val="21"/>
          <w:highlight w:val="none"/>
        </w:rPr>
        <w:t>10、</w:t>
      </w:r>
      <w:r>
        <w:rPr>
          <w:rFonts w:hint="eastAsia" w:ascii="宋体" w:hAnsi="宋体"/>
          <w:bCs/>
          <w:snapToGrid w:val="0"/>
          <w:kern w:val="0"/>
          <w:szCs w:val="21"/>
          <w:highlight w:val="none"/>
        </w:rPr>
        <w:t>发包人向承包人承诺按照合同约定的期限和方式支付合同价款及按合同约定应支付的其它款项。</w:t>
      </w:r>
    </w:p>
    <w:p>
      <w:pPr>
        <w:adjustRightInd w:val="0"/>
        <w:snapToGrid w:val="0"/>
        <w:spacing w:line="360" w:lineRule="auto"/>
        <w:ind w:right="11" w:firstLine="422" w:firstLineChars="200"/>
        <w:rPr>
          <w:rFonts w:ascii="宋体" w:hAnsi="宋体"/>
          <w:b/>
          <w:bCs/>
          <w:snapToGrid w:val="0"/>
          <w:kern w:val="0"/>
          <w:szCs w:val="21"/>
          <w:highlight w:val="none"/>
        </w:rPr>
      </w:pPr>
      <w:r>
        <w:rPr>
          <w:rFonts w:hint="eastAsia" w:ascii="宋体" w:hAnsi="宋体"/>
          <w:b/>
          <w:bCs/>
          <w:snapToGrid w:val="0"/>
          <w:kern w:val="0"/>
          <w:szCs w:val="21"/>
          <w:highlight w:val="none"/>
        </w:rPr>
        <w:t>11、履约担保</w:t>
      </w:r>
    </w:p>
    <w:p>
      <w:pPr>
        <w:adjustRightInd w:val="0"/>
        <w:snapToGrid w:val="0"/>
        <w:spacing w:line="360" w:lineRule="auto"/>
        <w:ind w:right="11" w:firstLine="420" w:firstLineChars="200"/>
        <w:rPr>
          <w:rFonts w:ascii="宋体" w:hAnsi="宋体"/>
          <w:bCs/>
          <w:snapToGrid w:val="0"/>
          <w:kern w:val="0"/>
          <w:szCs w:val="21"/>
          <w:highlight w:val="none"/>
        </w:rPr>
      </w:pPr>
      <w:r>
        <w:rPr>
          <w:rFonts w:hint="eastAsia" w:ascii="宋体" w:hAnsi="宋体"/>
          <w:bCs/>
          <w:snapToGrid w:val="0"/>
          <w:kern w:val="0"/>
          <w:szCs w:val="21"/>
          <w:highlight w:val="none"/>
        </w:rPr>
        <w:t>承包人履约担保金额为中标价的10％。如承包人为联合体单位，可由主办方提供履约担保。</w:t>
      </w:r>
    </w:p>
    <w:p>
      <w:pPr>
        <w:adjustRightInd w:val="0"/>
        <w:snapToGrid w:val="0"/>
        <w:spacing w:line="360" w:lineRule="auto"/>
        <w:ind w:right="11" w:firstLine="422" w:firstLineChars="200"/>
        <w:rPr>
          <w:rFonts w:ascii="宋体" w:hAnsi="宋体"/>
          <w:b/>
          <w:bCs/>
          <w:snapToGrid w:val="0"/>
          <w:kern w:val="0"/>
          <w:szCs w:val="21"/>
          <w:highlight w:val="none"/>
        </w:rPr>
      </w:pPr>
      <w:r>
        <w:rPr>
          <w:rFonts w:hint="eastAsia" w:ascii="宋体" w:hAnsi="宋体"/>
          <w:b/>
          <w:bCs/>
          <w:snapToGrid w:val="0"/>
          <w:kern w:val="0"/>
          <w:szCs w:val="21"/>
          <w:highlight w:val="none"/>
        </w:rPr>
        <w:t>12、合同生效</w:t>
      </w:r>
    </w:p>
    <w:p>
      <w:pPr>
        <w:adjustRightInd w:val="0"/>
        <w:snapToGrid w:val="0"/>
        <w:spacing w:line="360" w:lineRule="auto"/>
        <w:ind w:right="11" w:firstLine="420" w:firstLineChars="200"/>
        <w:rPr>
          <w:rFonts w:ascii="宋体" w:hAnsi="宋体"/>
          <w:bCs/>
          <w:snapToGrid w:val="0"/>
          <w:kern w:val="0"/>
          <w:szCs w:val="21"/>
          <w:highlight w:val="none"/>
        </w:rPr>
      </w:pPr>
      <w:r>
        <w:rPr>
          <w:rFonts w:hint="eastAsia" w:ascii="宋体" w:hAnsi="宋体"/>
          <w:bCs/>
          <w:snapToGrid w:val="0"/>
          <w:kern w:val="0"/>
          <w:szCs w:val="21"/>
          <w:highlight w:val="none"/>
        </w:rPr>
        <w:t>合同订立时间：年月日。</w:t>
      </w:r>
    </w:p>
    <w:p>
      <w:pPr>
        <w:adjustRightInd w:val="0"/>
        <w:snapToGrid w:val="0"/>
        <w:spacing w:line="360" w:lineRule="auto"/>
        <w:ind w:right="11" w:firstLine="420" w:firstLineChars="200"/>
        <w:rPr>
          <w:rFonts w:ascii="宋体" w:hAnsi="宋体"/>
          <w:bCs/>
          <w:snapToGrid w:val="0"/>
          <w:kern w:val="0"/>
          <w:szCs w:val="21"/>
          <w:highlight w:val="none"/>
        </w:rPr>
      </w:pPr>
      <w:r>
        <w:rPr>
          <w:rFonts w:hint="eastAsia" w:ascii="宋体" w:hAnsi="宋体"/>
          <w:bCs/>
          <w:snapToGrid w:val="0"/>
          <w:kern w:val="0"/>
          <w:szCs w:val="21"/>
          <w:highlight w:val="none"/>
        </w:rPr>
        <w:t>合同订立地点：</w:t>
      </w:r>
      <w:r>
        <w:rPr>
          <w:rFonts w:hint="eastAsia" w:ascii="宋体" w:hAnsi="宋体"/>
          <w:bCs/>
          <w:snapToGrid w:val="0"/>
          <w:kern w:val="0"/>
          <w:szCs w:val="21"/>
          <w:highlight w:val="none"/>
          <w:u w:val="single"/>
        </w:rPr>
        <w:t>广州市海珠区</w:t>
      </w:r>
    </w:p>
    <w:p>
      <w:pPr>
        <w:adjustRightInd w:val="0"/>
        <w:snapToGrid w:val="0"/>
        <w:spacing w:line="360" w:lineRule="auto"/>
        <w:ind w:right="11" w:firstLine="420" w:firstLineChars="200"/>
        <w:rPr>
          <w:rFonts w:ascii="宋体" w:hAnsi="宋体"/>
          <w:bCs/>
          <w:snapToGrid w:val="0"/>
          <w:kern w:val="0"/>
          <w:szCs w:val="21"/>
          <w:highlight w:val="none"/>
        </w:rPr>
      </w:pPr>
      <w:r>
        <w:rPr>
          <w:rFonts w:hint="eastAsia" w:ascii="宋体" w:hAnsi="宋体"/>
          <w:bCs/>
          <w:snapToGrid w:val="0"/>
          <w:kern w:val="0"/>
          <w:szCs w:val="21"/>
          <w:highlight w:val="none"/>
        </w:rPr>
        <w:t>本合同自发包人、承包人双方</w:t>
      </w:r>
      <w:r>
        <w:rPr>
          <w:rFonts w:hint="eastAsia" w:ascii="宋体" w:hAnsi="宋体"/>
          <w:snapToGrid w:val="0"/>
          <w:kern w:val="0"/>
          <w:szCs w:val="21"/>
          <w:highlight w:val="none"/>
        </w:rPr>
        <w:t>法定代表人签字并加盖公章</w:t>
      </w:r>
      <w:r>
        <w:rPr>
          <w:rFonts w:hint="eastAsia" w:ascii="宋体" w:hAnsi="宋体"/>
          <w:bCs/>
          <w:snapToGrid w:val="0"/>
          <w:kern w:val="0"/>
          <w:szCs w:val="21"/>
          <w:highlight w:val="none"/>
        </w:rPr>
        <w:t>之日起生效，至本工程竣工验收并同时双方的责任、义务履行完毕时终止。</w:t>
      </w:r>
    </w:p>
    <w:p>
      <w:pPr>
        <w:adjustRightInd w:val="0"/>
        <w:snapToGrid w:val="0"/>
        <w:spacing w:line="360" w:lineRule="auto"/>
        <w:ind w:right="11" w:firstLine="422" w:firstLineChars="200"/>
        <w:rPr>
          <w:rFonts w:ascii="宋体" w:hAnsi="宋体"/>
          <w:b/>
          <w:bCs/>
          <w:snapToGrid w:val="0"/>
          <w:kern w:val="0"/>
          <w:szCs w:val="21"/>
          <w:highlight w:val="none"/>
        </w:rPr>
      </w:pPr>
      <w:r>
        <w:rPr>
          <w:rFonts w:hint="eastAsia" w:ascii="宋体" w:hAnsi="宋体"/>
          <w:b/>
          <w:bCs/>
          <w:snapToGrid w:val="0"/>
          <w:kern w:val="0"/>
          <w:szCs w:val="21"/>
          <w:highlight w:val="none"/>
        </w:rPr>
        <w:t>13、合同份数</w:t>
      </w:r>
    </w:p>
    <w:p>
      <w:pPr>
        <w:adjustRightInd w:val="0"/>
        <w:snapToGrid w:val="0"/>
        <w:spacing w:line="360" w:lineRule="auto"/>
        <w:ind w:right="11" w:firstLine="420" w:firstLineChars="200"/>
        <w:rPr>
          <w:rFonts w:ascii="宋体" w:hAnsi="宋体"/>
          <w:bCs/>
          <w:snapToGrid w:val="0"/>
          <w:kern w:val="0"/>
          <w:szCs w:val="21"/>
          <w:highlight w:val="none"/>
        </w:rPr>
      </w:pPr>
      <w:r>
        <w:rPr>
          <w:rFonts w:hint="eastAsia" w:ascii="宋体" w:hAnsi="宋体"/>
          <w:bCs/>
          <w:snapToGrid w:val="0"/>
          <w:kern w:val="0"/>
          <w:szCs w:val="21"/>
          <w:highlight w:val="none"/>
        </w:rPr>
        <w:t>本合同正本一式3份，发包人1份，承包人2份；副本16份，发包人执</w:t>
      </w:r>
      <w:r>
        <w:rPr>
          <w:rFonts w:hint="eastAsia" w:ascii="宋体" w:hAnsi="宋体"/>
          <w:bCs/>
          <w:snapToGrid w:val="0"/>
          <w:kern w:val="0"/>
          <w:szCs w:val="21"/>
          <w:highlight w:val="none"/>
          <w:u w:val="single"/>
        </w:rPr>
        <w:t>6</w:t>
      </w:r>
      <w:r>
        <w:rPr>
          <w:rFonts w:hint="eastAsia" w:ascii="宋体" w:hAnsi="宋体"/>
          <w:bCs/>
          <w:snapToGrid w:val="0"/>
          <w:kern w:val="0"/>
          <w:szCs w:val="21"/>
          <w:highlight w:val="none"/>
        </w:rPr>
        <w:t>份，承包人执</w:t>
      </w:r>
      <w:r>
        <w:rPr>
          <w:rFonts w:hint="eastAsia" w:ascii="宋体" w:hAnsi="宋体"/>
          <w:bCs/>
          <w:snapToGrid w:val="0"/>
          <w:kern w:val="0"/>
          <w:szCs w:val="21"/>
          <w:highlight w:val="none"/>
          <w:u w:val="single"/>
        </w:rPr>
        <w:t>10</w:t>
      </w:r>
      <w:r>
        <w:rPr>
          <w:rFonts w:hint="eastAsia" w:ascii="宋体" w:hAnsi="宋体"/>
          <w:bCs/>
          <w:snapToGrid w:val="0"/>
          <w:kern w:val="0"/>
          <w:szCs w:val="21"/>
          <w:highlight w:val="none"/>
        </w:rPr>
        <w:t>份。合同正、副本具有同等效力，但当合同正本与副本的表述不一致时，以合同正本为准。</w:t>
      </w:r>
    </w:p>
    <w:p>
      <w:pPr>
        <w:rPr>
          <w:rFonts w:ascii="宋体" w:hAnsi="宋体"/>
          <w:bCs/>
          <w:snapToGrid w:val="0"/>
          <w:kern w:val="0"/>
          <w:szCs w:val="21"/>
          <w:highlight w:val="none"/>
        </w:rPr>
      </w:pPr>
      <w:r>
        <w:rPr>
          <w:rFonts w:hint="eastAsia" w:ascii="宋体" w:hAnsi="宋体"/>
          <w:bCs/>
          <w:snapToGrid w:val="0"/>
          <w:kern w:val="0"/>
          <w:szCs w:val="21"/>
          <w:highlight w:val="none"/>
        </w:rPr>
        <w:t>（以下无正文）</w:t>
      </w:r>
    </w:p>
    <w:p>
      <w:pPr>
        <w:rPr>
          <w:rFonts w:ascii="宋体" w:hAnsi="宋体"/>
          <w:bCs/>
          <w:snapToGrid w:val="0"/>
          <w:kern w:val="0"/>
          <w:szCs w:val="21"/>
          <w:highlight w:val="none"/>
        </w:rPr>
      </w:pPr>
      <w:r>
        <w:rPr>
          <w:rFonts w:ascii="宋体" w:hAnsi="宋体"/>
          <w:bCs/>
          <w:snapToGrid w:val="0"/>
          <w:kern w:val="0"/>
          <w:szCs w:val="21"/>
          <w:highlight w:val="none"/>
        </w:rPr>
        <w:br w:type="page"/>
      </w:r>
    </w:p>
    <w:p>
      <w:pPr>
        <w:adjustRightInd w:val="0"/>
        <w:snapToGrid w:val="0"/>
        <w:spacing w:line="360" w:lineRule="auto"/>
        <w:ind w:left="6930" w:right="11" w:hanging="6930" w:hangingChars="3300"/>
        <w:rPr>
          <w:rFonts w:ascii="仿宋_GB2312" w:hAnsi="宋体"/>
          <w:szCs w:val="21"/>
          <w:highlight w:val="none"/>
        </w:rPr>
      </w:pPr>
      <w:r>
        <w:rPr>
          <w:rFonts w:hint="eastAsia" w:ascii="仿宋_GB2312" w:hAnsi="宋体" w:eastAsia="仿宋_GB2312"/>
          <w:szCs w:val="21"/>
          <w:highlight w:val="none"/>
        </w:rPr>
        <w:t>发包人：广州市海珠区河涌管理所（公章）            施工承包人：（公章）</w:t>
      </w:r>
    </w:p>
    <w:p>
      <w:pPr>
        <w:spacing w:line="360" w:lineRule="auto"/>
        <w:rPr>
          <w:rFonts w:ascii="仿宋_GB2312" w:hAnsi="宋体" w:eastAsia="仿宋_GB2312"/>
          <w:szCs w:val="21"/>
          <w:highlight w:val="none"/>
          <w:u w:val="single"/>
        </w:rPr>
      </w:pP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法定代表人：                                     法定代表人：</w:t>
      </w: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项目负责人：项目负责人：</w:t>
      </w: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地  址：                                           地  址：</w:t>
      </w:r>
    </w:p>
    <w:p>
      <w:pPr>
        <w:spacing w:line="360" w:lineRule="auto"/>
        <w:rPr>
          <w:rFonts w:ascii="仿宋_GB2312" w:hAnsi="宋体" w:eastAsia="仿宋_GB2312"/>
          <w:szCs w:val="21"/>
          <w:highlight w:val="none"/>
        </w:rPr>
      </w:pP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 xml:space="preserve">邮政编码：                                         邮政编码：      </w:t>
      </w: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电  话：                                           电  话：</w:t>
      </w: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传  真：                                           传  真：</w:t>
      </w:r>
    </w:p>
    <w:p>
      <w:pPr>
        <w:spacing w:line="360" w:lineRule="auto"/>
        <w:ind w:left="6510" w:hanging="6510" w:hangingChars="3100"/>
        <w:rPr>
          <w:rFonts w:ascii="仿宋_GB2312" w:hAnsi="宋体" w:eastAsia="仿宋_GB2312"/>
          <w:szCs w:val="21"/>
          <w:highlight w:val="none"/>
        </w:rPr>
      </w:pPr>
      <w:r>
        <w:rPr>
          <w:rFonts w:hint="eastAsia" w:ascii="仿宋_GB2312" w:hAnsi="宋体" w:eastAsia="仿宋_GB2312"/>
          <w:szCs w:val="21"/>
          <w:highlight w:val="none"/>
        </w:rPr>
        <w:t>开户银行：                                        开户银行：</w:t>
      </w: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账  号：                                           账  号：</w:t>
      </w:r>
    </w:p>
    <w:p>
      <w:pPr>
        <w:spacing w:line="360" w:lineRule="auto"/>
        <w:rPr>
          <w:rFonts w:ascii="仿宋_GB2312" w:hAnsi="宋体" w:eastAsia="仿宋_GB2312"/>
          <w:szCs w:val="21"/>
          <w:highlight w:val="none"/>
        </w:rPr>
      </w:pPr>
    </w:p>
    <w:p>
      <w:pPr>
        <w:spacing w:line="360" w:lineRule="auto"/>
        <w:rPr>
          <w:rFonts w:ascii="仿宋_GB2312" w:hAnsi="宋体" w:eastAsia="仿宋_GB2312"/>
          <w:szCs w:val="21"/>
          <w:highlight w:val="none"/>
        </w:rPr>
      </w:pPr>
    </w:p>
    <w:p>
      <w:pPr>
        <w:spacing w:line="360" w:lineRule="auto"/>
        <w:rPr>
          <w:rFonts w:ascii="仿宋_GB2312" w:hAnsi="宋体" w:eastAsia="仿宋_GB2312"/>
          <w:szCs w:val="21"/>
          <w:highlight w:val="none"/>
        </w:rPr>
      </w:pPr>
    </w:p>
    <w:p>
      <w:pPr>
        <w:spacing w:line="360" w:lineRule="auto"/>
        <w:rPr>
          <w:rFonts w:ascii="仿宋_GB2312" w:hAnsi="宋体" w:eastAsia="仿宋_GB2312"/>
          <w:szCs w:val="21"/>
          <w:highlight w:val="none"/>
        </w:rPr>
      </w:pPr>
    </w:p>
    <w:p>
      <w:pPr>
        <w:spacing w:line="360" w:lineRule="auto"/>
        <w:rPr>
          <w:rFonts w:ascii="仿宋_GB2312" w:hAnsi="宋体" w:eastAsia="仿宋_GB2312"/>
          <w:szCs w:val="21"/>
          <w:highlight w:val="none"/>
        </w:rPr>
      </w:pPr>
    </w:p>
    <w:p>
      <w:pPr>
        <w:adjustRightInd w:val="0"/>
        <w:snapToGrid w:val="0"/>
        <w:spacing w:line="360" w:lineRule="auto"/>
        <w:ind w:left="1470" w:right="11" w:hanging="1470" w:hangingChars="700"/>
        <w:rPr>
          <w:rFonts w:ascii="仿宋_GB2312" w:hAnsi="宋体" w:eastAsia="仿宋_GB2312"/>
          <w:szCs w:val="21"/>
          <w:highlight w:val="none"/>
        </w:rPr>
      </w:pPr>
      <w:r>
        <w:rPr>
          <w:rFonts w:hint="eastAsia" w:ascii="仿宋_GB2312" w:hAnsi="宋体" w:eastAsia="仿宋_GB2312"/>
          <w:szCs w:val="21"/>
          <w:highlight w:val="none"/>
        </w:rPr>
        <w:t>承包人(成一)：     （公章）</w:t>
      </w:r>
    </w:p>
    <w:p>
      <w:pPr>
        <w:adjustRightInd w:val="0"/>
        <w:snapToGrid w:val="0"/>
        <w:spacing w:line="360" w:lineRule="auto"/>
        <w:ind w:left="1260" w:leftChars="600" w:right="11"/>
        <w:rPr>
          <w:rFonts w:ascii="仿宋_GB2312" w:hAnsi="宋体" w:eastAsia="仿宋_GB2312"/>
          <w:szCs w:val="21"/>
          <w:highlight w:val="none"/>
        </w:rPr>
      </w:pP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 xml:space="preserve">法定代表人：      </w:t>
      </w: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项目负责人：</w:t>
      </w: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地  址：</w:t>
      </w: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邮政编码：</w:t>
      </w: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电  话：</w:t>
      </w: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 xml:space="preserve">传  真：   </w:t>
      </w:r>
    </w:p>
    <w:p>
      <w:pPr>
        <w:spacing w:line="360" w:lineRule="auto"/>
        <w:rPr>
          <w:rFonts w:ascii="仿宋_GB2312" w:hAnsi="宋体" w:eastAsia="仿宋_GB2312"/>
          <w:szCs w:val="21"/>
          <w:highlight w:val="none"/>
        </w:rPr>
      </w:pPr>
      <w:r>
        <w:rPr>
          <w:rFonts w:hint="eastAsia" w:ascii="仿宋_GB2312" w:hAnsi="宋体" w:eastAsia="仿宋_GB2312"/>
          <w:szCs w:val="21"/>
          <w:highlight w:val="none"/>
        </w:rPr>
        <w:t>开户银行：</w:t>
      </w:r>
    </w:p>
    <w:p>
      <w:pPr>
        <w:spacing w:line="360" w:lineRule="auto"/>
        <w:rPr>
          <w:rFonts w:ascii="仿宋_GB2312" w:hAnsi="宋体" w:eastAsia="仿宋_GB2312"/>
          <w:szCs w:val="21"/>
          <w:highlight w:val="none"/>
        </w:rPr>
      </w:pPr>
    </w:p>
    <w:p>
      <w:pPr>
        <w:spacing w:line="360" w:lineRule="auto"/>
        <w:rPr>
          <w:rFonts w:ascii="仿宋_GB2312" w:hAnsi="宋体" w:eastAsia="仿宋_GB2312"/>
          <w:szCs w:val="21"/>
          <w:highlight w:val="none"/>
        </w:rPr>
      </w:pPr>
    </w:p>
    <w:p>
      <w:pPr>
        <w:rPr>
          <w:rFonts w:ascii="宋体" w:hAnsi="宋体"/>
          <w:bCs/>
          <w:snapToGrid w:val="0"/>
          <w:kern w:val="0"/>
          <w:szCs w:val="21"/>
          <w:highlight w:val="none"/>
        </w:rPr>
      </w:pPr>
    </w:p>
    <w:p>
      <w:pPr>
        <w:rPr>
          <w:rFonts w:ascii="宋体" w:hAnsi="宋体"/>
          <w:bCs/>
          <w:snapToGrid w:val="0"/>
          <w:kern w:val="0"/>
          <w:szCs w:val="21"/>
          <w:highlight w:val="none"/>
        </w:rPr>
      </w:pPr>
    </w:p>
    <w:p>
      <w:pPr>
        <w:rPr>
          <w:rFonts w:ascii="宋体" w:hAnsi="宋体"/>
          <w:bCs/>
          <w:snapToGrid w:val="0"/>
          <w:kern w:val="0"/>
          <w:szCs w:val="21"/>
          <w:highlight w:val="none"/>
        </w:rPr>
      </w:pPr>
    </w:p>
    <w:p>
      <w:pPr>
        <w:pStyle w:val="4"/>
        <w:spacing w:line="360" w:lineRule="auto"/>
        <w:jc w:val="center"/>
        <w:rPr>
          <w:rFonts w:ascii="宋体" w:hAnsi="宋体" w:eastAsia="宋体"/>
          <w:b w:val="0"/>
          <w:sz w:val="21"/>
          <w:szCs w:val="21"/>
          <w:highlight w:val="none"/>
        </w:rPr>
      </w:pPr>
      <w:bookmarkStart w:id="18" w:name="_Toc411736418"/>
      <w:bookmarkStart w:id="19" w:name="_Toc411736142"/>
      <w:bookmarkStart w:id="20" w:name="_Toc486159967"/>
      <w:bookmarkStart w:id="21" w:name="_Toc476860353"/>
      <w:r>
        <w:rPr>
          <w:rFonts w:hint="eastAsia" w:ascii="宋体" w:hAnsi="宋体" w:eastAsia="宋体"/>
          <w:highlight w:val="none"/>
        </w:rPr>
        <w:t>第二部分   通用合同条款</w:t>
      </w:r>
      <w:bookmarkEnd w:id="18"/>
      <w:bookmarkEnd w:id="19"/>
      <w:bookmarkEnd w:id="20"/>
      <w:bookmarkEnd w:id="21"/>
    </w:p>
    <w:p>
      <w:pPr>
        <w:pStyle w:val="5"/>
        <w:spacing w:before="120" w:after="120" w:line="360" w:lineRule="auto"/>
        <w:ind w:firstLine="103"/>
        <w:rPr>
          <w:rFonts w:ascii="宋体" w:eastAsia="宋体" w:cs="宋体"/>
          <w:bCs w:val="0"/>
          <w:sz w:val="21"/>
          <w:szCs w:val="21"/>
          <w:highlight w:val="none"/>
        </w:rPr>
      </w:pPr>
      <w:bookmarkStart w:id="22" w:name="_Toc184635098"/>
      <w:bookmarkStart w:id="23" w:name="_Toc300835032"/>
      <w:bookmarkStart w:id="24" w:name="_Toc411736419"/>
      <w:bookmarkStart w:id="25" w:name="_Toc247527636"/>
      <w:bookmarkStart w:id="26" w:name="_Toc486159968"/>
      <w:bookmarkStart w:id="27" w:name="_Toc411736143"/>
      <w:bookmarkStart w:id="28" w:name="_Toc247514035"/>
      <w:bookmarkStart w:id="29" w:name="_Toc410559337"/>
      <w:bookmarkStart w:id="30" w:name="_Toc476860354"/>
      <w:r>
        <w:rPr>
          <w:rFonts w:hint="eastAsia" w:ascii="宋体" w:eastAsia="宋体" w:cs="宋体"/>
          <w:bCs w:val="0"/>
          <w:sz w:val="21"/>
          <w:szCs w:val="21"/>
          <w:highlight w:val="none"/>
        </w:rPr>
        <w:t>1. 一般约定</w:t>
      </w:r>
      <w:bookmarkEnd w:id="22"/>
      <w:bookmarkEnd w:id="23"/>
      <w:bookmarkEnd w:id="24"/>
      <w:bookmarkEnd w:id="25"/>
      <w:bookmarkEnd w:id="26"/>
      <w:bookmarkEnd w:id="27"/>
      <w:bookmarkEnd w:id="28"/>
      <w:bookmarkEnd w:id="29"/>
      <w:bookmarkEnd w:id="30"/>
    </w:p>
    <w:p>
      <w:pPr>
        <w:pStyle w:val="5"/>
        <w:spacing w:before="120" w:after="120" w:line="360" w:lineRule="auto"/>
        <w:ind w:firstLine="103"/>
        <w:rPr>
          <w:rFonts w:ascii="宋体" w:eastAsia="宋体" w:cs="宋体"/>
          <w:bCs w:val="0"/>
          <w:sz w:val="21"/>
          <w:szCs w:val="21"/>
          <w:highlight w:val="none"/>
        </w:rPr>
      </w:pPr>
      <w:bookmarkStart w:id="31" w:name="_Toc247514036"/>
      <w:bookmarkStart w:id="32" w:name="_Toc410559338"/>
      <w:bookmarkStart w:id="33" w:name="_Toc411736144"/>
      <w:bookmarkStart w:id="34" w:name="_Toc300835033"/>
      <w:bookmarkStart w:id="35" w:name="_Toc486159969"/>
      <w:bookmarkStart w:id="36" w:name="_Toc247527637"/>
      <w:bookmarkStart w:id="37" w:name="_Toc411736420"/>
      <w:bookmarkStart w:id="38" w:name="_Toc476860355"/>
      <w:r>
        <w:rPr>
          <w:rFonts w:hint="eastAsia" w:ascii="宋体" w:eastAsia="宋体" w:cs="宋体"/>
          <w:bCs w:val="0"/>
          <w:sz w:val="21"/>
          <w:szCs w:val="21"/>
          <w:highlight w:val="none"/>
        </w:rPr>
        <w:t>1.1 词语定义</w:t>
      </w:r>
      <w:bookmarkEnd w:id="31"/>
      <w:bookmarkEnd w:id="32"/>
      <w:bookmarkEnd w:id="33"/>
      <w:bookmarkEnd w:id="34"/>
      <w:bookmarkEnd w:id="35"/>
      <w:bookmarkEnd w:id="36"/>
      <w:bookmarkEnd w:id="37"/>
      <w:bookmarkEnd w:id="38"/>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通用合同条款、专用合同条款中的下列词语应具有本款所赋予的含义。</w:t>
      </w:r>
    </w:p>
    <w:p>
      <w:pPr>
        <w:spacing w:line="360" w:lineRule="auto"/>
        <w:ind w:firstLine="411" w:firstLineChars="196"/>
        <w:rPr>
          <w:rFonts w:ascii="宋体" w:hAnsi="宋体" w:cs="宋体"/>
          <w:szCs w:val="21"/>
          <w:highlight w:val="none"/>
        </w:rPr>
      </w:pPr>
      <w:r>
        <w:rPr>
          <w:rFonts w:hint="eastAsia" w:ascii="宋体" w:hAnsi="宋体" w:cs="宋体"/>
          <w:szCs w:val="21"/>
          <w:highlight w:val="none"/>
        </w:rPr>
        <w:t>1.1.1 合同</w:t>
      </w:r>
    </w:p>
    <w:p>
      <w:pPr>
        <w:spacing w:line="360" w:lineRule="auto"/>
        <w:rPr>
          <w:rFonts w:ascii="宋体" w:hAnsi="宋体" w:cs="宋体"/>
          <w:szCs w:val="21"/>
          <w:highlight w:val="none"/>
        </w:rPr>
      </w:pPr>
      <w:r>
        <w:rPr>
          <w:rFonts w:hint="eastAsia" w:ascii="宋体" w:hAnsi="宋体" w:cs="宋体"/>
          <w:szCs w:val="21"/>
          <w:highlight w:val="none"/>
        </w:rPr>
        <w:t xml:space="preserve">    1.1.1.1 合同文件（或称合同）：指合同协议书、中标通知书、投标函及投标函附录、专用合同条款、通用合同条款、发包人要求、价格清单、承包人建议书，以及其他构成合同组成部分的文件。</w:t>
      </w:r>
    </w:p>
    <w:p>
      <w:pPr>
        <w:spacing w:line="360" w:lineRule="auto"/>
        <w:rPr>
          <w:rFonts w:ascii="宋体" w:hAnsi="宋体" w:cs="宋体"/>
          <w:szCs w:val="21"/>
          <w:highlight w:val="none"/>
        </w:rPr>
      </w:pPr>
      <w:r>
        <w:rPr>
          <w:rFonts w:hint="eastAsia" w:ascii="宋体" w:hAnsi="宋体" w:cs="宋体"/>
          <w:szCs w:val="21"/>
          <w:highlight w:val="none"/>
        </w:rPr>
        <w:t xml:space="preserve">    1.1.1.2 合同协议书：指第1.5 款所指的合同协议书。</w:t>
      </w:r>
    </w:p>
    <w:p>
      <w:pPr>
        <w:spacing w:line="360" w:lineRule="auto"/>
        <w:rPr>
          <w:rFonts w:ascii="宋体" w:hAnsi="宋体" w:cs="宋体"/>
          <w:szCs w:val="21"/>
          <w:highlight w:val="none"/>
        </w:rPr>
      </w:pPr>
      <w:r>
        <w:rPr>
          <w:rFonts w:hint="eastAsia" w:ascii="宋体" w:hAnsi="宋体" w:cs="宋体"/>
          <w:szCs w:val="21"/>
          <w:highlight w:val="none"/>
        </w:rPr>
        <w:t xml:space="preserve">    1.1.1.3 中标通知书：指发包人通知承包人中标的函件。中标通知书随附的澄清、说明、补正事项纪要等，是中标通知书的组成部分。</w:t>
      </w:r>
    </w:p>
    <w:p>
      <w:pPr>
        <w:spacing w:line="360" w:lineRule="auto"/>
        <w:rPr>
          <w:rFonts w:ascii="宋体" w:hAnsi="宋体" w:cs="宋体"/>
          <w:szCs w:val="21"/>
          <w:highlight w:val="none"/>
        </w:rPr>
      </w:pPr>
      <w:r>
        <w:rPr>
          <w:rFonts w:hint="eastAsia" w:ascii="宋体" w:hAnsi="宋体" w:cs="宋体"/>
          <w:szCs w:val="21"/>
          <w:highlight w:val="none"/>
        </w:rPr>
        <w:t xml:space="preserve">    1.1.1.4 投标函：指构成合同文件组成部分的由承包人填写并签署的投标函。</w:t>
      </w:r>
    </w:p>
    <w:p>
      <w:pPr>
        <w:spacing w:line="360" w:lineRule="auto"/>
        <w:rPr>
          <w:rFonts w:ascii="宋体" w:hAnsi="宋体" w:cs="宋体"/>
          <w:szCs w:val="21"/>
          <w:highlight w:val="none"/>
        </w:rPr>
      </w:pPr>
      <w:r>
        <w:rPr>
          <w:rFonts w:hint="eastAsia" w:ascii="宋体" w:hAnsi="宋体" w:cs="宋体"/>
          <w:szCs w:val="21"/>
          <w:highlight w:val="none"/>
        </w:rPr>
        <w:t xml:space="preserve">    1.1.1.5 投标函附录：指附在投标函后构成合同文件的投标函附录。</w:t>
      </w:r>
    </w:p>
    <w:p>
      <w:pPr>
        <w:spacing w:line="360" w:lineRule="auto"/>
        <w:rPr>
          <w:rFonts w:ascii="宋体" w:hAnsi="宋体" w:cs="宋体"/>
          <w:szCs w:val="21"/>
          <w:highlight w:val="none"/>
        </w:rPr>
      </w:pPr>
      <w:r>
        <w:rPr>
          <w:rFonts w:hint="eastAsia" w:ascii="宋体" w:hAnsi="宋体" w:cs="宋体"/>
          <w:szCs w:val="21"/>
          <w:highlight w:val="none"/>
        </w:rPr>
        <w:t xml:space="preserve">    1.1.1.6 发包人要求：指构成合同文件组成部分的名为发包人要求的文件，包括招标项目的目的、范围、设计与其他技术标准和要求，</w:t>
      </w:r>
      <w:r>
        <w:rPr>
          <w:rStyle w:val="72"/>
          <w:rFonts w:hint="eastAsia" w:ascii="宋体" w:hAnsi="宋体" w:cs="宋体"/>
          <w:highlight w:val="none"/>
        </w:rPr>
        <w:t>以及</w:t>
      </w:r>
      <w:r>
        <w:rPr>
          <w:rFonts w:hint="eastAsia" w:ascii="宋体" w:hAnsi="宋体" w:cs="宋体"/>
          <w:szCs w:val="21"/>
          <w:highlight w:val="none"/>
        </w:rPr>
        <w:t>合同双方当事人约定对其所作的修改或补充。</w:t>
      </w:r>
    </w:p>
    <w:p>
      <w:pPr>
        <w:spacing w:line="360" w:lineRule="auto"/>
        <w:rPr>
          <w:rFonts w:ascii="宋体" w:hAnsi="宋体" w:cs="宋体"/>
          <w:szCs w:val="21"/>
          <w:highlight w:val="none"/>
        </w:rPr>
      </w:pPr>
      <w:r>
        <w:rPr>
          <w:rFonts w:hint="eastAsia" w:ascii="宋体" w:hAnsi="宋体" w:cs="宋体"/>
          <w:szCs w:val="21"/>
          <w:highlight w:val="none"/>
        </w:rPr>
        <w:t xml:space="preserve">    1.1.1.7 价格清单：指构成合同文件组成部分的由承包人按规定的格式和要求填写并标明价格的清单。</w:t>
      </w:r>
    </w:p>
    <w:p>
      <w:pPr>
        <w:spacing w:line="360" w:lineRule="auto"/>
        <w:rPr>
          <w:rFonts w:ascii="宋体" w:hAnsi="宋体" w:cs="宋体"/>
          <w:szCs w:val="21"/>
          <w:highlight w:val="none"/>
        </w:rPr>
      </w:pPr>
      <w:r>
        <w:rPr>
          <w:rFonts w:hint="eastAsia" w:ascii="宋体" w:hAnsi="宋体" w:cs="宋体"/>
          <w:szCs w:val="21"/>
          <w:highlight w:val="none"/>
        </w:rPr>
        <w:t xml:space="preserve">    1.1.1.8承包人建议书：指构成合同文件组成部分的名为承包人建议书的文件。承包人建议书由承包人随投标函一起提交。承包人建议书应包括承包人的设计图纸及相应说明等设计文件。</w:t>
      </w:r>
    </w:p>
    <w:p>
      <w:pPr>
        <w:spacing w:line="360" w:lineRule="auto"/>
        <w:rPr>
          <w:rFonts w:ascii="宋体" w:hAnsi="宋体" w:cs="宋体"/>
          <w:szCs w:val="21"/>
          <w:highlight w:val="none"/>
        </w:rPr>
      </w:pPr>
      <w:r>
        <w:rPr>
          <w:rFonts w:hint="eastAsia" w:ascii="宋体" w:hAnsi="宋体" w:cs="宋体"/>
          <w:szCs w:val="21"/>
          <w:highlight w:val="none"/>
        </w:rPr>
        <w:t xml:space="preserve">    1.1.1.9 其他合同文件：指经合同双方当事人确认构成合同文件的其他文件。</w:t>
      </w:r>
    </w:p>
    <w:p>
      <w:pPr>
        <w:spacing w:line="360" w:lineRule="auto"/>
        <w:ind w:firstLine="411" w:firstLineChars="196"/>
        <w:rPr>
          <w:rFonts w:ascii="宋体" w:hAnsi="宋体" w:cs="宋体"/>
          <w:szCs w:val="21"/>
          <w:highlight w:val="none"/>
        </w:rPr>
      </w:pPr>
      <w:r>
        <w:rPr>
          <w:rFonts w:hint="eastAsia" w:ascii="宋体" w:hAnsi="宋体" w:cs="宋体"/>
          <w:szCs w:val="21"/>
          <w:highlight w:val="none"/>
        </w:rPr>
        <w:t>1.1.2 合同当事人和人员</w:t>
      </w:r>
    </w:p>
    <w:p>
      <w:pPr>
        <w:spacing w:line="360" w:lineRule="auto"/>
        <w:rPr>
          <w:rFonts w:ascii="宋体" w:hAnsi="宋体" w:cs="宋体"/>
          <w:szCs w:val="21"/>
          <w:highlight w:val="none"/>
        </w:rPr>
      </w:pPr>
      <w:r>
        <w:rPr>
          <w:rFonts w:hint="eastAsia" w:ascii="宋体" w:hAnsi="宋体" w:cs="宋体"/>
          <w:szCs w:val="21"/>
          <w:highlight w:val="none"/>
        </w:rPr>
        <w:t xml:space="preserve">    1.1.2.1 合同当事人：指发包人和（或）承包人。</w:t>
      </w:r>
    </w:p>
    <w:p>
      <w:pPr>
        <w:spacing w:line="360" w:lineRule="auto"/>
        <w:rPr>
          <w:rFonts w:ascii="宋体" w:hAnsi="宋体" w:cs="宋体"/>
          <w:szCs w:val="21"/>
          <w:highlight w:val="none"/>
        </w:rPr>
      </w:pPr>
      <w:r>
        <w:rPr>
          <w:rFonts w:hint="eastAsia" w:ascii="宋体" w:hAnsi="宋体" w:cs="宋体"/>
          <w:szCs w:val="21"/>
          <w:highlight w:val="none"/>
        </w:rPr>
        <w:t xml:space="preserve">    1.1.2.2 发包人：指专用合同条款中指明并与承包人在合同协议书中签字的当事人。</w:t>
      </w:r>
    </w:p>
    <w:p>
      <w:pPr>
        <w:spacing w:line="360" w:lineRule="auto"/>
        <w:rPr>
          <w:rFonts w:ascii="宋体" w:hAnsi="宋体" w:cs="宋体"/>
          <w:szCs w:val="21"/>
          <w:highlight w:val="none"/>
        </w:rPr>
      </w:pPr>
      <w:r>
        <w:rPr>
          <w:rFonts w:hint="eastAsia" w:ascii="宋体" w:hAnsi="宋体" w:cs="宋体"/>
          <w:szCs w:val="21"/>
          <w:highlight w:val="none"/>
        </w:rPr>
        <w:t xml:space="preserve">    1.1.2.3 承包人：指与发包人签订合同协议书的当事人。</w:t>
      </w:r>
    </w:p>
    <w:p>
      <w:pPr>
        <w:spacing w:line="360" w:lineRule="auto"/>
        <w:rPr>
          <w:rFonts w:ascii="宋体" w:hAnsi="宋体" w:cs="宋体"/>
          <w:szCs w:val="21"/>
          <w:highlight w:val="none"/>
        </w:rPr>
      </w:pPr>
      <w:r>
        <w:rPr>
          <w:rFonts w:hint="eastAsia" w:ascii="宋体" w:hAnsi="宋体" w:cs="宋体"/>
          <w:szCs w:val="21"/>
          <w:highlight w:val="none"/>
        </w:rPr>
        <w:t xml:space="preserve">    1.1.2.4 承包人项目经理：指承包人指定代表承包人履行义务的负责人。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1.1.2.5 设计负责人：指承包人指定负责组织指导协调设计工作并具有相应资格的人员。</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1.1.2.6 施工负责人：指承包人指定负责组织指导协调施工工作并具有相应资格的人员。</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1.1.2.7 采购负责人：指承包人指定负责组织指导协调采购工作的人员。</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1.1.2.8 分包人：指从承包人处分包合同中某一部分工作，并与其签订分包合同的分包人。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1.1.2.9 监理人：指在专用合同条款中指明的，受发包人委托对合同履行实施管理的法人或其他组织。属于国家强制监理的，监理人应当具有相应的监理资质。</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1.1.2.10 总监理工程师：指由监理人委派对合同履行实施管理的全权负责人。</w:t>
      </w:r>
    </w:p>
    <w:p>
      <w:pPr>
        <w:spacing w:line="360" w:lineRule="auto"/>
        <w:ind w:firstLine="411" w:firstLineChars="196"/>
        <w:rPr>
          <w:rFonts w:ascii="宋体" w:hAnsi="宋体" w:cs="宋体"/>
          <w:szCs w:val="21"/>
          <w:highlight w:val="none"/>
        </w:rPr>
      </w:pPr>
      <w:r>
        <w:rPr>
          <w:rFonts w:hint="eastAsia" w:ascii="宋体" w:hAnsi="宋体" w:cs="宋体"/>
          <w:szCs w:val="21"/>
          <w:highlight w:val="none"/>
        </w:rPr>
        <w:t xml:space="preserve">  1.1.3 工程和设备</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1.1.3.1 工程：指永久工程和（或）临时工程。</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1.1.3.2 永久工程：指按合同约定建造并移交给发包人的工程，包括工程设备。</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1.1.3.3 临时工程：指为完成合同约定的永久工程所修建的各类临时性工程，不包括施工设备。</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1.1.3.4 区段工程：指专用合同条款中指明特定范围的能单独接收并使用的永久工程。</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1.1.3.5 工程设备：指构成或计划构成永久工程的机电设备、仪器装置、运载工具及其他类似的设备和装置。</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1.1.3.6 施工设备：指为完成合同约定的各项工作所需的设备、器具和其他物品，不包括临时工程和材料。</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1.1.3.7 临时设施：指为完成合同约定的各项工作所服务的临时性生产和生活设施。</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1.1.3.8 承包人设备：指承包人为工程实施提供的施工设备。</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1.1.3.9 施工场地（或称工地、现场）：指用于合同工程施工的场所，以及在合同中指定作为施工场地组成部分的其他场所，包括永久占地和临时占地。</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1.1.3.10 永久占地：指专用合同条款中指明为实施合同工程需永久占用的土地。</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1.1.3.11 临时占地：指专用合同条款中指明为实施合同工程需临时占用的土地。</w:t>
      </w:r>
    </w:p>
    <w:p>
      <w:pPr>
        <w:spacing w:line="360" w:lineRule="auto"/>
        <w:ind w:firstLine="411" w:firstLineChars="196"/>
        <w:rPr>
          <w:rFonts w:ascii="宋体" w:hAnsi="宋体" w:cs="宋体"/>
          <w:b/>
          <w:szCs w:val="21"/>
          <w:highlight w:val="none"/>
        </w:rPr>
      </w:pPr>
      <w:r>
        <w:rPr>
          <w:rFonts w:hint="eastAsia" w:ascii="宋体" w:hAnsi="宋体" w:cs="宋体"/>
          <w:szCs w:val="21"/>
          <w:highlight w:val="none"/>
        </w:rPr>
        <w:t xml:space="preserve">  1.1.4 日期、检验和竣工</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1.1.4.1 开始工作通知：指监理人按第11.1 款通知承包人开始工作的函件。</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1.1.4.2 开始工作日期：指监理人按第11.1款发出的开始工作通知中写明的开始工作日期。</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1.1.4.3 工期：指承包人在投标函中承诺的完成合同工作所需的期限，包括按第11.3款、第11.4款和第11.6款约定所作的变更。</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1.1.4.4 竣工日期：即合同工程完工日期，指第1.1.4.3目约定工期届满时的日期。实际完工日期以合同工程完工证书中写明的日期为准。</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1.1.4.5 缺陷责任期：即工程质量保修期：指履行第19.2款约定的缺陷责任的期限，包括根据第19.3款约定所作的延长，具体期限由专用合同条款约定</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1.1.4.6 基准日期：指投标截止之日前28天的日期。</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1.1.4.7 天：除特别指明外，指日历天。合同中按天计算时间的，开始当天不计入，从次日开始计算。期限最后一天的截止时间为当天24:00。</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1.1.4.8 竣工试验：是指在工程竣工验收前，根据第18.1款要求进行的试验。</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1.1.4.9 竣工验收：是指工程建设项目全部完成并满足一定运行条件后，发包人按合同要求进行的验收。</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1.1.4.10 竣工后试验：是指在工程竣工验收后，根据第18.9款约定进行的试验。</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1.1.4.11国家验收：是指政府有关部门根据法律、规范、规程和政策要求，针对发包人全面组织实施的整个工程正式交付投运前的验收。</w:t>
      </w:r>
    </w:p>
    <w:p>
      <w:pPr>
        <w:spacing w:line="360" w:lineRule="auto"/>
        <w:ind w:firstLine="411" w:firstLineChars="196"/>
        <w:rPr>
          <w:rFonts w:ascii="宋体" w:hAnsi="宋体" w:cs="宋体"/>
          <w:szCs w:val="21"/>
          <w:highlight w:val="none"/>
        </w:rPr>
      </w:pPr>
      <w:r>
        <w:rPr>
          <w:rFonts w:hint="eastAsia" w:ascii="宋体" w:hAnsi="宋体" w:cs="宋体"/>
          <w:szCs w:val="21"/>
          <w:highlight w:val="none"/>
        </w:rPr>
        <w:t xml:space="preserve">  1.1.5 合同价格和费用</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1.1.5.1 签约合同价：指中标通知书明确的并在签定合同时于合同协议书中写明的，包括了暂列金额、暂估价的合同总金额。</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1.1.5.2 合同价格：指承包人按合同约定完成了包括缺陷责任期内的全部承包工作后，发包人应付给承包人的金额，包括在履行合同过程中按合同约定进行的变更和调整。</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1.1.5.3 费用：指为履行合同所发生的或将要发生的所有合理开支，包括管理费和应分摊的其他费用，但不包括利润。</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1.1.5.4 暂列金额：指招标文件中给定的，用于在签订协议书时尚未确定或不可预见变更的设计、施工及其所需材料、工程设备、服务等的金额，包括以计日工方式支付的金额。</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1.1.5.5 暂估价：指招标文件中给定的，用于支付必然发生但暂时不能确定价格的专业服务、材料、设备专业工程的金额。</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1.1.5.6 计日工：指对零星工作采取的一种计价方式，按合同中的计日工子目及其单价计价付款。</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1.1.5.7 质量保证金：指按第17.4.1项约定用于保证在缺陷责任期内履行缺陷修复义务的金额。</w:t>
      </w:r>
    </w:p>
    <w:p>
      <w:pPr>
        <w:spacing w:line="360" w:lineRule="auto"/>
        <w:ind w:firstLine="411" w:firstLineChars="196"/>
        <w:rPr>
          <w:rFonts w:ascii="宋体" w:hAnsi="宋体" w:cs="宋体"/>
          <w:szCs w:val="21"/>
          <w:highlight w:val="none"/>
        </w:rPr>
      </w:pPr>
      <w:r>
        <w:rPr>
          <w:rFonts w:hint="eastAsia" w:ascii="宋体" w:hAnsi="宋体" w:cs="宋体"/>
          <w:szCs w:val="21"/>
          <w:highlight w:val="none"/>
        </w:rPr>
        <w:t xml:space="preserve">  1.1.6 其他</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1.1.6.1 书面形式：指合同文件、信函、电报、传真、数据电文、电子邮件、会议纪要等可以有形地表现所载内容的形式。</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1.1.6.2 承包人文件：指由承包人根据合同应提交的所有图纸、手册、模型、计算书、软件和其他文件。</w:t>
      </w:r>
    </w:p>
    <w:p>
      <w:pPr>
        <w:spacing w:line="360" w:lineRule="auto"/>
        <w:ind w:firstLine="630" w:firstLineChars="300"/>
        <w:rPr>
          <w:rFonts w:ascii="宋体" w:hAnsi="宋体" w:cs="宋体"/>
          <w:szCs w:val="21"/>
          <w:highlight w:val="none"/>
        </w:rPr>
      </w:pPr>
      <w:r>
        <w:rPr>
          <w:rFonts w:hint="eastAsia" w:ascii="宋体" w:hAnsi="宋体" w:cs="宋体"/>
          <w:szCs w:val="21"/>
          <w:highlight w:val="none"/>
        </w:rPr>
        <w:t>1.1.6.3 变更是指根据第15条的约定，经指示或批准对发包人要求或工程所做的改变。</w:t>
      </w:r>
    </w:p>
    <w:p>
      <w:pPr>
        <w:pStyle w:val="5"/>
        <w:spacing w:before="120" w:after="120" w:line="360" w:lineRule="auto"/>
        <w:ind w:firstLine="103"/>
        <w:rPr>
          <w:rFonts w:ascii="宋体" w:eastAsia="宋体" w:cs="宋体"/>
          <w:bCs w:val="0"/>
          <w:sz w:val="21"/>
          <w:szCs w:val="21"/>
          <w:highlight w:val="none"/>
        </w:rPr>
      </w:pPr>
      <w:bookmarkStart w:id="39" w:name="_Toc247514037"/>
      <w:bookmarkStart w:id="40" w:name="_Toc300835034"/>
      <w:bookmarkStart w:id="41" w:name="_Toc411736421"/>
      <w:bookmarkStart w:id="42" w:name="_Toc247527638"/>
      <w:bookmarkStart w:id="43" w:name="_Toc476860356"/>
      <w:bookmarkStart w:id="44" w:name="_Toc486159970"/>
      <w:bookmarkStart w:id="45" w:name="_Toc411736145"/>
      <w:bookmarkStart w:id="46" w:name="_Toc410559339"/>
      <w:r>
        <w:rPr>
          <w:rFonts w:hint="eastAsia" w:ascii="宋体" w:eastAsia="宋体" w:cs="宋体"/>
          <w:bCs w:val="0"/>
          <w:sz w:val="21"/>
          <w:szCs w:val="21"/>
          <w:highlight w:val="none"/>
        </w:rPr>
        <w:t>1.2 语言文字</w:t>
      </w:r>
      <w:bookmarkEnd w:id="39"/>
      <w:bookmarkEnd w:id="40"/>
      <w:bookmarkEnd w:id="41"/>
      <w:bookmarkEnd w:id="42"/>
      <w:bookmarkEnd w:id="43"/>
      <w:bookmarkEnd w:id="44"/>
      <w:bookmarkEnd w:id="45"/>
      <w:bookmarkEnd w:id="4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合同使用的语言文字为中文。专用术语使用外文的，应附有中文注释。</w:t>
      </w:r>
    </w:p>
    <w:p>
      <w:pPr>
        <w:pStyle w:val="5"/>
        <w:spacing w:before="120" w:after="120" w:line="360" w:lineRule="auto"/>
        <w:ind w:firstLine="103"/>
        <w:rPr>
          <w:rFonts w:ascii="宋体" w:eastAsia="宋体" w:cs="宋体"/>
          <w:bCs w:val="0"/>
          <w:sz w:val="21"/>
          <w:szCs w:val="21"/>
          <w:highlight w:val="none"/>
        </w:rPr>
      </w:pPr>
      <w:bookmarkStart w:id="47" w:name="_Toc410559340"/>
      <w:bookmarkStart w:id="48" w:name="_Toc486159971"/>
      <w:bookmarkStart w:id="49" w:name="_Toc411736146"/>
      <w:bookmarkStart w:id="50" w:name="_Toc411736422"/>
      <w:bookmarkStart w:id="51" w:name="_Toc247527639"/>
      <w:bookmarkStart w:id="52" w:name="_Toc476860357"/>
      <w:bookmarkStart w:id="53" w:name="_Toc247514038"/>
      <w:bookmarkStart w:id="54" w:name="_Toc300835035"/>
      <w:r>
        <w:rPr>
          <w:rFonts w:hint="eastAsia" w:ascii="宋体" w:eastAsia="宋体" w:cs="宋体"/>
          <w:bCs w:val="0"/>
          <w:sz w:val="21"/>
          <w:szCs w:val="21"/>
          <w:highlight w:val="none"/>
        </w:rPr>
        <w:t>1.3 法律</w:t>
      </w:r>
      <w:bookmarkEnd w:id="47"/>
      <w:bookmarkEnd w:id="48"/>
      <w:bookmarkEnd w:id="49"/>
      <w:bookmarkEnd w:id="50"/>
      <w:bookmarkEnd w:id="51"/>
      <w:bookmarkEnd w:id="52"/>
      <w:bookmarkEnd w:id="53"/>
      <w:bookmarkEnd w:id="5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适用于合同的法律包括中华人民共和国法律、行政法规、部门规章，以及工程所在地的地方法规、自治条例、单行条例和地方政府规章。</w:t>
      </w:r>
    </w:p>
    <w:p>
      <w:pPr>
        <w:pStyle w:val="5"/>
        <w:spacing w:before="120" w:after="120" w:line="360" w:lineRule="auto"/>
        <w:ind w:firstLine="103"/>
        <w:rPr>
          <w:rFonts w:ascii="宋体" w:eastAsia="宋体" w:cs="宋体"/>
          <w:bCs w:val="0"/>
          <w:sz w:val="21"/>
          <w:szCs w:val="21"/>
          <w:highlight w:val="none"/>
        </w:rPr>
      </w:pPr>
      <w:bookmarkStart w:id="55" w:name="_Toc486159972"/>
      <w:bookmarkStart w:id="56" w:name="_Toc410559341"/>
      <w:bookmarkStart w:id="57" w:name="_Toc247514039"/>
      <w:bookmarkStart w:id="58" w:name="_Toc300835036"/>
      <w:bookmarkStart w:id="59" w:name="_Toc411736423"/>
      <w:bookmarkStart w:id="60" w:name="_Toc247527640"/>
      <w:bookmarkStart w:id="61" w:name="_Toc476860358"/>
      <w:bookmarkStart w:id="62" w:name="_Toc411736147"/>
      <w:r>
        <w:rPr>
          <w:rFonts w:hint="eastAsia" w:ascii="宋体" w:eastAsia="宋体" w:cs="宋体"/>
          <w:bCs w:val="0"/>
          <w:sz w:val="21"/>
          <w:szCs w:val="21"/>
          <w:highlight w:val="none"/>
        </w:rPr>
        <w:t>1.4 合同文件的优先顺序</w:t>
      </w:r>
      <w:bookmarkEnd w:id="55"/>
      <w:bookmarkEnd w:id="56"/>
      <w:bookmarkEnd w:id="57"/>
      <w:bookmarkEnd w:id="58"/>
      <w:bookmarkEnd w:id="59"/>
      <w:bookmarkEnd w:id="60"/>
      <w:bookmarkEnd w:id="61"/>
      <w:bookmarkEnd w:id="6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组成合同的各项文件应互相解释，互为说明。除专用合同条款另有约定外，解释合同文件的优先顺序如下：</w:t>
      </w:r>
    </w:p>
    <w:p>
      <w:pPr>
        <w:spacing w:line="360" w:lineRule="auto"/>
        <w:ind w:firstLine="420"/>
        <w:rPr>
          <w:rFonts w:ascii="宋体" w:hAnsi="宋体" w:cs="宋体"/>
          <w:szCs w:val="21"/>
          <w:highlight w:val="none"/>
        </w:rPr>
      </w:pPr>
      <w:r>
        <w:rPr>
          <w:rFonts w:hint="eastAsia" w:ascii="宋体" w:hAnsi="宋体" w:cs="宋体"/>
          <w:szCs w:val="21"/>
          <w:highlight w:val="none"/>
        </w:rPr>
        <w:t>（1）合同协议书；</w:t>
      </w:r>
    </w:p>
    <w:p>
      <w:pPr>
        <w:spacing w:line="360" w:lineRule="auto"/>
        <w:ind w:firstLine="420"/>
        <w:rPr>
          <w:rFonts w:ascii="宋体" w:hAnsi="宋体" w:cs="宋体"/>
          <w:szCs w:val="21"/>
          <w:highlight w:val="none"/>
        </w:rPr>
      </w:pPr>
      <w:r>
        <w:rPr>
          <w:rFonts w:hint="eastAsia" w:ascii="宋体" w:hAnsi="宋体" w:cs="宋体"/>
          <w:szCs w:val="21"/>
          <w:highlight w:val="none"/>
        </w:rPr>
        <w:t>（2）中标通知书；</w:t>
      </w:r>
    </w:p>
    <w:p>
      <w:pPr>
        <w:spacing w:line="360" w:lineRule="auto"/>
        <w:ind w:firstLine="420"/>
        <w:rPr>
          <w:rFonts w:ascii="宋体" w:hAnsi="宋体" w:cs="宋体"/>
          <w:szCs w:val="21"/>
          <w:highlight w:val="none"/>
        </w:rPr>
      </w:pPr>
      <w:r>
        <w:rPr>
          <w:rFonts w:hint="eastAsia" w:ascii="宋体" w:hAnsi="宋体" w:cs="宋体"/>
          <w:szCs w:val="21"/>
          <w:highlight w:val="none"/>
        </w:rPr>
        <w:t>（3）投标函及投标函附录；</w:t>
      </w:r>
    </w:p>
    <w:p>
      <w:pPr>
        <w:spacing w:line="360" w:lineRule="auto"/>
        <w:ind w:firstLine="420"/>
        <w:rPr>
          <w:rFonts w:ascii="宋体" w:hAnsi="宋体" w:cs="宋体"/>
          <w:szCs w:val="21"/>
          <w:highlight w:val="none"/>
        </w:rPr>
      </w:pPr>
      <w:r>
        <w:rPr>
          <w:rFonts w:hint="eastAsia" w:ascii="宋体" w:hAnsi="宋体" w:cs="宋体"/>
          <w:szCs w:val="21"/>
          <w:highlight w:val="none"/>
        </w:rPr>
        <w:t>（4）专用合同条款；</w:t>
      </w:r>
    </w:p>
    <w:p>
      <w:pPr>
        <w:spacing w:line="360" w:lineRule="auto"/>
        <w:ind w:firstLine="420"/>
        <w:rPr>
          <w:rFonts w:ascii="宋体" w:hAnsi="宋体" w:cs="宋体"/>
          <w:szCs w:val="21"/>
          <w:highlight w:val="none"/>
        </w:rPr>
      </w:pPr>
      <w:r>
        <w:rPr>
          <w:rFonts w:hint="eastAsia" w:ascii="宋体" w:hAnsi="宋体" w:cs="宋体"/>
          <w:szCs w:val="21"/>
          <w:highlight w:val="none"/>
        </w:rPr>
        <w:t>（5）通用合同条款；</w:t>
      </w:r>
    </w:p>
    <w:p>
      <w:pPr>
        <w:spacing w:line="360" w:lineRule="auto"/>
        <w:ind w:firstLine="420"/>
        <w:rPr>
          <w:rFonts w:ascii="宋体" w:hAnsi="宋体" w:cs="宋体"/>
          <w:szCs w:val="21"/>
          <w:highlight w:val="none"/>
        </w:rPr>
      </w:pPr>
      <w:r>
        <w:rPr>
          <w:rFonts w:hint="eastAsia" w:ascii="宋体" w:hAnsi="宋体" w:cs="宋体"/>
          <w:szCs w:val="21"/>
          <w:highlight w:val="none"/>
        </w:rPr>
        <w:t>（6）发包人要求；</w:t>
      </w:r>
    </w:p>
    <w:p>
      <w:pPr>
        <w:spacing w:line="360" w:lineRule="auto"/>
        <w:ind w:firstLine="420"/>
        <w:rPr>
          <w:rFonts w:ascii="宋体" w:hAnsi="宋体" w:cs="宋体"/>
          <w:szCs w:val="21"/>
          <w:highlight w:val="none"/>
        </w:rPr>
      </w:pPr>
      <w:r>
        <w:rPr>
          <w:rFonts w:hint="eastAsia" w:ascii="宋体" w:hAnsi="宋体" w:cs="宋体"/>
          <w:szCs w:val="21"/>
          <w:highlight w:val="none"/>
        </w:rPr>
        <w:t xml:space="preserve">（7）承包人建议书； </w:t>
      </w:r>
    </w:p>
    <w:p>
      <w:pPr>
        <w:spacing w:line="360" w:lineRule="auto"/>
        <w:ind w:firstLine="420"/>
        <w:rPr>
          <w:rFonts w:ascii="宋体" w:hAnsi="宋体" w:cs="宋体"/>
          <w:szCs w:val="21"/>
          <w:highlight w:val="none"/>
        </w:rPr>
      </w:pPr>
      <w:r>
        <w:rPr>
          <w:rFonts w:hint="eastAsia" w:ascii="宋体" w:hAnsi="宋体" w:cs="宋体"/>
          <w:szCs w:val="21"/>
          <w:highlight w:val="none"/>
        </w:rPr>
        <w:t>（8）价格清单；</w:t>
      </w:r>
    </w:p>
    <w:p>
      <w:pPr>
        <w:spacing w:line="360" w:lineRule="auto"/>
        <w:ind w:firstLine="420"/>
        <w:rPr>
          <w:rFonts w:ascii="宋体" w:hAnsi="宋体" w:cs="宋体"/>
          <w:szCs w:val="21"/>
          <w:highlight w:val="none"/>
        </w:rPr>
      </w:pPr>
      <w:r>
        <w:rPr>
          <w:rFonts w:hint="eastAsia" w:ascii="宋体" w:hAnsi="宋体" w:cs="宋体"/>
          <w:szCs w:val="21"/>
          <w:highlight w:val="none"/>
        </w:rPr>
        <w:t>（9）其他合同文件。</w:t>
      </w:r>
    </w:p>
    <w:p>
      <w:pPr>
        <w:pStyle w:val="5"/>
        <w:spacing w:before="120" w:after="120" w:line="360" w:lineRule="auto"/>
        <w:ind w:firstLine="103"/>
        <w:rPr>
          <w:rFonts w:ascii="宋体" w:eastAsia="宋体" w:cs="宋体"/>
          <w:bCs w:val="0"/>
          <w:sz w:val="21"/>
          <w:szCs w:val="21"/>
          <w:highlight w:val="none"/>
        </w:rPr>
      </w:pPr>
      <w:bookmarkStart w:id="63" w:name="_Toc300835037"/>
      <w:bookmarkStart w:id="64" w:name="_Toc476860359"/>
      <w:bookmarkStart w:id="65" w:name="_Toc247514040"/>
      <w:bookmarkStart w:id="66" w:name="_Toc247527641"/>
      <w:bookmarkStart w:id="67" w:name="_Toc410559342"/>
      <w:bookmarkStart w:id="68" w:name="_Toc486159973"/>
      <w:bookmarkStart w:id="69" w:name="_Toc411736424"/>
      <w:bookmarkStart w:id="70" w:name="_Toc411736148"/>
      <w:r>
        <w:rPr>
          <w:rFonts w:hint="eastAsia" w:ascii="宋体" w:eastAsia="宋体" w:cs="宋体"/>
          <w:bCs w:val="0"/>
          <w:sz w:val="21"/>
          <w:szCs w:val="21"/>
          <w:highlight w:val="none"/>
        </w:rPr>
        <w:t>1.5 合同协议书</w:t>
      </w:r>
      <w:bookmarkEnd w:id="63"/>
      <w:bookmarkEnd w:id="64"/>
      <w:bookmarkEnd w:id="65"/>
      <w:bookmarkEnd w:id="66"/>
      <w:bookmarkEnd w:id="67"/>
      <w:bookmarkEnd w:id="68"/>
      <w:bookmarkEnd w:id="69"/>
      <w:bookmarkEnd w:id="70"/>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pStyle w:val="5"/>
        <w:spacing w:before="120" w:after="120" w:line="360" w:lineRule="auto"/>
        <w:ind w:firstLine="103"/>
        <w:rPr>
          <w:rFonts w:ascii="宋体" w:eastAsia="宋体" w:cs="宋体"/>
          <w:bCs w:val="0"/>
          <w:sz w:val="21"/>
          <w:szCs w:val="21"/>
          <w:highlight w:val="none"/>
        </w:rPr>
      </w:pPr>
      <w:bookmarkStart w:id="71" w:name="_Toc247527642"/>
      <w:bookmarkStart w:id="72" w:name="_Toc247514041"/>
      <w:bookmarkStart w:id="73" w:name="_Toc411736425"/>
      <w:bookmarkStart w:id="74" w:name="_Toc300835038"/>
      <w:bookmarkStart w:id="75" w:name="_Toc411736149"/>
      <w:bookmarkStart w:id="76" w:name="_Toc486159974"/>
      <w:bookmarkStart w:id="77" w:name="_Toc410559343"/>
      <w:bookmarkStart w:id="78" w:name="_Toc476860360"/>
      <w:r>
        <w:rPr>
          <w:rFonts w:hint="eastAsia" w:ascii="宋体" w:eastAsia="宋体" w:cs="宋体"/>
          <w:bCs w:val="0"/>
          <w:sz w:val="21"/>
          <w:szCs w:val="21"/>
          <w:highlight w:val="none"/>
        </w:rPr>
        <w:t>1.6 文件的提供和</w:t>
      </w:r>
      <w:bookmarkEnd w:id="71"/>
      <w:bookmarkEnd w:id="72"/>
      <w:r>
        <w:rPr>
          <w:rFonts w:hint="eastAsia" w:ascii="宋体" w:eastAsia="宋体" w:cs="宋体"/>
          <w:bCs w:val="0"/>
          <w:sz w:val="21"/>
          <w:szCs w:val="21"/>
          <w:highlight w:val="none"/>
        </w:rPr>
        <w:t>照管</w:t>
      </w:r>
      <w:bookmarkEnd w:id="73"/>
      <w:bookmarkEnd w:id="74"/>
      <w:bookmarkEnd w:id="75"/>
      <w:bookmarkEnd w:id="76"/>
      <w:bookmarkEnd w:id="77"/>
      <w:bookmarkEnd w:id="78"/>
    </w:p>
    <w:p>
      <w:pPr>
        <w:spacing w:line="360" w:lineRule="auto"/>
        <w:rPr>
          <w:rFonts w:ascii="宋体" w:hAnsi="宋体" w:cs="宋体"/>
          <w:szCs w:val="21"/>
          <w:highlight w:val="none"/>
        </w:rPr>
      </w:pPr>
      <w:r>
        <w:rPr>
          <w:rFonts w:hint="eastAsia" w:ascii="宋体" w:hAnsi="宋体" w:cs="宋体"/>
          <w:szCs w:val="21"/>
          <w:highlight w:val="none"/>
        </w:rPr>
        <w:t xml:space="preserve">    1.6.1 承包人文件的提供</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承包人应在合理的期限内按照合同约定的数量向监理人提供承包人文件。合同约定承包人文件应批准的，监理人应当在合同约定的期限内批复。承包人的设计文件的提供和审查按第5.3款和第5.5款的约定执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1.6.2 发包人提供的文件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按专用合同条款约定由发包人提供的文件，包括前期工作相关文件、环境保护、气象水文、地质条件等，发包人应按约定的数量和期限交给承包人。由于发包人未按时提供文件造成工期延误的，按第11.3款约定执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1.6.3 文件错误的通知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任何一方发现了文件中存在的明显错误或疏忽，应及时通知另一方。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1.6.4 文件的照管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承包人应在现场保留一份合同、发包人要求中列出的所有文件、承包人文件、变更以及其它根据合同收发的往来信函。发包人有权在任何合理的时间查阅和使用上述所有文件。</w:t>
      </w:r>
      <w:bookmarkStart w:id="79" w:name="_Toc247527643"/>
      <w:bookmarkStart w:id="80" w:name="_Toc247514042"/>
    </w:p>
    <w:p>
      <w:pPr>
        <w:pStyle w:val="5"/>
        <w:spacing w:before="120" w:after="120" w:line="360" w:lineRule="auto"/>
        <w:ind w:firstLine="103"/>
        <w:rPr>
          <w:rFonts w:ascii="宋体" w:eastAsia="宋体" w:cs="宋体"/>
          <w:bCs w:val="0"/>
          <w:sz w:val="21"/>
          <w:szCs w:val="21"/>
          <w:highlight w:val="none"/>
        </w:rPr>
      </w:pPr>
      <w:bookmarkStart w:id="81" w:name="_Toc411736150"/>
      <w:bookmarkStart w:id="82" w:name="_Toc300835039"/>
      <w:bookmarkStart w:id="83" w:name="_Toc411736426"/>
      <w:bookmarkStart w:id="84" w:name="_Toc486159975"/>
      <w:bookmarkStart w:id="85" w:name="_Toc410559344"/>
      <w:bookmarkStart w:id="86" w:name="_Toc476860361"/>
      <w:r>
        <w:rPr>
          <w:rFonts w:hint="eastAsia" w:ascii="宋体" w:eastAsia="宋体" w:cs="宋体"/>
          <w:bCs w:val="0"/>
          <w:sz w:val="21"/>
          <w:szCs w:val="21"/>
          <w:highlight w:val="none"/>
        </w:rPr>
        <w:t>1.7 联络</w:t>
      </w:r>
      <w:bookmarkEnd w:id="79"/>
      <w:bookmarkEnd w:id="80"/>
      <w:bookmarkEnd w:id="81"/>
      <w:bookmarkEnd w:id="82"/>
      <w:bookmarkEnd w:id="83"/>
      <w:bookmarkEnd w:id="84"/>
      <w:bookmarkEnd w:id="85"/>
      <w:bookmarkEnd w:id="8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1.7.1 与合同有关的通知、批准、证明、证书、指示、要求、请求、同意、意见、确定和决定等，均应采用书面形式。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1.7.2 第1.7.1 项中的通知、批准、证明、证书、指示、要求、请求、同意、意见、确定和决定等来往函件，均应在合同约定的期限内送达指定的地点和指定的接收人，并办理签收手续。</w:t>
      </w:r>
    </w:p>
    <w:p>
      <w:pPr>
        <w:pStyle w:val="5"/>
        <w:spacing w:before="120" w:after="120" w:line="360" w:lineRule="auto"/>
        <w:ind w:firstLine="103"/>
        <w:rPr>
          <w:rFonts w:ascii="宋体" w:eastAsia="宋体" w:cs="宋体"/>
          <w:bCs w:val="0"/>
          <w:sz w:val="21"/>
          <w:szCs w:val="21"/>
          <w:highlight w:val="none"/>
        </w:rPr>
      </w:pPr>
      <w:bookmarkStart w:id="87" w:name="_Toc476860362"/>
      <w:bookmarkStart w:id="88" w:name="_Toc411736427"/>
      <w:bookmarkStart w:id="89" w:name="_Toc247514043"/>
      <w:bookmarkStart w:id="90" w:name="_Toc486159976"/>
      <w:bookmarkStart w:id="91" w:name="_Toc411736151"/>
      <w:bookmarkStart w:id="92" w:name="_Toc247527644"/>
      <w:bookmarkStart w:id="93" w:name="_Toc300835040"/>
      <w:bookmarkStart w:id="94" w:name="_Toc410559345"/>
      <w:r>
        <w:rPr>
          <w:rFonts w:hint="eastAsia" w:ascii="宋体" w:eastAsia="宋体" w:cs="宋体"/>
          <w:bCs w:val="0"/>
          <w:sz w:val="21"/>
          <w:szCs w:val="21"/>
          <w:highlight w:val="none"/>
        </w:rPr>
        <w:t>1.8 转让</w:t>
      </w:r>
      <w:bookmarkEnd w:id="87"/>
      <w:bookmarkEnd w:id="88"/>
      <w:bookmarkEnd w:id="89"/>
      <w:bookmarkEnd w:id="90"/>
      <w:bookmarkEnd w:id="91"/>
      <w:bookmarkEnd w:id="92"/>
      <w:bookmarkEnd w:id="93"/>
      <w:bookmarkEnd w:id="9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合同另有约定外，未经承包人同意，发包人不得将合同权利全部或部分转让给第三人，也不得全部或部分转让合同义务。承包人不得将合同权利全部或部分转让给第三人，也不得将合同的义务全部或部分转让给第三人，法律另有规定的除外。</w:t>
      </w:r>
    </w:p>
    <w:p>
      <w:pPr>
        <w:pStyle w:val="5"/>
        <w:spacing w:before="120" w:after="120" w:line="360" w:lineRule="auto"/>
        <w:ind w:firstLine="103"/>
        <w:rPr>
          <w:rFonts w:ascii="宋体" w:eastAsia="宋体" w:cs="宋体"/>
          <w:bCs w:val="0"/>
          <w:sz w:val="21"/>
          <w:szCs w:val="21"/>
          <w:highlight w:val="none"/>
        </w:rPr>
      </w:pPr>
      <w:bookmarkStart w:id="95" w:name="_Toc411736152"/>
      <w:bookmarkStart w:id="96" w:name="_Toc410559346"/>
      <w:bookmarkStart w:id="97" w:name="_Toc486159977"/>
      <w:bookmarkStart w:id="98" w:name="_Toc247527645"/>
      <w:bookmarkStart w:id="99" w:name="_Toc411736428"/>
      <w:bookmarkStart w:id="100" w:name="_Toc247514044"/>
      <w:bookmarkStart w:id="101" w:name="_Toc476860363"/>
      <w:bookmarkStart w:id="102" w:name="_Toc300835041"/>
      <w:r>
        <w:rPr>
          <w:rFonts w:hint="eastAsia" w:ascii="宋体" w:eastAsia="宋体" w:cs="宋体"/>
          <w:bCs w:val="0"/>
          <w:sz w:val="21"/>
          <w:szCs w:val="21"/>
          <w:highlight w:val="none"/>
        </w:rPr>
        <w:t>1.9 严禁贿赂</w:t>
      </w:r>
      <w:bookmarkEnd w:id="95"/>
      <w:bookmarkEnd w:id="96"/>
      <w:bookmarkEnd w:id="97"/>
      <w:bookmarkEnd w:id="98"/>
      <w:bookmarkEnd w:id="99"/>
      <w:bookmarkEnd w:id="100"/>
      <w:bookmarkEnd w:id="101"/>
      <w:bookmarkEnd w:id="10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合同双方当事人不得以贿赂或变相贿赂的方式，谋取不当利益或损害对方权益。因贿赂造成对方损失的，行为人应赔偿损失，并承担相应的法律责任。</w:t>
      </w:r>
    </w:p>
    <w:p>
      <w:pPr>
        <w:pStyle w:val="5"/>
        <w:spacing w:before="120" w:after="120" w:line="360" w:lineRule="auto"/>
        <w:ind w:firstLine="103"/>
        <w:rPr>
          <w:rFonts w:ascii="宋体" w:eastAsia="宋体" w:cs="宋体"/>
          <w:bCs w:val="0"/>
          <w:sz w:val="21"/>
          <w:szCs w:val="21"/>
          <w:highlight w:val="none"/>
        </w:rPr>
      </w:pPr>
      <w:bookmarkStart w:id="103" w:name="_Toc476860364"/>
      <w:bookmarkStart w:id="104" w:name="_Toc247514045"/>
      <w:bookmarkStart w:id="105" w:name="_Toc411736153"/>
      <w:bookmarkStart w:id="106" w:name="_Toc486159978"/>
      <w:bookmarkStart w:id="107" w:name="_Toc247527646"/>
      <w:bookmarkStart w:id="108" w:name="_Toc300835042"/>
      <w:bookmarkStart w:id="109" w:name="_Toc411736429"/>
      <w:bookmarkStart w:id="110" w:name="_Toc410559347"/>
      <w:r>
        <w:rPr>
          <w:rFonts w:hint="eastAsia" w:ascii="宋体" w:eastAsia="宋体" w:cs="宋体"/>
          <w:bCs w:val="0"/>
          <w:sz w:val="21"/>
          <w:szCs w:val="21"/>
          <w:highlight w:val="none"/>
        </w:rPr>
        <w:t>1.10 化石、文物</w:t>
      </w:r>
      <w:bookmarkEnd w:id="103"/>
      <w:bookmarkEnd w:id="104"/>
      <w:bookmarkEnd w:id="105"/>
      <w:bookmarkEnd w:id="106"/>
      <w:bookmarkEnd w:id="107"/>
      <w:bookmarkEnd w:id="108"/>
      <w:bookmarkEnd w:id="109"/>
      <w:bookmarkEnd w:id="110"/>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1.10.2 承包人发现文物后不及时报告或隐瞒不报，致使文物丢失或损坏的，应赔偿损失，并承担相应的法律责任。</w:t>
      </w:r>
    </w:p>
    <w:p>
      <w:pPr>
        <w:pStyle w:val="5"/>
        <w:spacing w:before="120" w:after="120" w:line="360" w:lineRule="auto"/>
        <w:ind w:firstLine="103"/>
        <w:rPr>
          <w:rFonts w:ascii="宋体" w:eastAsia="宋体" w:cs="宋体"/>
          <w:bCs w:val="0"/>
          <w:sz w:val="21"/>
          <w:szCs w:val="21"/>
          <w:highlight w:val="none"/>
        </w:rPr>
      </w:pPr>
      <w:bookmarkStart w:id="111" w:name="_Toc247514046"/>
      <w:bookmarkStart w:id="112" w:name="_Toc247527647"/>
      <w:bookmarkStart w:id="113" w:name="_Toc411736154"/>
      <w:bookmarkStart w:id="114" w:name="_Toc411736430"/>
      <w:bookmarkStart w:id="115" w:name="_Toc486159979"/>
      <w:bookmarkStart w:id="116" w:name="_Toc410559348"/>
      <w:bookmarkStart w:id="117" w:name="_Toc300835043"/>
      <w:bookmarkStart w:id="118" w:name="_Toc476860365"/>
      <w:r>
        <w:rPr>
          <w:rFonts w:hint="eastAsia" w:ascii="宋体" w:eastAsia="宋体" w:cs="宋体"/>
          <w:bCs w:val="0"/>
          <w:sz w:val="21"/>
          <w:szCs w:val="21"/>
          <w:highlight w:val="none"/>
        </w:rPr>
        <w:t xml:space="preserve">1.11 </w:t>
      </w:r>
      <w:bookmarkEnd w:id="111"/>
      <w:bookmarkEnd w:id="112"/>
      <w:r>
        <w:rPr>
          <w:rFonts w:hint="eastAsia" w:ascii="宋体" w:eastAsia="宋体" w:cs="宋体"/>
          <w:bCs w:val="0"/>
          <w:sz w:val="21"/>
          <w:szCs w:val="21"/>
          <w:highlight w:val="none"/>
        </w:rPr>
        <w:t>知识产权</w:t>
      </w:r>
      <w:bookmarkEnd w:id="113"/>
      <w:bookmarkEnd w:id="114"/>
      <w:bookmarkEnd w:id="115"/>
      <w:bookmarkEnd w:id="116"/>
      <w:bookmarkEnd w:id="117"/>
      <w:bookmarkEnd w:id="118"/>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1.11.1除专用合同条款另有约定外，承包人完成的设计工作成果和建造完成的建筑物，除署名权以外的著作权以及建筑物形象使用收益等其他知识产权均归发包人享有。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1.11.2 承包人在进行设计，以及使用任何材料、承包人设备、工程设备或采用施工工艺时，因侵犯专利权或其他知识产权所引起的责任，由承包人承担。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1.11.3 承包人在投标文件中采用专利技术的，专利技术的使用费包含在投标报价内。</w:t>
      </w:r>
      <w:bookmarkStart w:id="119" w:name="_Toc247514047"/>
      <w:bookmarkStart w:id="120" w:name="_Toc247527648"/>
    </w:p>
    <w:p>
      <w:pPr>
        <w:pStyle w:val="5"/>
        <w:spacing w:before="120" w:after="120" w:line="360" w:lineRule="auto"/>
        <w:ind w:firstLine="103"/>
        <w:rPr>
          <w:rFonts w:ascii="宋体" w:eastAsia="宋体" w:cs="宋体"/>
          <w:bCs w:val="0"/>
          <w:sz w:val="21"/>
          <w:szCs w:val="21"/>
          <w:highlight w:val="none"/>
        </w:rPr>
      </w:pPr>
      <w:bookmarkStart w:id="121" w:name="_Toc411736155"/>
      <w:bookmarkStart w:id="122" w:name="_Toc300835044"/>
      <w:bookmarkStart w:id="123" w:name="_Toc411736431"/>
      <w:bookmarkStart w:id="124" w:name="_Toc410559349"/>
      <w:bookmarkStart w:id="125" w:name="_Toc486159980"/>
      <w:bookmarkStart w:id="126" w:name="_Toc476860366"/>
      <w:r>
        <w:rPr>
          <w:rFonts w:hint="eastAsia" w:ascii="宋体" w:eastAsia="宋体" w:cs="宋体"/>
          <w:bCs w:val="0"/>
          <w:sz w:val="21"/>
          <w:szCs w:val="21"/>
          <w:highlight w:val="none"/>
        </w:rPr>
        <w:t>1.12 文件及信息的保密</w:t>
      </w:r>
      <w:bookmarkEnd w:id="119"/>
      <w:bookmarkEnd w:id="120"/>
      <w:bookmarkEnd w:id="121"/>
      <w:bookmarkEnd w:id="122"/>
      <w:bookmarkEnd w:id="123"/>
      <w:bookmarkEnd w:id="124"/>
      <w:bookmarkEnd w:id="125"/>
      <w:bookmarkEnd w:id="12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未经对方同意，任何一方当事人不得将有关文件、技术秘密、需要保密的资料和信息泄露给他人或公开发表与引用。</w:t>
      </w:r>
    </w:p>
    <w:p>
      <w:pPr>
        <w:pStyle w:val="5"/>
        <w:spacing w:before="120" w:after="120" w:line="360" w:lineRule="auto"/>
        <w:ind w:firstLine="103"/>
        <w:rPr>
          <w:rFonts w:ascii="宋体" w:eastAsia="宋体" w:cs="宋体"/>
          <w:bCs w:val="0"/>
          <w:sz w:val="21"/>
          <w:szCs w:val="21"/>
          <w:highlight w:val="none"/>
        </w:rPr>
      </w:pPr>
      <w:bookmarkStart w:id="127" w:name="_Toc486159981"/>
      <w:bookmarkStart w:id="128" w:name="_Toc476860367"/>
      <w:bookmarkStart w:id="129" w:name="_Toc300835046"/>
      <w:bookmarkStart w:id="130" w:name="_Toc411736156"/>
      <w:bookmarkStart w:id="131" w:name="_Toc410559350"/>
      <w:bookmarkStart w:id="132" w:name="_Toc411736432"/>
      <w:r>
        <w:rPr>
          <w:rFonts w:hint="eastAsia" w:ascii="宋体" w:eastAsia="宋体" w:cs="宋体"/>
          <w:bCs w:val="0"/>
          <w:sz w:val="21"/>
          <w:szCs w:val="21"/>
          <w:highlight w:val="none"/>
        </w:rPr>
        <w:t>1.13 发包人要求中的错误（B）</w:t>
      </w:r>
      <w:bookmarkEnd w:id="127"/>
      <w:bookmarkEnd w:id="128"/>
      <w:bookmarkEnd w:id="129"/>
      <w:bookmarkEnd w:id="130"/>
      <w:bookmarkEnd w:id="131"/>
      <w:bookmarkEnd w:id="132"/>
    </w:p>
    <w:p>
      <w:pPr>
        <w:spacing w:line="360" w:lineRule="auto"/>
        <w:ind w:firstLine="420"/>
        <w:rPr>
          <w:rFonts w:ascii="宋体" w:hAnsi="宋体" w:cs="宋体"/>
          <w:szCs w:val="21"/>
          <w:highlight w:val="none"/>
        </w:rPr>
      </w:pPr>
      <w:r>
        <w:rPr>
          <w:rFonts w:hint="eastAsia" w:ascii="宋体" w:hAnsi="宋体" w:cs="宋体"/>
          <w:szCs w:val="21"/>
          <w:highlight w:val="none"/>
        </w:rPr>
        <w:t>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pPr>
        <w:spacing w:line="360" w:lineRule="auto"/>
        <w:ind w:firstLine="420"/>
        <w:rPr>
          <w:rFonts w:ascii="宋体" w:hAnsi="宋体" w:cs="宋体"/>
          <w:szCs w:val="21"/>
          <w:highlight w:val="none"/>
        </w:rPr>
      </w:pPr>
      <w:r>
        <w:rPr>
          <w:rFonts w:hint="eastAsia" w:ascii="宋体" w:hAnsi="宋体" w:cs="宋体"/>
          <w:szCs w:val="21"/>
          <w:highlight w:val="none"/>
        </w:rPr>
        <w:t>1.13.2 承包人未发现发包人要求中存在错误的，承包人自行承担由此导致的费用增加和（或） 工期延误，但专用合同条款另有约定的除外。</w:t>
      </w:r>
    </w:p>
    <w:p>
      <w:pPr>
        <w:spacing w:line="360" w:lineRule="auto"/>
        <w:ind w:firstLine="420"/>
        <w:rPr>
          <w:rFonts w:ascii="宋体" w:hAnsi="宋体" w:cs="宋体"/>
          <w:szCs w:val="21"/>
          <w:highlight w:val="none"/>
        </w:rPr>
      </w:pPr>
      <w:r>
        <w:rPr>
          <w:rFonts w:hint="eastAsia" w:ascii="宋体" w:hAnsi="宋体" w:cs="宋体"/>
          <w:szCs w:val="21"/>
          <w:highlight w:val="none"/>
        </w:rPr>
        <w:t>1.13.3 无论承包人发现与否，在任何情况下，发包人要求中的下列错误导致承包人增加的费用和（或）延误的工期，由发包人承担，并向承包人支付合理利润。</w:t>
      </w:r>
    </w:p>
    <w:p>
      <w:pPr>
        <w:spacing w:line="360" w:lineRule="auto"/>
        <w:ind w:firstLine="420"/>
        <w:rPr>
          <w:rFonts w:ascii="宋体" w:hAnsi="宋体" w:cs="宋体"/>
          <w:szCs w:val="21"/>
          <w:highlight w:val="none"/>
        </w:rPr>
      </w:pPr>
      <w:r>
        <w:rPr>
          <w:rFonts w:hint="eastAsia" w:ascii="宋体" w:hAnsi="宋体" w:cs="宋体"/>
          <w:szCs w:val="21"/>
          <w:highlight w:val="none"/>
        </w:rPr>
        <w:t>（1）发包人要求中引用的原始数据和资料；</w:t>
      </w:r>
    </w:p>
    <w:p>
      <w:pPr>
        <w:spacing w:line="360" w:lineRule="auto"/>
        <w:ind w:firstLine="420"/>
        <w:rPr>
          <w:rFonts w:ascii="宋体" w:hAnsi="宋体" w:cs="宋体"/>
          <w:szCs w:val="21"/>
          <w:highlight w:val="none"/>
        </w:rPr>
      </w:pPr>
      <w:r>
        <w:rPr>
          <w:rFonts w:hint="eastAsia" w:ascii="宋体" w:hAnsi="宋体" w:cs="宋体"/>
          <w:szCs w:val="21"/>
          <w:highlight w:val="none"/>
        </w:rPr>
        <w:t>（2）对工程或其任何部分的功能要求；</w:t>
      </w:r>
    </w:p>
    <w:p>
      <w:pPr>
        <w:spacing w:line="360" w:lineRule="auto"/>
        <w:ind w:firstLine="420"/>
        <w:rPr>
          <w:rFonts w:ascii="宋体" w:hAnsi="宋体" w:cs="宋体"/>
          <w:szCs w:val="21"/>
          <w:highlight w:val="none"/>
        </w:rPr>
      </w:pPr>
      <w:r>
        <w:rPr>
          <w:rFonts w:hint="eastAsia" w:ascii="宋体" w:hAnsi="宋体" w:cs="宋体"/>
          <w:szCs w:val="21"/>
          <w:highlight w:val="none"/>
        </w:rPr>
        <w:t>（3）对工程的工艺安排或要求；</w:t>
      </w:r>
    </w:p>
    <w:p>
      <w:pPr>
        <w:spacing w:line="360" w:lineRule="auto"/>
        <w:ind w:firstLine="420"/>
        <w:rPr>
          <w:rFonts w:ascii="宋体" w:hAnsi="宋体" w:cs="宋体"/>
          <w:szCs w:val="21"/>
          <w:highlight w:val="none"/>
        </w:rPr>
      </w:pPr>
      <w:r>
        <w:rPr>
          <w:rFonts w:hint="eastAsia" w:ascii="宋体" w:hAnsi="宋体" w:cs="宋体"/>
          <w:szCs w:val="21"/>
          <w:highlight w:val="none"/>
        </w:rPr>
        <w:t>（4）试验和检验标准；</w:t>
      </w:r>
    </w:p>
    <w:p>
      <w:pPr>
        <w:spacing w:line="360" w:lineRule="auto"/>
        <w:ind w:firstLine="420"/>
        <w:rPr>
          <w:rFonts w:ascii="宋体" w:hAnsi="宋体" w:cs="宋体"/>
          <w:szCs w:val="21"/>
          <w:highlight w:val="none"/>
        </w:rPr>
      </w:pPr>
      <w:r>
        <w:rPr>
          <w:rFonts w:hint="eastAsia" w:ascii="宋体" w:hAnsi="宋体" w:cs="宋体"/>
          <w:szCs w:val="21"/>
          <w:highlight w:val="none"/>
        </w:rPr>
        <w:t>（5）除合同另有约定外，承包人无法核实的数据和资料。</w:t>
      </w:r>
    </w:p>
    <w:p>
      <w:pPr>
        <w:pStyle w:val="5"/>
        <w:spacing w:before="120" w:after="120" w:line="360" w:lineRule="auto"/>
        <w:ind w:firstLine="103"/>
        <w:rPr>
          <w:rFonts w:ascii="宋体" w:eastAsia="宋体" w:cs="宋体"/>
          <w:bCs w:val="0"/>
          <w:sz w:val="21"/>
          <w:szCs w:val="21"/>
          <w:highlight w:val="none"/>
        </w:rPr>
      </w:pPr>
      <w:bookmarkStart w:id="133" w:name="_Toc410559351"/>
      <w:bookmarkStart w:id="134" w:name="_Toc411736433"/>
      <w:bookmarkStart w:id="135" w:name="_Toc486159982"/>
      <w:bookmarkStart w:id="136" w:name="_Toc476860368"/>
      <w:bookmarkStart w:id="137" w:name="_Toc300835047"/>
      <w:bookmarkStart w:id="138" w:name="_Toc411736157"/>
      <w:r>
        <w:rPr>
          <w:rFonts w:hint="eastAsia" w:ascii="宋体" w:eastAsia="宋体" w:cs="宋体"/>
          <w:bCs w:val="0"/>
          <w:sz w:val="21"/>
          <w:szCs w:val="21"/>
          <w:highlight w:val="none"/>
        </w:rPr>
        <w:t>1.14 发包人要求违法</w:t>
      </w:r>
      <w:bookmarkEnd w:id="133"/>
      <w:bookmarkEnd w:id="134"/>
      <w:bookmarkEnd w:id="135"/>
      <w:bookmarkEnd w:id="136"/>
      <w:bookmarkEnd w:id="137"/>
      <w:bookmarkEnd w:id="138"/>
    </w:p>
    <w:p>
      <w:pPr>
        <w:spacing w:line="360" w:lineRule="auto"/>
        <w:ind w:firstLine="420"/>
        <w:rPr>
          <w:rFonts w:ascii="宋体" w:hAnsi="宋体" w:cs="宋体"/>
          <w:szCs w:val="21"/>
          <w:highlight w:val="none"/>
        </w:rPr>
      </w:pPr>
      <w:r>
        <w:rPr>
          <w:rFonts w:hint="eastAsia" w:ascii="宋体" w:hAnsi="宋体" w:cs="宋体"/>
          <w:szCs w:val="21"/>
          <w:highlight w:val="none"/>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pPr>
        <w:pStyle w:val="5"/>
        <w:spacing w:before="120" w:after="120" w:line="360" w:lineRule="auto"/>
        <w:ind w:firstLine="103"/>
        <w:rPr>
          <w:rFonts w:ascii="宋体" w:eastAsia="宋体" w:cs="宋体"/>
          <w:bCs w:val="0"/>
          <w:sz w:val="21"/>
          <w:szCs w:val="21"/>
          <w:highlight w:val="none"/>
        </w:rPr>
      </w:pPr>
      <w:bookmarkStart w:id="139" w:name="_Toc300835048"/>
      <w:bookmarkStart w:id="140" w:name="_Toc476860369"/>
      <w:bookmarkStart w:id="141" w:name="_Toc411736434"/>
      <w:bookmarkStart w:id="142" w:name="_Toc411736158"/>
      <w:bookmarkStart w:id="143" w:name="_Toc247527650"/>
      <w:bookmarkStart w:id="144" w:name="_Toc247514049"/>
      <w:bookmarkStart w:id="145" w:name="_Toc410559352"/>
      <w:bookmarkStart w:id="146" w:name="_Toc184635099"/>
      <w:bookmarkStart w:id="147" w:name="_Toc486159983"/>
      <w:r>
        <w:rPr>
          <w:rFonts w:hint="eastAsia" w:ascii="宋体" w:eastAsia="宋体" w:cs="宋体"/>
          <w:bCs w:val="0"/>
          <w:sz w:val="21"/>
          <w:szCs w:val="21"/>
          <w:highlight w:val="none"/>
        </w:rPr>
        <w:t>2．发包人义务</w:t>
      </w:r>
      <w:bookmarkEnd w:id="139"/>
      <w:bookmarkEnd w:id="140"/>
      <w:bookmarkEnd w:id="141"/>
      <w:bookmarkEnd w:id="142"/>
      <w:bookmarkEnd w:id="143"/>
      <w:bookmarkEnd w:id="144"/>
      <w:bookmarkEnd w:id="145"/>
      <w:bookmarkEnd w:id="146"/>
      <w:bookmarkEnd w:id="147"/>
    </w:p>
    <w:p>
      <w:pPr>
        <w:pStyle w:val="5"/>
        <w:spacing w:before="120" w:after="120" w:line="360" w:lineRule="auto"/>
        <w:ind w:firstLine="103"/>
        <w:rPr>
          <w:rFonts w:ascii="宋体" w:eastAsia="宋体" w:cs="宋体"/>
          <w:bCs w:val="0"/>
          <w:sz w:val="21"/>
          <w:szCs w:val="21"/>
          <w:highlight w:val="none"/>
        </w:rPr>
      </w:pPr>
      <w:bookmarkStart w:id="148" w:name="_Toc247514050"/>
      <w:bookmarkStart w:id="149" w:name="_Toc476860370"/>
      <w:bookmarkStart w:id="150" w:name="_Toc411736159"/>
      <w:bookmarkStart w:id="151" w:name="_Toc411736435"/>
      <w:bookmarkStart w:id="152" w:name="_Toc300835049"/>
      <w:bookmarkStart w:id="153" w:name="_Toc410559353"/>
      <w:bookmarkStart w:id="154" w:name="_Toc486159984"/>
      <w:bookmarkStart w:id="155" w:name="_Toc247527651"/>
      <w:r>
        <w:rPr>
          <w:rFonts w:hint="eastAsia" w:ascii="宋体" w:eastAsia="宋体" w:cs="宋体"/>
          <w:bCs w:val="0"/>
          <w:sz w:val="21"/>
          <w:szCs w:val="21"/>
          <w:highlight w:val="none"/>
        </w:rPr>
        <w:t>2.1 遵守法律</w:t>
      </w:r>
      <w:bookmarkEnd w:id="148"/>
      <w:bookmarkEnd w:id="149"/>
      <w:bookmarkEnd w:id="150"/>
      <w:bookmarkEnd w:id="151"/>
      <w:bookmarkEnd w:id="152"/>
      <w:bookmarkEnd w:id="153"/>
      <w:bookmarkEnd w:id="154"/>
      <w:bookmarkEnd w:id="15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发包人在履行合同过程中应遵守法律，并保证承包人免于承担因发包人违反法律而引起的任何责任。</w:t>
      </w:r>
    </w:p>
    <w:p>
      <w:pPr>
        <w:pStyle w:val="5"/>
        <w:spacing w:before="120" w:after="120" w:line="360" w:lineRule="auto"/>
        <w:ind w:firstLine="103"/>
        <w:rPr>
          <w:rFonts w:ascii="宋体" w:eastAsia="宋体" w:cs="宋体"/>
          <w:bCs w:val="0"/>
          <w:sz w:val="21"/>
          <w:szCs w:val="21"/>
          <w:highlight w:val="none"/>
        </w:rPr>
      </w:pPr>
      <w:bookmarkStart w:id="156" w:name="_Toc247514051"/>
      <w:bookmarkStart w:id="157" w:name="_Toc411736160"/>
      <w:bookmarkStart w:id="158" w:name="_Toc476860371"/>
      <w:bookmarkStart w:id="159" w:name="_Toc486159985"/>
      <w:bookmarkStart w:id="160" w:name="_Toc410559354"/>
      <w:bookmarkStart w:id="161" w:name="_Toc300835050"/>
      <w:bookmarkStart w:id="162" w:name="_Toc247527652"/>
      <w:bookmarkStart w:id="163" w:name="_Toc411736436"/>
      <w:r>
        <w:rPr>
          <w:rFonts w:hint="eastAsia" w:ascii="宋体" w:eastAsia="宋体" w:cs="宋体"/>
          <w:bCs w:val="0"/>
          <w:sz w:val="21"/>
          <w:szCs w:val="21"/>
          <w:highlight w:val="none"/>
        </w:rPr>
        <w:t>2.2 发出承包人开始工作通知</w:t>
      </w:r>
      <w:bookmarkEnd w:id="156"/>
      <w:bookmarkEnd w:id="157"/>
      <w:bookmarkEnd w:id="158"/>
      <w:bookmarkEnd w:id="159"/>
      <w:bookmarkEnd w:id="160"/>
      <w:bookmarkEnd w:id="161"/>
      <w:bookmarkEnd w:id="162"/>
      <w:bookmarkEnd w:id="163"/>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发包人应委托监理人按第11.1 款的约定向承包人发出开始工作通知。</w:t>
      </w:r>
    </w:p>
    <w:p>
      <w:pPr>
        <w:pStyle w:val="5"/>
        <w:spacing w:before="120" w:after="120" w:line="360" w:lineRule="auto"/>
        <w:ind w:firstLine="103"/>
        <w:rPr>
          <w:rFonts w:ascii="宋体" w:eastAsia="宋体" w:cs="宋体"/>
          <w:bCs w:val="0"/>
          <w:sz w:val="21"/>
          <w:szCs w:val="21"/>
          <w:highlight w:val="none"/>
        </w:rPr>
      </w:pPr>
      <w:bookmarkStart w:id="164" w:name="_Toc300835051"/>
      <w:bookmarkStart w:id="165" w:name="_Toc247514052"/>
      <w:bookmarkStart w:id="166" w:name="_Toc411736161"/>
      <w:bookmarkStart w:id="167" w:name="_Toc247527653"/>
      <w:bookmarkStart w:id="168" w:name="_Toc486159986"/>
      <w:bookmarkStart w:id="169" w:name="_Toc410559355"/>
      <w:bookmarkStart w:id="170" w:name="_Toc476860372"/>
      <w:bookmarkStart w:id="171" w:name="_Toc411736437"/>
      <w:r>
        <w:rPr>
          <w:rFonts w:hint="eastAsia" w:ascii="宋体" w:eastAsia="宋体" w:cs="宋体"/>
          <w:bCs w:val="0"/>
          <w:sz w:val="21"/>
          <w:szCs w:val="21"/>
          <w:highlight w:val="none"/>
        </w:rPr>
        <w:t>2.3 提供施工场地</w:t>
      </w:r>
      <w:bookmarkEnd w:id="164"/>
      <w:bookmarkEnd w:id="165"/>
      <w:bookmarkEnd w:id="166"/>
      <w:bookmarkEnd w:id="167"/>
      <w:bookmarkEnd w:id="168"/>
      <w:bookmarkEnd w:id="169"/>
      <w:bookmarkEnd w:id="170"/>
      <w:bookmarkEnd w:id="17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发包人应按专用合同条款约定向承包人提供施工场地及进场施工条件，并明确与承包人的交接界面。</w:t>
      </w:r>
    </w:p>
    <w:p>
      <w:pPr>
        <w:pStyle w:val="5"/>
        <w:spacing w:before="120" w:after="120" w:line="360" w:lineRule="auto"/>
        <w:ind w:firstLine="103"/>
        <w:rPr>
          <w:rFonts w:ascii="宋体" w:eastAsia="宋体" w:cs="宋体"/>
          <w:bCs w:val="0"/>
          <w:sz w:val="21"/>
          <w:szCs w:val="21"/>
          <w:highlight w:val="none"/>
        </w:rPr>
      </w:pPr>
      <w:bookmarkStart w:id="172" w:name="_Toc411736162"/>
      <w:bookmarkStart w:id="173" w:name="_Toc476860373"/>
      <w:bookmarkStart w:id="174" w:name="_Toc411736438"/>
      <w:bookmarkStart w:id="175" w:name="_Toc247527654"/>
      <w:bookmarkStart w:id="176" w:name="_Toc300835052"/>
      <w:bookmarkStart w:id="177" w:name="_Toc410559356"/>
      <w:bookmarkStart w:id="178" w:name="_Toc486159987"/>
      <w:bookmarkStart w:id="179" w:name="_Toc247514053"/>
      <w:r>
        <w:rPr>
          <w:rFonts w:hint="eastAsia" w:ascii="宋体" w:eastAsia="宋体" w:cs="宋体"/>
          <w:bCs w:val="0"/>
          <w:sz w:val="21"/>
          <w:szCs w:val="21"/>
          <w:highlight w:val="none"/>
        </w:rPr>
        <w:t>2.4 办理证件和批件</w:t>
      </w:r>
      <w:bookmarkEnd w:id="172"/>
      <w:bookmarkEnd w:id="173"/>
      <w:bookmarkEnd w:id="174"/>
      <w:bookmarkEnd w:id="175"/>
      <w:bookmarkEnd w:id="176"/>
      <w:bookmarkEnd w:id="177"/>
      <w:bookmarkEnd w:id="178"/>
      <w:bookmarkEnd w:id="17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法律规定和（或）合同约定由发包人负责办理的工程建设项目必须履行的各类审批、核准或备案手续，发包人应按时办理。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法律规定和（或）合同约定由承包人负责的有关设计、施工证件和批件，发包人应给予必要的协助。</w:t>
      </w:r>
    </w:p>
    <w:p>
      <w:pPr>
        <w:pStyle w:val="5"/>
        <w:spacing w:before="120" w:after="120" w:line="360" w:lineRule="auto"/>
        <w:ind w:firstLine="103"/>
        <w:rPr>
          <w:rFonts w:ascii="宋体" w:eastAsia="宋体" w:cs="宋体"/>
          <w:bCs w:val="0"/>
          <w:sz w:val="21"/>
          <w:szCs w:val="21"/>
          <w:highlight w:val="none"/>
        </w:rPr>
      </w:pPr>
      <w:bookmarkStart w:id="180" w:name="_Toc247527655"/>
      <w:bookmarkStart w:id="181" w:name="_Toc247514054"/>
      <w:bookmarkStart w:id="182" w:name="_Toc410559357"/>
      <w:bookmarkStart w:id="183" w:name="_Toc476860374"/>
      <w:bookmarkStart w:id="184" w:name="_Toc300835053"/>
      <w:bookmarkStart w:id="185" w:name="_Toc486159988"/>
      <w:bookmarkStart w:id="186" w:name="_Toc411736163"/>
      <w:bookmarkStart w:id="187" w:name="_Toc411736439"/>
      <w:r>
        <w:rPr>
          <w:rFonts w:hint="eastAsia" w:ascii="宋体" w:eastAsia="宋体" w:cs="宋体"/>
          <w:bCs w:val="0"/>
          <w:sz w:val="21"/>
          <w:szCs w:val="21"/>
          <w:highlight w:val="none"/>
        </w:rPr>
        <w:t>2.5</w:t>
      </w:r>
      <w:bookmarkEnd w:id="180"/>
      <w:bookmarkEnd w:id="181"/>
      <w:bookmarkStart w:id="188" w:name="_Toc247514055"/>
      <w:bookmarkStart w:id="189" w:name="_Toc247527656"/>
      <w:r>
        <w:rPr>
          <w:rFonts w:hint="eastAsia" w:ascii="宋体" w:eastAsia="宋体" w:cs="宋体"/>
          <w:bCs w:val="0"/>
          <w:sz w:val="21"/>
          <w:szCs w:val="21"/>
          <w:highlight w:val="none"/>
        </w:rPr>
        <w:t xml:space="preserve"> 支付合同价款</w:t>
      </w:r>
      <w:bookmarkEnd w:id="182"/>
      <w:bookmarkEnd w:id="183"/>
      <w:bookmarkEnd w:id="184"/>
      <w:bookmarkEnd w:id="185"/>
      <w:bookmarkEnd w:id="186"/>
      <w:bookmarkEnd w:id="187"/>
      <w:bookmarkEnd w:id="188"/>
      <w:bookmarkEnd w:id="18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发包人应按合同约定向承包人及时支付合同价款。专用合同条款对发包人工程款支付担保有约定的，从其约定。</w:t>
      </w:r>
    </w:p>
    <w:p>
      <w:pPr>
        <w:pStyle w:val="5"/>
        <w:spacing w:before="120" w:after="120" w:line="360" w:lineRule="auto"/>
        <w:ind w:firstLine="103"/>
        <w:rPr>
          <w:rFonts w:ascii="宋体" w:eastAsia="宋体" w:cs="宋体"/>
          <w:bCs w:val="0"/>
          <w:sz w:val="21"/>
          <w:szCs w:val="21"/>
          <w:highlight w:val="none"/>
        </w:rPr>
      </w:pPr>
      <w:bookmarkStart w:id="190" w:name="_Toc411736164"/>
      <w:bookmarkStart w:id="191" w:name="_Toc300835054"/>
      <w:bookmarkStart w:id="192" w:name="_Toc247514056"/>
      <w:bookmarkStart w:id="193" w:name="_Toc247527657"/>
      <w:bookmarkStart w:id="194" w:name="_Toc411736440"/>
      <w:bookmarkStart w:id="195" w:name="_Toc486159989"/>
      <w:bookmarkStart w:id="196" w:name="_Toc476860375"/>
      <w:bookmarkStart w:id="197" w:name="_Toc410559358"/>
      <w:r>
        <w:rPr>
          <w:rFonts w:hint="eastAsia" w:ascii="宋体" w:eastAsia="宋体" w:cs="宋体"/>
          <w:bCs w:val="0"/>
          <w:sz w:val="21"/>
          <w:szCs w:val="21"/>
          <w:highlight w:val="none"/>
        </w:rPr>
        <w:t>2.6 组织竣工验收</w:t>
      </w:r>
      <w:bookmarkEnd w:id="190"/>
      <w:bookmarkEnd w:id="191"/>
      <w:bookmarkEnd w:id="192"/>
      <w:bookmarkEnd w:id="193"/>
      <w:bookmarkEnd w:id="194"/>
      <w:bookmarkEnd w:id="195"/>
      <w:bookmarkEnd w:id="196"/>
      <w:bookmarkEnd w:id="19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发包人应按合同约定及时组织竣工验收。</w:t>
      </w:r>
    </w:p>
    <w:p>
      <w:pPr>
        <w:pStyle w:val="5"/>
        <w:spacing w:before="120" w:after="120" w:line="360" w:lineRule="auto"/>
        <w:ind w:firstLine="103"/>
        <w:rPr>
          <w:rFonts w:ascii="宋体" w:eastAsia="宋体" w:cs="宋体"/>
          <w:bCs w:val="0"/>
          <w:sz w:val="21"/>
          <w:szCs w:val="21"/>
          <w:highlight w:val="none"/>
        </w:rPr>
      </w:pPr>
      <w:bookmarkStart w:id="198" w:name="_Toc476860376"/>
      <w:bookmarkStart w:id="199" w:name="_Toc300835055"/>
      <w:bookmarkStart w:id="200" w:name="_Toc247527658"/>
      <w:bookmarkStart w:id="201" w:name="_Toc411736165"/>
      <w:bookmarkStart w:id="202" w:name="_Toc486159990"/>
      <w:bookmarkStart w:id="203" w:name="_Toc410559359"/>
      <w:bookmarkStart w:id="204" w:name="_Toc411736441"/>
      <w:bookmarkStart w:id="205" w:name="_Toc247514057"/>
      <w:r>
        <w:rPr>
          <w:rFonts w:hint="eastAsia" w:ascii="宋体" w:eastAsia="宋体" w:cs="宋体"/>
          <w:bCs w:val="0"/>
          <w:sz w:val="21"/>
          <w:szCs w:val="21"/>
          <w:highlight w:val="none"/>
        </w:rPr>
        <w:t>2.7 其他义务</w:t>
      </w:r>
      <w:bookmarkEnd w:id="198"/>
      <w:bookmarkEnd w:id="199"/>
      <w:bookmarkEnd w:id="200"/>
      <w:bookmarkEnd w:id="201"/>
      <w:bookmarkEnd w:id="202"/>
      <w:bookmarkEnd w:id="203"/>
      <w:bookmarkEnd w:id="204"/>
      <w:bookmarkEnd w:id="20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发包人应履行合同约定的其他义务。</w:t>
      </w:r>
    </w:p>
    <w:p>
      <w:pPr>
        <w:pStyle w:val="5"/>
        <w:spacing w:before="120" w:after="120" w:line="360" w:lineRule="auto"/>
        <w:ind w:firstLine="103"/>
        <w:rPr>
          <w:rFonts w:ascii="宋体" w:eastAsia="宋体" w:cs="宋体"/>
          <w:bCs w:val="0"/>
          <w:sz w:val="21"/>
          <w:szCs w:val="21"/>
          <w:highlight w:val="none"/>
        </w:rPr>
      </w:pPr>
      <w:bookmarkStart w:id="206" w:name="_Toc184635100"/>
      <w:bookmarkStart w:id="207" w:name="_Toc247527659"/>
      <w:bookmarkStart w:id="208" w:name="_Toc411736442"/>
      <w:bookmarkStart w:id="209" w:name="_Toc247514058"/>
      <w:bookmarkStart w:id="210" w:name="_Toc410559360"/>
      <w:bookmarkStart w:id="211" w:name="_Toc476860377"/>
      <w:bookmarkStart w:id="212" w:name="_Toc300835056"/>
      <w:bookmarkStart w:id="213" w:name="_Toc411736166"/>
      <w:bookmarkStart w:id="214" w:name="_Toc486159991"/>
      <w:r>
        <w:rPr>
          <w:rFonts w:hint="eastAsia" w:ascii="宋体" w:eastAsia="宋体" w:cs="宋体"/>
          <w:bCs w:val="0"/>
          <w:sz w:val="21"/>
          <w:szCs w:val="21"/>
          <w:highlight w:val="none"/>
        </w:rPr>
        <w:t>3. 监理人</w:t>
      </w:r>
      <w:bookmarkEnd w:id="206"/>
      <w:bookmarkEnd w:id="207"/>
      <w:bookmarkEnd w:id="208"/>
      <w:bookmarkEnd w:id="209"/>
      <w:bookmarkEnd w:id="210"/>
      <w:bookmarkEnd w:id="211"/>
      <w:bookmarkEnd w:id="212"/>
      <w:bookmarkEnd w:id="213"/>
      <w:bookmarkEnd w:id="214"/>
    </w:p>
    <w:p>
      <w:pPr>
        <w:pStyle w:val="5"/>
        <w:spacing w:before="120" w:after="120" w:line="360" w:lineRule="auto"/>
        <w:ind w:firstLine="103"/>
        <w:rPr>
          <w:rFonts w:ascii="宋体" w:eastAsia="宋体" w:cs="宋体"/>
          <w:bCs w:val="0"/>
          <w:sz w:val="21"/>
          <w:szCs w:val="21"/>
          <w:highlight w:val="none"/>
        </w:rPr>
      </w:pPr>
      <w:bookmarkStart w:id="215" w:name="_Toc486159992"/>
      <w:bookmarkStart w:id="216" w:name="_Toc410559361"/>
      <w:bookmarkStart w:id="217" w:name="_Toc411736167"/>
      <w:bookmarkStart w:id="218" w:name="_Toc247514059"/>
      <w:bookmarkStart w:id="219" w:name="_Toc476860378"/>
      <w:bookmarkStart w:id="220" w:name="_Toc411736443"/>
      <w:bookmarkStart w:id="221" w:name="_Toc247527660"/>
      <w:bookmarkStart w:id="222" w:name="_Toc300835057"/>
      <w:r>
        <w:rPr>
          <w:rFonts w:hint="eastAsia" w:ascii="宋体" w:eastAsia="宋体" w:cs="宋体"/>
          <w:bCs w:val="0"/>
          <w:sz w:val="21"/>
          <w:szCs w:val="21"/>
          <w:highlight w:val="none"/>
        </w:rPr>
        <w:t>3.1 监理人的职责和权力</w:t>
      </w:r>
      <w:bookmarkEnd w:id="215"/>
      <w:bookmarkEnd w:id="216"/>
      <w:bookmarkEnd w:id="217"/>
      <w:bookmarkEnd w:id="218"/>
      <w:bookmarkEnd w:id="219"/>
      <w:bookmarkEnd w:id="220"/>
      <w:bookmarkEnd w:id="221"/>
      <w:bookmarkEnd w:id="22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3.1.2 合同约定应由承包人承担的义务和责任，不因监理人对承包人文件的审查或批准，对工程、材料和工程设备的检查和检验，以及为实施监理作出的指示等职务行为而减轻或解除。</w:t>
      </w:r>
    </w:p>
    <w:p>
      <w:pPr>
        <w:pStyle w:val="5"/>
        <w:spacing w:before="120" w:after="120" w:line="360" w:lineRule="auto"/>
        <w:ind w:firstLine="103"/>
        <w:rPr>
          <w:rFonts w:ascii="宋体" w:eastAsia="宋体" w:cs="宋体"/>
          <w:bCs w:val="0"/>
          <w:sz w:val="21"/>
          <w:szCs w:val="21"/>
          <w:highlight w:val="none"/>
        </w:rPr>
      </w:pPr>
      <w:bookmarkStart w:id="223" w:name="_Toc411736168"/>
      <w:bookmarkStart w:id="224" w:name="_Toc300835058"/>
      <w:bookmarkStart w:id="225" w:name="_Toc247527661"/>
      <w:bookmarkStart w:id="226" w:name="_Toc476860379"/>
      <w:bookmarkStart w:id="227" w:name="_Toc410559362"/>
      <w:bookmarkStart w:id="228" w:name="_Toc247514060"/>
      <w:bookmarkStart w:id="229" w:name="_Toc411736444"/>
      <w:bookmarkStart w:id="230" w:name="_Toc486159993"/>
      <w:r>
        <w:rPr>
          <w:rFonts w:hint="eastAsia" w:ascii="宋体" w:eastAsia="宋体" w:cs="宋体"/>
          <w:bCs w:val="0"/>
          <w:sz w:val="21"/>
          <w:szCs w:val="21"/>
          <w:highlight w:val="none"/>
        </w:rPr>
        <w:t>3.2 总监理工程师</w:t>
      </w:r>
      <w:bookmarkEnd w:id="223"/>
      <w:bookmarkEnd w:id="224"/>
      <w:bookmarkEnd w:id="225"/>
      <w:bookmarkEnd w:id="226"/>
      <w:bookmarkEnd w:id="227"/>
      <w:bookmarkEnd w:id="228"/>
      <w:bookmarkEnd w:id="229"/>
      <w:bookmarkEnd w:id="230"/>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发包人应在发出开始工作通知前将总监理工程师的任命通知承包人。总监理工程师更换时，应提前14 天通知承包人。总监理工程师超过２天不能履行职责的，应委派代表代行其职责，并通知承包人。</w:t>
      </w:r>
    </w:p>
    <w:p>
      <w:pPr>
        <w:pStyle w:val="5"/>
        <w:spacing w:before="120" w:after="120" w:line="360" w:lineRule="auto"/>
        <w:ind w:firstLine="103"/>
        <w:rPr>
          <w:rFonts w:ascii="宋体" w:eastAsia="宋体" w:cs="宋体"/>
          <w:bCs w:val="0"/>
          <w:sz w:val="21"/>
          <w:szCs w:val="21"/>
          <w:highlight w:val="none"/>
        </w:rPr>
      </w:pPr>
      <w:bookmarkStart w:id="231" w:name="_Toc247527662"/>
      <w:bookmarkStart w:id="232" w:name="_Toc247514061"/>
      <w:bookmarkStart w:id="233" w:name="_Toc411736169"/>
      <w:bookmarkStart w:id="234" w:name="_Toc410559363"/>
      <w:bookmarkStart w:id="235" w:name="_Toc476860380"/>
      <w:bookmarkStart w:id="236" w:name="_Toc300835059"/>
      <w:bookmarkStart w:id="237" w:name="_Toc411736445"/>
      <w:bookmarkStart w:id="238" w:name="_Toc486159994"/>
      <w:r>
        <w:rPr>
          <w:rFonts w:hint="eastAsia" w:ascii="宋体" w:eastAsia="宋体" w:cs="宋体"/>
          <w:bCs w:val="0"/>
          <w:sz w:val="21"/>
          <w:szCs w:val="21"/>
          <w:highlight w:val="none"/>
        </w:rPr>
        <w:t>3.3 监理人员</w:t>
      </w:r>
      <w:bookmarkEnd w:id="231"/>
      <w:bookmarkEnd w:id="232"/>
      <w:bookmarkEnd w:id="233"/>
      <w:bookmarkEnd w:id="234"/>
      <w:bookmarkEnd w:id="235"/>
      <w:bookmarkEnd w:id="236"/>
      <w:bookmarkEnd w:id="237"/>
      <w:bookmarkEnd w:id="238"/>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3.3.3 承包人对总监理工程师授权的监理人员发出的指示有疑问的，可在该指示发出的48小时内向总监理工程师提出书面异议，总监理工程师应在48小时内对该指示予以确认、更改或撤销。</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3.3.4 除专用合同条款另有约定外，总监理工程师不应将第3.5 款约定应由总监理工程师作出确定的权力授权或委托给其他监理人员。</w:t>
      </w:r>
    </w:p>
    <w:p>
      <w:pPr>
        <w:pStyle w:val="5"/>
        <w:spacing w:before="120" w:after="120" w:line="360" w:lineRule="auto"/>
        <w:ind w:firstLine="103"/>
        <w:rPr>
          <w:rFonts w:ascii="宋体" w:eastAsia="宋体" w:cs="宋体"/>
          <w:bCs w:val="0"/>
          <w:sz w:val="21"/>
          <w:szCs w:val="21"/>
          <w:highlight w:val="none"/>
        </w:rPr>
      </w:pPr>
      <w:bookmarkStart w:id="239" w:name="_Toc476860381"/>
      <w:bookmarkStart w:id="240" w:name="_Toc411736446"/>
      <w:bookmarkStart w:id="241" w:name="_Toc410559364"/>
      <w:bookmarkStart w:id="242" w:name="_Toc486159995"/>
      <w:bookmarkStart w:id="243" w:name="_Toc300835060"/>
      <w:bookmarkStart w:id="244" w:name="_Toc247514062"/>
      <w:bookmarkStart w:id="245" w:name="_Toc411736170"/>
      <w:bookmarkStart w:id="246" w:name="_Toc247527663"/>
      <w:r>
        <w:rPr>
          <w:rFonts w:hint="eastAsia" w:ascii="宋体" w:eastAsia="宋体" w:cs="宋体"/>
          <w:bCs w:val="0"/>
          <w:sz w:val="21"/>
          <w:szCs w:val="21"/>
          <w:highlight w:val="none"/>
        </w:rPr>
        <w:t>3.4 监理人的指示</w:t>
      </w:r>
      <w:bookmarkEnd w:id="239"/>
      <w:bookmarkEnd w:id="240"/>
      <w:bookmarkEnd w:id="241"/>
      <w:bookmarkEnd w:id="242"/>
      <w:bookmarkEnd w:id="243"/>
      <w:bookmarkEnd w:id="244"/>
      <w:bookmarkEnd w:id="245"/>
      <w:bookmarkEnd w:id="24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3.4.1 监理人应按第3.1 款的约定向承包人发出指示，监理人的指示应盖有监理人授权的项目管理机构章，并由总监理工程师或总监理工程师约定授权的监理人员签字。</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3.4.2 承包人收到监理人作出的指示后应遵照执行。指示构成变更的，应按第15条执行。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3.4.4 除合同另有约定外，承包人只从总监理工程师或按第3.3.1项被授权的监理人员处取得指示。</w:t>
      </w:r>
    </w:p>
    <w:p>
      <w:pPr>
        <w:spacing w:line="360" w:lineRule="auto"/>
        <w:ind w:firstLine="420"/>
        <w:rPr>
          <w:rFonts w:ascii="宋体" w:hAnsi="宋体" w:cs="宋体"/>
          <w:szCs w:val="21"/>
          <w:highlight w:val="none"/>
        </w:rPr>
      </w:pPr>
      <w:r>
        <w:rPr>
          <w:rFonts w:hint="eastAsia" w:ascii="宋体" w:hAnsi="宋体" w:cs="宋体"/>
          <w:szCs w:val="21"/>
          <w:highlight w:val="none"/>
        </w:rPr>
        <w:t>3.4.5 由于监理人未能按合同约定发出指示、指示延误或指示错误而导致承包人费用增加和（或）工期延误的，发包人应承担由此增加的费用和（或）工期延误，并向承包人支付合理利润。发包人在承担相应后果后，可以依据监理合同等追究监理人的相应责任。</w:t>
      </w:r>
    </w:p>
    <w:p>
      <w:pPr>
        <w:pStyle w:val="5"/>
        <w:spacing w:before="120" w:after="120" w:line="360" w:lineRule="auto"/>
        <w:ind w:firstLine="103"/>
        <w:rPr>
          <w:rFonts w:ascii="宋体" w:eastAsia="宋体" w:cs="宋体"/>
          <w:bCs w:val="0"/>
          <w:sz w:val="21"/>
          <w:szCs w:val="21"/>
          <w:highlight w:val="none"/>
        </w:rPr>
      </w:pPr>
      <w:bookmarkStart w:id="247" w:name="_Toc410559365"/>
      <w:bookmarkStart w:id="248" w:name="_Toc486159996"/>
      <w:bookmarkStart w:id="249" w:name="_Toc300835061"/>
      <w:bookmarkStart w:id="250" w:name="_Toc411736171"/>
      <w:bookmarkStart w:id="251" w:name="_Toc476860382"/>
      <w:bookmarkStart w:id="252" w:name="_Toc247527664"/>
      <w:bookmarkStart w:id="253" w:name="_Toc411736447"/>
      <w:bookmarkStart w:id="254" w:name="_Toc247514063"/>
      <w:r>
        <w:rPr>
          <w:rFonts w:hint="eastAsia" w:ascii="宋体" w:eastAsia="宋体" w:cs="宋体"/>
          <w:bCs w:val="0"/>
          <w:sz w:val="21"/>
          <w:szCs w:val="21"/>
          <w:highlight w:val="none"/>
        </w:rPr>
        <w:t>3.5 商定或确定</w:t>
      </w:r>
      <w:bookmarkEnd w:id="247"/>
      <w:bookmarkEnd w:id="248"/>
      <w:bookmarkEnd w:id="249"/>
      <w:bookmarkEnd w:id="250"/>
      <w:bookmarkEnd w:id="251"/>
      <w:bookmarkEnd w:id="252"/>
      <w:bookmarkEnd w:id="253"/>
      <w:bookmarkEnd w:id="25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3.5.1 合同约定总监理工程师应按照本款对任何事项进行商定或确定时，总监理工程师应与合同当事人协商，尽量达成一致。不能达成一致的，总监理工程师应认真研究后审慎确定。</w:t>
      </w:r>
    </w:p>
    <w:p>
      <w:pPr>
        <w:spacing w:line="360" w:lineRule="auto"/>
        <w:ind w:firstLine="404" w:firstLineChars="200"/>
        <w:rPr>
          <w:rFonts w:ascii="宋体" w:hAnsi="宋体" w:cs="宋体"/>
          <w:spacing w:val="-4"/>
          <w:szCs w:val="21"/>
          <w:highlight w:val="none"/>
        </w:rPr>
      </w:pPr>
      <w:r>
        <w:rPr>
          <w:rFonts w:hint="eastAsia" w:ascii="宋体" w:hAnsi="宋体" w:cs="宋体"/>
          <w:spacing w:val="-4"/>
          <w:szCs w:val="21"/>
          <w:highlight w:val="none"/>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条的约定对总监理工程师的确定作出修改的，按修改后的结果执行，由此导致承包人增加的费用和（或）延误的工期由发包人承担。</w:t>
      </w:r>
    </w:p>
    <w:p>
      <w:pPr>
        <w:pStyle w:val="5"/>
        <w:spacing w:before="120" w:after="120" w:line="360" w:lineRule="auto"/>
        <w:ind w:firstLine="103"/>
        <w:rPr>
          <w:rFonts w:ascii="宋体" w:eastAsia="宋体" w:cs="宋体"/>
          <w:bCs w:val="0"/>
          <w:sz w:val="21"/>
          <w:szCs w:val="21"/>
          <w:highlight w:val="none"/>
        </w:rPr>
      </w:pPr>
      <w:bookmarkStart w:id="255" w:name="_Toc476860383"/>
      <w:bookmarkStart w:id="256" w:name="_Toc184635101"/>
      <w:bookmarkStart w:id="257" w:name="_Toc247527665"/>
      <w:bookmarkStart w:id="258" w:name="_Toc247514064"/>
      <w:bookmarkStart w:id="259" w:name="_Toc410559366"/>
      <w:bookmarkStart w:id="260" w:name="_Toc300835062"/>
      <w:bookmarkStart w:id="261" w:name="_Toc411736172"/>
      <w:bookmarkStart w:id="262" w:name="_Toc411736448"/>
      <w:bookmarkStart w:id="263" w:name="_Toc486159997"/>
      <w:r>
        <w:rPr>
          <w:rFonts w:hint="eastAsia" w:ascii="宋体" w:eastAsia="宋体" w:cs="宋体"/>
          <w:bCs w:val="0"/>
          <w:sz w:val="21"/>
          <w:szCs w:val="21"/>
          <w:highlight w:val="none"/>
        </w:rPr>
        <w:t>4. 承包人</w:t>
      </w:r>
      <w:bookmarkEnd w:id="255"/>
      <w:bookmarkEnd w:id="256"/>
      <w:bookmarkEnd w:id="257"/>
      <w:bookmarkEnd w:id="258"/>
      <w:bookmarkEnd w:id="259"/>
      <w:bookmarkEnd w:id="260"/>
      <w:bookmarkEnd w:id="261"/>
      <w:bookmarkEnd w:id="262"/>
      <w:bookmarkEnd w:id="263"/>
    </w:p>
    <w:p>
      <w:pPr>
        <w:pStyle w:val="5"/>
        <w:spacing w:before="120" w:after="120" w:line="360" w:lineRule="auto"/>
        <w:ind w:firstLine="103"/>
        <w:rPr>
          <w:rFonts w:ascii="宋体" w:eastAsia="宋体" w:cs="宋体"/>
          <w:bCs w:val="0"/>
          <w:sz w:val="21"/>
          <w:szCs w:val="21"/>
          <w:highlight w:val="none"/>
        </w:rPr>
      </w:pPr>
      <w:bookmarkStart w:id="264" w:name="_Toc411736173"/>
      <w:bookmarkStart w:id="265" w:name="_Toc300835063"/>
      <w:bookmarkStart w:id="266" w:name="_Toc476860384"/>
      <w:bookmarkStart w:id="267" w:name="_Toc247514065"/>
      <w:bookmarkStart w:id="268" w:name="_Toc411736449"/>
      <w:bookmarkStart w:id="269" w:name="_Toc247527666"/>
      <w:bookmarkStart w:id="270" w:name="_Toc486159998"/>
      <w:bookmarkStart w:id="271" w:name="_Toc410559367"/>
      <w:r>
        <w:rPr>
          <w:rFonts w:hint="eastAsia" w:ascii="宋体" w:eastAsia="宋体" w:cs="宋体"/>
          <w:bCs w:val="0"/>
          <w:sz w:val="21"/>
          <w:szCs w:val="21"/>
          <w:highlight w:val="none"/>
        </w:rPr>
        <w:t>4.1 承包人的一般义务</w:t>
      </w:r>
      <w:bookmarkEnd w:id="264"/>
      <w:bookmarkEnd w:id="265"/>
      <w:bookmarkEnd w:id="266"/>
      <w:bookmarkEnd w:id="267"/>
      <w:bookmarkEnd w:id="268"/>
      <w:bookmarkEnd w:id="269"/>
      <w:bookmarkEnd w:id="270"/>
      <w:bookmarkEnd w:id="27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4.1.1 遵守法律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承包人在履行合同过程中应遵守法律，并保证发包人免于承担因承包人违反法律而引起的任何责任。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4.1.2 依法纳税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承包人应按有关法律规定纳税，应缴纳的税金包括在合同价格内。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4.1.3 完成各项承包工作</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4.1.4 对设计、施工作业和施工方法，以及工程的完备性负责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承包人应按合同约定的工作内容和进度要求，编制设计、施工的组织和实施计划，并对所有设计、施工作业和施工方法，以及全部工程的完备性和安全可靠性负责。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4.1.5 保证工程施工和人员的安全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承包人应按第10.2 款约定采取施工安全措施，确保工程及其人员、材料、设备和设施的安全，防止因工程施工造成的人身伤害和财产损失。</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4.1.6 负责施工场地及其周边环境与生态的保护工作</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承包人应按照第10.4 款约定负责施工场地及其周边环境与生态的保护工作。</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4.1.7 避免施工对公众与他人的利益造成损害</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4.1.8 为他人提供方便</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承包人应按监理人的指示为他人在施工场地或附近实施与工程有关的其他各项工作提供可能的条件。除合同另有约定外，提供有关条件的内容和可能发生的费用，由监理人按第3.5 款商定或确定。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4.1.9 工程的维护和照管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工程接收证书颁发前，承包人应负责照管和维护工程。工程接收证书颁发时尚有部分未竣工工程的，承包人还应负责该未竣工工程的照管和维护工作，直至竣工后移交给发包人。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4.1.10 其他义务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承包人应履行合同约定的其他义务。</w:t>
      </w:r>
    </w:p>
    <w:p>
      <w:pPr>
        <w:pStyle w:val="5"/>
        <w:spacing w:before="120" w:after="120" w:line="360" w:lineRule="auto"/>
        <w:ind w:firstLine="103"/>
        <w:rPr>
          <w:rFonts w:ascii="宋体" w:eastAsia="宋体" w:cs="宋体"/>
          <w:bCs w:val="0"/>
          <w:sz w:val="21"/>
          <w:szCs w:val="21"/>
          <w:highlight w:val="none"/>
        </w:rPr>
      </w:pPr>
      <w:bookmarkStart w:id="272" w:name="_Toc300835064"/>
      <w:bookmarkStart w:id="273" w:name="_Toc411736450"/>
      <w:bookmarkStart w:id="274" w:name="_Toc476860385"/>
      <w:bookmarkStart w:id="275" w:name="_Toc411736174"/>
      <w:bookmarkStart w:id="276" w:name="_Toc486159999"/>
      <w:bookmarkStart w:id="277" w:name="_Toc247514066"/>
      <w:bookmarkStart w:id="278" w:name="_Toc247527667"/>
      <w:bookmarkStart w:id="279" w:name="_Toc410559368"/>
      <w:r>
        <w:rPr>
          <w:rFonts w:hint="eastAsia" w:ascii="宋体" w:eastAsia="宋体" w:cs="宋体"/>
          <w:bCs w:val="0"/>
          <w:sz w:val="21"/>
          <w:szCs w:val="21"/>
          <w:highlight w:val="none"/>
        </w:rPr>
        <w:t>4.2 履约担保</w:t>
      </w:r>
      <w:bookmarkEnd w:id="272"/>
      <w:bookmarkEnd w:id="273"/>
      <w:bookmarkEnd w:id="274"/>
      <w:bookmarkEnd w:id="275"/>
      <w:bookmarkEnd w:id="276"/>
      <w:bookmarkEnd w:id="277"/>
      <w:bookmarkEnd w:id="278"/>
      <w:bookmarkEnd w:id="27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承包人应保证其履约担保在发包人颁发合同工程完工证书前一直有效。发包人应在合同工程完工证书颁发后28天内将履约担保退还给承包人。</w:t>
      </w:r>
    </w:p>
    <w:p>
      <w:pPr>
        <w:pStyle w:val="5"/>
        <w:spacing w:before="120" w:after="120" w:line="360" w:lineRule="auto"/>
        <w:ind w:firstLine="103"/>
        <w:rPr>
          <w:rFonts w:ascii="宋体" w:eastAsia="宋体" w:cs="宋体"/>
          <w:bCs w:val="0"/>
          <w:sz w:val="21"/>
          <w:szCs w:val="21"/>
          <w:highlight w:val="none"/>
        </w:rPr>
      </w:pPr>
      <w:bookmarkStart w:id="280" w:name="_Toc247527668"/>
      <w:bookmarkStart w:id="281" w:name="_Toc247514067"/>
      <w:bookmarkStart w:id="282" w:name="_Toc410559369"/>
      <w:bookmarkStart w:id="283" w:name="_Toc411736175"/>
      <w:bookmarkStart w:id="284" w:name="_Toc300835065"/>
      <w:bookmarkStart w:id="285" w:name="_Toc486160000"/>
      <w:bookmarkStart w:id="286" w:name="_Toc476860386"/>
      <w:bookmarkStart w:id="287" w:name="_Toc411736451"/>
      <w:r>
        <w:rPr>
          <w:rFonts w:hint="eastAsia" w:ascii="宋体" w:eastAsia="宋体" w:cs="宋体"/>
          <w:bCs w:val="0"/>
          <w:sz w:val="21"/>
          <w:szCs w:val="21"/>
          <w:highlight w:val="none"/>
        </w:rPr>
        <w:t>4.3 分包</w:t>
      </w:r>
      <w:bookmarkEnd w:id="280"/>
      <w:bookmarkEnd w:id="281"/>
      <w:r>
        <w:rPr>
          <w:rFonts w:hint="eastAsia" w:ascii="宋体" w:eastAsia="宋体" w:cs="宋体"/>
          <w:bCs w:val="0"/>
          <w:sz w:val="21"/>
          <w:szCs w:val="21"/>
          <w:highlight w:val="none"/>
        </w:rPr>
        <w:t>和不得转包</w:t>
      </w:r>
      <w:bookmarkEnd w:id="282"/>
      <w:bookmarkEnd w:id="283"/>
      <w:bookmarkEnd w:id="284"/>
      <w:bookmarkEnd w:id="285"/>
      <w:bookmarkEnd w:id="286"/>
      <w:bookmarkEnd w:id="28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4.3.1 承包人不得将其承包的全部工程转包给第三人，也不得将其承包的全部工程肢解后以分包的名义分别转包给第三人。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4.3.2 承包人不得将设计和施工的主体、关键性工作分包给第三人。除专用合同条款另有约定外，未经发包人同意，承包人也不得将非主体、非关键性工作分包给第三人。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4.3.3 分包人的资格能力应与其分包工作的标准和规模相适应。</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4.3.4 发包人同意承包人分包工作的，承包人应向发包人和监理人提交分包合同副本。</w:t>
      </w:r>
    </w:p>
    <w:p>
      <w:pPr>
        <w:pStyle w:val="5"/>
        <w:spacing w:before="120" w:after="120" w:line="360" w:lineRule="auto"/>
        <w:ind w:firstLine="103"/>
        <w:rPr>
          <w:rFonts w:ascii="宋体" w:eastAsia="宋体" w:cs="宋体"/>
          <w:bCs w:val="0"/>
          <w:sz w:val="21"/>
          <w:szCs w:val="21"/>
          <w:highlight w:val="none"/>
        </w:rPr>
      </w:pPr>
      <w:bookmarkStart w:id="288" w:name="_Toc300835066"/>
      <w:bookmarkStart w:id="289" w:name="_Toc247514068"/>
      <w:bookmarkStart w:id="290" w:name="_Toc411736176"/>
      <w:bookmarkStart w:id="291" w:name="_Toc476860387"/>
      <w:bookmarkStart w:id="292" w:name="_Toc247527669"/>
      <w:bookmarkStart w:id="293" w:name="_Toc410559370"/>
      <w:bookmarkStart w:id="294" w:name="_Toc411736452"/>
      <w:bookmarkStart w:id="295" w:name="_Toc486160001"/>
      <w:r>
        <w:rPr>
          <w:rFonts w:hint="eastAsia" w:ascii="宋体" w:eastAsia="宋体" w:cs="宋体"/>
          <w:bCs w:val="0"/>
          <w:sz w:val="21"/>
          <w:szCs w:val="21"/>
          <w:highlight w:val="none"/>
        </w:rPr>
        <w:t>4.4 联合体</w:t>
      </w:r>
      <w:bookmarkEnd w:id="288"/>
      <w:bookmarkEnd w:id="289"/>
      <w:bookmarkEnd w:id="290"/>
      <w:bookmarkEnd w:id="291"/>
      <w:bookmarkEnd w:id="292"/>
      <w:bookmarkEnd w:id="293"/>
      <w:bookmarkEnd w:id="294"/>
      <w:bookmarkEnd w:id="29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4.4.1 联合体各方应共同与发包人签订合同。联合体各方应为履行合同承担连带责任。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4.4.2 联合体协议经发包人确认后作为合同附件。在履行合同过程中，未经发包人同意，不得修改联合体协议。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4.4.3 联合体主办方或联合体授权的代表负责与发包人和监理人联系，并接受指示，负责组织联合体各成员全面履行合同。</w:t>
      </w:r>
    </w:p>
    <w:p>
      <w:pPr>
        <w:pStyle w:val="5"/>
        <w:spacing w:before="120" w:after="120" w:line="360" w:lineRule="auto"/>
        <w:ind w:firstLine="103"/>
        <w:rPr>
          <w:rFonts w:ascii="宋体" w:eastAsia="宋体" w:cs="宋体"/>
          <w:bCs w:val="0"/>
          <w:sz w:val="21"/>
          <w:szCs w:val="21"/>
          <w:highlight w:val="none"/>
        </w:rPr>
      </w:pPr>
      <w:bookmarkStart w:id="296" w:name="_Toc247514069"/>
      <w:bookmarkStart w:id="297" w:name="_Toc486160002"/>
      <w:bookmarkStart w:id="298" w:name="_Toc411736453"/>
      <w:bookmarkStart w:id="299" w:name="_Toc411736177"/>
      <w:bookmarkStart w:id="300" w:name="_Toc247527670"/>
      <w:bookmarkStart w:id="301" w:name="_Toc300835067"/>
      <w:bookmarkStart w:id="302" w:name="_Toc476860388"/>
      <w:bookmarkStart w:id="303" w:name="_Toc410559371"/>
      <w:r>
        <w:rPr>
          <w:rFonts w:hint="eastAsia" w:ascii="宋体" w:eastAsia="宋体" w:cs="宋体"/>
          <w:bCs w:val="0"/>
          <w:sz w:val="21"/>
          <w:szCs w:val="21"/>
          <w:highlight w:val="none"/>
        </w:rPr>
        <w:t>4.5 承包人项目经理</w:t>
      </w:r>
      <w:bookmarkEnd w:id="296"/>
      <w:bookmarkEnd w:id="297"/>
      <w:bookmarkEnd w:id="298"/>
      <w:bookmarkEnd w:id="299"/>
      <w:bookmarkEnd w:id="300"/>
      <w:bookmarkEnd w:id="301"/>
      <w:bookmarkEnd w:id="302"/>
      <w:bookmarkEnd w:id="303"/>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4.5.1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4.5.2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4.5.3 承包人为履行合同发出的一切函件均应盖有承包人单位章或由承包人项目经理签字。</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4.5.4 承包人项目经理可以授权其下属人员履行其某项职责，但事先应将这些人员的姓名和授权范围书面通知发包人和监理人。</w:t>
      </w:r>
    </w:p>
    <w:p>
      <w:pPr>
        <w:pStyle w:val="5"/>
        <w:spacing w:before="120" w:after="120" w:line="360" w:lineRule="auto"/>
        <w:ind w:firstLine="103"/>
        <w:rPr>
          <w:rFonts w:ascii="宋体" w:eastAsia="宋体" w:cs="宋体"/>
          <w:bCs w:val="0"/>
          <w:sz w:val="21"/>
          <w:szCs w:val="21"/>
          <w:highlight w:val="none"/>
        </w:rPr>
      </w:pPr>
      <w:bookmarkStart w:id="304" w:name="_Toc411736454"/>
      <w:bookmarkStart w:id="305" w:name="_Toc476860389"/>
      <w:bookmarkStart w:id="306" w:name="_Toc247527671"/>
      <w:bookmarkStart w:id="307" w:name="_Toc486160003"/>
      <w:bookmarkStart w:id="308" w:name="_Toc300835068"/>
      <w:bookmarkStart w:id="309" w:name="_Toc411736178"/>
      <w:bookmarkStart w:id="310" w:name="_Toc247514070"/>
      <w:bookmarkStart w:id="311" w:name="_Toc410559372"/>
      <w:r>
        <w:rPr>
          <w:rFonts w:hint="eastAsia" w:ascii="宋体" w:eastAsia="宋体" w:cs="宋体"/>
          <w:bCs w:val="0"/>
          <w:sz w:val="21"/>
          <w:szCs w:val="21"/>
          <w:highlight w:val="none"/>
        </w:rPr>
        <w:t>4.6 承包人人员的管理</w:t>
      </w:r>
      <w:bookmarkEnd w:id="304"/>
      <w:bookmarkEnd w:id="305"/>
      <w:bookmarkEnd w:id="306"/>
      <w:bookmarkEnd w:id="307"/>
      <w:bookmarkEnd w:id="308"/>
      <w:bookmarkEnd w:id="309"/>
      <w:bookmarkEnd w:id="310"/>
      <w:bookmarkEnd w:id="31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4.6.1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4.6.2 承包人安排的主要管理人员包括项目经理、设计负责人、施工负责人、采购负责人以及专职质量、安全生产管理人员等；技术人员包括设计师、建筑师、土木工程师、设备工程师、建造师等。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4.6.3 承包人的设计人员应由具有国家规定和发包人要求中约定的资格，并具有从事设计所必需的经验与能力。</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承包人应保证其设计人员（包括分包人的设计人员）在合同期限内的任何时候，都能按时参加发包人或其委托的监理人组织的工作会议。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4.6.4 国家规定应当持证上岗的工作人员均应持有相应的资格证明，监理人有权随时检查。监理人认为有必要时，可进行现场考核。</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4.6.5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pPr>
        <w:pStyle w:val="5"/>
        <w:spacing w:before="120" w:after="120" w:line="360" w:lineRule="auto"/>
        <w:ind w:firstLine="103"/>
        <w:rPr>
          <w:rFonts w:ascii="宋体" w:eastAsia="宋体" w:cs="宋体"/>
          <w:bCs w:val="0"/>
          <w:sz w:val="21"/>
          <w:szCs w:val="21"/>
          <w:highlight w:val="none"/>
        </w:rPr>
      </w:pPr>
      <w:bookmarkStart w:id="312" w:name="_Toc411736455"/>
      <w:bookmarkStart w:id="313" w:name="_Toc476860390"/>
      <w:bookmarkStart w:id="314" w:name="_Toc486160004"/>
      <w:bookmarkStart w:id="315" w:name="_Toc247527672"/>
      <w:bookmarkStart w:id="316" w:name="_Toc300835069"/>
      <w:bookmarkStart w:id="317" w:name="_Toc411736179"/>
      <w:bookmarkStart w:id="318" w:name="_Toc247514071"/>
      <w:bookmarkStart w:id="319" w:name="_Toc410559373"/>
      <w:r>
        <w:rPr>
          <w:rFonts w:hint="eastAsia" w:ascii="宋体" w:eastAsia="宋体" w:cs="宋体"/>
          <w:bCs w:val="0"/>
          <w:sz w:val="21"/>
          <w:szCs w:val="21"/>
          <w:highlight w:val="none"/>
        </w:rPr>
        <w:t>4.7 撤换承包人项目经理和其他人员</w:t>
      </w:r>
      <w:bookmarkEnd w:id="312"/>
      <w:bookmarkEnd w:id="313"/>
      <w:bookmarkEnd w:id="314"/>
      <w:bookmarkEnd w:id="315"/>
      <w:bookmarkEnd w:id="316"/>
      <w:bookmarkEnd w:id="317"/>
      <w:bookmarkEnd w:id="318"/>
      <w:bookmarkEnd w:id="31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承包人应对其项目经理和其他人员进行有效管理。监理人要求撤换不能胜任本职工作、行为不端或玩忽职守的承包人项目经理和其他人员的，承包人应予以撤换。</w:t>
      </w:r>
    </w:p>
    <w:p>
      <w:pPr>
        <w:pStyle w:val="5"/>
        <w:spacing w:before="120" w:after="120" w:line="360" w:lineRule="auto"/>
        <w:ind w:firstLine="103"/>
        <w:rPr>
          <w:rFonts w:ascii="宋体" w:eastAsia="宋体" w:cs="宋体"/>
          <w:bCs w:val="0"/>
          <w:sz w:val="21"/>
          <w:szCs w:val="21"/>
          <w:highlight w:val="none"/>
        </w:rPr>
      </w:pPr>
      <w:bookmarkStart w:id="320" w:name="_Toc247514072"/>
      <w:bookmarkStart w:id="321" w:name="_Toc410559374"/>
      <w:bookmarkStart w:id="322" w:name="_Toc411736180"/>
      <w:bookmarkStart w:id="323" w:name="_Toc486160005"/>
      <w:bookmarkStart w:id="324" w:name="_Toc476860391"/>
      <w:bookmarkStart w:id="325" w:name="_Toc300835070"/>
      <w:bookmarkStart w:id="326" w:name="_Toc411736456"/>
      <w:bookmarkStart w:id="327" w:name="_Toc247527673"/>
      <w:r>
        <w:rPr>
          <w:rFonts w:hint="eastAsia" w:ascii="宋体" w:eastAsia="宋体" w:cs="宋体"/>
          <w:bCs w:val="0"/>
          <w:sz w:val="21"/>
          <w:szCs w:val="21"/>
          <w:highlight w:val="none"/>
        </w:rPr>
        <w:t>4.8 保障承包人人员的合法权益</w:t>
      </w:r>
      <w:bookmarkEnd w:id="320"/>
      <w:bookmarkEnd w:id="321"/>
      <w:bookmarkEnd w:id="322"/>
      <w:bookmarkEnd w:id="323"/>
      <w:bookmarkEnd w:id="324"/>
      <w:bookmarkEnd w:id="325"/>
      <w:bookmarkEnd w:id="326"/>
      <w:bookmarkEnd w:id="32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4.8.1 承包人应与其雇佣的人员签订劳动合同，并按时发放工资。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4.8.2 承包人应按劳动法的规定安排工作时间，保证其雇佣人员享有休息和休假的权利。因设计、施工的特殊需要占用休假日或延长工作时间的，应不超过法律规定的限度，并按法律规定给予补休或付酬。</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4.8.3 承包人应为其雇佣人员提供必要的食宿条件，以及符合环境保护和卫生要求的生活环境，在远离城镇的施工场地，还应配备必要的伤病防治和急救的医务人员与医疗设施。</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4.8.5 承包人应按有关法律规定和合同约定，为其雇佣人员办理保险。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4.8.6 承包人应负责处理其雇佣人员因工伤亡事故的善后事宜。</w:t>
      </w:r>
    </w:p>
    <w:p>
      <w:pPr>
        <w:pStyle w:val="5"/>
        <w:spacing w:before="120" w:after="120" w:line="360" w:lineRule="auto"/>
        <w:ind w:firstLine="103"/>
        <w:rPr>
          <w:rFonts w:ascii="宋体" w:eastAsia="宋体" w:cs="宋体"/>
          <w:bCs w:val="0"/>
          <w:sz w:val="21"/>
          <w:szCs w:val="21"/>
          <w:highlight w:val="none"/>
        </w:rPr>
      </w:pPr>
      <w:bookmarkStart w:id="328" w:name="_Toc247527674"/>
      <w:bookmarkStart w:id="329" w:name="_Toc300835071"/>
      <w:bookmarkStart w:id="330" w:name="_Toc247514073"/>
      <w:bookmarkStart w:id="331" w:name="_Toc486160006"/>
      <w:bookmarkStart w:id="332" w:name="_Toc410559375"/>
      <w:bookmarkStart w:id="333" w:name="_Toc411736457"/>
      <w:bookmarkStart w:id="334" w:name="_Toc411736181"/>
      <w:bookmarkStart w:id="335" w:name="_Toc476860392"/>
      <w:r>
        <w:rPr>
          <w:rFonts w:hint="eastAsia" w:ascii="宋体" w:eastAsia="宋体" w:cs="宋体"/>
          <w:bCs w:val="0"/>
          <w:sz w:val="21"/>
          <w:szCs w:val="21"/>
          <w:highlight w:val="none"/>
        </w:rPr>
        <w:t>4.9 工程价款应专款专用</w:t>
      </w:r>
      <w:bookmarkEnd w:id="328"/>
      <w:bookmarkEnd w:id="329"/>
      <w:bookmarkEnd w:id="330"/>
      <w:bookmarkEnd w:id="331"/>
      <w:bookmarkEnd w:id="332"/>
      <w:bookmarkEnd w:id="333"/>
      <w:bookmarkEnd w:id="334"/>
      <w:bookmarkEnd w:id="33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发包人按合同约定支付给承包人的各项价款应专用于合同工作。</w:t>
      </w:r>
    </w:p>
    <w:p>
      <w:pPr>
        <w:pStyle w:val="5"/>
        <w:spacing w:before="120" w:after="120" w:line="360" w:lineRule="auto"/>
        <w:ind w:firstLine="103"/>
        <w:rPr>
          <w:rFonts w:ascii="宋体" w:eastAsia="宋体" w:cs="宋体"/>
          <w:bCs w:val="0"/>
          <w:sz w:val="21"/>
          <w:szCs w:val="21"/>
          <w:highlight w:val="none"/>
        </w:rPr>
      </w:pPr>
      <w:bookmarkStart w:id="336" w:name="_Toc476860393"/>
      <w:bookmarkStart w:id="337" w:name="_Toc300835072"/>
      <w:bookmarkStart w:id="338" w:name="_Toc410559376"/>
      <w:bookmarkStart w:id="339" w:name="_Toc411736458"/>
      <w:bookmarkStart w:id="340" w:name="_Toc247527675"/>
      <w:bookmarkStart w:id="341" w:name="_Toc247514074"/>
      <w:bookmarkStart w:id="342" w:name="_Toc486160007"/>
      <w:bookmarkStart w:id="343" w:name="_Toc411736182"/>
      <w:r>
        <w:rPr>
          <w:rFonts w:hint="eastAsia" w:ascii="宋体" w:eastAsia="宋体" w:cs="宋体"/>
          <w:bCs w:val="0"/>
          <w:sz w:val="21"/>
          <w:szCs w:val="21"/>
          <w:highlight w:val="none"/>
        </w:rPr>
        <w:t>4.10 承包人现场查勘</w:t>
      </w:r>
      <w:bookmarkEnd w:id="336"/>
      <w:bookmarkEnd w:id="337"/>
      <w:bookmarkEnd w:id="338"/>
      <w:bookmarkEnd w:id="339"/>
      <w:bookmarkEnd w:id="340"/>
      <w:bookmarkEnd w:id="341"/>
      <w:bookmarkEnd w:id="342"/>
      <w:bookmarkEnd w:id="343"/>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4.10.1 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4.10.2 承包人应对施工场地和周围环境进行查勘，并收集除发包人提供外为完成合同工作有关的当地资料。在全部合同工作中，视为承包人已充分估计了应承担的责任和风险。</w:t>
      </w:r>
    </w:p>
    <w:p>
      <w:pPr>
        <w:pStyle w:val="5"/>
        <w:spacing w:before="120" w:after="120" w:line="360" w:lineRule="auto"/>
        <w:ind w:firstLine="103"/>
        <w:rPr>
          <w:rFonts w:ascii="宋体" w:eastAsia="宋体" w:cs="宋体"/>
          <w:bCs w:val="0"/>
          <w:sz w:val="21"/>
          <w:szCs w:val="21"/>
          <w:highlight w:val="none"/>
        </w:rPr>
      </w:pPr>
      <w:bookmarkStart w:id="344" w:name="_Toc265955416"/>
      <w:bookmarkStart w:id="345" w:name="_Toc247705004"/>
      <w:bookmarkStart w:id="346" w:name="_Toc411736183"/>
      <w:bookmarkStart w:id="347" w:name="_Toc486160008"/>
      <w:bookmarkStart w:id="348" w:name="_Toc410559377"/>
      <w:bookmarkStart w:id="349" w:name="_Toc411736459"/>
      <w:bookmarkStart w:id="350" w:name="_Toc476860394"/>
      <w:bookmarkStart w:id="351" w:name="_Toc300835074"/>
      <w:r>
        <w:rPr>
          <w:rFonts w:hint="eastAsia" w:ascii="宋体" w:eastAsia="宋体" w:cs="宋体"/>
          <w:bCs w:val="0"/>
          <w:sz w:val="21"/>
          <w:szCs w:val="21"/>
          <w:highlight w:val="none"/>
        </w:rPr>
        <w:t>4.11 不可预见的困难和费用</w:t>
      </w:r>
      <w:bookmarkEnd w:id="344"/>
      <w:bookmarkEnd w:id="345"/>
      <w:r>
        <w:rPr>
          <w:rFonts w:hint="eastAsia" w:ascii="宋体" w:eastAsia="宋体" w:cs="宋体"/>
          <w:bCs w:val="0"/>
          <w:sz w:val="21"/>
          <w:szCs w:val="21"/>
          <w:highlight w:val="none"/>
        </w:rPr>
        <w:t>（B）</w:t>
      </w:r>
      <w:bookmarkEnd w:id="346"/>
      <w:bookmarkEnd w:id="347"/>
      <w:bookmarkEnd w:id="348"/>
      <w:bookmarkEnd w:id="349"/>
      <w:bookmarkEnd w:id="350"/>
      <w:bookmarkEnd w:id="35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除合同另有约定外，承包人应视为已取得工程有关风险、意外事件和其他情况的全部必要资料，并预见工程所有困难和费用。承包人遇到不可预见的困难和费用时，合同价格不予调整。</w:t>
      </w:r>
    </w:p>
    <w:p>
      <w:pPr>
        <w:pStyle w:val="5"/>
        <w:spacing w:before="120" w:after="120" w:line="360" w:lineRule="auto"/>
        <w:ind w:firstLine="103"/>
        <w:rPr>
          <w:rFonts w:ascii="宋体" w:eastAsia="宋体" w:cs="宋体"/>
          <w:bCs w:val="0"/>
          <w:sz w:val="21"/>
          <w:szCs w:val="21"/>
          <w:highlight w:val="none"/>
        </w:rPr>
      </w:pPr>
      <w:bookmarkStart w:id="352" w:name="_Toc300835075"/>
      <w:bookmarkStart w:id="353" w:name="_Toc476860395"/>
      <w:bookmarkStart w:id="354" w:name="_Toc411736184"/>
      <w:bookmarkStart w:id="355" w:name="_Toc411736460"/>
      <w:bookmarkStart w:id="356" w:name="_Toc486160009"/>
      <w:bookmarkStart w:id="357" w:name="_Toc410559378"/>
      <w:bookmarkStart w:id="358" w:name="_Toc247527677"/>
      <w:bookmarkStart w:id="359" w:name="_Toc247514076"/>
      <w:r>
        <w:rPr>
          <w:rFonts w:hint="eastAsia" w:ascii="宋体" w:eastAsia="宋体" w:cs="宋体"/>
          <w:bCs w:val="0"/>
          <w:sz w:val="21"/>
          <w:szCs w:val="21"/>
          <w:highlight w:val="none"/>
        </w:rPr>
        <w:t>4.12 进度计划</w:t>
      </w:r>
      <w:bookmarkEnd w:id="352"/>
      <w:bookmarkEnd w:id="353"/>
      <w:bookmarkEnd w:id="354"/>
      <w:bookmarkEnd w:id="355"/>
      <w:bookmarkEnd w:id="356"/>
      <w:bookmarkEnd w:id="357"/>
      <w:bookmarkEnd w:id="358"/>
      <w:bookmarkEnd w:id="35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4.12.1 合同进度计划</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4.12.2 合同进度计划的修订</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不论何种原因造成工程的实际进度与第4.12.1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pPr>
        <w:pStyle w:val="5"/>
        <w:spacing w:before="120" w:after="120" w:line="360" w:lineRule="auto"/>
        <w:ind w:firstLine="103"/>
        <w:rPr>
          <w:rFonts w:ascii="宋体" w:eastAsia="宋体" w:cs="宋体"/>
          <w:bCs w:val="0"/>
          <w:sz w:val="21"/>
          <w:szCs w:val="21"/>
          <w:highlight w:val="none"/>
        </w:rPr>
      </w:pPr>
      <w:bookmarkStart w:id="360" w:name="_Toc486160010"/>
      <w:bookmarkStart w:id="361" w:name="_Toc300835076"/>
      <w:bookmarkStart w:id="362" w:name="_Toc411736185"/>
      <w:bookmarkStart w:id="363" w:name="_Toc410559379"/>
      <w:bookmarkStart w:id="364" w:name="_Toc476860396"/>
      <w:bookmarkStart w:id="365" w:name="_Toc411736461"/>
      <w:r>
        <w:rPr>
          <w:rFonts w:hint="eastAsia" w:ascii="宋体" w:eastAsia="宋体" w:cs="宋体"/>
          <w:bCs w:val="0"/>
          <w:sz w:val="21"/>
          <w:szCs w:val="21"/>
          <w:highlight w:val="none"/>
        </w:rPr>
        <w:t>4.13 质量保证</w:t>
      </w:r>
      <w:bookmarkEnd w:id="360"/>
      <w:bookmarkEnd w:id="361"/>
      <w:bookmarkEnd w:id="362"/>
      <w:bookmarkEnd w:id="363"/>
      <w:bookmarkEnd w:id="364"/>
      <w:bookmarkEnd w:id="36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4.13.1 为保证工程质量，承包人应按照合同要求建立质量保证体系。监理人有权对承包人的质量保证体系进行审查。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4.13.2 承包人应在各设计和实施阶段开始前，向监理人提交其具体的质量保证细则和工作程序。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4.13.3 遵守质量保证体系，不应免除合同约定的承包人的义务和责任。</w:t>
      </w:r>
    </w:p>
    <w:p>
      <w:pPr>
        <w:pStyle w:val="5"/>
        <w:spacing w:before="120" w:after="120" w:line="360" w:lineRule="auto"/>
        <w:ind w:firstLine="103"/>
        <w:rPr>
          <w:rFonts w:ascii="宋体" w:eastAsia="宋体" w:cs="宋体"/>
          <w:bCs w:val="0"/>
          <w:sz w:val="21"/>
          <w:szCs w:val="21"/>
          <w:highlight w:val="none"/>
        </w:rPr>
      </w:pPr>
      <w:bookmarkStart w:id="366" w:name="_Toc300835077"/>
      <w:bookmarkStart w:id="367" w:name="_Toc476860397"/>
      <w:bookmarkStart w:id="368" w:name="_Toc247514077"/>
      <w:bookmarkStart w:id="369" w:name="_Toc247527678"/>
      <w:bookmarkStart w:id="370" w:name="_Toc410559380"/>
      <w:bookmarkStart w:id="371" w:name="_Toc486160011"/>
      <w:bookmarkStart w:id="372" w:name="_Toc411736462"/>
      <w:bookmarkStart w:id="373" w:name="_Toc411736186"/>
      <w:r>
        <w:rPr>
          <w:rFonts w:hint="eastAsia" w:ascii="宋体" w:eastAsia="宋体" w:cs="宋体"/>
          <w:bCs w:val="0"/>
          <w:sz w:val="21"/>
          <w:szCs w:val="21"/>
          <w:highlight w:val="none"/>
        </w:rPr>
        <w:t>5. 设计</w:t>
      </w:r>
      <w:bookmarkEnd w:id="366"/>
      <w:bookmarkEnd w:id="367"/>
      <w:bookmarkEnd w:id="368"/>
      <w:bookmarkEnd w:id="369"/>
      <w:bookmarkEnd w:id="370"/>
      <w:bookmarkEnd w:id="371"/>
      <w:bookmarkEnd w:id="372"/>
      <w:bookmarkEnd w:id="373"/>
    </w:p>
    <w:p>
      <w:pPr>
        <w:pStyle w:val="5"/>
        <w:spacing w:before="120" w:after="120" w:line="360" w:lineRule="auto"/>
        <w:ind w:firstLine="103"/>
        <w:rPr>
          <w:rFonts w:ascii="宋体" w:eastAsia="宋体" w:cs="宋体"/>
          <w:bCs w:val="0"/>
          <w:sz w:val="21"/>
          <w:szCs w:val="21"/>
          <w:highlight w:val="none"/>
        </w:rPr>
      </w:pPr>
      <w:bookmarkStart w:id="374" w:name="_Toc259552511"/>
      <w:bookmarkStart w:id="375" w:name="_Toc300835078"/>
      <w:bookmarkStart w:id="376" w:name="_Toc476860398"/>
      <w:bookmarkStart w:id="377" w:name="_Toc259350427"/>
      <w:bookmarkStart w:id="378" w:name="_Toc411736463"/>
      <w:bookmarkStart w:id="379" w:name="_Toc486160012"/>
      <w:bookmarkStart w:id="380" w:name="_Toc410559381"/>
      <w:bookmarkStart w:id="381" w:name="_Toc264373498"/>
      <w:bookmarkStart w:id="382" w:name="_Toc258440543"/>
      <w:bookmarkStart w:id="383" w:name="_Toc411736187"/>
      <w:bookmarkStart w:id="384" w:name="_Toc257880849"/>
      <w:bookmarkStart w:id="385" w:name="_Toc468936969"/>
      <w:bookmarkStart w:id="386" w:name="_Toc247514078"/>
      <w:bookmarkStart w:id="387" w:name="_Toc487072795"/>
      <w:bookmarkStart w:id="388" w:name="_Toc297347661"/>
      <w:bookmarkStart w:id="389" w:name="_Toc247527679"/>
      <w:r>
        <w:rPr>
          <w:rFonts w:hint="eastAsia" w:ascii="宋体" w:eastAsia="宋体" w:cs="宋体"/>
          <w:bCs w:val="0"/>
          <w:sz w:val="21"/>
          <w:szCs w:val="21"/>
          <w:highlight w:val="none"/>
        </w:rPr>
        <w:t>5.1 承包人的设计义务</w:t>
      </w:r>
      <w:bookmarkEnd w:id="374"/>
      <w:bookmarkEnd w:id="375"/>
      <w:bookmarkEnd w:id="376"/>
      <w:bookmarkEnd w:id="377"/>
      <w:bookmarkEnd w:id="378"/>
      <w:bookmarkEnd w:id="379"/>
      <w:bookmarkEnd w:id="380"/>
      <w:bookmarkEnd w:id="381"/>
      <w:bookmarkEnd w:id="382"/>
      <w:bookmarkEnd w:id="383"/>
      <w:bookmarkEnd w:id="384"/>
    </w:p>
    <w:p>
      <w:pPr>
        <w:spacing w:line="360" w:lineRule="auto"/>
        <w:ind w:firstLine="420" w:firstLineChars="200"/>
        <w:rPr>
          <w:rFonts w:ascii="宋体" w:hAnsi="宋体" w:cs="宋体"/>
          <w:szCs w:val="21"/>
          <w:highlight w:val="none"/>
        </w:rPr>
      </w:pPr>
      <w:bookmarkStart w:id="390" w:name="_Toc258440544"/>
      <w:bookmarkStart w:id="391" w:name="_Toc264373499"/>
      <w:bookmarkStart w:id="392" w:name="_Toc259350428"/>
      <w:bookmarkStart w:id="393" w:name="_Toc259552512"/>
      <w:r>
        <w:rPr>
          <w:rFonts w:hint="eastAsia" w:ascii="宋体" w:hAnsi="宋体" w:cs="宋体"/>
          <w:szCs w:val="21"/>
          <w:highlight w:val="none"/>
        </w:rPr>
        <w:t>5.1.1 设计义务</w:t>
      </w:r>
      <w:bookmarkEnd w:id="390"/>
      <w:bookmarkEnd w:id="391"/>
      <w:bookmarkEnd w:id="392"/>
      <w:bookmarkEnd w:id="393"/>
      <w:r>
        <w:rPr>
          <w:rFonts w:hint="eastAsia" w:ascii="宋体" w:hAnsi="宋体" w:cs="宋体"/>
          <w:szCs w:val="21"/>
          <w:highlight w:val="none"/>
        </w:rPr>
        <w:t>的一般要求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承包人应按照法律规定，以及国家、行业和地方的规范和标准完成设计工作，并符合发包人要求。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5.1.2 法律和标准的变化</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15条或第16.2款约定执行。</w:t>
      </w:r>
    </w:p>
    <w:p>
      <w:pPr>
        <w:pStyle w:val="5"/>
        <w:spacing w:before="120" w:after="120" w:line="360" w:lineRule="auto"/>
        <w:ind w:firstLine="103"/>
        <w:rPr>
          <w:rFonts w:ascii="宋体" w:eastAsia="宋体" w:cs="宋体"/>
          <w:bCs w:val="0"/>
          <w:sz w:val="21"/>
          <w:szCs w:val="21"/>
          <w:highlight w:val="none"/>
        </w:rPr>
      </w:pPr>
      <w:bookmarkStart w:id="394" w:name="_Toc257880851"/>
      <w:bookmarkStart w:id="395" w:name="_Toc259552518"/>
      <w:bookmarkStart w:id="396" w:name="_Toc258440550"/>
      <w:bookmarkStart w:id="397" w:name="_Toc300835079"/>
      <w:bookmarkStart w:id="398" w:name="_Toc411736188"/>
      <w:bookmarkStart w:id="399" w:name="_Toc410559382"/>
      <w:bookmarkStart w:id="400" w:name="_Toc486160013"/>
      <w:bookmarkStart w:id="401" w:name="_Toc411736464"/>
      <w:bookmarkStart w:id="402" w:name="_Toc259350434"/>
      <w:bookmarkStart w:id="403" w:name="_Toc476860399"/>
      <w:bookmarkStart w:id="404" w:name="_Toc264373505"/>
      <w:r>
        <w:rPr>
          <w:rFonts w:hint="eastAsia" w:ascii="宋体" w:eastAsia="宋体" w:cs="宋体"/>
          <w:bCs w:val="0"/>
          <w:sz w:val="21"/>
          <w:szCs w:val="21"/>
          <w:highlight w:val="none"/>
        </w:rPr>
        <w:t xml:space="preserve">5.2 </w:t>
      </w:r>
      <w:bookmarkEnd w:id="394"/>
      <w:r>
        <w:rPr>
          <w:rFonts w:hint="eastAsia" w:ascii="宋体" w:eastAsia="宋体" w:cs="宋体"/>
          <w:bCs w:val="0"/>
          <w:sz w:val="21"/>
          <w:szCs w:val="21"/>
          <w:highlight w:val="none"/>
        </w:rPr>
        <w:t>承包人设计进度计划</w:t>
      </w:r>
      <w:bookmarkEnd w:id="395"/>
      <w:bookmarkEnd w:id="396"/>
      <w:bookmarkEnd w:id="397"/>
      <w:bookmarkEnd w:id="398"/>
      <w:bookmarkEnd w:id="399"/>
      <w:bookmarkEnd w:id="400"/>
      <w:bookmarkEnd w:id="401"/>
      <w:bookmarkEnd w:id="402"/>
      <w:bookmarkEnd w:id="403"/>
      <w:bookmarkEnd w:id="40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承包人应按照发包人要求，在合同进度计划中专门列出设计进度计划，报发包人批准后执行。承包人需按照经批准后的计划开展设计工作。</w:t>
      </w:r>
    </w:p>
    <w:p>
      <w:pPr>
        <w:spacing w:line="360" w:lineRule="auto"/>
        <w:ind w:firstLine="420" w:firstLineChars="200"/>
        <w:rPr>
          <w:rFonts w:ascii="宋体" w:hAnsi="宋体" w:cs="宋体"/>
          <w:szCs w:val="21"/>
          <w:highlight w:val="none"/>
        </w:rPr>
      </w:pPr>
      <w:bookmarkStart w:id="405" w:name="_Toc247593033"/>
      <w:r>
        <w:rPr>
          <w:rFonts w:hint="eastAsia" w:ascii="宋体" w:hAnsi="宋体" w:cs="宋体"/>
          <w:szCs w:val="21"/>
          <w:highlight w:val="none"/>
        </w:rPr>
        <w:t>因承包人原因影响设计进度的，按第11.5款</w:t>
      </w:r>
      <w:bookmarkEnd w:id="405"/>
      <w:r>
        <w:rPr>
          <w:rFonts w:hint="eastAsia" w:ascii="宋体" w:hAnsi="宋体" w:cs="宋体"/>
          <w:szCs w:val="21"/>
          <w:highlight w:val="none"/>
        </w:rPr>
        <w:t>的约定执行。因发包人原因影响设计进度的，按第15条变更处理。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发包人或其委托的监理人有权要求承包人根据第11.5款提交修正的进度计划、增加投入资源并加快设计进度。</w:t>
      </w:r>
    </w:p>
    <w:p>
      <w:pPr>
        <w:pStyle w:val="5"/>
        <w:spacing w:before="120" w:after="120" w:line="360" w:lineRule="auto"/>
        <w:ind w:firstLine="103"/>
        <w:rPr>
          <w:rFonts w:ascii="宋体" w:eastAsia="宋体" w:cs="宋体"/>
          <w:bCs w:val="0"/>
          <w:sz w:val="21"/>
          <w:szCs w:val="21"/>
          <w:highlight w:val="none"/>
        </w:rPr>
      </w:pPr>
      <w:bookmarkStart w:id="406" w:name="_Toc411736189"/>
      <w:bookmarkStart w:id="407" w:name="_Toc300835080"/>
      <w:bookmarkStart w:id="408" w:name="_Toc411736465"/>
      <w:bookmarkStart w:id="409" w:name="_Toc486160014"/>
      <w:bookmarkStart w:id="410" w:name="_Toc257880852"/>
      <w:bookmarkStart w:id="411" w:name="_Toc410559383"/>
      <w:bookmarkStart w:id="412" w:name="_Toc259552523"/>
      <w:bookmarkStart w:id="413" w:name="_Toc264373507"/>
      <w:bookmarkStart w:id="414" w:name="_Toc476860400"/>
      <w:bookmarkStart w:id="415" w:name="_Toc258440555"/>
      <w:bookmarkStart w:id="416" w:name="_Toc259350439"/>
      <w:r>
        <w:rPr>
          <w:rFonts w:hint="eastAsia" w:ascii="宋体" w:eastAsia="宋体" w:cs="宋体"/>
          <w:bCs w:val="0"/>
          <w:sz w:val="21"/>
          <w:szCs w:val="21"/>
          <w:highlight w:val="none"/>
        </w:rPr>
        <w:t>5.3 设计审查</w:t>
      </w:r>
      <w:bookmarkEnd w:id="406"/>
      <w:bookmarkEnd w:id="407"/>
      <w:bookmarkEnd w:id="408"/>
      <w:bookmarkEnd w:id="409"/>
      <w:bookmarkEnd w:id="410"/>
      <w:bookmarkEnd w:id="411"/>
      <w:bookmarkEnd w:id="412"/>
      <w:bookmarkEnd w:id="413"/>
      <w:bookmarkEnd w:id="414"/>
      <w:bookmarkEnd w:id="415"/>
      <w:bookmarkEnd w:id="41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5.3.1 承包人的设计文件应报发包人审查同意。审查的范围和内容在发包人要求中约定。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发包人不同意设计文件的，应通过监理人以书面形式通知承包人，并说明不符合合同要求的具体内容。承包人应根据监理人的书面说明，对承包人文件进行修改后重新报送发包人审查，审查期重新起算。</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合同约定的审查期满，发包人没有做出审查结论也没有提出异议的，视为承包人的设计文件已获发包人同意。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5.3.2 承包人的设计文件不需要政府有关部门审查或批准的，承包人应当严格按照经发包人审查同意的设计文件设计和实施工程。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5.3.3 </w:t>
      </w:r>
      <w:r>
        <w:rPr>
          <w:rStyle w:val="72"/>
          <w:rFonts w:hint="eastAsia" w:ascii="宋体" w:hAnsi="宋体" w:cs="宋体"/>
          <w:vanish/>
          <w:highlight w:val="none"/>
        </w:rPr>
        <w:t>（</w:t>
      </w:r>
      <w:r>
        <w:rPr>
          <w:rFonts w:hint="eastAsia" w:ascii="宋体" w:hAnsi="宋体" w:cs="宋体"/>
          <w:szCs w:val="21"/>
          <w:highlight w:val="none"/>
        </w:rPr>
        <w:t>设计文件需政府有关部门审查或批准的，发包人应在审查同意承包人的设计文件后7天内，向政府有关部门报送设计文件，承包人应予以协助。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1.13款的有关约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政府有关部门审查批准的，承包人应当严格按照批准后的承包人的设计文件设计和实施工程。</w:t>
      </w:r>
    </w:p>
    <w:p>
      <w:pPr>
        <w:pStyle w:val="5"/>
        <w:spacing w:before="120" w:after="120" w:line="360" w:lineRule="auto"/>
        <w:ind w:firstLine="103"/>
        <w:rPr>
          <w:rFonts w:ascii="宋体" w:eastAsia="宋体" w:cs="宋体"/>
          <w:bCs w:val="0"/>
          <w:sz w:val="21"/>
          <w:szCs w:val="21"/>
          <w:highlight w:val="none"/>
        </w:rPr>
      </w:pPr>
      <w:bookmarkStart w:id="417" w:name="_Toc411736466"/>
      <w:bookmarkStart w:id="418" w:name="_Toc486160015"/>
      <w:bookmarkStart w:id="419" w:name="_Toc476860401"/>
      <w:bookmarkStart w:id="420" w:name="_Toc411736190"/>
      <w:bookmarkStart w:id="421" w:name="_Toc410559384"/>
      <w:bookmarkStart w:id="422" w:name="_Toc300835081"/>
      <w:r>
        <w:rPr>
          <w:rFonts w:hint="eastAsia" w:ascii="宋体" w:eastAsia="宋体" w:cs="宋体"/>
          <w:bCs w:val="0"/>
          <w:sz w:val="21"/>
          <w:szCs w:val="21"/>
          <w:highlight w:val="none"/>
        </w:rPr>
        <w:t>5.4 培训</w:t>
      </w:r>
      <w:bookmarkEnd w:id="417"/>
      <w:bookmarkEnd w:id="418"/>
      <w:bookmarkEnd w:id="419"/>
      <w:bookmarkEnd w:id="420"/>
      <w:bookmarkEnd w:id="421"/>
      <w:bookmarkEnd w:id="42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承包人应按照发包人要求，对发包人的人员进行工程操作和维修方面的培训。合同约定接收之前进行培训的，应在第18.3款约定的竣工验收前完成培训。</w:t>
      </w:r>
    </w:p>
    <w:bookmarkEnd w:id="385"/>
    <w:bookmarkEnd w:id="386"/>
    <w:bookmarkEnd w:id="387"/>
    <w:bookmarkEnd w:id="388"/>
    <w:bookmarkEnd w:id="389"/>
    <w:p>
      <w:pPr>
        <w:pStyle w:val="5"/>
        <w:spacing w:before="120" w:after="120" w:line="360" w:lineRule="auto"/>
        <w:ind w:firstLine="103"/>
        <w:rPr>
          <w:rFonts w:ascii="宋体" w:eastAsia="宋体" w:cs="宋体"/>
          <w:bCs w:val="0"/>
          <w:sz w:val="21"/>
          <w:szCs w:val="21"/>
          <w:highlight w:val="none"/>
        </w:rPr>
      </w:pPr>
      <w:bookmarkStart w:id="423" w:name="_Toc411736191"/>
      <w:bookmarkStart w:id="424" w:name="_Toc476860402"/>
      <w:bookmarkStart w:id="425" w:name="_Toc486160016"/>
      <w:bookmarkStart w:id="426" w:name="_Toc410559385"/>
      <w:bookmarkStart w:id="427" w:name="_Toc411736467"/>
      <w:bookmarkStart w:id="428" w:name="_Toc300835082"/>
      <w:bookmarkStart w:id="429" w:name="_Toc468936971"/>
      <w:bookmarkStart w:id="430" w:name="_Toc247514080"/>
      <w:bookmarkStart w:id="431" w:name="_Toc247527681"/>
      <w:bookmarkStart w:id="432" w:name="_Toc297347663"/>
      <w:bookmarkStart w:id="433" w:name="_Toc487072797"/>
      <w:r>
        <w:rPr>
          <w:rFonts w:hint="eastAsia" w:ascii="宋体" w:eastAsia="宋体" w:cs="宋体"/>
          <w:bCs w:val="0"/>
          <w:sz w:val="21"/>
          <w:szCs w:val="21"/>
          <w:highlight w:val="none"/>
        </w:rPr>
        <w:t>5.5 竣工文件</w:t>
      </w:r>
      <w:bookmarkEnd w:id="423"/>
      <w:bookmarkEnd w:id="424"/>
      <w:bookmarkEnd w:id="425"/>
      <w:bookmarkEnd w:id="426"/>
      <w:bookmarkEnd w:id="427"/>
      <w:bookmarkEnd w:id="428"/>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5.5.1 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5.5.2 在颁发工程接收证书之前，承包人应按照发包人要求的份数和形式向监理人提交相应竣工图纸，并取得监理人对尺寸、参照系统及其他有关细节的认可。监理人应按照第5.3款的约定进行审查。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5.5.3 在监理人收到上述文件前，不应认为工程已根据第18.3款和第18.5款约定完成验收。</w:t>
      </w:r>
    </w:p>
    <w:p>
      <w:pPr>
        <w:pStyle w:val="5"/>
        <w:spacing w:before="120" w:after="120" w:line="360" w:lineRule="auto"/>
        <w:ind w:firstLine="103"/>
        <w:rPr>
          <w:rFonts w:ascii="宋体" w:eastAsia="宋体" w:cs="宋体"/>
          <w:bCs w:val="0"/>
          <w:sz w:val="21"/>
          <w:szCs w:val="21"/>
          <w:highlight w:val="none"/>
        </w:rPr>
      </w:pPr>
      <w:bookmarkStart w:id="434" w:name="_Toc476860403"/>
      <w:bookmarkStart w:id="435" w:name="_Toc486160017"/>
      <w:bookmarkStart w:id="436" w:name="_Toc411736192"/>
      <w:bookmarkStart w:id="437" w:name="_Toc300835083"/>
      <w:bookmarkStart w:id="438" w:name="_Toc410559386"/>
      <w:bookmarkStart w:id="439" w:name="_Toc411736468"/>
      <w:r>
        <w:rPr>
          <w:rFonts w:hint="eastAsia" w:ascii="宋体" w:eastAsia="宋体" w:cs="宋体"/>
          <w:bCs w:val="0"/>
          <w:sz w:val="21"/>
          <w:szCs w:val="21"/>
          <w:highlight w:val="none"/>
        </w:rPr>
        <w:t>5.6 操作和维修手册</w:t>
      </w:r>
      <w:bookmarkEnd w:id="434"/>
      <w:bookmarkEnd w:id="435"/>
      <w:bookmarkEnd w:id="436"/>
      <w:bookmarkEnd w:id="437"/>
      <w:bookmarkEnd w:id="438"/>
      <w:bookmarkEnd w:id="439"/>
    </w:p>
    <w:p>
      <w:pPr>
        <w:spacing w:line="360" w:lineRule="auto"/>
        <w:ind w:firstLine="404" w:firstLineChars="200"/>
        <w:rPr>
          <w:rFonts w:ascii="宋体" w:hAnsi="宋体" w:cs="宋体"/>
          <w:spacing w:val="-4"/>
          <w:szCs w:val="21"/>
          <w:highlight w:val="none"/>
        </w:rPr>
      </w:pPr>
      <w:r>
        <w:rPr>
          <w:rFonts w:hint="eastAsia" w:ascii="宋体" w:hAnsi="宋体" w:cs="宋体"/>
          <w:spacing w:val="-4"/>
          <w:szCs w:val="21"/>
          <w:highlight w:val="none"/>
        </w:rPr>
        <w:t>5.6.1 在竣工试验开始前，承包人应向监理人提交暂行的操作和维修手册，该手册应足够详细，以便发包人能够对生产设备进行操作、维修、拆卸、重新安装、调整及修理。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5.6.2 承包人应提交足够详细的最终操作和维修手册，以及在发包人要求中明确的相关操作和维修手册。在监理人收到上述文件前，不应认为工程已根据第18.3款和第18.5款约定完成验收。</w:t>
      </w:r>
    </w:p>
    <w:bookmarkEnd w:id="429"/>
    <w:bookmarkEnd w:id="430"/>
    <w:bookmarkEnd w:id="431"/>
    <w:bookmarkEnd w:id="432"/>
    <w:bookmarkEnd w:id="433"/>
    <w:p>
      <w:pPr>
        <w:pStyle w:val="5"/>
        <w:spacing w:before="120" w:after="120" w:line="360" w:lineRule="auto"/>
        <w:ind w:firstLine="103"/>
        <w:rPr>
          <w:rFonts w:ascii="宋体" w:eastAsia="宋体" w:cs="宋体"/>
          <w:bCs w:val="0"/>
          <w:sz w:val="21"/>
          <w:szCs w:val="21"/>
          <w:highlight w:val="none"/>
        </w:rPr>
      </w:pPr>
      <w:bookmarkStart w:id="440" w:name="_Toc247527686"/>
      <w:bookmarkStart w:id="441" w:name="_Toc411736193"/>
      <w:bookmarkStart w:id="442" w:name="_Toc411736469"/>
      <w:bookmarkStart w:id="443" w:name="_Toc476860404"/>
      <w:bookmarkStart w:id="444" w:name="_Toc410559387"/>
      <w:bookmarkStart w:id="445" w:name="_Toc300835084"/>
      <w:bookmarkStart w:id="446" w:name="_Toc486160018"/>
      <w:bookmarkStart w:id="447" w:name="_Toc247514085"/>
      <w:r>
        <w:rPr>
          <w:rFonts w:hint="eastAsia" w:ascii="宋体" w:eastAsia="宋体" w:cs="宋体"/>
          <w:bCs w:val="0"/>
          <w:sz w:val="21"/>
          <w:szCs w:val="21"/>
          <w:highlight w:val="none"/>
        </w:rPr>
        <w:t>5.7 承包人文件错误</w:t>
      </w:r>
      <w:bookmarkEnd w:id="440"/>
      <w:bookmarkEnd w:id="441"/>
      <w:bookmarkEnd w:id="442"/>
      <w:bookmarkEnd w:id="443"/>
      <w:bookmarkEnd w:id="444"/>
      <w:bookmarkEnd w:id="445"/>
      <w:bookmarkEnd w:id="446"/>
      <w:bookmarkEnd w:id="44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文件存在错误、遗漏、含混、矛盾、不充分之处或其他缺陷，无论承包人是否根据本款获得了批准，承包人均应自费对前述问题带来的缺陷和工程问题进行改正。第1.13款发包人要求的错误导致承包人文件错误、遗漏、含混、矛盾、不充分或其他缺陷的除外。</w:t>
      </w:r>
    </w:p>
    <w:p>
      <w:pPr>
        <w:pStyle w:val="5"/>
        <w:spacing w:before="120" w:after="120" w:line="360" w:lineRule="auto"/>
        <w:ind w:firstLine="103"/>
        <w:rPr>
          <w:rFonts w:ascii="宋体" w:eastAsia="宋体" w:cs="宋体"/>
          <w:bCs w:val="0"/>
          <w:sz w:val="21"/>
          <w:szCs w:val="21"/>
          <w:highlight w:val="none"/>
        </w:rPr>
      </w:pPr>
      <w:bookmarkStart w:id="448" w:name="_Toc184635102"/>
      <w:bookmarkStart w:id="449" w:name="_Toc410559388"/>
      <w:bookmarkStart w:id="450" w:name="_Toc411736194"/>
      <w:bookmarkStart w:id="451" w:name="_Toc247527687"/>
      <w:bookmarkStart w:id="452" w:name="_Toc247514086"/>
      <w:bookmarkStart w:id="453" w:name="_Toc476860405"/>
      <w:bookmarkStart w:id="454" w:name="_Toc300835085"/>
      <w:bookmarkStart w:id="455" w:name="_Toc486160019"/>
      <w:bookmarkStart w:id="456" w:name="_Toc411736470"/>
      <w:r>
        <w:rPr>
          <w:rFonts w:hint="eastAsia" w:ascii="宋体" w:eastAsia="宋体" w:cs="宋体"/>
          <w:bCs w:val="0"/>
          <w:sz w:val="21"/>
          <w:szCs w:val="21"/>
          <w:highlight w:val="none"/>
        </w:rPr>
        <w:t>6. 材料和工程设备</w:t>
      </w:r>
      <w:bookmarkEnd w:id="448"/>
      <w:bookmarkEnd w:id="449"/>
      <w:bookmarkEnd w:id="450"/>
      <w:bookmarkEnd w:id="451"/>
      <w:bookmarkEnd w:id="452"/>
      <w:bookmarkEnd w:id="453"/>
      <w:bookmarkEnd w:id="454"/>
      <w:bookmarkEnd w:id="455"/>
      <w:bookmarkEnd w:id="456"/>
    </w:p>
    <w:p>
      <w:pPr>
        <w:pStyle w:val="5"/>
        <w:spacing w:before="120" w:after="120" w:line="360" w:lineRule="auto"/>
        <w:ind w:firstLine="103"/>
        <w:rPr>
          <w:rFonts w:ascii="宋体" w:eastAsia="宋体" w:cs="宋体"/>
          <w:bCs w:val="0"/>
          <w:sz w:val="21"/>
          <w:szCs w:val="21"/>
          <w:highlight w:val="none"/>
        </w:rPr>
      </w:pPr>
      <w:bookmarkStart w:id="457" w:name="_Toc410559389"/>
      <w:bookmarkStart w:id="458" w:name="_Toc411736471"/>
      <w:bookmarkStart w:id="459" w:name="_Toc247527688"/>
      <w:bookmarkStart w:id="460" w:name="_Toc300835086"/>
      <w:bookmarkStart w:id="461" w:name="_Toc411736195"/>
      <w:bookmarkStart w:id="462" w:name="_Toc476860406"/>
      <w:bookmarkStart w:id="463" w:name="_Toc247514087"/>
      <w:bookmarkStart w:id="464" w:name="_Toc486160020"/>
      <w:r>
        <w:rPr>
          <w:rFonts w:hint="eastAsia" w:ascii="宋体" w:eastAsia="宋体" w:cs="宋体"/>
          <w:bCs w:val="0"/>
          <w:sz w:val="21"/>
          <w:szCs w:val="21"/>
          <w:highlight w:val="none"/>
        </w:rPr>
        <w:t>6.1 承包人提供的材料和工程设备</w:t>
      </w:r>
      <w:bookmarkEnd w:id="457"/>
      <w:bookmarkEnd w:id="458"/>
      <w:bookmarkEnd w:id="459"/>
      <w:bookmarkEnd w:id="460"/>
      <w:bookmarkEnd w:id="461"/>
      <w:bookmarkEnd w:id="462"/>
      <w:bookmarkEnd w:id="463"/>
      <w:bookmarkEnd w:id="46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6.1.1 除专用合同条款另有约定外，承包人提供的材料和工程设备均由承包人负责采购、运输和保管。承包人应对其采购的材料和工程设备负责。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6.1.2 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5"/>
        <w:spacing w:before="120" w:after="120" w:line="360" w:lineRule="auto"/>
        <w:ind w:firstLine="103"/>
        <w:rPr>
          <w:rFonts w:ascii="宋体" w:eastAsia="宋体" w:cs="宋体"/>
          <w:bCs w:val="0"/>
          <w:sz w:val="21"/>
          <w:szCs w:val="21"/>
          <w:highlight w:val="none"/>
        </w:rPr>
      </w:pPr>
      <w:bookmarkStart w:id="465" w:name="_Toc486160021"/>
      <w:bookmarkStart w:id="466" w:name="_Toc411736472"/>
      <w:bookmarkStart w:id="467" w:name="_Toc410559390"/>
      <w:bookmarkStart w:id="468" w:name="_Toc476860407"/>
      <w:bookmarkStart w:id="469" w:name="_Toc411736196"/>
      <w:bookmarkStart w:id="470" w:name="_Toc300835088"/>
      <w:r>
        <w:rPr>
          <w:rFonts w:hint="eastAsia" w:ascii="宋体" w:eastAsia="宋体" w:cs="宋体"/>
          <w:bCs w:val="0"/>
          <w:sz w:val="21"/>
          <w:szCs w:val="21"/>
          <w:highlight w:val="none"/>
        </w:rPr>
        <w:t>6.2 发包人提供的材料和工程设备（B）</w:t>
      </w:r>
      <w:bookmarkEnd w:id="465"/>
      <w:bookmarkEnd w:id="466"/>
      <w:bookmarkEnd w:id="467"/>
      <w:bookmarkEnd w:id="468"/>
      <w:bookmarkEnd w:id="469"/>
      <w:bookmarkEnd w:id="470"/>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发包人不提供材料和工程设备。</w:t>
      </w:r>
    </w:p>
    <w:p>
      <w:pPr>
        <w:pStyle w:val="5"/>
        <w:spacing w:before="120" w:after="120" w:line="360" w:lineRule="auto"/>
        <w:ind w:firstLine="103"/>
        <w:rPr>
          <w:rFonts w:ascii="宋体" w:eastAsia="宋体" w:cs="宋体"/>
          <w:bCs w:val="0"/>
          <w:sz w:val="21"/>
          <w:szCs w:val="21"/>
          <w:highlight w:val="none"/>
        </w:rPr>
      </w:pPr>
      <w:bookmarkStart w:id="471" w:name="_Toc247527690"/>
      <w:bookmarkStart w:id="472" w:name="_Toc247514089"/>
      <w:bookmarkStart w:id="473" w:name="_Toc411736197"/>
      <w:bookmarkStart w:id="474" w:name="_Toc486160022"/>
      <w:bookmarkStart w:id="475" w:name="_Toc300835089"/>
      <w:bookmarkStart w:id="476" w:name="_Toc476860408"/>
      <w:bookmarkStart w:id="477" w:name="_Toc410559391"/>
      <w:bookmarkStart w:id="478" w:name="_Toc411736473"/>
      <w:r>
        <w:rPr>
          <w:rFonts w:hint="eastAsia" w:ascii="宋体" w:eastAsia="宋体" w:cs="宋体"/>
          <w:bCs w:val="0"/>
          <w:sz w:val="21"/>
          <w:szCs w:val="21"/>
          <w:highlight w:val="none"/>
        </w:rPr>
        <w:t>6.3 专用于工程的</w:t>
      </w:r>
      <w:bookmarkEnd w:id="471"/>
      <w:bookmarkEnd w:id="472"/>
      <w:r>
        <w:rPr>
          <w:rFonts w:hint="eastAsia" w:ascii="宋体" w:eastAsia="宋体" w:cs="宋体"/>
          <w:bCs w:val="0"/>
          <w:sz w:val="21"/>
          <w:szCs w:val="21"/>
          <w:highlight w:val="none"/>
        </w:rPr>
        <w:t>材料和工程设备</w:t>
      </w:r>
      <w:bookmarkEnd w:id="473"/>
      <w:bookmarkEnd w:id="474"/>
      <w:bookmarkEnd w:id="475"/>
      <w:bookmarkEnd w:id="476"/>
      <w:bookmarkEnd w:id="477"/>
      <w:bookmarkEnd w:id="478"/>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6.3.1 运入施工场地的材料、工程设备，包括备品备件、安装专用工器具与随机资料，必须专用于合同约定范围内的工程，未经监理人同意，承包人不得运出施工场地或挪作他用。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5"/>
        <w:spacing w:before="120" w:after="120" w:line="360" w:lineRule="auto"/>
        <w:ind w:firstLine="103"/>
        <w:rPr>
          <w:rFonts w:ascii="宋体" w:eastAsia="宋体" w:cs="宋体"/>
          <w:bCs w:val="0"/>
          <w:sz w:val="21"/>
          <w:szCs w:val="21"/>
          <w:highlight w:val="none"/>
        </w:rPr>
      </w:pPr>
      <w:bookmarkStart w:id="479" w:name="_Toc300835090"/>
      <w:bookmarkStart w:id="480" w:name="_Toc486160023"/>
      <w:bookmarkStart w:id="481" w:name="_Toc411736198"/>
      <w:bookmarkStart w:id="482" w:name="_Toc411736474"/>
      <w:bookmarkStart w:id="483" w:name="_Toc476860409"/>
      <w:bookmarkStart w:id="484" w:name="_Toc410559392"/>
      <w:bookmarkStart w:id="485" w:name="_Toc247527691"/>
      <w:bookmarkStart w:id="486" w:name="_Toc247514090"/>
      <w:r>
        <w:rPr>
          <w:rFonts w:hint="eastAsia" w:ascii="宋体" w:eastAsia="宋体" w:cs="宋体"/>
          <w:bCs w:val="0"/>
          <w:sz w:val="21"/>
          <w:szCs w:val="21"/>
          <w:highlight w:val="none"/>
        </w:rPr>
        <w:t>6.4 实施方法</w:t>
      </w:r>
      <w:bookmarkEnd w:id="479"/>
      <w:bookmarkEnd w:id="480"/>
      <w:bookmarkEnd w:id="481"/>
      <w:bookmarkEnd w:id="482"/>
      <w:bookmarkEnd w:id="483"/>
      <w:bookmarkEnd w:id="48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承包人对材料的加工、工程设备的采购、制造、安装应当按照法律规定、合同约定以及行业习惯来实施。</w:t>
      </w:r>
    </w:p>
    <w:p>
      <w:pPr>
        <w:pStyle w:val="5"/>
        <w:spacing w:before="120" w:after="120" w:line="360" w:lineRule="auto"/>
        <w:ind w:firstLine="103"/>
        <w:rPr>
          <w:rFonts w:ascii="宋体" w:eastAsia="宋体" w:cs="宋体"/>
          <w:bCs w:val="0"/>
          <w:sz w:val="21"/>
          <w:szCs w:val="21"/>
          <w:highlight w:val="none"/>
        </w:rPr>
      </w:pPr>
      <w:bookmarkStart w:id="487" w:name="_Toc411736475"/>
      <w:bookmarkStart w:id="488" w:name="_Toc476860410"/>
      <w:bookmarkStart w:id="489" w:name="_Toc410559393"/>
      <w:bookmarkStart w:id="490" w:name="_Toc411736199"/>
      <w:bookmarkStart w:id="491" w:name="_Toc300835091"/>
      <w:bookmarkStart w:id="492" w:name="_Toc486160024"/>
      <w:r>
        <w:rPr>
          <w:rFonts w:hint="eastAsia" w:ascii="宋体" w:eastAsia="宋体" w:cs="宋体"/>
          <w:bCs w:val="0"/>
          <w:sz w:val="21"/>
          <w:szCs w:val="21"/>
          <w:highlight w:val="none"/>
        </w:rPr>
        <w:t>6.5 禁止使用不合格的材料和工程设备</w:t>
      </w:r>
      <w:bookmarkEnd w:id="485"/>
      <w:bookmarkEnd w:id="486"/>
      <w:bookmarkEnd w:id="487"/>
      <w:bookmarkEnd w:id="488"/>
      <w:bookmarkEnd w:id="489"/>
      <w:bookmarkEnd w:id="490"/>
      <w:bookmarkEnd w:id="491"/>
      <w:bookmarkEnd w:id="49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6.5.1 监理人有权拒绝承包人提供的不合格材料或工程设备，并要求承包人立即进行更换。监理人应在更换后再次进行检查和检验，由此增加的费用和（或）工期延误由承包人承担。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6.5.2 监理人发现承包人使用了不合格的材料和工程设备，应即时发出指示要求承包人立即改正，并禁止在工程中继续使用不合格的材料和工程设备。</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6.5.3 发包人提供的材料或工程设备不符合合同要求的，承包人有权拒绝，并可要求发包人更换，由此增加的费用和（或）工期延误由发包人承担。</w:t>
      </w:r>
    </w:p>
    <w:p>
      <w:pPr>
        <w:pStyle w:val="5"/>
        <w:spacing w:before="120" w:after="120" w:line="360" w:lineRule="auto"/>
        <w:ind w:firstLine="103"/>
        <w:rPr>
          <w:rFonts w:ascii="宋体" w:eastAsia="宋体" w:cs="宋体"/>
          <w:bCs w:val="0"/>
          <w:sz w:val="21"/>
          <w:szCs w:val="21"/>
          <w:highlight w:val="none"/>
        </w:rPr>
      </w:pPr>
      <w:bookmarkStart w:id="493" w:name="_Toc410559394"/>
      <w:bookmarkStart w:id="494" w:name="_Toc411736200"/>
      <w:bookmarkStart w:id="495" w:name="_Toc486160025"/>
      <w:bookmarkStart w:id="496" w:name="_Toc184635103"/>
      <w:bookmarkStart w:id="497" w:name="_Toc411736476"/>
      <w:bookmarkStart w:id="498" w:name="_Toc247527692"/>
      <w:bookmarkStart w:id="499" w:name="_Toc247514091"/>
      <w:bookmarkStart w:id="500" w:name="_Toc476860411"/>
      <w:bookmarkStart w:id="501" w:name="_Toc300835092"/>
      <w:r>
        <w:rPr>
          <w:rFonts w:hint="eastAsia" w:ascii="宋体" w:eastAsia="宋体" w:cs="宋体"/>
          <w:bCs w:val="0"/>
          <w:sz w:val="21"/>
          <w:szCs w:val="21"/>
          <w:highlight w:val="none"/>
        </w:rPr>
        <w:t>7. 施工设备和临时设施</w:t>
      </w:r>
      <w:bookmarkEnd w:id="493"/>
      <w:bookmarkEnd w:id="494"/>
      <w:bookmarkEnd w:id="495"/>
      <w:bookmarkEnd w:id="496"/>
      <w:bookmarkEnd w:id="497"/>
      <w:bookmarkEnd w:id="498"/>
      <w:bookmarkEnd w:id="499"/>
      <w:bookmarkEnd w:id="500"/>
      <w:bookmarkEnd w:id="501"/>
    </w:p>
    <w:p>
      <w:pPr>
        <w:pStyle w:val="5"/>
        <w:spacing w:before="120" w:after="120" w:line="360" w:lineRule="auto"/>
        <w:ind w:firstLine="103"/>
        <w:rPr>
          <w:rFonts w:ascii="宋体" w:eastAsia="宋体" w:cs="宋体"/>
          <w:bCs w:val="0"/>
          <w:sz w:val="21"/>
          <w:szCs w:val="21"/>
          <w:highlight w:val="none"/>
        </w:rPr>
      </w:pPr>
      <w:bookmarkStart w:id="502" w:name="_Toc247527693"/>
      <w:bookmarkStart w:id="503" w:name="_Toc410559395"/>
      <w:bookmarkStart w:id="504" w:name="_Toc411736477"/>
      <w:bookmarkStart w:id="505" w:name="_Toc476860412"/>
      <w:bookmarkStart w:id="506" w:name="_Toc300835093"/>
      <w:bookmarkStart w:id="507" w:name="_Toc486160026"/>
      <w:bookmarkStart w:id="508" w:name="_Toc247514092"/>
      <w:bookmarkStart w:id="509" w:name="_Toc411736201"/>
      <w:r>
        <w:rPr>
          <w:rFonts w:hint="eastAsia" w:ascii="宋体" w:eastAsia="宋体" w:cs="宋体"/>
          <w:bCs w:val="0"/>
          <w:sz w:val="21"/>
          <w:szCs w:val="21"/>
          <w:highlight w:val="none"/>
        </w:rPr>
        <w:t>7.1 承包人提供的施工设备和临时设施</w:t>
      </w:r>
      <w:bookmarkEnd w:id="502"/>
      <w:bookmarkEnd w:id="503"/>
      <w:bookmarkEnd w:id="504"/>
      <w:bookmarkEnd w:id="505"/>
      <w:bookmarkEnd w:id="506"/>
      <w:bookmarkEnd w:id="507"/>
      <w:bookmarkEnd w:id="508"/>
      <w:bookmarkEnd w:id="50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7.1.1 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7.1.2 除专用合同条款另有约定外，承包人应自行承担修建临时设施的费用。需要临时占地的，应由发包人办理申请手续并承担相应费用。</w:t>
      </w:r>
    </w:p>
    <w:p>
      <w:pPr>
        <w:pStyle w:val="5"/>
        <w:spacing w:before="120" w:after="120" w:line="360" w:lineRule="auto"/>
        <w:ind w:firstLine="103"/>
        <w:rPr>
          <w:rFonts w:ascii="宋体" w:eastAsia="宋体" w:cs="宋体"/>
          <w:bCs w:val="0"/>
          <w:sz w:val="21"/>
          <w:szCs w:val="21"/>
          <w:highlight w:val="none"/>
        </w:rPr>
      </w:pPr>
      <w:bookmarkStart w:id="510" w:name="_Toc410559396"/>
      <w:bookmarkStart w:id="511" w:name="_Toc411736478"/>
      <w:bookmarkStart w:id="512" w:name="_Toc411736202"/>
      <w:bookmarkStart w:id="513" w:name="_Toc476860413"/>
      <w:bookmarkStart w:id="514" w:name="_Toc486160027"/>
      <w:bookmarkStart w:id="515" w:name="_Toc300835095"/>
      <w:r>
        <w:rPr>
          <w:rFonts w:hint="eastAsia" w:ascii="宋体" w:eastAsia="宋体" w:cs="宋体"/>
          <w:bCs w:val="0"/>
          <w:sz w:val="21"/>
          <w:szCs w:val="21"/>
          <w:highlight w:val="none"/>
        </w:rPr>
        <w:t>7.2 发包人提供的施工设备和临时设施（B）</w:t>
      </w:r>
      <w:bookmarkEnd w:id="510"/>
      <w:bookmarkEnd w:id="511"/>
      <w:bookmarkEnd w:id="512"/>
      <w:bookmarkEnd w:id="513"/>
      <w:bookmarkEnd w:id="514"/>
      <w:bookmarkEnd w:id="51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发包人不提供施工设备或临时设施。</w:t>
      </w:r>
    </w:p>
    <w:p>
      <w:pPr>
        <w:pStyle w:val="5"/>
        <w:spacing w:before="120" w:after="120" w:line="360" w:lineRule="auto"/>
        <w:ind w:firstLine="103"/>
        <w:rPr>
          <w:rFonts w:ascii="宋体" w:eastAsia="宋体" w:cs="宋体"/>
          <w:bCs w:val="0"/>
          <w:sz w:val="21"/>
          <w:szCs w:val="21"/>
          <w:highlight w:val="none"/>
        </w:rPr>
      </w:pPr>
      <w:bookmarkStart w:id="516" w:name="_Toc476860414"/>
      <w:bookmarkStart w:id="517" w:name="_Toc247514094"/>
      <w:bookmarkStart w:id="518" w:name="_Toc410559397"/>
      <w:bookmarkStart w:id="519" w:name="_Toc411736203"/>
      <w:bookmarkStart w:id="520" w:name="_Toc411736479"/>
      <w:bookmarkStart w:id="521" w:name="_Toc247527695"/>
      <w:bookmarkStart w:id="522" w:name="_Toc300835096"/>
      <w:bookmarkStart w:id="523" w:name="_Toc486160028"/>
      <w:r>
        <w:rPr>
          <w:rFonts w:hint="eastAsia" w:ascii="宋体" w:eastAsia="宋体" w:cs="宋体"/>
          <w:bCs w:val="0"/>
          <w:sz w:val="21"/>
          <w:szCs w:val="21"/>
          <w:highlight w:val="none"/>
        </w:rPr>
        <w:t>7.3 要求承包人增加或更换施工设备</w:t>
      </w:r>
      <w:bookmarkEnd w:id="516"/>
      <w:bookmarkEnd w:id="517"/>
      <w:bookmarkEnd w:id="518"/>
      <w:bookmarkEnd w:id="519"/>
      <w:bookmarkEnd w:id="520"/>
      <w:bookmarkEnd w:id="521"/>
      <w:bookmarkEnd w:id="522"/>
      <w:bookmarkEnd w:id="523"/>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承包人使用的施工设备不能满足合同进度计划和（或）质量标准时，监理人有权要求承包人增加或更换施工设备，承包人应及时增加或更换，由此增加的费用和（或）工期延误由承包人承担。</w:t>
      </w:r>
      <w:bookmarkStart w:id="524" w:name="_Toc247514095"/>
      <w:bookmarkStart w:id="525" w:name="_Toc247527696"/>
      <w:bookmarkStart w:id="526" w:name="_Toc300835097"/>
    </w:p>
    <w:p>
      <w:pPr>
        <w:pStyle w:val="5"/>
        <w:spacing w:before="120" w:after="120" w:line="360" w:lineRule="auto"/>
        <w:ind w:firstLine="103"/>
        <w:rPr>
          <w:rFonts w:ascii="宋体" w:eastAsia="宋体" w:cs="宋体"/>
          <w:bCs w:val="0"/>
          <w:sz w:val="21"/>
          <w:szCs w:val="21"/>
          <w:highlight w:val="none"/>
        </w:rPr>
      </w:pPr>
      <w:bookmarkStart w:id="527" w:name="_Toc411736204"/>
      <w:bookmarkStart w:id="528" w:name="_Toc486160029"/>
      <w:bookmarkStart w:id="529" w:name="_Toc410559398"/>
      <w:bookmarkStart w:id="530" w:name="_Toc411736480"/>
      <w:bookmarkStart w:id="531" w:name="_Toc476860415"/>
      <w:r>
        <w:rPr>
          <w:rFonts w:hint="eastAsia" w:ascii="宋体" w:eastAsia="宋体" w:cs="宋体"/>
          <w:bCs w:val="0"/>
          <w:sz w:val="21"/>
          <w:szCs w:val="21"/>
          <w:highlight w:val="none"/>
        </w:rPr>
        <w:t>7.4 施工设备和临时设施专用于合同工程</w:t>
      </w:r>
      <w:bookmarkEnd w:id="524"/>
      <w:bookmarkEnd w:id="525"/>
      <w:bookmarkEnd w:id="526"/>
      <w:bookmarkEnd w:id="527"/>
      <w:bookmarkEnd w:id="528"/>
      <w:bookmarkEnd w:id="529"/>
      <w:bookmarkEnd w:id="530"/>
      <w:bookmarkEnd w:id="53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7.4.1 除合同另有约定外，运入施工场地的所有施工设备以及在施工场地建设的临时设施应专用于合同工程。未经监理人同意，不得将上述施工设备和临时设施中的任何部分运出施工场地或挪作他用。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7.4.2 经监理人同意，承包人可根据合同进度计划撤走闲置的施工设备。</w:t>
      </w:r>
    </w:p>
    <w:p>
      <w:pPr>
        <w:pStyle w:val="5"/>
        <w:spacing w:before="120" w:after="120" w:line="360" w:lineRule="auto"/>
        <w:ind w:firstLine="103"/>
        <w:rPr>
          <w:rFonts w:ascii="宋体" w:eastAsia="宋体" w:cs="宋体"/>
          <w:bCs w:val="0"/>
          <w:sz w:val="21"/>
          <w:szCs w:val="21"/>
          <w:highlight w:val="none"/>
        </w:rPr>
      </w:pPr>
      <w:bookmarkStart w:id="532" w:name="_Toc300835098"/>
      <w:bookmarkStart w:id="533" w:name="_Toc184635104"/>
      <w:bookmarkStart w:id="534" w:name="_Toc247527697"/>
      <w:bookmarkStart w:id="535" w:name="_Toc411736205"/>
      <w:bookmarkStart w:id="536" w:name="_Toc476860416"/>
      <w:bookmarkStart w:id="537" w:name="_Toc411736481"/>
      <w:bookmarkStart w:id="538" w:name="_Toc486160030"/>
      <w:bookmarkStart w:id="539" w:name="_Toc410559399"/>
      <w:bookmarkStart w:id="540" w:name="_Toc247514096"/>
      <w:r>
        <w:rPr>
          <w:rFonts w:hint="eastAsia" w:ascii="宋体" w:eastAsia="宋体" w:cs="宋体"/>
          <w:bCs w:val="0"/>
          <w:sz w:val="21"/>
          <w:szCs w:val="21"/>
          <w:highlight w:val="none"/>
        </w:rPr>
        <w:t>8. 交通运输</w:t>
      </w:r>
      <w:bookmarkEnd w:id="532"/>
      <w:bookmarkEnd w:id="533"/>
      <w:bookmarkEnd w:id="534"/>
      <w:bookmarkEnd w:id="535"/>
      <w:bookmarkEnd w:id="536"/>
      <w:bookmarkEnd w:id="537"/>
      <w:bookmarkEnd w:id="538"/>
      <w:bookmarkEnd w:id="539"/>
      <w:bookmarkEnd w:id="540"/>
    </w:p>
    <w:p>
      <w:pPr>
        <w:pStyle w:val="5"/>
        <w:spacing w:before="120" w:after="120" w:line="360" w:lineRule="auto"/>
        <w:ind w:firstLine="103"/>
        <w:rPr>
          <w:rFonts w:ascii="宋体" w:eastAsia="宋体" w:cs="宋体"/>
          <w:bCs w:val="0"/>
          <w:sz w:val="21"/>
          <w:szCs w:val="21"/>
          <w:highlight w:val="none"/>
        </w:rPr>
      </w:pPr>
      <w:bookmarkStart w:id="541" w:name="_Toc476860417"/>
      <w:bookmarkStart w:id="542" w:name="_Toc300835100"/>
      <w:bookmarkStart w:id="543" w:name="_Toc486160031"/>
      <w:bookmarkStart w:id="544" w:name="_Toc411736482"/>
      <w:bookmarkStart w:id="545" w:name="_Toc410559400"/>
      <w:bookmarkStart w:id="546" w:name="_Toc411736206"/>
      <w:r>
        <w:rPr>
          <w:rFonts w:hint="eastAsia" w:ascii="宋体" w:eastAsia="宋体" w:cs="宋体"/>
          <w:bCs w:val="0"/>
          <w:sz w:val="21"/>
          <w:szCs w:val="21"/>
          <w:highlight w:val="none"/>
        </w:rPr>
        <w:t>8.1 道路通行权和场外设施（B）</w:t>
      </w:r>
      <w:bookmarkEnd w:id="541"/>
      <w:bookmarkEnd w:id="542"/>
      <w:bookmarkEnd w:id="543"/>
      <w:bookmarkEnd w:id="544"/>
      <w:bookmarkEnd w:id="545"/>
      <w:bookmarkEnd w:id="54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承包人应根据工程的施工需要，负责办理取得出入施工场地的专用和临时道路的通行权，以及取得为工程建设所需修建场外设施的权利，并承担有关费用。发包人应协助承包人办理上述手续。</w:t>
      </w:r>
    </w:p>
    <w:p>
      <w:pPr>
        <w:pStyle w:val="5"/>
        <w:spacing w:before="120" w:after="120" w:line="360" w:lineRule="auto"/>
        <w:ind w:firstLine="103"/>
        <w:rPr>
          <w:rFonts w:ascii="宋体" w:eastAsia="宋体" w:cs="宋体"/>
          <w:bCs w:val="0"/>
          <w:sz w:val="21"/>
          <w:szCs w:val="21"/>
          <w:highlight w:val="none"/>
        </w:rPr>
      </w:pPr>
      <w:bookmarkStart w:id="547" w:name="_Toc476860418"/>
      <w:bookmarkStart w:id="548" w:name="_Toc486160032"/>
      <w:bookmarkStart w:id="549" w:name="_Toc410559401"/>
      <w:bookmarkStart w:id="550" w:name="_Toc411736483"/>
      <w:bookmarkStart w:id="551" w:name="_Toc411736207"/>
      <w:bookmarkStart w:id="552" w:name="_Toc247514098"/>
      <w:bookmarkStart w:id="553" w:name="_Toc300835101"/>
      <w:bookmarkStart w:id="554" w:name="_Toc247527699"/>
      <w:r>
        <w:rPr>
          <w:rFonts w:hint="eastAsia" w:ascii="宋体" w:eastAsia="宋体" w:cs="宋体"/>
          <w:bCs w:val="0"/>
          <w:sz w:val="21"/>
          <w:szCs w:val="21"/>
          <w:highlight w:val="none"/>
        </w:rPr>
        <w:t>8.2 场内施工道路</w:t>
      </w:r>
      <w:bookmarkEnd w:id="547"/>
      <w:bookmarkEnd w:id="548"/>
      <w:bookmarkEnd w:id="549"/>
      <w:bookmarkEnd w:id="550"/>
      <w:bookmarkEnd w:id="551"/>
      <w:bookmarkEnd w:id="552"/>
      <w:bookmarkEnd w:id="553"/>
      <w:bookmarkEnd w:id="55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8.2.1 除专用合同条款另有约定外，承包人应负责修建、维修、养护和管理施工所需的临时道路和交通设施，包括维修、养护和管理发包人提供的道路和交通设施，并承担相应费用。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8.2.2 除专用合同条款另有约定外，承包人修建的临时道路和交通设施应免费提供发包人和监理人为实现合同目的使用。</w:t>
      </w:r>
    </w:p>
    <w:p>
      <w:pPr>
        <w:pStyle w:val="5"/>
        <w:spacing w:before="120" w:after="120" w:line="360" w:lineRule="auto"/>
        <w:ind w:firstLine="103"/>
        <w:rPr>
          <w:rFonts w:ascii="宋体" w:eastAsia="宋体" w:cs="宋体"/>
          <w:bCs w:val="0"/>
          <w:sz w:val="21"/>
          <w:szCs w:val="21"/>
          <w:highlight w:val="none"/>
        </w:rPr>
      </w:pPr>
      <w:bookmarkStart w:id="555" w:name="_Toc411736484"/>
      <w:bookmarkStart w:id="556" w:name="_Toc486160033"/>
      <w:bookmarkStart w:id="557" w:name="_Toc300835102"/>
      <w:bookmarkStart w:id="558" w:name="_Toc410559402"/>
      <w:bookmarkStart w:id="559" w:name="_Toc247514099"/>
      <w:bookmarkStart w:id="560" w:name="_Toc247527700"/>
      <w:bookmarkStart w:id="561" w:name="_Toc476860419"/>
      <w:bookmarkStart w:id="562" w:name="_Toc411736208"/>
      <w:r>
        <w:rPr>
          <w:rFonts w:hint="eastAsia" w:ascii="宋体" w:eastAsia="宋体" w:cs="宋体"/>
          <w:bCs w:val="0"/>
          <w:sz w:val="21"/>
          <w:szCs w:val="21"/>
          <w:highlight w:val="none"/>
        </w:rPr>
        <w:t>8.3 场外交通</w:t>
      </w:r>
      <w:bookmarkEnd w:id="555"/>
      <w:bookmarkEnd w:id="556"/>
      <w:bookmarkEnd w:id="557"/>
      <w:bookmarkEnd w:id="558"/>
      <w:bookmarkEnd w:id="559"/>
      <w:bookmarkEnd w:id="560"/>
      <w:bookmarkEnd w:id="561"/>
      <w:bookmarkEnd w:id="56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8.3.1 承包人车辆外出行驶所需的场外公共道路的通行费、养路费和税款等由承包人承担。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8.3.2 承包人应遵守有关交通法规，严格按照道路和桥梁的限制荷重安全行驶，并服从交通管理部门的检查和监督。</w:t>
      </w:r>
    </w:p>
    <w:p>
      <w:pPr>
        <w:pStyle w:val="5"/>
        <w:spacing w:before="120" w:after="120" w:line="360" w:lineRule="auto"/>
        <w:ind w:firstLine="103"/>
        <w:rPr>
          <w:rFonts w:ascii="宋体" w:eastAsia="宋体" w:cs="宋体"/>
          <w:bCs w:val="0"/>
          <w:sz w:val="21"/>
          <w:szCs w:val="21"/>
          <w:highlight w:val="none"/>
        </w:rPr>
      </w:pPr>
      <w:bookmarkStart w:id="563" w:name="_Toc411736209"/>
      <w:bookmarkStart w:id="564" w:name="_Toc411736485"/>
      <w:bookmarkStart w:id="565" w:name="_Toc300835103"/>
      <w:bookmarkStart w:id="566" w:name="_Toc476860420"/>
      <w:bookmarkStart w:id="567" w:name="_Toc486160034"/>
      <w:bookmarkStart w:id="568" w:name="_Toc247527701"/>
      <w:bookmarkStart w:id="569" w:name="_Toc247514100"/>
      <w:bookmarkStart w:id="570" w:name="_Toc410559403"/>
      <w:r>
        <w:rPr>
          <w:rFonts w:hint="eastAsia" w:ascii="宋体" w:eastAsia="宋体" w:cs="宋体"/>
          <w:bCs w:val="0"/>
          <w:sz w:val="21"/>
          <w:szCs w:val="21"/>
          <w:highlight w:val="none"/>
        </w:rPr>
        <w:t>8.4 超大件和超重件的运输</w:t>
      </w:r>
      <w:bookmarkEnd w:id="563"/>
      <w:bookmarkEnd w:id="564"/>
      <w:bookmarkEnd w:id="565"/>
      <w:bookmarkEnd w:id="566"/>
      <w:bookmarkEnd w:id="567"/>
      <w:bookmarkEnd w:id="568"/>
      <w:bookmarkEnd w:id="569"/>
      <w:bookmarkEnd w:id="570"/>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5"/>
        <w:spacing w:before="120" w:after="120" w:line="360" w:lineRule="auto"/>
        <w:ind w:firstLine="103"/>
        <w:rPr>
          <w:rFonts w:ascii="宋体" w:eastAsia="宋体" w:cs="宋体"/>
          <w:bCs w:val="0"/>
          <w:sz w:val="21"/>
          <w:szCs w:val="21"/>
          <w:highlight w:val="none"/>
        </w:rPr>
      </w:pPr>
      <w:bookmarkStart w:id="571" w:name="_Toc476860421"/>
      <w:bookmarkStart w:id="572" w:name="_Toc410559404"/>
      <w:bookmarkStart w:id="573" w:name="_Toc411736210"/>
      <w:bookmarkStart w:id="574" w:name="_Toc247514101"/>
      <w:bookmarkStart w:id="575" w:name="_Toc247527702"/>
      <w:bookmarkStart w:id="576" w:name="_Toc411736486"/>
      <w:bookmarkStart w:id="577" w:name="_Toc486160035"/>
      <w:bookmarkStart w:id="578" w:name="_Toc300835104"/>
      <w:r>
        <w:rPr>
          <w:rFonts w:hint="eastAsia" w:ascii="宋体" w:eastAsia="宋体" w:cs="宋体"/>
          <w:bCs w:val="0"/>
          <w:sz w:val="21"/>
          <w:szCs w:val="21"/>
          <w:highlight w:val="none"/>
        </w:rPr>
        <w:t>8.5 道路和桥梁的损坏责任</w:t>
      </w:r>
      <w:bookmarkEnd w:id="571"/>
      <w:bookmarkEnd w:id="572"/>
      <w:bookmarkEnd w:id="573"/>
      <w:bookmarkEnd w:id="574"/>
      <w:bookmarkEnd w:id="575"/>
      <w:bookmarkEnd w:id="576"/>
      <w:bookmarkEnd w:id="577"/>
      <w:bookmarkEnd w:id="578"/>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因承包人运输造成施工场地内外公共道路和桥梁损坏的，由承包人承担修复损坏的全部费用和可能引起的赔偿。</w:t>
      </w:r>
    </w:p>
    <w:p>
      <w:pPr>
        <w:pStyle w:val="5"/>
        <w:spacing w:before="120" w:after="120" w:line="360" w:lineRule="auto"/>
        <w:ind w:firstLine="103"/>
        <w:rPr>
          <w:rFonts w:ascii="宋体" w:eastAsia="宋体" w:cs="宋体"/>
          <w:bCs w:val="0"/>
          <w:sz w:val="21"/>
          <w:szCs w:val="21"/>
          <w:highlight w:val="none"/>
        </w:rPr>
      </w:pPr>
      <w:bookmarkStart w:id="579" w:name="_Toc411736211"/>
      <w:bookmarkStart w:id="580" w:name="_Toc411736487"/>
      <w:bookmarkStart w:id="581" w:name="_Toc300835105"/>
      <w:bookmarkStart w:id="582" w:name="_Toc247527703"/>
      <w:bookmarkStart w:id="583" w:name="_Toc486160036"/>
      <w:bookmarkStart w:id="584" w:name="_Toc476860422"/>
      <w:bookmarkStart w:id="585" w:name="_Toc410559405"/>
      <w:bookmarkStart w:id="586" w:name="_Toc247514102"/>
      <w:r>
        <w:rPr>
          <w:rFonts w:hint="eastAsia" w:ascii="宋体" w:eastAsia="宋体" w:cs="宋体"/>
          <w:bCs w:val="0"/>
          <w:sz w:val="21"/>
          <w:szCs w:val="21"/>
          <w:highlight w:val="none"/>
        </w:rPr>
        <w:t>8.6 水路和航空运输</w:t>
      </w:r>
      <w:bookmarkEnd w:id="579"/>
      <w:bookmarkEnd w:id="580"/>
      <w:bookmarkEnd w:id="581"/>
      <w:bookmarkEnd w:id="582"/>
      <w:bookmarkEnd w:id="583"/>
      <w:bookmarkEnd w:id="584"/>
      <w:bookmarkEnd w:id="585"/>
      <w:bookmarkEnd w:id="58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pPr>
        <w:pStyle w:val="5"/>
        <w:spacing w:before="120" w:after="120" w:line="360" w:lineRule="auto"/>
        <w:ind w:firstLine="103"/>
        <w:rPr>
          <w:rFonts w:ascii="宋体" w:eastAsia="宋体" w:cs="宋体"/>
          <w:bCs w:val="0"/>
          <w:sz w:val="21"/>
          <w:szCs w:val="21"/>
          <w:highlight w:val="none"/>
        </w:rPr>
      </w:pPr>
      <w:bookmarkStart w:id="587" w:name="_Toc247527704"/>
      <w:bookmarkStart w:id="588" w:name="_Toc411736488"/>
      <w:bookmarkStart w:id="589" w:name="_Toc300835106"/>
      <w:bookmarkStart w:id="590" w:name="_Toc411736212"/>
      <w:bookmarkStart w:id="591" w:name="_Toc486160037"/>
      <w:bookmarkStart w:id="592" w:name="_Toc247514103"/>
      <w:bookmarkStart w:id="593" w:name="_Toc184635105"/>
      <w:bookmarkStart w:id="594" w:name="_Toc410559406"/>
      <w:bookmarkStart w:id="595" w:name="_Toc476860423"/>
      <w:r>
        <w:rPr>
          <w:rFonts w:hint="eastAsia" w:ascii="宋体" w:eastAsia="宋体" w:cs="宋体"/>
          <w:bCs w:val="0"/>
          <w:sz w:val="21"/>
          <w:szCs w:val="21"/>
          <w:highlight w:val="none"/>
        </w:rPr>
        <w:t>9. 测量放线</w:t>
      </w:r>
      <w:bookmarkEnd w:id="587"/>
      <w:bookmarkEnd w:id="588"/>
      <w:bookmarkEnd w:id="589"/>
      <w:bookmarkEnd w:id="590"/>
      <w:bookmarkEnd w:id="591"/>
      <w:bookmarkEnd w:id="592"/>
      <w:bookmarkEnd w:id="593"/>
      <w:bookmarkEnd w:id="594"/>
      <w:bookmarkEnd w:id="595"/>
    </w:p>
    <w:p>
      <w:pPr>
        <w:pStyle w:val="5"/>
        <w:spacing w:before="120" w:after="120" w:line="360" w:lineRule="auto"/>
        <w:ind w:firstLine="103"/>
        <w:rPr>
          <w:rFonts w:ascii="宋体" w:eastAsia="宋体" w:cs="宋体"/>
          <w:bCs w:val="0"/>
          <w:sz w:val="21"/>
          <w:szCs w:val="21"/>
          <w:highlight w:val="none"/>
        </w:rPr>
      </w:pPr>
      <w:bookmarkStart w:id="596" w:name="_Toc410559407"/>
      <w:bookmarkStart w:id="597" w:name="_Toc247514104"/>
      <w:bookmarkStart w:id="598" w:name="_Toc411736213"/>
      <w:bookmarkStart w:id="599" w:name="_Toc411736489"/>
      <w:bookmarkStart w:id="600" w:name="_Toc300835107"/>
      <w:bookmarkStart w:id="601" w:name="_Toc486160038"/>
      <w:bookmarkStart w:id="602" w:name="_Toc476860424"/>
      <w:bookmarkStart w:id="603" w:name="_Toc247527705"/>
      <w:r>
        <w:rPr>
          <w:rFonts w:hint="eastAsia" w:ascii="宋体" w:eastAsia="宋体" w:cs="宋体"/>
          <w:bCs w:val="0"/>
          <w:sz w:val="21"/>
          <w:szCs w:val="21"/>
          <w:highlight w:val="none"/>
        </w:rPr>
        <w:t>9.1 施工控制网</w:t>
      </w:r>
      <w:bookmarkEnd w:id="596"/>
      <w:bookmarkEnd w:id="597"/>
      <w:bookmarkEnd w:id="598"/>
      <w:bookmarkEnd w:id="599"/>
      <w:bookmarkEnd w:id="600"/>
      <w:bookmarkEnd w:id="601"/>
      <w:bookmarkEnd w:id="602"/>
      <w:bookmarkEnd w:id="603"/>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9.1.1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9.1.2 承包人应负责管理施工控制网点。施工控制网点丢失或损坏的，承包人应及时修复。承包人应承担施工控制网点的管理与修复费用，并在工程竣工后将施工控制网点移交发包人。</w:t>
      </w:r>
    </w:p>
    <w:p>
      <w:pPr>
        <w:pStyle w:val="5"/>
        <w:spacing w:before="120" w:after="120" w:line="360" w:lineRule="auto"/>
        <w:ind w:firstLine="103"/>
        <w:rPr>
          <w:rFonts w:ascii="宋体" w:eastAsia="宋体" w:cs="宋体"/>
          <w:bCs w:val="0"/>
          <w:sz w:val="21"/>
          <w:szCs w:val="21"/>
          <w:highlight w:val="none"/>
        </w:rPr>
      </w:pPr>
      <w:bookmarkStart w:id="604" w:name="_Toc411736214"/>
      <w:bookmarkStart w:id="605" w:name="_Toc247514105"/>
      <w:bookmarkStart w:id="606" w:name="_Toc410559408"/>
      <w:bookmarkStart w:id="607" w:name="_Toc247527706"/>
      <w:bookmarkStart w:id="608" w:name="_Toc476860425"/>
      <w:bookmarkStart w:id="609" w:name="_Toc411736490"/>
      <w:bookmarkStart w:id="610" w:name="_Toc300835108"/>
      <w:bookmarkStart w:id="611" w:name="_Toc486160039"/>
      <w:r>
        <w:rPr>
          <w:rFonts w:hint="eastAsia" w:ascii="宋体" w:eastAsia="宋体" w:cs="宋体"/>
          <w:bCs w:val="0"/>
          <w:sz w:val="21"/>
          <w:szCs w:val="21"/>
          <w:highlight w:val="none"/>
        </w:rPr>
        <w:t>9.2 施工测量</w:t>
      </w:r>
      <w:bookmarkEnd w:id="604"/>
      <w:bookmarkEnd w:id="605"/>
      <w:bookmarkEnd w:id="606"/>
      <w:bookmarkEnd w:id="607"/>
      <w:bookmarkEnd w:id="608"/>
      <w:bookmarkEnd w:id="609"/>
      <w:bookmarkEnd w:id="610"/>
      <w:bookmarkEnd w:id="61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9.2.1 承包人应负责施工过程中的全部施工测量放线工作，并配置合格的人员、仪器、设备和其他物品。</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9.2.2 监理人可以指示承包人进行抽样复测，当复测中发现错误或出现超过合同约定的误差时，承包人应按监理人指示进行修正或补测，并承担相应的复测费用。</w:t>
      </w:r>
    </w:p>
    <w:p>
      <w:pPr>
        <w:pStyle w:val="5"/>
        <w:spacing w:before="120" w:after="120" w:line="360" w:lineRule="auto"/>
        <w:ind w:firstLine="103"/>
        <w:rPr>
          <w:rFonts w:ascii="宋体" w:eastAsia="宋体" w:cs="宋体"/>
          <w:bCs w:val="0"/>
          <w:sz w:val="21"/>
          <w:szCs w:val="21"/>
          <w:highlight w:val="none"/>
        </w:rPr>
      </w:pPr>
      <w:bookmarkStart w:id="612" w:name="_Toc247527707"/>
      <w:bookmarkStart w:id="613" w:name="_Toc410559409"/>
      <w:bookmarkStart w:id="614" w:name="_Toc247514106"/>
      <w:bookmarkStart w:id="615" w:name="_Toc411736215"/>
      <w:bookmarkStart w:id="616" w:name="_Toc411736491"/>
      <w:bookmarkStart w:id="617" w:name="_Toc300835109"/>
      <w:bookmarkStart w:id="618" w:name="_Toc486160040"/>
      <w:bookmarkStart w:id="619" w:name="_Toc476860426"/>
      <w:r>
        <w:rPr>
          <w:rFonts w:hint="eastAsia" w:ascii="宋体" w:eastAsia="宋体" w:cs="宋体"/>
          <w:bCs w:val="0"/>
          <w:sz w:val="21"/>
          <w:szCs w:val="21"/>
          <w:highlight w:val="none"/>
        </w:rPr>
        <w:t>9.3 基准资料错误的责任</w:t>
      </w:r>
      <w:bookmarkEnd w:id="612"/>
      <w:bookmarkEnd w:id="613"/>
      <w:bookmarkEnd w:id="614"/>
      <w:bookmarkEnd w:id="615"/>
      <w:bookmarkEnd w:id="616"/>
      <w:bookmarkEnd w:id="617"/>
      <w:bookmarkEnd w:id="618"/>
      <w:bookmarkEnd w:id="61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pPr>
        <w:pStyle w:val="5"/>
        <w:spacing w:before="120" w:after="120" w:line="360" w:lineRule="auto"/>
        <w:ind w:firstLine="103"/>
        <w:rPr>
          <w:rFonts w:ascii="宋体" w:eastAsia="宋体" w:cs="宋体"/>
          <w:bCs w:val="0"/>
          <w:sz w:val="21"/>
          <w:szCs w:val="21"/>
          <w:highlight w:val="none"/>
        </w:rPr>
      </w:pPr>
      <w:bookmarkStart w:id="620" w:name="_Toc411736216"/>
      <w:bookmarkStart w:id="621" w:name="_Toc411736492"/>
      <w:bookmarkStart w:id="622" w:name="_Toc247514107"/>
      <w:bookmarkStart w:id="623" w:name="_Toc300835110"/>
      <w:bookmarkStart w:id="624" w:name="_Toc410559410"/>
      <w:bookmarkStart w:id="625" w:name="_Toc247527708"/>
      <w:bookmarkStart w:id="626" w:name="_Toc486160041"/>
      <w:bookmarkStart w:id="627" w:name="_Toc476860427"/>
      <w:r>
        <w:rPr>
          <w:rFonts w:hint="eastAsia" w:ascii="宋体" w:eastAsia="宋体" w:cs="宋体"/>
          <w:bCs w:val="0"/>
          <w:sz w:val="21"/>
          <w:szCs w:val="21"/>
          <w:highlight w:val="none"/>
        </w:rPr>
        <w:t>9.4 监理人使用施工控制网</w:t>
      </w:r>
      <w:bookmarkEnd w:id="620"/>
      <w:bookmarkEnd w:id="621"/>
      <w:bookmarkEnd w:id="622"/>
      <w:bookmarkEnd w:id="623"/>
      <w:bookmarkEnd w:id="624"/>
      <w:bookmarkEnd w:id="625"/>
      <w:bookmarkEnd w:id="626"/>
      <w:bookmarkEnd w:id="62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监理人需要使用施工控制网的，承包人应提供必要的协助，发包人不再为此支付费用。</w:t>
      </w:r>
    </w:p>
    <w:p>
      <w:pPr>
        <w:pStyle w:val="5"/>
        <w:spacing w:before="120" w:after="120" w:line="360" w:lineRule="auto"/>
        <w:ind w:firstLine="103"/>
        <w:rPr>
          <w:rFonts w:ascii="宋体" w:eastAsia="宋体" w:cs="宋体"/>
          <w:bCs w:val="0"/>
          <w:sz w:val="21"/>
          <w:szCs w:val="21"/>
          <w:highlight w:val="none"/>
        </w:rPr>
      </w:pPr>
      <w:bookmarkStart w:id="628" w:name="_Toc410559411"/>
      <w:bookmarkStart w:id="629" w:name="_Toc476860428"/>
      <w:bookmarkStart w:id="630" w:name="_Toc411736217"/>
      <w:bookmarkStart w:id="631" w:name="_Toc184635106"/>
      <w:bookmarkStart w:id="632" w:name="_Toc247514108"/>
      <w:bookmarkStart w:id="633" w:name="_Toc486160042"/>
      <w:bookmarkStart w:id="634" w:name="_Toc411736493"/>
      <w:bookmarkStart w:id="635" w:name="_Toc300835111"/>
      <w:bookmarkStart w:id="636" w:name="_Toc247527709"/>
      <w:r>
        <w:rPr>
          <w:rFonts w:hint="eastAsia" w:ascii="宋体" w:eastAsia="宋体" w:cs="宋体"/>
          <w:bCs w:val="0"/>
          <w:sz w:val="21"/>
          <w:szCs w:val="21"/>
          <w:highlight w:val="none"/>
        </w:rPr>
        <w:t>10. 安全、治安保卫和环境保护</w:t>
      </w:r>
      <w:bookmarkEnd w:id="628"/>
      <w:bookmarkEnd w:id="629"/>
      <w:bookmarkEnd w:id="630"/>
      <w:bookmarkEnd w:id="631"/>
      <w:bookmarkEnd w:id="632"/>
      <w:bookmarkEnd w:id="633"/>
      <w:bookmarkEnd w:id="634"/>
      <w:bookmarkEnd w:id="635"/>
      <w:bookmarkEnd w:id="636"/>
    </w:p>
    <w:p>
      <w:pPr>
        <w:pStyle w:val="5"/>
        <w:spacing w:before="120" w:after="120" w:line="360" w:lineRule="auto"/>
        <w:ind w:firstLine="103"/>
        <w:rPr>
          <w:rFonts w:ascii="宋体" w:eastAsia="宋体" w:cs="宋体"/>
          <w:bCs w:val="0"/>
          <w:sz w:val="21"/>
          <w:szCs w:val="21"/>
          <w:highlight w:val="none"/>
        </w:rPr>
      </w:pPr>
      <w:bookmarkStart w:id="637" w:name="_Toc247514109"/>
      <w:bookmarkStart w:id="638" w:name="_Toc300835112"/>
      <w:bookmarkStart w:id="639" w:name="_Toc486160043"/>
      <w:bookmarkStart w:id="640" w:name="_Toc411736218"/>
      <w:bookmarkStart w:id="641" w:name="_Toc476860429"/>
      <w:bookmarkStart w:id="642" w:name="_Toc247527710"/>
      <w:bookmarkStart w:id="643" w:name="_Toc410559412"/>
      <w:bookmarkStart w:id="644" w:name="_Toc411736494"/>
      <w:r>
        <w:rPr>
          <w:rFonts w:hint="eastAsia" w:ascii="宋体" w:eastAsia="宋体" w:cs="宋体"/>
          <w:bCs w:val="0"/>
          <w:sz w:val="21"/>
          <w:szCs w:val="21"/>
          <w:highlight w:val="none"/>
        </w:rPr>
        <w:t>10.1 发包人的安全责任</w:t>
      </w:r>
      <w:bookmarkEnd w:id="637"/>
      <w:bookmarkEnd w:id="638"/>
      <w:bookmarkEnd w:id="639"/>
      <w:bookmarkEnd w:id="640"/>
      <w:bookmarkEnd w:id="641"/>
      <w:bookmarkEnd w:id="642"/>
      <w:bookmarkEnd w:id="643"/>
      <w:bookmarkEnd w:id="64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10.1.1 发包人应按合同约定履行安全职责，授权监理人按合同约定的安全工作内容监督、检查承包人安全工作的实施，组织承包人和有关单位进行安全检查。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10.1.2 发包人应对其现场机构雇佣的全部人员的工伤事故承担责任，但由于承包人原因造成发包人人员工伤的，应由承包人承担责任。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10.1.3 发包人应负责赔偿以下各种情况造成的第三者人身伤亡和财产损失：</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（1）工程或工程的任何部分对土地的占用所造成的第三者财产损失；</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（2）由于发包人原因在施工场地及其毗邻地带、履行合同工作中造成的第三者人身伤亡和财产损失。</w:t>
      </w:r>
    </w:p>
    <w:p>
      <w:pPr>
        <w:pStyle w:val="5"/>
        <w:spacing w:before="120" w:after="120" w:line="360" w:lineRule="auto"/>
        <w:ind w:firstLine="103"/>
        <w:rPr>
          <w:rFonts w:ascii="宋体" w:eastAsia="宋体" w:cs="宋体"/>
          <w:bCs w:val="0"/>
          <w:sz w:val="21"/>
          <w:szCs w:val="21"/>
          <w:highlight w:val="none"/>
        </w:rPr>
      </w:pPr>
      <w:bookmarkStart w:id="645" w:name="_Toc476860430"/>
      <w:bookmarkStart w:id="646" w:name="_Toc300835113"/>
      <w:bookmarkStart w:id="647" w:name="_Toc410559413"/>
      <w:bookmarkStart w:id="648" w:name="_Toc411736219"/>
      <w:bookmarkStart w:id="649" w:name="_Toc247514110"/>
      <w:bookmarkStart w:id="650" w:name="_Toc411736495"/>
      <w:bookmarkStart w:id="651" w:name="_Toc247527711"/>
      <w:bookmarkStart w:id="652" w:name="_Toc486160044"/>
      <w:r>
        <w:rPr>
          <w:rFonts w:hint="eastAsia" w:ascii="宋体" w:eastAsia="宋体" w:cs="宋体"/>
          <w:bCs w:val="0"/>
          <w:sz w:val="21"/>
          <w:szCs w:val="21"/>
          <w:highlight w:val="none"/>
        </w:rPr>
        <w:t>10.2 承包人的安全责任</w:t>
      </w:r>
      <w:bookmarkEnd w:id="645"/>
      <w:bookmarkEnd w:id="646"/>
      <w:bookmarkEnd w:id="647"/>
      <w:bookmarkEnd w:id="648"/>
      <w:bookmarkEnd w:id="649"/>
      <w:bookmarkEnd w:id="650"/>
      <w:bookmarkEnd w:id="651"/>
      <w:bookmarkEnd w:id="65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10.2.1 承包人应按合同约定履行安全职责，执行监理人有关安全工作的指示，并在专用合同条款约定的期限内，按合同约定的安全工作内容，编制安全措施计划报送监理人批准。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10.2.2 承包人按照合同约定需要进行勘察的，应严格执行操作规程，采取措施保证各类管线、设施和周边建筑物、构筑物的安全。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10.2.3 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10.2.4 承包人应加强施工作业安全管理，特别应加强易燃、易爆材料、火工器材、有毒与腐蚀性材料和其他危险品的管理，以及对爆破作业和地下工程施工等危险作业的管理。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10.2.5 承包人应严格按照国家安全标准制定施工安全操作规程，配备必要的安全生产和劳动保护设施，加强对承包人人员的安全教育，并发放安全工作手册和劳动保护用具。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10.2.6 承包人应按监理人的指示制定应对灾害的紧急预案，报送监理人批准。承包人还应按预案做好安全检查，配置必要的救助物资和器材，切实保护好有关人员的人身和财产安全。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10.2.7 合同约定的安全作业环境及安全施工措施所需费用应遵守有关规定，并包括在相关工作的合同价格中。因采取合同未约定的安全作业环境及安全施工措施增加的费用，由监理人按第3.5 款商定或确定。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10.2.8 承包人应对其履行合同所雇佣的全部人员，包括分包人人员的工伤事故承担责任，但由于发包人原因造成承包人人员工伤事故的，应由发包人承担责任。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10.2.9 由于承包人原因在施工场地内及其毗邻地带造成的第三者人员伤亡和财产损失，由承包人负责赔偿。</w:t>
      </w:r>
    </w:p>
    <w:p>
      <w:pPr>
        <w:pStyle w:val="5"/>
        <w:spacing w:before="120" w:after="120" w:line="360" w:lineRule="auto"/>
        <w:ind w:firstLine="103"/>
        <w:rPr>
          <w:rFonts w:ascii="宋体" w:eastAsia="宋体" w:cs="宋体"/>
          <w:bCs w:val="0"/>
          <w:sz w:val="21"/>
          <w:szCs w:val="21"/>
          <w:highlight w:val="none"/>
        </w:rPr>
      </w:pPr>
      <w:bookmarkStart w:id="653" w:name="_Toc411736496"/>
      <w:bookmarkStart w:id="654" w:name="_Toc247514111"/>
      <w:bookmarkStart w:id="655" w:name="_Toc300835114"/>
      <w:bookmarkStart w:id="656" w:name="_Toc410559414"/>
      <w:bookmarkStart w:id="657" w:name="_Toc411736220"/>
      <w:bookmarkStart w:id="658" w:name="_Toc247527712"/>
      <w:bookmarkStart w:id="659" w:name="_Toc486160045"/>
      <w:bookmarkStart w:id="660" w:name="_Toc476860431"/>
      <w:r>
        <w:rPr>
          <w:rFonts w:hint="eastAsia" w:ascii="宋体" w:eastAsia="宋体" w:cs="宋体"/>
          <w:bCs w:val="0"/>
          <w:sz w:val="21"/>
          <w:szCs w:val="21"/>
          <w:highlight w:val="none"/>
        </w:rPr>
        <w:t>10.3 治安保卫</w:t>
      </w:r>
      <w:bookmarkEnd w:id="653"/>
      <w:bookmarkEnd w:id="654"/>
      <w:bookmarkEnd w:id="655"/>
      <w:bookmarkEnd w:id="656"/>
      <w:bookmarkEnd w:id="657"/>
      <w:bookmarkEnd w:id="658"/>
      <w:bookmarkEnd w:id="659"/>
      <w:bookmarkEnd w:id="660"/>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10.3.1 除合同另有约定外，承包人应与当地公安部门协商，在现场建立治安管理机构或联防组织，统一管理施工场地的治安保卫事项，履行合同工程的治安保卫职责。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10.3.2 发包人和承包人除应协助现场治安管理机构或联防组织维护施工场地的社会治安外，还应做好包括生活区在内的各自管辖区的治安保卫工作。</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10.3.3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5"/>
        <w:spacing w:before="120" w:after="120" w:line="360" w:lineRule="auto"/>
        <w:ind w:firstLine="103"/>
        <w:rPr>
          <w:rFonts w:ascii="宋体" w:eastAsia="宋体" w:cs="宋体"/>
          <w:bCs w:val="0"/>
          <w:sz w:val="21"/>
          <w:szCs w:val="21"/>
          <w:highlight w:val="none"/>
        </w:rPr>
      </w:pPr>
      <w:bookmarkStart w:id="661" w:name="_Toc247514112"/>
      <w:bookmarkStart w:id="662" w:name="_Toc486160046"/>
      <w:bookmarkStart w:id="663" w:name="_Toc410559415"/>
      <w:bookmarkStart w:id="664" w:name="_Toc247527713"/>
      <w:bookmarkStart w:id="665" w:name="_Toc411736221"/>
      <w:bookmarkStart w:id="666" w:name="_Toc476860432"/>
      <w:bookmarkStart w:id="667" w:name="_Toc300835115"/>
      <w:bookmarkStart w:id="668" w:name="_Toc411736497"/>
      <w:r>
        <w:rPr>
          <w:rFonts w:hint="eastAsia" w:ascii="宋体" w:eastAsia="宋体" w:cs="宋体"/>
          <w:bCs w:val="0"/>
          <w:sz w:val="21"/>
          <w:szCs w:val="21"/>
          <w:highlight w:val="none"/>
        </w:rPr>
        <w:t>10.4 环境保护</w:t>
      </w:r>
      <w:bookmarkEnd w:id="661"/>
      <w:bookmarkEnd w:id="662"/>
      <w:bookmarkEnd w:id="663"/>
      <w:bookmarkEnd w:id="664"/>
      <w:bookmarkEnd w:id="665"/>
      <w:bookmarkEnd w:id="666"/>
      <w:bookmarkEnd w:id="667"/>
      <w:bookmarkEnd w:id="668"/>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10.4.1 承包人在履行合同过程中，应遵守有关环境保护的法律，履行合同约定的环境保护义务，并对违反法律和合同约定义务所造成的环境破坏、人身伤害和财产损失负责。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10.4.2 承包人应按合同约定的环保工作内容，编制环保措施计划，报送监理人批准。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10.4.3 承包人应确保施工过程中产生的气体排放物、粉尘、噪声、地面排水及排污等，符合法律规定和发包人要求。</w:t>
      </w:r>
    </w:p>
    <w:p>
      <w:pPr>
        <w:pStyle w:val="5"/>
        <w:spacing w:before="120" w:after="120" w:line="360" w:lineRule="auto"/>
        <w:ind w:firstLine="103"/>
        <w:rPr>
          <w:rFonts w:ascii="宋体" w:eastAsia="宋体" w:cs="宋体"/>
          <w:bCs w:val="0"/>
          <w:sz w:val="21"/>
          <w:szCs w:val="21"/>
          <w:highlight w:val="none"/>
        </w:rPr>
      </w:pPr>
      <w:bookmarkStart w:id="669" w:name="_Toc411736222"/>
      <w:bookmarkStart w:id="670" w:name="_Toc410559416"/>
      <w:bookmarkStart w:id="671" w:name="_Toc486160047"/>
      <w:bookmarkStart w:id="672" w:name="_Toc411736498"/>
      <w:bookmarkStart w:id="673" w:name="_Toc476860433"/>
      <w:bookmarkStart w:id="674" w:name="_Toc247514113"/>
      <w:bookmarkStart w:id="675" w:name="_Toc247527714"/>
      <w:bookmarkStart w:id="676" w:name="_Toc300835116"/>
      <w:r>
        <w:rPr>
          <w:rFonts w:hint="eastAsia" w:ascii="宋体" w:eastAsia="宋体" w:cs="宋体"/>
          <w:bCs w:val="0"/>
          <w:sz w:val="21"/>
          <w:szCs w:val="21"/>
          <w:highlight w:val="none"/>
        </w:rPr>
        <w:t>10.5 事故处理</w:t>
      </w:r>
      <w:bookmarkEnd w:id="669"/>
      <w:bookmarkEnd w:id="670"/>
      <w:bookmarkEnd w:id="671"/>
      <w:bookmarkEnd w:id="672"/>
      <w:bookmarkEnd w:id="673"/>
      <w:bookmarkEnd w:id="674"/>
      <w:bookmarkEnd w:id="675"/>
      <w:bookmarkEnd w:id="67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5"/>
        <w:spacing w:before="120" w:after="120" w:line="360" w:lineRule="auto"/>
        <w:ind w:firstLine="103"/>
        <w:rPr>
          <w:rFonts w:ascii="宋体" w:eastAsia="宋体" w:cs="宋体"/>
          <w:bCs w:val="0"/>
          <w:sz w:val="21"/>
          <w:szCs w:val="21"/>
          <w:highlight w:val="none"/>
        </w:rPr>
      </w:pPr>
      <w:bookmarkStart w:id="677" w:name="_Toc486160048"/>
      <w:bookmarkStart w:id="678" w:name="_Toc410559417"/>
      <w:bookmarkStart w:id="679" w:name="_Toc247527715"/>
      <w:bookmarkStart w:id="680" w:name="_Toc184635108"/>
      <w:bookmarkStart w:id="681" w:name="_Toc476860434"/>
      <w:bookmarkStart w:id="682" w:name="_Toc300835117"/>
      <w:bookmarkStart w:id="683" w:name="_Toc411736499"/>
      <w:bookmarkStart w:id="684" w:name="_Toc247514114"/>
      <w:bookmarkStart w:id="685" w:name="_Toc411736223"/>
      <w:r>
        <w:rPr>
          <w:rFonts w:hint="eastAsia" w:ascii="宋体" w:eastAsia="宋体" w:cs="宋体"/>
          <w:bCs w:val="0"/>
          <w:sz w:val="21"/>
          <w:szCs w:val="21"/>
          <w:highlight w:val="none"/>
        </w:rPr>
        <w:t>11. 开始工作和竣工</w:t>
      </w:r>
      <w:bookmarkEnd w:id="677"/>
      <w:bookmarkEnd w:id="678"/>
      <w:bookmarkEnd w:id="679"/>
      <w:bookmarkEnd w:id="680"/>
      <w:bookmarkEnd w:id="681"/>
      <w:bookmarkEnd w:id="682"/>
      <w:bookmarkEnd w:id="683"/>
      <w:bookmarkEnd w:id="684"/>
      <w:bookmarkEnd w:id="685"/>
    </w:p>
    <w:p>
      <w:pPr>
        <w:pStyle w:val="5"/>
        <w:spacing w:before="120" w:after="120" w:line="360" w:lineRule="auto"/>
        <w:ind w:firstLine="103"/>
        <w:rPr>
          <w:rFonts w:ascii="宋体" w:eastAsia="宋体" w:cs="宋体"/>
          <w:bCs w:val="0"/>
          <w:sz w:val="21"/>
          <w:szCs w:val="21"/>
          <w:highlight w:val="none"/>
        </w:rPr>
      </w:pPr>
      <w:bookmarkStart w:id="686" w:name="_Toc411736224"/>
      <w:bookmarkStart w:id="687" w:name="_Toc247514115"/>
      <w:bookmarkStart w:id="688" w:name="_Toc476860435"/>
      <w:bookmarkStart w:id="689" w:name="_Toc410559418"/>
      <w:bookmarkStart w:id="690" w:name="_Toc300835118"/>
      <w:bookmarkStart w:id="691" w:name="_Toc411736500"/>
      <w:bookmarkStart w:id="692" w:name="_Toc486160049"/>
      <w:bookmarkStart w:id="693" w:name="_Toc247527716"/>
      <w:r>
        <w:rPr>
          <w:rFonts w:hint="eastAsia" w:ascii="宋体" w:eastAsia="宋体" w:cs="宋体"/>
          <w:bCs w:val="0"/>
          <w:sz w:val="21"/>
          <w:szCs w:val="21"/>
          <w:highlight w:val="none"/>
        </w:rPr>
        <w:t>11.1 开始工作</w:t>
      </w:r>
      <w:bookmarkEnd w:id="686"/>
      <w:bookmarkEnd w:id="687"/>
      <w:bookmarkEnd w:id="688"/>
      <w:bookmarkEnd w:id="689"/>
      <w:bookmarkEnd w:id="690"/>
      <w:bookmarkEnd w:id="691"/>
      <w:bookmarkEnd w:id="692"/>
      <w:bookmarkEnd w:id="693"/>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并向承包人支付合理利润。</w:t>
      </w:r>
    </w:p>
    <w:p>
      <w:pPr>
        <w:pStyle w:val="5"/>
        <w:spacing w:before="120" w:after="120" w:line="360" w:lineRule="auto"/>
        <w:ind w:firstLine="103"/>
        <w:rPr>
          <w:rFonts w:ascii="宋体" w:eastAsia="宋体" w:cs="宋体"/>
          <w:bCs w:val="0"/>
          <w:sz w:val="21"/>
          <w:szCs w:val="21"/>
          <w:highlight w:val="none"/>
        </w:rPr>
      </w:pPr>
      <w:bookmarkStart w:id="694" w:name="_Toc300835119"/>
      <w:bookmarkStart w:id="695" w:name="_Toc476860436"/>
      <w:bookmarkStart w:id="696" w:name="_Toc247527717"/>
      <w:bookmarkStart w:id="697" w:name="_Toc410559419"/>
      <w:bookmarkStart w:id="698" w:name="_Toc486160050"/>
      <w:bookmarkStart w:id="699" w:name="_Toc411736501"/>
      <w:bookmarkStart w:id="700" w:name="_Toc411736225"/>
      <w:bookmarkStart w:id="701" w:name="_Toc247514116"/>
      <w:r>
        <w:rPr>
          <w:rFonts w:hint="eastAsia" w:ascii="宋体" w:eastAsia="宋体" w:cs="宋体"/>
          <w:bCs w:val="0"/>
          <w:sz w:val="21"/>
          <w:szCs w:val="21"/>
          <w:highlight w:val="none"/>
        </w:rPr>
        <w:t>11.2 竣工</w:t>
      </w:r>
      <w:bookmarkEnd w:id="694"/>
      <w:bookmarkEnd w:id="695"/>
      <w:bookmarkEnd w:id="696"/>
      <w:bookmarkEnd w:id="697"/>
      <w:bookmarkEnd w:id="698"/>
      <w:bookmarkEnd w:id="699"/>
      <w:bookmarkEnd w:id="700"/>
      <w:bookmarkEnd w:id="70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承包人应在第1.1.4.3 目约定的期限内完成合同工作。实际竣工日期按第18.3款约定确定，并在工程接收证书中载明。</w:t>
      </w:r>
    </w:p>
    <w:p>
      <w:pPr>
        <w:pStyle w:val="5"/>
        <w:spacing w:before="120" w:after="120" w:line="360" w:lineRule="auto"/>
        <w:ind w:firstLine="103"/>
        <w:rPr>
          <w:rFonts w:ascii="宋体" w:eastAsia="宋体" w:cs="宋体"/>
          <w:bCs w:val="0"/>
          <w:sz w:val="21"/>
          <w:szCs w:val="21"/>
          <w:highlight w:val="none"/>
        </w:rPr>
      </w:pPr>
      <w:bookmarkStart w:id="702" w:name="_Toc247527718"/>
      <w:bookmarkStart w:id="703" w:name="_Toc410559420"/>
      <w:bookmarkStart w:id="704" w:name="_Toc247514117"/>
      <w:bookmarkStart w:id="705" w:name="_Toc476860437"/>
      <w:bookmarkStart w:id="706" w:name="_Toc411736226"/>
      <w:bookmarkStart w:id="707" w:name="_Toc486160051"/>
      <w:bookmarkStart w:id="708" w:name="_Toc300835120"/>
      <w:bookmarkStart w:id="709" w:name="_Toc411736502"/>
      <w:r>
        <w:rPr>
          <w:rFonts w:hint="eastAsia" w:ascii="宋体" w:eastAsia="宋体" w:cs="宋体"/>
          <w:bCs w:val="0"/>
          <w:sz w:val="21"/>
          <w:szCs w:val="21"/>
          <w:highlight w:val="none"/>
        </w:rPr>
        <w:t>11.3 发包人引起的工期延误</w:t>
      </w:r>
      <w:bookmarkEnd w:id="702"/>
      <w:bookmarkEnd w:id="703"/>
      <w:bookmarkEnd w:id="704"/>
      <w:bookmarkEnd w:id="705"/>
      <w:bookmarkEnd w:id="706"/>
      <w:bookmarkEnd w:id="707"/>
      <w:bookmarkEnd w:id="708"/>
      <w:bookmarkEnd w:id="70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在履行合同过程中，由于发包人的下列原因造成工期延误的，承包人有权要求发包人延长工期和（或）增加费用，并支付合理利润。需要修订合同进度计划的，按照第4.12.2项的约定执行。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（l）变更；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（2）未能按照合同要求的期限对承包人文件进行审查；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（3）因发包人原因导致的暂停施工；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 未按合同约定及时支付预付款、进度款；</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 发包人按第9.3款提供的基准资料错误；</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（6）发包人按第6.2款迟延提供材料、工程设备或变更交货地点的；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（7）发包人未及时按照“发包人要求”履行相关义务；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（8）发包人造成工期延误的其他原因。</w:t>
      </w:r>
    </w:p>
    <w:p>
      <w:pPr>
        <w:pStyle w:val="5"/>
        <w:spacing w:before="120" w:after="120" w:line="360" w:lineRule="auto"/>
        <w:ind w:firstLine="103"/>
        <w:rPr>
          <w:rFonts w:ascii="宋体" w:eastAsia="宋体" w:cs="宋体"/>
          <w:bCs w:val="0"/>
          <w:sz w:val="21"/>
          <w:szCs w:val="21"/>
          <w:highlight w:val="none"/>
        </w:rPr>
      </w:pPr>
      <w:bookmarkStart w:id="710" w:name="_Toc411736227"/>
      <w:bookmarkStart w:id="711" w:name="_Toc476860438"/>
      <w:bookmarkStart w:id="712" w:name="_Toc410559421"/>
      <w:bookmarkStart w:id="713" w:name="_Toc411736503"/>
      <w:bookmarkStart w:id="714" w:name="_Toc247527719"/>
      <w:bookmarkStart w:id="715" w:name="_Toc247514118"/>
      <w:bookmarkStart w:id="716" w:name="_Toc486160052"/>
      <w:bookmarkStart w:id="717" w:name="_Toc300835121"/>
      <w:r>
        <w:rPr>
          <w:rFonts w:hint="eastAsia" w:ascii="宋体" w:eastAsia="宋体" w:cs="宋体"/>
          <w:bCs w:val="0"/>
          <w:sz w:val="21"/>
          <w:szCs w:val="21"/>
          <w:highlight w:val="none"/>
        </w:rPr>
        <w:t>11.4 异常恶劣的气候条件</w:t>
      </w:r>
      <w:bookmarkEnd w:id="710"/>
      <w:bookmarkEnd w:id="711"/>
      <w:bookmarkEnd w:id="712"/>
      <w:bookmarkEnd w:id="713"/>
      <w:bookmarkEnd w:id="714"/>
      <w:bookmarkEnd w:id="715"/>
      <w:bookmarkEnd w:id="716"/>
      <w:bookmarkEnd w:id="71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由于出现专用合同条款规定的异常恶劣气候的条件导致工期延误的，承包人有权要求发包人延长工期和（或）增加费用。</w:t>
      </w:r>
    </w:p>
    <w:p>
      <w:pPr>
        <w:pStyle w:val="5"/>
        <w:spacing w:before="120" w:after="120" w:line="360" w:lineRule="auto"/>
        <w:ind w:firstLine="103"/>
        <w:rPr>
          <w:rFonts w:ascii="宋体" w:eastAsia="宋体" w:cs="宋体"/>
          <w:bCs w:val="0"/>
          <w:sz w:val="21"/>
          <w:szCs w:val="21"/>
          <w:highlight w:val="none"/>
        </w:rPr>
      </w:pPr>
      <w:bookmarkStart w:id="718" w:name="_Toc410559422"/>
      <w:bookmarkStart w:id="719" w:name="_Toc411736228"/>
      <w:bookmarkStart w:id="720" w:name="_Toc300835122"/>
      <w:bookmarkStart w:id="721" w:name="_Toc247527720"/>
      <w:bookmarkStart w:id="722" w:name="_Toc486160053"/>
      <w:bookmarkStart w:id="723" w:name="_Toc411736504"/>
      <w:bookmarkStart w:id="724" w:name="_Toc476860439"/>
      <w:bookmarkStart w:id="725" w:name="_Toc247514119"/>
      <w:r>
        <w:rPr>
          <w:rFonts w:hint="eastAsia" w:ascii="宋体" w:eastAsia="宋体" w:cs="宋体"/>
          <w:bCs w:val="0"/>
          <w:sz w:val="21"/>
          <w:szCs w:val="21"/>
          <w:highlight w:val="none"/>
        </w:rPr>
        <w:t>11.5 承包人引起的工期延误</w:t>
      </w:r>
      <w:bookmarkEnd w:id="718"/>
      <w:bookmarkEnd w:id="719"/>
      <w:bookmarkEnd w:id="720"/>
      <w:bookmarkEnd w:id="721"/>
      <w:bookmarkEnd w:id="722"/>
      <w:bookmarkEnd w:id="723"/>
      <w:bookmarkEnd w:id="724"/>
      <w:bookmarkEnd w:id="72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pPr>
        <w:pStyle w:val="5"/>
        <w:spacing w:before="120" w:after="120" w:line="360" w:lineRule="auto"/>
        <w:ind w:firstLine="103"/>
        <w:rPr>
          <w:rFonts w:ascii="宋体" w:eastAsia="宋体" w:cs="宋体"/>
          <w:bCs w:val="0"/>
          <w:sz w:val="21"/>
          <w:szCs w:val="21"/>
          <w:highlight w:val="none"/>
        </w:rPr>
      </w:pPr>
      <w:bookmarkStart w:id="726" w:name="_Toc410559423"/>
      <w:bookmarkStart w:id="727" w:name="_Toc486160054"/>
      <w:bookmarkStart w:id="728" w:name="_Toc300835123"/>
      <w:bookmarkStart w:id="729" w:name="_Toc247527721"/>
      <w:bookmarkStart w:id="730" w:name="_Toc476860440"/>
      <w:bookmarkStart w:id="731" w:name="_Toc411736229"/>
      <w:bookmarkStart w:id="732" w:name="_Toc247514120"/>
      <w:bookmarkStart w:id="733" w:name="_Toc411736505"/>
      <w:r>
        <w:rPr>
          <w:rFonts w:hint="eastAsia" w:ascii="宋体" w:eastAsia="宋体" w:cs="宋体"/>
          <w:bCs w:val="0"/>
          <w:sz w:val="21"/>
          <w:szCs w:val="21"/>
          <w:highlight w:val="none"/>
        </w:rPr>
        <w:t>11.6 工期提前</w:t>
      </w:r>
      <w:bookmarkEnd w:id="726"/>
      <w:bookmarkEnd w:id="727"/>
      <w:bookmarkEnd w:id="728"/>
      <w:bookmarkEnd w:id="729"/>
      <w:bookmarkEnd w:id="730"/>
      <w:bookmarkEnd w:id="731"/>
      <w:bookmarkEnd w:id="732"/>
      <w:bookmarkEnd w:id="733"/>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5"/>
        <w:spacing w:before="120" w:after="120" w:line="360" w:lineRule="auto"/>
        <w:ind w:firstLine="103"/>
        <w:rPr>
          <w:rFonts w:ascii="宋体" w:eastAsia="宋体" w:cs="宋体"/>
          <w:bCs w:val="0"/>
          <w:sz w:val="21"/>
          <w:szCs w:val="21"/>
          <w:highlight w:val="none"/>
        </w:rPr>
      </w:pPr>
      <w:bookmarkStart w:id="734" w:name="_Toc300835124"/>
      <w:bookmarkStart w:id="735" w:name="_Toc476860441"/>
      <w:bookmarkStart w:id="736" w:name="_Toc486160055"/>
      <w:bookmarkStart w:id="737" w:name="_Toc411736230"/>
      <w:bookmarkStart w:id="738" w:name="_Toc411736506"/>
      <w:bookmarkStart w:id="739" w:name="_Toc410559424"/>
      <w:r>
        <w:rPr>
          <w:rFonts w:hint="eastAsia" w:ascii="宋体" w:eastAsia="宋体" w:cs="宋体"/>
          <w:bCs w:val="0"/>
          <w:sz w:val="21"/>
          <w:szCs w:val="21"/>
          <w:highlight w:val="none"/>
        </w:rPr>
        <w:t>11.7 行政审批迟延</w:t>
      </w:r>
      <w:bookmarkEnd w:id="734"/>
      <w:bookmarkEnd w:id="735"/>
      <w:bookmarkEnd w:id="736"/>
      <w:bookmarkEnd w:id="737"/>
      <w:bookmarkEnd w:id="738"/>
      <w:bookmarkEnd w:id="73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合同约定范围内的工作需国家有关部门审批的，发包人和（或）承包人应按照合同约定的职责分工完成行政审批报送。因国家有关部门审批迟延造成费用增加和（或）工期延误的，由发包人承担。</w:t>
      </w:r>
    </w:p>
    <w:p>
      <w:pPr>
        <w:pStyle w:val="5"/>
        <w:spacing w:before="120" w:after="120" w:line="360" w:lineRule="auto"/>
        <w:ind w:firstLine="103"/>
        <w:rPr>
          <w:rFonts w:ascii="宋体" w:eastAsia="宋体" w:cs="宋体"/>
          <w:bCs w:val="0"/>
          <w:sz w:val="21"/>
          <w:szCs w:val="21"/>
          <w:highlight w:val="none"/>
        </w:rPr>
      </w:pPr>
      <w:bookmarkStart w:id="740" w:name="_Toc476860442"/>
      <w:bookmarkStart w:id="741" w:name="_Toc486160056"/>
      <w:bookmarkStart w:id="742" w:name="_Toc411736231"/>
      <w:bookmarkStart w:id="743" w:name="_Toc411736507"/>
      <w:bookmarkStart w:id="744" w:name="_Toc300835125"/>
      <w:bookmarkStart w:id="745" w:name="_Toc247514121"/>
      <w:bookmarkStart w:id="746" w:name="_Toc410559425"/>
      <w:bookmarkStart w:id="747" w:name="_Toc247527722"/>
      <w:bookmarkStart w:id="748" w:name="_Toc184635109"/>
      <w:r>
        <w:rPr>
          <w:rFonts w:hint="eastAsia" w:ascii="宋体" w:eastAsia="宋体" w:cs="宋体"/>
          <w:bCs w:val="0"/>
          <w:sz w:val="21"/>
          <w:szCs w:val="21"/>
          <w:highlight w:val="none"/>
        </w:rPr>
        <w:t>12. 暂停工作</w:t>
      </w:r>
      <w:bookmarkEnd w:id="740"/>
      <w:bookmarkEnd w:id="741"/>
      <w:bookmarkEnd w:id="742"/>
      <w:bookmarkEnd w:id="743"/>
      <w:bookmarkEnd w:id="744"/>
      <w:bookmarkEnd w:id="745"/>
      <w:bookmarkEnd w:id="746"/>
      <w:bookmarkEnd w:id="747"/>
      <w:bookmarkEnd w:id="748"/>
    </w:p>
    <w:p>
      <w:pPr>
        <w:pStyle w:val="5"/>
        <w:spacing w:before="120" w:after="120" w:line="360" w:lineRule="auto"/>
        <w:ind w:firstLine="103"/>
        <w:rPr>
          <w:rFonts w:ascii="宋体" w:eastAsia="宋体" w:cs="宋体"/>
          <w:bCs w:val="0"/>
          <w:sz w:val="21"/>
          <w:szCs w:val="21"/>
          <w:highlight w:val="none"/>
        </w:rPr>
      </w:pPr>
      <w:bookmarkStart w:id="749" w:name="_Toc411736508"/>
      <w:bookmarkStart w:id="750" w:name="_Toc300835126"/>
      <w:bookmarkStart w:id="751" w:name="_Toc411736232"/>
      <w:bookmarkStart w:id="752" w:name="_Toc410559426"/>
      <w:bookmarkStart w:id="753" w:name="_Toc476860443"/>
      <w:bookmarkStart w:id="754" w:name="_Toc486160057"/>
      <w:bookmarkStart w:id="755" w:name="_Toc247527728"/>
      <w:bookmarkStart w:id="756" w:name="_Toc184635110"/>
      <w:bookmarkStart w:id="757" w:name="_Toc247514127"/>
      <w:r>
        <w:rPr>
          <w:rFonts w:hint="eastAsia" w:ascii="宋体" w:eastAsia="宋体" w:cs="宋体"/>
          <w:bCs w:val="0"/>
          <w:sz w:val="21"/>
          <w:szCs w:val="21"/>
          <w:highlight w:val="none"/>
        </w:rPr>
        <w:t>12.1 由发包人暂停工作</w:t>
      </w:r>
      <w:bookmarkEnd w:id="749"/>
      <w:bookmarkEnd w:id="750"/>
      <w:bookmarkEnd w:id="751"/>
      <w:bookmarkEnd w:id="752"/>
      <w:bookmarkEnd w:id="753"/>
      <w:bookmarkEnd w:id="75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12.1.1 发包人认为必要时，可通过监理人向承包人发出暂停工作的指示，承包人应按监理人指示暂停工作。由于发包人原因引起的暂停工作造成工期延误的，承包人有权要求发包人延长工期和（或）增加费用，并支付合理利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12.1.2 由于承包人下列原因造成发包人暂停工作的，由此造成费用的增加和（或）工期延误由承包人承担：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（1）承包人违约；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（2）承包人擅自暂停工作；</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（3）合同约定由承包人承担责任的其他暂停工作。</w:t>
      </w:r>
    </w:p>
    <w:p>
      <w:pPr>
        <w:pStyle w:val="5"/>
        <w:spacing w:before="120" w:after="120" w:line="360" w:lineRule="auto"/>
        <w:ind w:firstLine="103"/>
        <w:rPr>
          <w:rFonts w:ascii="宋体" w:eastAsia="宋体" w:cs="宋体"/>
          <w:bCs w:val="0"/>
          <w:sz w:val="21"/>
          <w:szCs w:val="21"/>
          <w:highlight w:val="none"/>
        </w:rPr>
      </w:pPr>
      <w:bookmarkStart w:id="758" w:name="_Toc300835127"/>
      <w:bookmarkStart w:id="759" w:name="_Toc476860444"/>
      <w:bookmarkStart w:id="760" w:name="_Toc411736509"/>
      <w:bookmarkStart w:id="761" w:name="_Toc411736233"/>
      <w:bookmarkStart w:id="762" w:name="_Toc410559427"/>
      <w:bookmarkStart w:id="763" w:name="_Toc486160058"/>
      <w:r>
        <w:rPr>
          <w:rFonts w:hint="eastAsia" w:ascii="宋体" w:eastAsia="宋体" w:cs="宋体"/>
          <w:bCs w:val="0"/>
          <w:sz w:val="21"/>
          <w:szCs w:val="21"/>
          <w:highlight w:val="none"/>
        </w:rPr>
        <w:t>12.2 由承包人暂停工作</w:t>
      </w:r>
      <w:bookmarkEnd w:id="758"/>
      <w:bookmarkEnd w:id="759"/>
      <w:bookmarkEnd w:id="760"/>
      <w:bookmarkEnd w:id="761"/>
      <w:bookmarkEnd w:id="762"/>
      <w:bookmarkEnd w:id="763"/>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（1）发包人未能按合同约定支付价款，或拖延、拒绝批准付款申请和支付证书，导致付款延误的；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（2）监理人无正当理由没有在约定期限内发出复工指示，导致承包人无法复工的；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（3）发包人无法继续履行或明确表示不履行或实质上已停止履行合同的；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（4）发包人不履行合同约定其他义务的。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12.2.2 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pPr>
        <w:pStyle w:val="5"/>
        <w:spacing w:before="120" w:after="120" w:line="360" w:lineRule="auto"/>
        <w:ind w:firstLine="103"/>
        <w:rPr>
          <w:rFonts w:ascii="宋体" w:eastAsia="宋体" w:cs="宋体"/>
          <w:bCs w:val="0"/>
          <w:sz w:val="21"/>
          <w:szCs w:val="21"/>
          <w:highlight w:val="none"/>
        </w:rPr>
      </w:pPr>
      <w:bookmarkStart w:id="764" w:name="_Toc476860445"/>
      <w:bookmarkStart w:id="765" w:name="_Toc300835128"/>
      <w:bookmarkStart w:id="766" w:name="_Toc486160059"/>
      <w:bookmarkStart w:id="767" w:name="_Toc411736234"/>
      <w:bookmarkStart w:id="768" w:name="_Toc411736510"/>
      <w:bookmarkStart w:id="769" w:name="_Toc410559428"/>
      <w:r>
        <w:rPr>
          <w:rFonts w:hint="eastAsia" w:ascii="宋体" w:eastAsia="宋体" w:cs="宋体"/>
          <w:bCs w:val="0"/>
          <w:sz w:val="21"/>
          <w:szCs w:val="21"/>
          <w:highlight w:val="none"/>
        </w:rPr>
        <w:t>12.3 暂停工作后的照管</w:t>
      </w:r>
      <w:bookmarkEnd w:id="764"/>
      <w:bookmarkEnd w:id="765"/>
      <w:bookmarkEnd w:id="766"/>
      <w:bookmarkEnd w:id="767"/>
      <w:bookmarkEnd w:id="768"/>
      <w:bookmarkEnd w:id="76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不论由于何种原因引起暂停工作的，暂停工作期间，承包人应负责妥善保护工程并提供安全保障，由此增加的费用由责任方承担。</w:t>
      </w:r>
    </w:p>
    <w:p>
      <w:pPr>
        <w:pStyle w:val="5"/>
        <w:spacing w:before="120" w:after="120" w:line="360" w:lineRule="auto"/>
        <w:ind w:firstLine="103"/>
        <w:rPr>
          <w:rFonts w:ascii="宋体" w:eastAsia="宋体" w:cs="宋体"/>
          <w:bCs w:val="0"/>
          <w:sz w:val="21"/>
          <w:szCs w:val="21"/>
          <w:highlight w:val="none"/>
        </w:rPr>
      </w:pPr>
      <w:bookmarkStart w:id="770" w:name="_Toc486160060"/>
      <w:bookmarkStart w:id="771" w:name="_Toc476860446"/>
      <w:bookmarkStart w:id="772" w:name="_Toc300835129"/>
      <w:bookmarkStart w:id="773" w:name="_Toc410559429"/>
      <w:bookmarkStart w:id="774" w:name="_Toc411736511"/>
      <w:bookmarkStart w:id="775" w:name="_Toc411736235"/>
      <w:r>
        <w:rPr>
          <w:rFonts w:hint="eastAsia" w:ascii="宋体" w:eastAsia="宋体" w:cs="宋体"/>
          <w:bCs w:val="0"/>
          <w:sz w:val="21"/>
          <w:szCs w:val="21"/>
          <w:highlight w:val="none"/>
        </w:rPr>
        <w:t>12.4 暂停工作后的复工</w:t>
      </w:r>
      <w:bookmarkEnd w:id="770"/>
      <w:bookmarkEnd w:id="771"/>
      <w:bookmarkEnd w:id="772"/>
      <w:bookmarkEnd w:id="773"/>
      <w:bookmarkEnd w:id="774"/>
      <w:bookmarkEnd w:id="77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12.4.1暂停工作后，监理人应与发包人和承包人协商，采取有效措施积极消除暂停工作的影响。当工程具备复工条件时，监理人应立即向承包人发出复工通知。承包人收到复工通知后，应在监理人指定的期限内复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12.4.2承包人无故拖延和拒绝复工的，由此增加的费用和工期延误由承包人承担；因发包人原因无法按时复工的，承包人有权要求发包人延长工期和（或）增加费用，并支付合理利润。</w:t>
      </w:r>
    </w:p>
    <w:p>
      <w:pPr>
        <w:pStyle w:val="5"/>
        <w:spacing w:before="120" w:after="120" w:line="360" w:lineRule="auto"/>
        <w:ind w:firstLine="103"/>
        <w:rPr>
          <w:rFonts w:ascii="宋体" w:eastAsia="宋体" w:cs="宋体"/>
          <w:bCs w:val="0"/>
          <w:sz w:val="21"/>
          <w:szCs w:val="21"/>
          <w:highlight w:val="none"/>
        </w:rPr>
      </w:pPr>
      <w:bookmarkStart w:id="776" w:name="_Toc486160061"/>
      <w:bookmarkStart w:id="777" w:name="_Toc411736512"/>
      <w:bookmarkStart w:id="778" w:name="_Toc411736236"/>
      <w:bookmarkStart w:id="779" w:name="_Toc300835130"/>
      <w:bookmarkStart w:id="780" w:name="_Toc476860447"/>
      <w:bookmarkStart w:id="781" w:name="_Toc410559430"/>
      <w:r>
        <w:rPr>
          <w:rFonts w:hint="eastAsia" w:ascii="宋体" w:eastAsia="宋体" w:cs="宋体"/>
          <w:bCs w:val="0"/>
          <w:sz w:val="21"/>
          <w:szCs w:val="21"/>
          <w:highlight w:val="none"/>
        </w:rPr>
        <w:t>12.5 暂停工作56天以上</w:t>
      </w:r>
      <w:bookmarkEnd w:id="776"/>
      <w:bookmarkEnd w:id="777"/>
      <w:bookmarkEnd w:id="778"/>
      <w:bookmarkEnd w:id="779"/>
      <w:bookmarkEnd w:id="780"/>
      <w:bookmarkEnd w:id="78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12.5.1监理人发出暂停工作指示后56 天内未向承包人发出复工通知的，除该项暂停由于承包人违约造成之外，承包人可向监理人提交书面通知，要求监理人在收到书面通知后28天内准许已暂停工作的全部或部分继续工作。如监理人逾期不予批准，则承包人可以通知监理人，将工程受影响的部分按第15条的约定作为可取消工作的变更处理。暂停工作影响到整个工程的，视为发包人违约，应按第12.2.1项的约定执行，同时承包人有权解除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12.5.2由于承包人原因引起暂停工作的，如承包人在收到监理人暂停工作指示后56 天内不采取有效的复工措施，造成工期延误的，视为承包人违约，应按第12.1.2 项的约定执行。</w:t>
      </w:r>
    </w:p>
    <w:p>
      <w:pPr>
        <w:pStyle w:val="5"/>
        <w:spacing w:before="120" w:after="120" w:line="360" w:lineRule="auto"/>
        <w:ind w:firstLine="103"/>
        <w:rPr>
          <w:rFonts w:ascii="宋体" w:eastAsia="宋体" w:cs="宋体"/>
          <w:bCs w:val="0"/>
          <w:sz w:val="21"/>
          <w:szCs w:val="21"/>
          <w:highlight w:val="none"/>
        </w:rPr>
      </w:pPr>
      <w:bookmarkStart w:id="782" w:name="_Toc410559431"/>
      <w:bookmarkStart w:id="783" w:name="_Toc300835131"/>
      <w:bookmarkStart w:id="784" w:name="_Toc476860448"/>
      <w:bookmarkStart w:id="785" w:name="_Toc411736237"/>
      <w:bookmarkStart w:id="786" w:name="_Toc486160062"/>
      <w:bookmarkStart w:id="787" w:name="_Toc411736513"/>
      <w:r>
        <w:rPr>
          <w:rFonts w:hint="eastAsia" w:ascii="宋体" w:eastAsia="宋体" w:cs="宋体"/>
          <w:bCs w:val="0"/>
          <w:sz w:val="21"/>
          <w:szCs w:val="21"/>
          <w:highlight w:val="none"/>
        </w:rPr>
        <w:t>13. 工程质量</w:t>
      </w:r>
      <w:bookmarkEnd w:id="755"/>
      <w:bookmarkEnd w:id="756"/>
      <w:bookmarkEnd w:id="757"/>
      <w:bookmarkEnd w:id="782"/>
      <w:bookmarkEnd w:id="783"/>
      <w:bookmarkEnd w:id="784"/>
      <w:bookmarkEnd w:id="785"/>
      <w:bookmarkEnd w:id="786"/>
      <w:bookmarkEnd w:id="787"/>
    </w:p>
    <w:p>
      <w:pPr>
        <w:pStyle w:val="5"/>
        <w:spacing w:before="120" w:after="120" w:line="360" w:lineRule="auto"/>
        <w:ind w:firstLine="103"/>
        <w:rPr>
          <w:rFonts w:ascii="宋体" w:eastAsia="宋体" w:cs="宋体"/>
          <w:bCs w:val="0"/>
          <w:sz w:val="21"/>
          <w:szCs w:val="21"/>
          <w:highlight w:val="none"/>
        </w:rPr>
      </w:pPr>
      <w:bookmarkStart w:id="788" w:name="_Toc300835132"/>
      <w:bookmarkStart w:id="789" w:name="_Toc411736514"/>
      <w:bookmarkStart w:id="790" w:name="_Toc247527729"/>
      <w:bookmarkStart w:id="791" w:name="_Toc410559432"/>
      <w:bookmarkStart w:id="792" w:name="_Toc247514128"/>
      <w:bookmarkStart w:id="793" w:name="_Toc476860449"/>
      <w:bookmarkStart w:id="794" w:name="_Toc486160063"/>
      <w:bookmarkStart w:id="795" w:name="_Toc411736238"/>
      <w:r>
        <w:rPr>
          <w:rFonts w:hint="eastAsia" w:ascii="宋体" w:eastAsia="宋体" w:cs="宋体"/>
          <w:bCs w:val="0"/>
          <w:sz w:val="21"/>
          <w:szCs w:val="21"/>
          <w:highlight w:val="none"/>
        </w:rPr>
        <w:t>13.1 工程质量要求</w:t>
      </w:r>
      <w:bookmarkEnd w:id="788"/>
      <w:bookmarkEnd w:id="789"/>
      <w:bookmarkEnd w:id="790"/>
      <w:bookmarkEnd w:id="791"/>
      <w:bookmarkEnd w:id="792"/>
      <w:bookmarkEnd w:id="793"/>
      <w:bookmarkEnd w:id="794"/>
      <w:bookmarkEnd w:id="79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13.1.1 工程质量验收按法律规定和合同约定的验收标准执行。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13.1.2 因承包人原因造成工程质量不符合法律的规定和合同约定的，监理人有权要求承包人返工直至符合合同要求为止，由此造成的费用增加和（或）工期延误由承包人承担。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13.1.3 因发包人原因造成工程质量达不到合同约定验收标准的，发包人应承担由于承包人返工造成的费用增加和（或）工期延误，并支付承包人合理利润。</w:t>
      </w:r>
    </w:p>
    <w:p>
      <w:pPr>
        <w:pStyle w:val="5"/>
        <w:spacing w:before="120" w:after="120" w:line="360" w:lineRule="auto"/>
        <w:ind w:firstLine="103"/>
        <w:rPr>
          <w:rFonts w:ascii="宋体" w:eastAsia="宋体" w:cs="宋体"/>
          <w:bCs w:val="0"/>
          <w:sz w:val="21"/>
          <w:szCs w:val="21"/>
          <w:highlight w:val="none"/>
        </w:rPr>
      </w:pPr>
      <w:bookmarkStart w:id="796" w:name="_Toc411736239"/>
      <w:bookmarkStart w:id="797" w:name="_Toc486160064"/>
      <w:bookmarkStart w:id="798" w:name="_Toc476860450"/>
      <w:bookmarkStart w:id="799" w:name="_Toc411736515"/>
      <w:bookmarkStart w:id="800" w:name="_Toc300835133"/>
      <w:bookmarkStart w:id="801" w:name="_Toc247527731"/>
      <w:bookmarkStart w:id="802" w:name="_Toc410559433"/>
      <w:bookmarkStart w:id="803" w:name="_Toc247514130"/>
      <w:r>
        <w:rPr>
          <w:rFonts w:hint="eastAsia" w:ascii="宋体" w:eastAsia="宋体" w:cs="宋体"/>
          <w:bCs w:val="0"/>
          <w:sz w:val="21"/>
          <w:szCs w:val="21"/>
          <w:highlight w:val="none"/>
        </w:rPr>
        <w:t>13.2 承包人的质量检查</w:t>
      </w:r>
      <w:bookmarkEnd w:id="796"/>
      <w:bookmarkEnd w:id="797"/>
      <w:bookmarkEnd w:id="798"/>
      <w:bookmarkEnd w:id="799"/>
      <w:bookmarkEnd w:id="800"/>
      <w:bookmarkEnd w:id="801"/>
      <w:bookmarkEnd w:id="802"/>
      <w:bookmarkEnd w:id="803"/>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承包人应按合同约定对设计、材料、工程设备以及全部工程内容及其施工工艺进行全过程的质量检查和检验，并作详细记录，编制工程质量报表，报送监理人审查。</w:t>
      </w:r>
    </w:p>
    <w:p>
      <w:pPr>
        <w:pStyle w:val="5"/>
        <w:spacing w:before="120" w:after="120" w:line="360" w:lineRule="auto"/>
        <w:ind w:firstLine="103"/>
        <w:rPr>
          <w:rFonts w:ascii="宋体" w:eastAsia="宋体" w:cs="宋体"/>
          <w:bCs w:val="0"/>
          <w:sz w:val="21"/>
          <w:szCs w:val="21"/>
          <w:highlight w:val="none"/>
        </w:rPr>
      </w:pPr>
      <w:bookmarkStart w:id="804" w:name="_Toc476860451"/>
      <w:bookmarkStart w:id="805" w:name="_Toc410559434"/>
      <w:bookmarkStart w:id="806" w:name="_Toc486160065"/>
      <w:bookmarkStart w:id="807" w:name="_Toc300835134"/>
      <w:bookmarkStart w:id="808" w:name="_Toc247527732"/>
      <w:bookmarkStart w:id="809" w:name="_Toc411736516"/>
      <w:bookmarkStart w:id="810" w:name="_Toc411736240"/>
      <w:bookmarkStart w:id="811" w:name="_Toc247514131"/>
      <w:r>
        <w:rPr>
          <w:rFonts w:hint="eastAsia" w:ascii="宋体" w:eastAsia="宋体" w:cs="宋体"/>
          <w:bCs w:val="0"/>
          <w:sz w:val="21"/>
          <w:szCs w:val="21"/>
          <w:highlight w:val="none"/>
        </w:rPr>
        <w:t>13.3 监理人的质量检查</w:t>
      </w:r>
      <w:bookmarkEnd w:id="804"/>
      <w:bookmarkEnd w:id="805"/>
      <w:bookmarkEnd w:id="806"/>
      <w:bookmarkEnd w:id="807"/>
      <w:bookmarkEnd w:id="808"/>
      <w:bookmarkEnd w:id="809"/>
      <w:bookmarkEnd w:id="810"/>
      <w:bookmarkEnd w:id="81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5"/>
        <w:spacing w:before="120" w:after="120" w:line="360" w:lineRule="auto"/>
        <w:ind w:firstLine="103"/>
        <w:rPr>
          <w:rFonts w:ascii="宋体" w:eastAsia="宋体" w:cs="宋体"/>
          <w:bCs w:val="0"/>
          <w:sz w:val="21"/>
          <w:szCs w:val="21"/>
          <w:highlight w:val="none"/>
        </w:rPr>
      </w:pPr>
      <w:bookmarkStart w:id="812" w:name="_Toc247527733"/>
      <w:bookmarkStart w:id="813" w:name="_Toc486160066"/>
      <w:bookmarkStart w:id="814" w:name="_Toc411736517"/>
      <w:bookmarkStart w:id="815" w:name="_Toc476860452"/>
      <w:bookmarkStart w:id="816" w:name="_Toc411736241"/>
      <w:bookmarkStart w:id="817" w:name="_Toc300835135"/>
      <w:bookmarkStart w:id="818" w:name="_Toc410559435"/>
      <w:bookmarkStart w:id="819" w:name="_Toc247514132"/>
      <w:r>
        <w:rPr>
          <w:rFonts w:hint="eastAsia" w:ascii="宋体" w:eastAsia="宋体" w:cs="宋体"/>
          <w:bCs w:val="0"/>
          <w:sz w:val="21"/>
          <w:szCs w:val="21"/>
          <w:highlight w:val="none"/>
        </w:rPr>
        <w:t>13.4 工程隐蔽部位覆盖前的检查</w:t>
      </w:r>
      <w:bookmarkEnd w:id="812"/>
      <w:bookmarkEnd w:id="813"/>
      <w:bookmarkEnd w:id="814"/>
      <w:bookmarkEnd w:id="815"/>
      <w:bookmarkEnd w:id="816"/>
      <w:bookmarkEnd w:id="817"/>
      <w:bookmarkEnd w:id="818"/>
      <w:bookmarkEnd w:id="81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13.4.1 通知监理人检查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13.4.2 监理人未到场检查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监理人未按第13.4.l 项约定的时间进行检查的，除监理人另有指示外，承包人可自行完成覆盖工作，并作相应记录报送监理人，监理人应签字确认。监理人事后对检查记录有疑问的，可按第13.4.3 项的约定重新检查。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13.4.3 监理人重新检查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承包人按第13.4.1 项或第13.4.2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13.4.4 承包人私自覆盖</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承包人未通知监理人到场检查，私自将工程隐蔽部位覆盖的，监理人有权指示承包人钻孔探测或揭开检查，由此增加的费用和（或）工期延误由承包人承担。</w:t>
      </w:r>
    </w:p>
    <w:p>
      <w:pPr>
        <w:pStyle w:val="5"/>
        <w:spacing w:before="120" w:after="120" w:line="360" w:lineRule="auto"/>
        <w:ind w:firstLine="103"/>
        <w:rPr>
          <w:rFonts w:ascii="宋体" w:eastAsia="宋体" w:cs="宋体"/>
          <w:bCs w:val="0"/>
          <w:sz w:val="21"/>
          <w:szCs w:val="21"/>
          <w:highlight w:val="none"/>
        </w:rPr>
      </w:pPr>
      <w:bookmarkStart w:id="820" w:name="_Toc411736242"/>
      <w:bookmarkStart w:id="821" w:name="_Toc247527734"/>
      <w:bookmarkStart w:id="822" w:name="_Toc486160067"/>
      <w:bookmarkStart w:id="823" w:name="_Toc410559436"/>
      <w:bookmarkStart w:id="824" w:name="_Toc247514133"/>
      <w:bookmarkStart w:id="825" w:name="_Toc411736518"/>
      <w:bookmarkStart w:id="826" w:name="_Toc300835136"/>
      <w:bookmarkStart w:id="827" w:name="_Toc476860453"/>
      <w:r>
        <w:rPr>
          <w:rFonts w:hint="eastAsia" w:ascii="宋体" w:eastAsia="宋体" w:cs="宋体"/>
          <w:bCs w:val="0"/>
          <w:sz w:val="21"/>
          <w:szCs w:val="21"/>
          <w:highlight w:val="none"/>
        </w:rPr>
        <w:t>13.5 清除不合格工程</w:t>
      </w:r>
      <w:bookmarkEnd w:id="820"/>
      <w:bookmarkEnd w:id="821"/>
      <w:bookmarkEnd w:id="822"/>
      <w:bookmarkEnd w:id="823"/>
      <w:bookmarkEnd w:id="824"/>
      <w:bookmarkEnd w:id="825"/>
      <w:bookmarkEnd w:id="826"/>
      <w:bookmarkEnd w:id="82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13.5.1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13.5.2 由于发包人提供的材料或工程设备不合格造成的工程不合格，需要承包人采取措施补救的，发包人应承担由此增加的费用和（或）工期延误，并支付承包人合理利润。</w:t>
      </w:r>
    </w:p>
    <w:p>
      <w:pPr>
        <w:pStyle w:val="5"/>
        <w:spacing w:before="120" w:after="120" w:line="360" w:lineRule="auto"/>
        <w:ind w:firstLine="103"/>
        <w:rPr>
          <w:rFonts w:ascii="宋体" w:eastAsia="宋体" w:cs="宋体"/>
          <w:bCs w:val="0"/>
          <w:sz w:val="21"/>
          <w:szCs w:val="21"/>
          <w:highlight w:val="none"/>
        </w:rPr>
      </w:pPr>
      <w:bookmarkStart w:id="828" w:name="_Toc300835137"/>
      <w:bookmarkStart w:id="829" w:name="_Toc410559437"/>
      <w:bookmarkStart w:id="830" w:name="_Toc411736243"/>
      <w:bookmarkStart w:id="831" w:name="_Toc247527735"/>
      <w:bookmarkStart w:id="832" w:name="_Toc486160068"/>
      <w:bookmarkStart w:id="833" w:name="_Toc184635111"/>
      <w:bookmarkStart w:id="834" w:name="_Toc247514134"/>
      <w:bookmarkStart w:id="835" w:name="_Toc476860454"/>
      <w:bookmarkStart w:id="836" w:name="_Toc411736519"/>
      <w:r>
        <w:rPr>
          <w:rFonts w:hint="eastAsia" w:ascii="宋体" w:eastAsia="宋体" w:cs="宋体"/>
          <w:bCs w:val="0"/>
          <w:sz w:val="21"/>
          <w:szCs w:val="21"/>
          <w:highlight w:val="none"/>
        </w:rPr>
        <w:t>14. 试验和检验</w:t>
      </w:r>
      <w:bookmarkEnd w:id="828"/>
      <w:bookmarkEnd w:id="829"/>
      <w:bookmarkEnd w:id="830"/>
      <w:bookmarkEnd w:id="831"/>
      <w:bookmarkEnd w:id="832"/>
      <w:bookmarkEnd w:id="833"/>
      <w:bookmarkEnd w:id="834"/>
      <w:bookmarkEnd w:id="835"/>
      <w:bookmarkEnd w:id="836"/>
    </w:p>
    <w:p>
      <w:pPr>
        <w:pStyle w:val="5"/>
        <w:spacing w:before="120" w:after="120" w:line="360" w:lineRule="auto"/>
        <w:ind w:firstLine="103"/>
        <w:rPr>
          <w:rFonts w:ascii="宋体" w:eastAsia="宋体" w:cs="宋体"/>
          <w:bCs w:val="0"/>
          <w:sz w:val="21"/>
          <w:szCs w:val="21"/>
          <w:highlight w:val="none"/>
        </w:rPr>
      </w:pPr>
      <w:bookmarkStart w:id="837" w:name="_Toc411736520"/>
      <w:bookmarkStart w:id="838" w:name="_Toc411736244"/>
      <w:bookmarkStart w:id="839" w:name="_Toc300835138"/>
      <w:bookmarkStart w:id="840" w:name="_Toc486160069"/>
      <w:bookmarkStart w:id="841" w:name="_Toc247527736"/>
      <w:bookmarkStart w:id="842" w:name="_Toc410559438"/>
      <w:bookmarkStart w:id="843" w:name="_Toc247514135"/>
      <w:bookmarkStart w:id="844" w:name="_Toc476860455"/>
      <w:r>
        <w:rPr>
          <w:rFonts w:hint="eastAsia" w:ascii="宋体" w:eastAsia="宋体" w:cs="宋体"/>
          <w:bCs w:val="0"/>
          <w:sz w:val="21"/>
          <w:szCs w:val="21"/>
          <w:highlight w:val="none"/>
        </w:rPr>
        <w:t>14.1 材料、工程设备和工程的试验和检验</w:t>
      </w:r>
      <w:bookmarkEnd w:id="837"/>
      <w:bookmarkEnd w:id="838"/>
      <w:bookmarkEnd w:id="839"/>
      <w:bookmarkEnd w:id="840"/>
      <w:bookmarkEnd w:id="841"/>
      <w:bookmarkEnd w:id="842"/>
      <w:bookmarkEnd w:id="843"/>
      <w:bookmarkEnd w:id="84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14.1.1 本款适用于竣工试验之前的试验和检验。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14.1.2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14.1.3 监理人未按合同约定派员参加试验和检验的，除监理人另有指示外，承包人可自行试验和检验，并应立即将试验和检验结果报送监理人，监理人应签字确认。</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14.1.4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5"/>
        <w:spacing w:before="120" w:after="120" w:line="360" w:lineRule="auto"/>
        <w:ind w:firstLine="103"/>
        <w:rPr>
          <w:rFonts w:ascii="宋体" w:eastAsia="宋体" w:cs="宋体"/>
          <w:bCs w:val="0"/>
          <w:sz w:val="21"/>
          <w:szCs w:val="21"/>
          <w:highlight w:val="none"/>
        </w:rPr>
      </w:pPr>
      <w:bookmarkStart w:id="845" w:name="_Toc247514136"/>
      <w:bookmarkStart w:id="846" w:name="_Toc410559439"/>
      <w:bookmarkStart w:id="847" w:name="_Toc486160070"/>
      <w:bookmarkStart w:id="848" w:name="_Toc411736245"/>
      <w:bookmarkStart w:id="849" w:name="_Toc300835139"/>
      <w:bookmarkStart w:id="850" w:name="_Toc411736521"/>
      <w:bookmarkStart w:id="851" w:name="_Toc247527737"/>
      <w:bookmarkStart w:id="852" w:name="_Toc476860456"/>
      <w:r>
        <w:rPr>
          <w:rFonts w:hint="eastAsia" w:ascii="宋体" w:eastAsia="宋体" w:cs="宋体"/>
          <w:bCs w:val="0"/>
          <w:sz w:val="21"/>
          <w:szCs w:val="21"/>
          <w:highlight w:val="none"/>
        </w:rPr>
        <w:t>14.2 现场材料试验</w:t>
      </w:r>
      <w:bookmarkEnd w:id="845"/>
      <w:bookmarkEnd w:id="846"/>
      <w:bookmarkEnd w:id="847"/>
      <w:bookmarkEnd w:id="848"/>
      <w:bookmarkEnd w:id="849"/>
      <w:bookmarkEnd w:id="850"/>
      <w:bookmarkEnd w:id="851"/>
      <w:bookmarkEnd w:id="85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14.2.1 承包人根据合同约定或监理人指示进行的现场材料试验，应由承包人提供试验场所、试验人员、试验设备器材以及其他必要的试验条件。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14.2.2 监理人在必要时可以使用承包人的试验场所、试验设备器材以及其他试验条件，进行以工程质量检查为目的的复核性材料试验，承包人应予以协助。</w:t>
      </w:r>
    </w:p>
    <w:p>
      <w:pPr>
        <w:pStyle w:val="5"/>
        <w:spacing w:before="120" w:after="120" w:line="360" w:lineRule="auto"/>
        <w:ind w:firstLine="103"/>
        <w:rPr>
          <w:rFonts w:ascii="宋体" w:eastAsia="宋体" w:cs="宋体"/>
          <w:bCs w:val="0"/>
          <w:sz w:val="21"/>
          <w:szCs w:val="21"/>
          <w:highlight w:val="none"/>
        </w:rPr>
      </w:pPr>
      <w:bookmarkStart w:id="853" w:name="_Toc486160071"/>
      <w:bookmarkStart w:id="854" w:name="_Toc476860457"/>
      <w:bookmarkStart w:id="855" w:name="_Toc247514137"/>
      <w:bookmarkStart w:id="856" w:name="_Toc300835140"/>
      <w:bookmarkStart w:id="857" w:name="_Toc411736246"/>
      <w:bookmarkStart w:id="858" w:name="_Toc411736522"/>
      <w:bookmarkStart w:id="859" w:name="_Toc410559440"/>
      <w:bookmarkStart w:id="860" w:name="_Toc247527738"/>
      <w:r>
        <w:rPr>
          <w:rFonts w:hint="eastAsia" w:ascii="宋体" w:eastAsia="宋体" w:cs="宋体"/>
          <w:bCs w:val="0"/>
          <w:sz w:val="21"/>
          <w:szCs w:val="21"/>
          <w:highlight w:val="none"/>
        </w:rPr>
        <w:t>14.3 现场工艺试验</w:t>
      </w:r>
      <w:bookmarkEnd w:id="853"/>
      <w:bookmarkEnd w:id="854"/>
      <w:bookmarkEnd w:id="855"/>
      <w:bookmarkEnd w:id="856"/>
      <w:bookmarkEnd w:id="857"/>
      <w:bookmarkEnd w:id="858"/>
      <w:bookmarkEnd w:id="859"/>
      <w:bookmarkEnd w:id="860"/>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承包人应按合同约定或监理人指示进行现场工艺试验。对大型的现场工艺试验，监理人认为必要时，应由承包人根据监理人提出的工艺试验要求，编制工艺试验措施计划，报送监理人批准。</w:t>
      </w:r>
    </w:p>
    <w:p>
      <w:pPr>
        <w:pStyle w:val="5"/>
        <w:spacing w:before="120" w:after="120" w:line="360" w:lineRule="auto"/>
        <w:ind w:firstLine="103"/>
        <w:rPr>
          <w:rFonts w:ascii="宋体" w:eastAsia="宋体" w:cs="宋体"/>
          <w:bCs w:val="0"/>
          <w:sz w:val="21"/>
          <w:szCs w:val="21"/>
          <w:highlight w:val="none"/>
        </w:rPr>
      </w:pPr>
      <w:bookmarkStart w:id="861" w:name="_Toc247527739"/>
      <w:bookmarkStart w:id="862" w:name="_Toc411736247"/>
      <w:bookmarkStart w:id="863" w:name="_Toc410559441"/>
      <w:bookmarkStart w:id="864" w:name="_Toc486160072"/>
      <w:bookmarkStart w:id="865" w:name="_Toc300835141"/>
      <w:bookmarkStart w:id="866" w:name="_Toc247514138"/>
      <w:bookmarkStart w:id="867" w:name="_Toc476860458"/>
      <w:bookmarkStart w:id="868" w:name="_Toc184635112"/>
      <w:bookmarkStart w:id="869" w:name="_Toc411736523"/>
      <w:r>
        <w:rPr>
          <w:rFonts w:hint="eastAsia" w:ascii="宋体" w:eastAsia="宋体" w:cs="宋体"/>
          <w:bCs w:val="0"/>
          <w:sz w:val="21"/>
          <w:szCs w:val="21"/>
          <w:highlight w:val="none"/>
        </w:rPr>
        <w:t>15. 变更</w:t>
      </w:r>
      <w:bookmarkEnd w:id="861"/>
      <w:bookmarkEnd w:id="862"/>
      <w:bookmarkEnd w:id="863"/>
      <w:bookmarkEnd w:id="864"/>
      <w:bookmarkEnd w:id="865"/>
      <w:bookmarkEnd w:id="866"/>
      <w:bookmarkEnd w:id="867"/>
      <w:bookmarkEnd w:id="868"/>
      <w:bookmarkEnd w:id="869"/>
      <w:bookmarkStart w:id="870" w:name="_Toc247514139"/>
      <w:bookmarkStart w:id="871" w:name="_Toc247527740"/>
    </w:p>
    <w:p>
      <w:pPr>
        <w:pStyle w:val="5"/>
        <w:spacing w:before="120" w:after="120" w:line="360" w:lineRule="auto"/>
        <w:ind w:firstLine="103"/>
        <w:rPr>
          <w:rFonts w:ascii="宋体" w:eastAsia="宋体" w:cs="宋体"/>
          <w:bCs w:val="0"/>
          <w:sz w:val="21"/>
          <w:szCs w:val="21"/>
          <w:highlight w:val="none"/>
        </w:rPr>
      </w:pPr>
      <w:bookmarkStart w:id="872" w:name="_Toc411736248"/>
      <w:bookmarkStart w:id="873" w:name="_Toc300835142"/>
      <w:bookmarkStart w:id="874" w:name="_Toc410559442"/>
      <w:bookmarkStart w:id="875" w:name="_Toc486160073"/>
      <w:bookmarkStart w:id="876" w:name="_Toc411736524"/>
      <w:bookmarkStart w:id="877" w:name="_Toc476860459"/>
      <w:r>
        <w:rPr>
          <w:rFonts w:hint="eastAsia" w:ascii="宋体" w:eastAsia="宋体" w:cs="宋体"/>
          <w:bCs w:val="0"/>
          <w:sz w:val="21"/>
          <w:szCs w:val="21"/>
          <w:highlight w:val="none"/>
        </w:rPr>
        <w:t>15.1 变更权</w:t>
      </w:r>
      <w:bookmarkEnd w:id="870"/>
      <w:bookmarkEnd w:id="871"/>
      <w:bookmarkEnd w:id="872"/>
      <w:bookmarkEnd w:id="873"/>
      <w:bookmarkEnd w:id="874"/>
      <w:bookmarkEnd w:id="875"/>
      <w:bookmarkEnd w:id="876"/>
      <w:bookmarkEnd w:id="87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在履行合同过程中，经发包人同意，监理人可按第15.3 款约定的变更程序向承包人作出有关发包人要求改变的变更指示，承包人应遵照执行。变更应在相应内容实施前提出，否则发包人应承担承包人损失。没有监理人的变更指示，承包人不得擅自变更。</w:t>
      </w:r>
    </w:p>
    <w:p>
      <w:pPr>
        <w:pStyle w:val="5"/>
        <w:spacing w:before="120" w:after="120" w:line="360" w:lineRule="auto"/>
        <w:ind w:firstLine="103"/>
        <w:rPr>
          <w:rFonts w:ascii="宋体" w:eastAsia="宋体" w:cs="宋体"/>
          <w:bCs w:val="0"/>
          <w:sz w:val="21"/>
          <w:szCs w:val="21"/>
          <w:highlight w:val="none"/>
        </w:rPr>
      </w:pPr>
      <w:bookmarkStart w:id="878" w:name="_Toc300835143"/>
      <w:bookmarkStart w:id="879" w:name="_Toc247527741"/>
      <w:bookmarkStart w:id="880" w:name="_Toc486160074"/>
      <w:bookmarkStart w:id="881" w:name="_Toc411736249"/>
      <w:bookmarkStart w:id="882" w:name="_Toc410559443"/>
      <w:bookmarkStart w:id="883" w:name="_Toc476860460"/>
      <w:bookmarkStart w:id="884" w:name="_Toc411736525"/>
      <w:bookmarkStart w:id="885" w:name="_Toc247514140"/>
      <w:r>
        <w:rPr>
          <w:rFonts w:hint="eastAsia" w:ascii="宋体" w:eastAsia="宋体" w:cs="宋体"/>
          <w:bCs w:val="0"/>
          <w:sz w:val="21"/>
          <w:szCs w:val="21"/>
          <w:highlight w:val="none"/>
        </w:rPr>
        <w:t>15.2 承包人的合理化建议</w:t>
      </w:r>
      <w:bookmarkEnd w:id="878"/>
      <w:bookmarkEnd w:id="879"/>
      <w:bookmarkEnd w:id="880"/>
      <w:bookmarkEnd w:id="881"/>
      <w:bookmarkEnd w:id="882"/>
      <w:bookmarkEnd w:id="883"/>
      <w:bookmarkEnd w:id="884"/>
      <w:bookmarkEnd w:id="88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15.2.1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款约定向承包人发出变更指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15.2.2 承包人提出的合理化建议降低了合同价格、缩短了工期或者提高了工程经济效益的，发包人可按国家有关规定在专用合同条款中约定给予奖励。</w:t>
      </w:r>
    </w:p>
    <w:p>
      <w:pPr>
        <w:pStyle w:val="5"/>
        <w:spacing w:before="120" w:after="120" w:line="360" w:lineRule="auto"/>
        <w:ind w:firstLine="103"/>
        <w:rPr>
          <w:rFonts w:ascii="宋体" w:eastAsia="宋体" w:cs="宋体"/>
          <w:bCs w:val="0"/>
          <w:sz w:val="21"/>
          <w:szCs w:val="21"/>
          <w:highlight w:val="none"/>
        </w:rPr>
      </w:pPr>
      <w:bookmarkStart w:id="886" w:name="_Toc411736526"/>
      <w:bookmarkStart w:id="887" w:name="_Toc247527742"/>
      <w:bookmarkStart w:id="888" w:name="_Toc411736250"/>
      <w:bookmarkStart w:id="889" w:name="_Toc247514141"/>
      <w:bookmarkStart w:id="890" w:name="_Toc486160075"/>
      <w:bookmarkStart w:id="891" w:name="_Toc410559444"/>
      <w:bookmarkStart w:id="892" w:name="_Toc300835144"/>
      <w:bookmarkStart w:id="893" w:name="_Toc476860461"/>
      <w:r>
        <w:rPr>
          <w:rFonts w:hint="eastAsia" w:ascii="宋体" w:eastAsia="宋体" w:cs="宋体"/>
          <w:bCs w:val="0"/>
          <w:sz w:val="21"/>
          <w:szCs w:val="21"/>
          <w:highlight w:val="none"/>
        </w:rPr>
        <w:t>15.3 变更程序</w:t>
      </w:r>
      <w:bookmarkEnd w:id="886"/>
      <w:bookmarkEnd w:id="887"/>
      <w:bookmarkEnd w:id="888"/>
      <w:bookmarkEnd w:id="889"/>
      <w:bookmarkEnd w:id="890"/>
      <w:bookmarkEnd w:id="891"/>
      <w:bookmarkEnd w:id="892"/>
      <w:bookmarkEnd w:id="893"/>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15.3.1 变更的提出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天内作出变更指示。经研究后不同意作为变更的，应由监理人书面答复承包人。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（3）承包人收到监理人的变更意向书后认为难以实施此项变更的，应立即通知监理人，说明原因并附详细依据。监理人与承包人和发包人协商后确定撤销、改变或不改变原变更意向书。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15.3.2 变更估价</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监理人应按照第3.5 款商定或确定变更价格。变更价格应包括合理的利润，并应考虑承包人根据第15.2款提出的合理化建议。</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15.3.3 变更指示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（1）变更指示只能由监理人发出。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（2）变更指示应说明变更的目的、范围、变更内容以及变更的工程量及其进度和技术要求，并附有关图纸和文件。承包人收到变更指示后，应按变更指示进行变更工作。</w:t>
      </w:r>
    </w:p>
    <w:p>
      <w:pPr>
        <w:pStyle w:val="5"/>
        <w:spacing w:before="120" w:after="120" w:line="360" w:lineRule="auto"/>
        <w:ind w:firstLine="103"/>
        <w:rPr>
          <w:rFonts w:ascii="宋体" w:eastAsia="宋体" w:cs="宋体"/>
          <w:bCs w:val="0"/>
          <w:sz w:val="21"/>
          <w:szCs w:val="21"/>
          <w:highlight w:val="none"/>
        </w:rPr>
      </w:pPr>
      <w:bookmarkStart w:id="894" w:name="_Toc410559445"/>
      <w:bookmarkStart w:id="895" w:name="_Toc247514142"/>
      <w:bookmarkStart w:id="896" w:name="_Toc411736527"/>
      <w:bookmarkStart w:id="897" w:name="_Toc411736251"/>
      <w:bookmarkStart w:id="898" w:name="_Toc300835145"/>
      <w:bookmarkStart w:id="899" w:name="_Toc486160076"/>
      <w:bookmarkStart w:id="900" w:name="_Toc247527743"/>
      <w:bookmarkStart w:id="901" w:name="_Toc476860462"/>
      <w:r>
        <w:rPr>
          <w:rFonts w:hint="eastAsia" w:ascii="宋体" w:eastAsia="宋体" w:cs="宋体"/>
          <w:bCs w:val="0"/>
          <w:sz w:val="21"/>
          <w:szCs w:val="21"/>
          <w:highlight w:val="none"/>
        </w:rPr>
        <w:t>15.4 暂列金额</w:t>
      </w:r>
      <w:bookmarkEnd w:id="894"/>
      <w:bookmarkEnd w:id="895"/>
      <w:bookmarkEnd w:id="896"/>
      <w:bookmarkEnd w:id="897"/>
      <w:bookmarkEnd w:id="898"/>
      <w:bookmarkEnd w:id="899"/>
      <w:bookmarkEnd w:id="900"/>
      <w:bookmarkEnd w:id="90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经发包人同意，承包人可使用暂列金额，但应按照第15.6款规定的程序进行，并对合同价格进行相应调整。</w:t>
      </w:r>
    </w:p>
    <w:p>
      <w:pPr>
        <w:pStyle w:val="5"/>
        <w:spacing w:before="120" w:after="120" w:line="360" w:lineRule="auto"/>
        <w:ind w:firstLine="103"/>
        <w:rPr>
          <w:rFonts w:ascii="宋体" w:eastAsia="宋体" w:cs="宋体"/>
          <w:bCs w:val="0"/>
          <w:sz w:val="21"/>
          <w:szCs w:val="21"/>
          <w:highlight w:val="none"/>
        </w:rPr>
      </w:pPr>
      <w:bookmarkStart w:id="902" w:name="_Toc410559446"/>
      <w:bookmarkStart w:id="903" w:name="_Toc411736252"/>
      <w:bookmarkStart w:id="904" w:name="_Toc411736528"/>
      <w:bookmarkStart w:id="905" w:name="_Toc476860463"/>
      <w:bookmarkStart w:id="906" w:name="_Toc486160077"/>
      <w:r>
        <w:rPr>
          <w:rFonts w:hint="eastAsia" w:ascii="宋体" w:eastAsia="宋体" w:cs="宋体"/>
          <w:bCs w:val="0"/>
          <w:sz w:val="21"/>
          <w:szCs w:val="21"/>
          <w:highlight w:val="none"/>
        </w:rPr>
        <w:t>15.5 计日工（A）</w:t>
      </w:r>
      <w:bookmarkEnd w:id="902"/>
      <w:bookmarkEnd w:id="903"/>
      <w:bookmarkEnd w:id="904"/>
      <w:bookmarkEnd w:id="905"/>
      <w:bookmarkEnd w:id="90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15.5.1 发包人认为有必要时，由监理人通知承包人以计日工方式实施变更的零星工作。其价款按列入合同中的计日工计价子目及其单价进行计算。</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15.5.2 采用计日工计价的任何一项变更工作，应从暂列金额中支付，承包人应在该项变更的实施过程中，每天提交以下报表和有关凭证报送监理人批准：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（1）工作名称、内容和数量；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（2）投入该工作所有人员的姓名、专业/工种、级别和耗用工时；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（3）投入该工作的材料类别和数量；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（4）投入该工作的施工设备型号、台数和耗用台时；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（5）监理人要求提交的其他资料和凭证。</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15.5.3 计日工由承包人汇总后，按第17.3.3 项的约定列入进度付款申请单，由监理人复核并经发包人同意后列入进度付款。</w:t>
      </w:r>
    </w:p>
    <w:p>
      <w:pPr>
        <w:pStyle w:val="5"/>
        <w:spacing w:before="120" w:after="120" w:line="360" w:lineRule="auto"/>
        <w:ind w:firstLine="103"/>
        <w:rPr>
          <w:rFonts w:ascii="宋体" w:eastAsia="宋体" w:cs="宋体"/>
          <w:bCs w:val="0"/>
          <w:sz w:val="21"/>
          <w:szCs w:val="21"/>
          <w:highlight w:val="none"/>
        </w:rPr>
      </w:pPr>
      <w:bookmarkStart w:id="907" w:name="_Toc486160078"/>
      <w:bookmarkStart w:id="908" w:name="_Toc476860464"/>
      <w:bookmarkStart w:id="909" w:name="_Toc410559447"/>
      <w:bookmarkStart w:id="910" w:name="_Toc411736253"/>
      <w:bookmarkStart w:id="911" w:name="_Toc411736529"/>
      <w:r>
        <w:rPr>
          <w:rFonts w:hint="eastAsia" w:ascii="宋体" w:eastAsia="宋体" w:cs="宋体"/>
          <w:bCs w:val="0"/>
          <w:sz w:val="21"/>
          <w:szCs w:val="21"/>
          <w:highlight w:val="none"/>
        </w:rPr>
        <w:t>15.6 暂估价（B）</w:t>
      </w:r>
      <w:bookmarkEnd w:id="907"/>
      <w:bookmarkEnd w:id="908"/>
      <w:bookmarkEnd w:id="909"/>
      <w:bookmarkEnd w:id="910"/>
      <w:bookmarkEnd w:id="91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签约合同价包括暂估价的，按合同约定进行支付。</w:t>
      </w:r>
    </w:p>
    <w:p>
      <w:pPr>
        <w:pStyle w:val="5"/>
        <w:spacing w:before="120" w:after="120" w:line="360" w:lineRule="auto"/>
        <w:ind w:firstLine="103"/>
        <w:rPr>
          <w:rFonts w:ascii="宋体" w:eastAsia="宋体" w:cs="宋体"/>
          <w:bCs w:val="0"/>
          <w:sz w:val="21"/>
          <w:szCs w:val="21"/>
          <w:highlight w:val="none"/>
        </w:rPr>
      </w:pPr>
      <w:bookmarkStart w:id="912" w:name="_Toc411736254"/>
      <w:bookmarkStart w:id="913" w:name="_Toc486160079"/>
      <w:bookmarkStart w:id="914" w:name="_Toc184635113"/>
      <w:bookmarkStart w:id="915" w:name="_Toc247514143"/>
      <w:bookmarkStart w:id="916" w:name="_Toc247527744"/>
      <w:bookmarkStart w:id="917" w:name="_Toc476860465"/>
      <w:bookmarkStart w:id="918" w:name="_Toc410559448"/>
      <w:bookmarkStart w:id="919" w:name="_Toc411736530"/>
      <w:bookmarkStart w:id="920" w:name="_Toc300835146"/>
      <w:r>
        <w:rPr>
          <w:rFonts w:hint="eastAsia" w:ascii="宋体" w:eastAsia="宋体" w:cs="宋体"/>
          <w:bCs w:val="0"/>
          <w:sz w:val="21"/>
          <w:szCs w:val="21"/>
          <w:highlight w:val="none"/>
        </w:rPr>
        <w:t>16. 价格调整</w:t>
      </w:r>
      <w:bookmarkEnd w:id="912"/>
      <w:bookmarkEnd w:id="913"/>
      <w:bookmarkEnd w:id="914"/>
      <w:bookmarkEnd w:id="915"/>
      <w:bookmarkEnd w:id="916"/>
      <w:bookmarkEnd w:id="917"/>
      <w:bookmarkEnd w:id="918"/>
      <w:bookmarkEnd w:id="919"/>
      <w:bookmarkEnd w:id="920"/>
    </w:p>
    <w:p>
      <w:pPr>
        <w:pStyle w:val="5"/>
        <w:spacing w:before="120" w:after="120" w:line="360" w:lineRule="auto"/>
        <w:ind w:firstLine="103"/>
        <w:rPr>
          <w:rFonts w:ascii="宋体" w:eastAsia="宋体" w:cs="宋体"/>
          <w:bCs w:val="0"/>
          <w:sz w:val="21"/>
          <w:szCs w:val="21"/>
          <w:highlight w:val="none"/>
        </w:rPr>
      </w:pPr>
      <w:bookmarkStart w:id="921" w:name="_Toc265955482"/>
      <w:bookmarkStart w:id="922" w:name="_Toc476860466"/>
      <w:bookmarkStart w:id="923" w:name="_Toc411736531"/>
      <w:bookmarkStart w:id="924" w:name="_Toc300835148"/>
      <w:bookmarkStart w:id="925" w:name="_Toc411736255"/>
      <w:bookmarkStart w:id="926" w:name="_Toc486160080"/>
      <w:bookmarkStart w:id="927" w:name="_Toc410559449"/>
      <w:r>
        <w:rPr>
          <w:rFonts w:hint="eastAsia" w:ascii="宋体" w:eastAsia="宋体" w:cs="宋体"/>
          <w:bCs w:val="0"/>
          <w:sz w:val="21"/>
          <w:szCs w:val="21"/>
          <w:highlight w:val="none"/>
        </w:rPr>
        <w:t>16.1 物价波动引起的调整</w:t>
      </w:r>
      <w:bookmarkEnd w:id="921"/>
      <w:r>
        <w:rPr>
          <w:rFonts w:hint="eastAsia" w:ascii="宋体" w:eastAsia="宋体" w:cs="宋体"/>
          <w:bCs w:val="0"/>
          <w:sz w:val="21"/>
          <w:szCs w:val="21"/>
          <w:highlight w:val="none"/>
        </w:rPr>
        <w:t>（B）</w:t>
      </w:r>
      <w:bookmarkEnd w:id="922"/>
      <w:bookmarkEnd w:id="923"/>
      <w:bookmarkEnd w:id="924"/>
      <w:bookmarkEnd w:id="925"/>
      <w:bookmarkEnd w:id="926"/>
      <w:bookmarkEnd w:id="92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除法律规定或专用合同条款另有约定外，合同价格不因物价波动进行调整。</w:t>
      </w:r>
    </w:p>
    <w:p>
      <w:pPr>
        <w:pStyle w:val="5"/>
        <w:spacing w:before="120" w:after="120" w:line="360" w:lineRule="auto"/>
        <w:ind w:firstLine="103"/>
        <w:rPr>
          <w:rFonts w:ascii="宋体" w:eastAsia="宋体" w:cs="宋体"/>
          <w:bCs w:val="0"/>
          <w:sz w:val="21"/>
          <w:szCs w:val="21"/>
          <w:highlight w:val="none"/>
        </w:rPr>
      </w:pPr>
      <w:bookmarkStart w:id="928" w:name="_Toc247514145"/>
      <w:bookmarkStart w:id="929" w:name="_Toc486160081"/>
      <w:bookmarkStart w:id="930" w:name="_Toc411736256"/>
      <w:bookmarkStart w:id="931" w:name="_Toc476860467"/>
      <w:bookmarkStart w:id="932" w:name="_Toc247527746"/>
      <w:bookmarkStart w:id="933" w:name="_Toc411736532"/>
      <w:bookmarkStart w:id="934" w:name="_Toc300835149"/>
      <w:bookmarkStart w:id="935" w:name="_Toc410559450"/>
      <w:r>
        <w:rPr>
          <w:rFonts w:hint="eastAsia" w:ascii="宋体" w:eastAsia="宋体" w:cs="宋体"/>
          <w:bCs w:val="0"/>
          <w:sz w:val="21"/>
          <w:szCs w:val="21"/>
          <w:highlight w:val="none"/>
        </w:rPr>
        <w:t>16.2 法律变化引起的调整</w:t>
      </w:r>
      <w:bookmarkEnd w:id="928"/>
      <w:bookmarkEnd w:id="929"/>
      <w:bookmarkEnd w:id="930"/>
      <w:bookmarkEnd w:id="931"/>
      <w:bookmarkEnd w:id="932"/>
      <w:bookmarkEnd w:id="933"/>
      <w:bookmarkEnd w:id="934"/>
      <w:bookmarkEnd w:id="93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在基准日后，因法律变化导致承包人在合同履行中所需费用发生除第16.1 款约定以外的增减时，监理人应根据法律、国家或省、自治区、直辖市有关部门的规定，按第3.5 款商定或确定需调整的合同价格。</w:t>
      </w:r>
    </w:p>
    <w:p>
      <w:pPr>
        <w:pStyle w:val="5"/>
        <w:spacing w:before="120" w:after="120" w:line="360" w:lineRule="auto"/>
        <w:ind w:firstLine="103"/>
        <w:rPr>
          <w:rFonts w:ascii="宋体" w:eastAsia="宋体" w:cs="宋体"/>
          <w:bCs w:val="0"/>
          <w:sz w:val="21"/>
          <w:szCs w:val="21"/>
          <w:highlight w:val="none"/>
        </w:rPr>
      </w:pPr>
      <w:bookmarkStart w:id="936" w:name="_Toc247514146"/>
      <w:bookmarkStart w:id="937" w:name="_Toc300835150"/>
      <w:bookmarkStart w:id="938" w:name="_Toc247527747"/>
      <w:bookmarkStart w:id="939" w:name="_Toc476860468"/>
      <w:bookmarkStart w:id="940" w:name="_Toc411736533"/>
      <w:bookmarkStart w:id="941" w:name="_Toc486160082"/>
      <w:bookmarkStart w:id="942" w:name="_Toc411736257"/>
      <w:bookmarkStart w:id="943" w:name="_Toc410559451"/>
      <w:bookmarkStart w:id="944" w:name="_Toc184635114"/>
      <w:r>
        <w:rPr>
          <w:rFonts w:hint="eastAsia" w:ascii="宋体" w:eastAsia="宋体" w:cs="宋体"/>
          <w:bCs w:val="0"/>
          <w:sz w:val="21"/>
          <w:szCs w:val="21"/>
          <w:highlight w:val="none"/>
        </w:rPr>
        <w:t>17. 合同价格与支付</w:t>
      </w:r>
      <w:bookmarkEnd w:id="936"/>
      <w:bookmarkEnd w:id="937"/>
      <w:bookmarkEnd w:id="938"/>
      <w:bookmarkEnd w:id="939"/>
      <w:bookmarkEnd w:id="940"/>
      <w:bookmarkEnd w:id="941"/>
      <w:bookmarkEnd w:id="942"/>
      <w:bookmarkEnd w:id="943"/>
      <w:bookmarkEnd w:id="944"/>
    </w:p>
    <w:p>
      <w:pPr>
        <w:pStyle w:val="5"/>
        <w:spacing w:before="120" w:after="120" w:line="360" w:lineRule="auto"/>
        <w:ind w:firstLine="103"/>
        <w:rPr>
          <w:rFonts w:ascii="宋体" w:eastAsia="宋体" w:cs="宋体"/>
          <w:bCs w:val="0"/>
          <w:sz w:val="21"/>
          <w:szCs w:val="21"/>
          <w:highlight w:val="none"/>
        </w:rPr>
      </w:pPr>
      <w:bookmarkStart w:id="945" w:name="_Toc411736258"/>
      <w:bookmarkStart w:id="946" w:name="_Toc247527748"/>
      <w:bookmarkStart w:id="947" w:name="_Toc247514147"/>
      <w:bookmarkStart w:id="948" w:name="_Toc476860469"/>
      <w:bookmarkStart w:id="949" w:name="_Toc486160083"/>
      <w:bookmarkStart w:id="950" w:name="_Toc411736534"/>
      <w:bookmarkStart w:id="951" w:name="_Toc300835151"/>
      <w:bookmarkStart w:id="952" w:name="_Toc410559452"/>
      <w:r>
        <w:rPr>
          <w:rFonts w:hint="eastAsia" w:ascii="宋体" w:eastAsia="宋体" w:cs="宋体"/>
          <w:bCs w:val="0"/>
          <w:sz w:val="21"/>
          <w:szCs w:val="21"/>
          <w:highlight w:val="none"/>
        </w:rPr>
        <w:t>17.1 合同价格</w:t>
      </w:r>
      <w:bookmarkEnd w:id="945"/>
      <w:bookmarkEnd w:id="946"/>
      <w:bookmarkEnd w:id="947"/>
      <w:bookmarkEnd w:id="948"/>
      <w:bookmarkEnd w:id="949"/>
      <w:bookmarkEnd w:id="950"/>
      <w:bookmarkEnd w:id="951"/>
      <w:bookmarkEnd w:id="95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（1）合同价格包括签约合同价以及按照合同约定进行的调整；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（2）合同价格包括承包人依据法律规定或合同约定应支付的规费和税金；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合同约定工程的某部分按照实际完成的工程量进行支付的，应按照专用合同条款的约定进行计量和估价，并据此调整合同价格。</w:t>
      </w:r>
    </w:p>
    <w:p>
      <w:pPr>
        <w:pStyle w:val="5"/>
        <w:spacing w:before="120" w:after="120" w:line="360" w:lineRule="auto"/>
        <w:ind w:firstLine="103"/>
        <w:rPr>
          <w:rFonts w:ascii="宋体" w:eastAsia="宋体" w:cs="宋体"/>
          <w:bCs w:val="0"/>
          <w:sz w:val="21"/>
          <w:szCs w:val="21"/>
          <w:highlight w:val="none"/>
        </w:rPr>
      </w:pPr>
      <w:bookmarkStart w:id="953" w:name="_Toc247527749"/>
      <w:bookmarkStart w:id="954" w:name="_Toc247514148"/>
      <w:bookmarkStart w:id="955" w:name="_Toc411736259"/>
      <w:bookmarkStart w:id="956" w:name="_Toc410559453"/>
      <w:bookmarkStart w:id="957" w:name="_Toc300835152"/>
      <w:bookmarkStart w:id="958" w:name="_Toc411736535"/>
      <w:bookmarkStart w:id="959" w:name="_Toc476860470"/>
      <w:bookmarkStart w:id="960" w:name="_Toc486160084"/>
      <w:r>
        <w:rPr>
          <w:rFonts w:hint="eastAsia" w:ascii="宋体" w:eastAsia="宋体" w:cs="宋体"/>
          <w:bCs w:val="0"/>
          <w:sz w:val="21"/>
          <w:szCs w:val="21"/>
          <w:highlight w:val="none"/>
        </w:rPr>
        <w:t>17.2 预付款</w:t>
      </w:r>
      <w:bookmarkEnd w:id="953"/>
      <w:bookmarkEnd w:id="954"/>
      <w:bookmarkEnd w:id="955"/>
      <w:bookmarkEnd w:id="956"/>
      <w:bookmarkEnd w:id="957"/>
      <w:bookmarkEnd w:id="958"/>
      <w:bookmarkEnd w:id="959"/>
      <w:bookmarkEnd w:id="960"/>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17.2.1 预付款</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预付款用于承包人为合同工程的设计和工程实施购置材料、工程设备、施工设备、修建临时设施以及组织施工队伍进场等。预付款的额度和支付在专用合同条款中约定。预付款必须专用于合同工作。</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17.2.2 预付款保函</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除专用合同条款另有约定外，承包人应在收到预付款的同时向发包人提交预付款保函，预付款保函的担保金额应与预付款金额相同。保函的担保金额可根据预付款扣回的金额相应递减。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17.2.3 预付款的扣回与还清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5"/>
        <w:spacing w:before="120" w:after="120" w:line="360" w:lineRule="auto"/>
        <w:ind w:firstLine="103"/>
        <w:rPr>
          <w:rFonts w:ascii="宋体" w:eastAsia="宋体" w:cs="宋体"/>
          <w:bCs w:val="0"/>
          <w:sz w:val="21"/>
          <w:szCs w:val="21"/>
          <w:highlight w:val="none"/>
        </w:rPr>
      </w:pPr>
      <w:bookmarkStart w:id="961" w:name="_Toc486160085"/>
      <w:bookmarkStart w:id="962" w:name="_Toc411736260"/>
      <w:bookmarkStart w:id="963" w:name="_Toc247514149"/>
      <w:bookmarkStart w:id="964" w:name="_Toc476860471"/>
      <w:bookmarkStart w:id="965" w:name="_Toc300835153"/>
      <w:bookmarkStart w:id="966" w:name="_Toc411736536"/>
      <w:bookmarkStart w:id="967" w:name="_Toc247527750"/>
      <w:bookmarkStart w:id="968" w:name="_Toc410559454"/>
      <w:r>
        <w:rPr>
          <w:rFonts w:hint="eastAsia" w:ascii="宋体" w:eastAsia="宋体" w:cs="宋体"/>
          <w:bCs w:val="0"/>
          <w:sz w:val="21"/>
          <w:szCs w:val="21"/>
          <w:highlight w:val="none"/>
        </w:rPr>
        <w:t>17.3 工程进度付款</w:t>
      </w:r>
      <w:bookmarkEnd w:id="961"/>
      <w:bookmarkEnd w:id="962"/>
      <w:bookmarkEnd w:id="963"/>
      <w:bookmarkEnd w:id="964"/>
      <w:bookmarkEnd w:id="965"/>
      <w:bookmarkEnd w:id="966"/>
      <w:bookmarkEnd w:id="967"/>
      <w:bookmarkEnd w:id="968"/>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17.3.1 付款时间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除专用合同条款另有约定外，工程进度付款按月支付。</w:t>
      </w:r>
    </w:p>
    <w:p>
      <w:pPr>
        <w:tabs>
          <w:tab w:val="left" w:pos="5670"/>
        </w:tabs>
        <w:spacing w:line="360" w:lineRule="auto"/>
        <w:ind w:firstLine="420" w:firstLineChars="200"/>
        <w:rPr>
          <w:rFonts w:ascii="宋体" w:hAnsi="宋体" w:cs="宋体"/>
          <w:szCs w:val="21"/>
          <w:highlight w:val="none"/>
        </w:rPr>
      </w:pPr>
      <w:r>
        <w:rPr>
          <w:rFonts w:hint="eastAsia" w:ascii="宋体" w:hAnsi="宋体" w:cs="宋体"/>
          <w:szCs w:val="21"/>
          <w:highlight w:val="none"/>
        </w:rPr>
        <w:t>17.3.2 支付分解表</w:t>
      </w:r>
    </w:p>
    <w:p>
      <w:pPr>
        <w:tabs>
          <w:tab w:val="left" w:pos="5670"/>
        </w:tabs>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除专用合同条款另有约定外，承包人应根据价格清单的价格构成、费用性质、计划发生时间和相应工作量等因素，按照以下分类和分解原则，结合第4.12.1项约定的合同进度计划，汇总形成月度支付分解报告。</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（1）设计费。按照提供设计阶段性成果文件的时间、对应的工作量进行分解。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（2）材料和工程设备费。分别按订立采购合同、进场验收合格、安装就位、工程竣工等阶段和专用条款约定的比例进行分解。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（3）技术服务培训费。按照价格清单中的单价，结合第4.12.1项约定的合同进度计划对应的工作量进行分解。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（4）其他工程价款。除第17.1款约定按已完成工程量计量支付的工程价款外，按照价格清单中的价格，结合第4.12.1项约定的合同进度计划拟完成的工程量或者比例进行分解。</w:t>
      </w:r>
    </w:p>
    <w:p>
      <w:pPr>
        <w:tabs>
          <w:tab w:val="left" w:pos="5670"/>
        </w:tabs>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目规定报监理人批复。</w:t>
      </w:r>
    </w:p>
    <w:p>
      <w:pPr>
        <w:tabs>
          <w:tab w:val="left" w:pos="5670"/>
        </w:tabs>
        <w:spacing w:line="360" w:lineRule="auto"/>
        <w:ind w:firstLine="420" w:firstLineChars="200"/>
        <w:rPr>
          <w:rFonts w:ascii="宋体" w:hAnsi="宋体" w:cs="宋体"/>
          <w:szCs w:val="21"/>
          <w:highlight w:val="none"/>
        </w:rPr>
      </w:pPr>
      <w:r>
        <w:rPr>
          <w:rFonts w:hint="eastAsia" w:ascii="宋体" w:hAnsi="宋体" w:cs="宋体"/>
          <w:szCs w:val="21"/>
          <w:highlight w:val="none"/>
        </w:rPr>
        <w:t>17.3.3 进度付款申请单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承包人应在每笔进度款支付前，按监理人批准的格式和专用合同条款约定的份数，向监理人提交进度付款申请单，并附相应的支持性证明文件。除合同另有约定外，进度付款申请单应包括下列内容：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（1）当期应支付金额总额，以及截至当期期末累计应支付金额总额、已支付的进度付款金额总额；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（2）当期根据支付分解表应支付金额，以及截至当期期末累计应支付金额；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（3）当期根据第17.1款约定计量的已实施工程应支付金额，以及截至当期期末累计应支付金额；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（4）当期根据第15条应增加和扣减的变更金额，以及截至当期期末累计变更金额；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（5）当期根据第23 条应增加和扣减的索赔金额，以及截至当期期末累计索赔金额；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（6）当期根据第17.2 款约定应支付的预付款和扣减的返还预付款金额，以及截至当期期末累计返还预付款金额；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（7）当期根据第17.4.1 项约定应扣减的质量保证金金额，以及截至当期期末累计扣减的质量保证金金额；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（8）当期根据合同应增加和扣减的其他金额，以及截至当期期末累计增加和扣减的金额。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17.3.4 进度付款证书和支付时间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（2）发包人最迟应在监理人收到进度付款申请单后的28 天内，将进度应付款支付给承包人。发包人未能在前述时间内完成审批或不予答复的，视为发包人同意进度付款申请。发包人不按期支付的，按专用合同条款的约定支付逾期付款违约金。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（3）监理人出具进度付款证书，不应视为监理人已同意、批准或接受了承包人完成的该部分工作。</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（4）进度付款涉及政府投资资金的，按照国库集中支付等国家相关规定和专用合同条款的约定执行。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17.3.5 工程进度付款的修正</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在对以往历次已签发的进度付款证书进行汇总和复核中发现错、漏或重复的，监理人有权予以修正，承包人也有权提出修正申请。经监理人、承包人复核同意的修正，应在本次进度付款中支付或扣除。</w:t>
      </w:r>
    </w:p>
    <w:p>
      <w:pPr>
        <w:pStyle w:val="5"/>
        <w:spacing w:before="120" w:after="120" w:line="360" w:lineRule="auto"/>
        <w:ind w:firstLine="103"/>
        <w:rPr>
          <w:rFonts w:ascii="宋体" w:eastAsia="宋体" w:cs="宋体"/>
          <w:bCs w:val="0"/>
          <w:sz w:val="21"/>
          <w:szCs w:val="21"/>
          <w:highlight w:val="none"/>
        </w:rPr>
      </w:pPr>
      <w:bookmarkStart w:id="969" w:name="_Toc247514150"/>
      <w:bookmarkStart w:id="970" w:name="_Toc411736537"/>
      <w:bookmarkStart w:id="971" w:name="_Toc410559455"/>
      <w:bookmarkStart w:id="972" w:name="_Toc300835154"/>
      <w:bookmarkStart w:id="973" w:name="_Toc247527751"/>
      <w:bookmarkStart w:id="974" w:name="_Toc486160086"/>
      <w:bookmarkStart w:id="975" w:name="_Toc476860472"/>
      <w:bookmarkStart w:id="976" w:name="_Toc411736261"/>
      <w:r>
        <w:rPr>
          <w:rFonts w:hint="eastAsia" w:ascii="宋体" w:eastAsia="宋体" w:cs="宋体"/>
          <w:bCs w:val="0"/>
          <w:sz w:val="21"/>
          <w:szCs w:val="21"/>
          <w:highlight w:val="none"/>
        </w:rPr>
        <w:t>17.4 质量保证金</w:t>
      </w:r>
      <w:bookmarkEnd w:id="969"/>
      <w:bookmarkEnd w:id="970"/>
      <w:bookmarkEnd w:id="971"/>
      <w:bookmarkEnd w:id="972"/>
      <w:bookmarkEnd w:id="973"/>
      <w:bookmarkEnd w:id="974"/>
      <w:bookmarkEnd w:id="975"/>
      <w:bookmarkEnd w:id="97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17.4.1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17.4.2 在第1.1.4.5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pPr>
        <w:pStyle w:val="5"/>
        <w:spacing w:before="120" w:after="120" w:line="360" w:lineRule="auto"/>
        <w:ind w:firstLine="103"/>
        <w:rPr>
          <w:rFonts w:ascii="宋体" w:eastAsia="宋体" w:cs="宋体"/>
          <w:bCs w:val="0"/>
          <w:sz w:val="21"/>
          <w:szCs w:val="21"/>
          <w:highlight w:val="none"/>
        </w:rPr>
      </w:pPr>
      <w:bookmarkStart w:id="977" w:name="_Toc411736262"/>
      <w:bookmarkStart w:id="978" w:name="_Toc411736538"/>
      <w:bookmarkStart w:id="979" w:name="_Toc410559456"/>
      <w:bookmarkStart w:id="980" w:name="_Toc300835155"/>
      <w:bookmarkStart w:id="981" w:name="_Toc247527752"/>
      <w:bookmarkStart w:id="982" w:name="_Toc486160087"/>
      <w:bookmarkStart w:id="983" w:name="_Toc247514151"/>
      <w:bookmarkStart w:id="984" w:name="_Toc476860473"/>
      <w:r>
        <w:rPr>
          <w:rFonts w:hint="eastAsia" w:ascii="宋体" w:eastAsia="宋体" w:cs="宋体"/>
          <w:bCs w:val="0"/>
          <w:sz w:val="21"/>
          <w:szCs w:val="21"/>
          <w:highlight w:val="none"/>
        </w:rPr>
        <w:t>17.5 竣工结算</w:t>
      </w:r>
      <w:bookmarkEnd w:id="977"/>
      <w:bookmarkEnd w:id="978"/>
      <w:bookmarkEnd w:id="979"/>
      <w:bookmarkEnd w:id="980"/>
      <w:bookmarkEnd w:id="981"/>
      <w:bookmarkEnd w:id="982"/>
      <w:bookmarkEnd w:id="983"/>
      <w:bookmarkEnd w:id="98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17.5.1 竣工付款申请单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（2）监理人对竣工付款申请单有异议的，有权要求承包人进行修正和提供补充资料。经监理人和承包人协商后，由承包人向监理人提交修正后的竣工付款申请单。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17.5.2 竣工付款证书及支付时间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（2）发包人应在监理人出具竣工付款证书后的14 天内，将应支付款支付给承包人。发包人不按期支付的，按第17.3.4（2）目的约定，将逾期付款违约金支付给承包人。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（3）承包人对发包人签认的竣工付款证书有异议的，发包人可出具竣工付款申请单中承包人已同意部分的临时付款证书。存在争议的部分，按第24条的约定执行。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（4）竣工付款涉及政府投资资金的，按第17.3.4（4）目的约定执行。</w:t>
      </w:r>
    </w:p>
    <w:p>
      <w:pPr>
        <w:pStyle w:val="5"/>
        <w:spacing w:before="120" w:after="120" w:line="360" w:lineRule="auto"/>
        <w:ind w:firstLine="103"/>
        <w:rPr>
          <w:rFonts w:ascii="宋体" w:eastAsia="宋体" w:cs="宋体"/>
          <w:bCs w:val="0"/>
          <w:sz w:val="21"/>
          <w:szCs w:val="21"/>
          <w:highlight w:val="none"/>
        </w:rPr>
      </w:pPr>
      <w:bookmarkStart w:id="985" w:name="_Toc411736539"/>
      <w:bookmarkStart w:id="986" w:name="_Toc247514152"/>
      <w:bookmarkStart w:id="987" w:name="_Toc476860474"/>
      <w:bookmarkStart w:id="988" w:name="_Toc411736263"/>
      <w:bookmarkStart w:id="989" w:name="_Toc300835156"/>
      <w:bookmarkStart w:id="990" w:name="_Toc247527753"/>
      <w:bookmarkStart w:id="991" w:name="_Toc486160088"/>
      <w:bookmarkStart w:id="992" w:name="_Toc410559457"/>
      <w:r>
        <w:rPr>
          <w:rFonts w:hint="eastAsia" w:ascii="宋体" w:eastAsia="宋体" w:cs="宋体"/>
          <w:bCs w:val="0"/>
          <w:sz w:val="21"/>
          <w:szCs w:val="21"/>
          <w:highlight w:val="none"/>
        </w:rPr>
        <w:t>17.6 最终结清</w:t>
      </w:r>
      <w:bookmarkEnd w:id="985"/>
      <w:bookmarkEnd w:id="986"/>
      <w:bookmarkEnd w:id="987"/>
      <w:bookmarkEnd w:id="988"/>
      <w:bookmarkEnd w:id="989"/>
      <w:bookmarkEnd w:id="990"/>
      <w:bookmarkEnd w:id="991"/>
      <w:bookmarkEnd w:id="99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17.6.1 最终结清申请单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（1）缺陷责任期终止证书签发后，承包人可按专用合同条款约定的份数和期限向监理人提交最终结清申请单，并提供相关证明材料。</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（2）发包人对最终结清申请单内容有异议的，有权要求承包人进行修正和提供补充资料，由承包人向监理人提交修正后的最终结清申请单。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17.6.2 最终结清证书和支付时间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（2）发包人应在监理人出具最终结清证书后的14 天内，将应支付款支付给承包人。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发包人不按期支付的，按第17.3.4（2）目的约定，将逾期付款违约金支付给承包人。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（3）承包人对发包人签认的最终结清证书有异议的，按第24条的约定执行。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（4）最终结清付款涉及政府投资资金的，按第17.3.4（4）目的约定执行。</w:t>
      </w:r>
    </w:p>
    <w:p>
      <w:pPr>
        <w:pStyle w:val="5"/>
        <w:spacing w:before="120" w:after="120" w:line="360" w:lineRule="auto"/>
        <w:ind w:firstLine="103"/>
        <w:rPr>
          <w:rFonts w:ascii="宋体" w:eastAsia="宋体" w:cs="宋体"/>
          <w:bCs w:val="0"/>
          <w:sz w:val="21"/>
          <w:szCs w:val="21"/>
          <w:highlight w:val="none"/>
        </w:rPr>
      </w:pPr>
      <w:bookmarkStart w:id="993" w:name="_Toc411736540"/>
      <w:bookmarkStart w:id="994" w:name="_Toc300835157"/>
      <w:bookmarkStart w:id="995" w:name="_Toc184635115"/>
      <w:bookmarkStart w:id="996" w:name="_Toc411736264"/>
      <w:bookmarkStart w:id="997" w:name="_Toc410559458"/>
      <w:bookmarkStart w:id="998" w:name="_Toc247514153"/>
      <w:bookmarkStart w:id="999" w:name="_Toc486160089"/>
      <w:bookmarkStart w:id="1000" w:name="_Toc476860475"/>
      <w:bookmarkStart w:id="1001" w:name="_Toc247527754"/>
      <w:r>
        <w:rPr>
          <w:rFonts w:hint="eastAsia" w:ascii="宋体" w:eastAsia="宋体" w:cs="宋体"/>
          <w:bCs w:val="0"/>
          <w:sz w:val="21"/>
          <w:szCs w:val="21"/>
          <w:highlight w:val="none"/>
        </w:rPr>
        <w:t>18. 竣工试验和竣工验收</w:t>
      </w:r>
      <w:bookmarkEnd w:id="993"/>
      <w:bookmarkEnd w:id="994"/>
      <w:bookmarkEnd w:id="995"/>
      <w:bookmarkEnd w:id="996"/>
      <w:bookmarkEnd w:id="997"/>
      <w:bookmarkEnd w:id="998"/>
      <w:bookmarkEnd w:id="999"/>
      <w:bookmarkEnd w:id="1000"/>
      <w:bookmarkEnd w:id="1001"/>
    </w:p>
    <w:p>
      <w:pPr>
        <w:pStyle w:val="5"/>
        <w:spacing w:before="120" w:after="120" w:line="360" w:lineRule="auto"/>
        <w:ind w:firstLine="103"/>
        <w:rPr>
          <w:rFonts w:ascii="宋体" w:eastAsia="宋体" w:cs="宋体"/>
          <w:bCs w:val="0"/>
          <w:sz w:val="21"/>
          <w:szCs w:val="21"/>
          <w:highlight w:val="none"/>
        </w:rPr>
      </w:pPr>
      <w:bookmarkStart w:id="1002" w:name="_Toc411736541"/>
      <w:bookmarkStart w:id="1003" w:name="_Toc476860476"/>
      <w:bookmarkStart w:id="1004" w:name="_Toc410559459"/>
      <w:bookmarkStart w:id="1005" w:name="_Toc411736265"/>
      <w:bookmarkStart w:id="1006" w:name="_Toc300835158"/>
      <w:bookmarkStart w:id="1007" w:name="_Toc486160090"/>
      <w:bookmarkStart w:id="1008" w:name="_Toc247514154"/>
      <w:bookmarkStart w:id="1009" w:name="_Toc247527755"/>
      <w:r>
        <w:rPr>
          <w:rFonts w:hint="eastAsia" w:ascii="宋体" w:eastAsia="宋体" w:cs="宋体"/>
          <w:bCs w:val="0"/>
          <w:sz w:val="21"/>
          <w:szCs w:val="21"/>
          <w:highlight w:val="none"/>
        </w:rPr>
        <w:t>18.1 竣工试验</w:t>
      </w:r>
      <w:bookmarkEnd w:id="1002"/>
      <w:bookmarkEnd w:id="1003"/>
      <w:bookmarkEnd w:id="1004"/>
      <w:bookmarkEnd w:id="1005"/>
      <w:bookmarkEnd w:id="1006"/>
      <w:bookmarkEnd w:id="100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18.1.1承包人按照第5.5款和第5.6款提交文件后，进行竣工试验。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18.1.2承包人应提前21天将可以开始进行竣工试验的日期通知监理人，监理人应在该日期后14天内，确定竣工试验具体时间。除专用合同条款中另有约定外，竣工试验应按下述顺序进行：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（1）第一阶段，承包人进行适当的检查和功能性试验，保证每一项工程设备都满足合同要求，并能安全地进入下一阶段试验;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（2）第二阶段，承包人进行试验，保证工程或区段工程满足合同要求，在所有可利用的操作条件下安全运行；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（3）第三阶段，当工程能安全运行时，承包人应通知监理人，可以进行其他竣工试验，包括各种性能测试，以证明工程符合发包人要求中列明的性能保证指标。</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18.1.3 承包人应按合同约定进行工程及工程设备试运行。试运行所需人员、设备、材料、燃料、电力、消耗品、工具等必要的条件以及试运行费用等由专用合同条款规定。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18.1.4 某项竣工试验未能通过的，承包人应按照监理人的指示限期改正，并承担合同约定的相应责任。</w:t>
      </w:r>
    </w:p>
    <w:bookmarkEnd w:id="1008"/>
    <w:bookmarkEnd w:id="1009"/>
    <w:p>
      <w:pPr>
        <w:pStyle w:val="5"/>
        <w:spacing w:before="120" w:after="120" w:line="360" w:lineRule="auto"/>
        <w:ind w:firstLine="103"/>
        <w:rPr>
          <w:rFonts w:ascii="宋体" w:eastAsia="宋体" w:cs="宋体"/>
          <w:bCs w:val="0"/>
          <w:sz w:val="21"/>
          <w:szCs w:val="21"/>
          <w:highlight w:val="none"/>
        </w:rPr>
      </w:pPr>
      <w:bookmarkStart w:id="1010" w:name="_Toc410559460"/>
      <w:bookmarkStart w:id="1011" w:name="_Toc300835159"/>
      <w:bookmarkStart w:id="1012" w:name="_Toc411736266"/>
      <w:bookmarkStart w:id="1013" w:name="_Toc476860477"/>
      <w:bookmarkStart w:id="1014" w:name="_Toc247514159"/>
      <w:bookmarkStart w:id="1015" w:name="_Toc486160091"/>
      <w:bookmarkStart w:id="1016" w:name="_Toc247527760"/>
      <w:bookmarkStart w:id="1017" w:name="_Toc411736542"/>
      <w:r>
        <w:rPr>
          <w:rFonts w:hint="eastAsia" w:ascii="宋体" w:eastAsia="宋体" w:cs="宋体"/>
          <w:bCs w:val="0"/>
          <w:sz w:val="21"/>
          <w:szCs w:val="21"/>
          <w:highlight w:val="none"/>
        </w:rPr>
        <w:t>18.2 竣工验收申请报告</w:t>
      </w:r>
      <w:bookmarkEnd w:id="1010"/>
      <w:bookmarkEnd w:id="1011"/>
      <w:bookmarkEnd w:id="1012"/>
      <w:bookmarkEnd w:id="1013"/>
      <w:bookmarkEnd w:id="1014"/>
      <w:bookmarkEnd w:id="1015"/>
      <w:bookmarkEnd w:id="1016"/>
      <w:bookmarkEnd w:id="101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当工程具备以下条件时，承包人即可向监理人报送竣工验收申请报告：</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（1）除监理人同意列入缺陷责任期内完成的尾工（甩项）工程和缺陷修补工作外，合同范围内的全部区段工程以及有关工作，包括合同要求的试验和竣工试验均已完成，并符合合同要求；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（2）已按合同约定的内容和份数备齐了符合要求的竣工文件；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（3）已按监理人的要求编制了在缺陷责任期内完成的尾工（甩项）工程和缺陷修补工作清单以及相应施工计划；</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（4）监理人要求在竣工验收前应完成的其他工作；</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（5）监理人要求提交的竣工验收资料清单。</w:t>
      </w:r>
    </w:p>
    <w:p>
      <w:pPr>
        <w:pStyle w:val="5"/>
        <w:spacing w:before="120" w:after="120" w:line="360" w:lineRule="auto"/>
        <w:ind w:firstLine="103"/>
        <w:rPr>
          <w:rFonts w:ascii="宋体" w:eastAsia="宋体" w:cs="宋体"/>
          <w:bCs w:val="0"/>
          <w:sz w:val="21"/>
          <w:szCs w:val="21"/>
          <w:highlight w:val="none"/>
        </w:rPr>
      </w:pPr>
      <w:bookmarkStart w:id="1018" w:name="_Toc486160092"/>
      <w:bookmarkStart w:id="1019" w:name="_Toc247527761"/>
      <w:bookmarkStart w:id="1020" w:name="_Toc300835160"/>
      <w:bookmarkStart w:id="1021" w:name="_Toc476860478"/>
      <w:bookmarkStart w:id="1022" w:name="_Toc411736267"/>
      <w:bookmarkStart w:id="1023" w:name="_Toc247514160"/>
      <w:bookmarkStart w:id="1024" w:name="_Toc410559461"/>
      <w:bookmarkStart w:id="1025" w:name="_Toc411736543"/>
      <w:r>
        <w:rPr>
          <w:rFonts w:hint="eastAsia" w:ascii="宋体" w:eastAsia="宋体" w:cs="宋体"/>
          <w:bCs w:val="0"/>
          <w:sz w:val="21"/>
          <w:szCs w:val="21"/>
          <w:highlight w:val="none"/>
        </w:rPr>
        <w:t>18.3 竣工验收</w:t>
      </w:r>
      <w:bookmarkEnd w:id="1018"/>
      <w:bookmarkEnd w:id="1019"/>
      <w:bookmarkEnd w:id="1020"/>
      <w:bookmarkEnd w:id="1021"/>
      <w:bookmarkEnd w:id="1022"/>
      <w:bookmarkEnd w:id="1023"/>
      <w:bookmarkEnd w:id="1024"/>
      <w:bookmarkEnd w:id="102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监理人收到承包人按第18.2 款约定提交的竣工验收申请报告后，应审查申请报告的各项内容，并按以下不同情况进行处理。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18.3.2 监理人同意承包人提交的竣工验收申请报告的，应在收到该竣工验收申请报告后的28天内提请发包人进行工程验收。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 项、第18.3.2 项和第18.3.3 项的约定进行。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18.3.5 除专用合同条款另有约定外，经验收合格工程的实际竣工日期，以提交竣工验收申请报告的日期为准，并在工程接收证书中写明。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18.3.6 发包人在收到承包人竣工验收申请报告56 天后未进行验收的，视为验收合格，实际竣工日期以提交竣工验收申请报告的日期为准，但发包人由于不可抗力不能进行验收的除外。</w:t>
      </w:r>
    </w:p>
    <w:p>
      <w:pPr>
        <w:pStyle w:val="5"/>
        <w:spacing w:before="120" w:after="120" w:line="360" w:lineRule="auto"/>
        <w:ind w:firstLine="103"/>
        <w:rPr>
          <w:rFonts w:ascii="宋体" w:eastAsia="宋体" w:cs="宋体"/>
          <w:bCs w:val="0"/>
          <w:sz w:val="21"/>
          <w:szCs w:val="21"/>
          <w:highlight w:val="none"/>
        </w:rPr>
      </w:pPr>
      <w:bookmarkStart w:id="1026" w:name="_Toc410559462"/>
      <w:bookmarkStart w:id="1027" w:name="_Toc411736268"/>
      <w:bookmarkStart w:id="1028" w:name="_Toc411736544"/>
      <w:bookmarkStart w:id="1029" w:name="_Toc476860479"/>
      <w:bookmarkStart w:id="1030" w:name="_Toc300835161"/>
      <w:bookmarkStart w:id="1031" w:name="_Toc486160093"/>
      <w:r>
        <w:rPr>
          <w:rFonts w:hint="eastAsia" w:ascii="宋体" w:eastAsia="宋体" w:cs="宋体"/>
          <w:bCs w:val="0"/>
          <w:sz w:val="21"/>
          <w:szCs w:val="21"/>
          <w:highlight w:val="none"/>
        </w:rPr>
        <w:t>18.4 国家验收</w:t>
      </w:r>
      <w:bookmarkEnd w:id="1026"/>
      <w:bookmarkEnd w:id="1027"/>
      <w:bookmarkEnd w:id="1028"/>
      <w:bookmarkEnd w:id="1029"/>
      <w:bookmarkEnd w:id="1030"/>
      <w:bookmarkEnd w:id="103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需要进行国家验收的，竣工验收是国家验收的一部分。竣工验收所采用的各项验收和评定标准应符合国家验收标准。发包人和承包人为竣工验收提供的各项竣工验收资料应符合国家验收的要求。</w:t>
      </w:r>
    </w:p>
    <w:p>
      <w:pPr>
        <w:pStyle w:val="5"/>
        <w:spacing w:before="120" w:after="120" w:line="360" w:lineRule="auto"/>
        <w:ind w:firstLine="103"/>
        <w:rPr>
          <w:rFonts w:ascii="宋体" w:eastAsia="宋体" w:cs="宋体"/>
          <w:bCs w:val="0"/>
          <w:sz w:val="21"/>
          <w:szCs w:val="21"/>
          <w:highlight w:val="none"/>
        </w:rPr>
      </w:pPr>
      <w:bookmarkStart w:id="1032" w:name="_Toc411736545"/>
      <w:bookmarkStart w:id="1033" w:name="_Toc300835162"/>
      <w:bookmarkStart w:id="1034" w:name="_Toc247527762"/>
      <w:bookmarkStart w:id="1035" w:name="_Toc486160094"/>
      <w:bookmarkStart w:id="1036" w:name="_Toc247514161"/>
      <w:bookmarkStart w:id="1037" w:name="_Toc411736269"/>
      <w:bookmarkStart w:id="1038" w:name="_Toc476860480"/>
      <w:bookmarkStart w:id="1039" w:name="_Toc410559463"/>
      <w:r>
        <w:rPr>
          <w:rFonts w:hint="eastAsia" w:ascii="宋体" w:eastAsia="宋体" w:cs="宋体"/>
          <w:bCs w:val="0"/>
          <w:sz w:val="21"/>
          <w:szCs w:val="21"/>
          <w:highlight w:val="none"/>
        </w:rPr>
        <w:t>18.5 区段工程验收</w:t>
      </w:r>
      <w:bookmarkEnd w:id="1032"/>
      <w:bookmarkEnd w:id="1033"/>
      <w:bookmarkEnd w:id="1034"/>
      <w:bookmarkEnd w:id="1035"/>
      <w:bookmarkEnd w:id="1036"/>
      <w:bookmarkEnd w:id="1037"/>
      <w:bookmarkEnd w:id="1038"/>
      <w:bookmarkEnd w:id="103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18.5.1 发包人根据合同进度计划安排，在全部工程竣工前需要使用已经竣工的区段工程时，或承包人提出经发包人同意时，可进行区段工程验收。验收的程序可参照第18.2款与第18.3 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18.5.2 发包人在全部工程竣工前，使用已接收的区段工程导致承包人费用增加的，发包人应承担由此增加的费用和（或）工期延误，并支付承包人合理利润。</w:t>
      </w:r>
    </w:p>
    <w:p>
      <w:pPr>
        <w:pStyle w:val="5"/>
        <w:spacing w:before="120" w:after="120" w:line="360" w:lineRule="auto"/>
        <w:ind w:firstLine="103"/>
        <w:rPr>
          <w:rFonts w:ascii="宋体" w:eastAsia="宋体" w:cs="宋体"/>
          <w:bCs w:val="0"/>
          <w:sz w:val="21"/>
          <w:szCs w:val="21"/>
          <w:highlight w:val="none"/>
        </w:rPr>
      </w:pPr>
      <w:bookmarkStart w:id="1040" w:name="_Toc247527763"/>
      <w:bookmarkStart w:id="1041" w:name="_Toc247514162"/>
      <w:bookmarkStart w:id="1042" w:name="_Toc476860481"/>
      <w:bookmarkStart w:id="1043" w:name="_Toc486160095"/>
      <w:bookmarkStart w:id="1044" w:name="_Toc411736270"/>
      <w:bookmarkStart w:id="1045" w:name="_Toc411736546"/>
      <w:bookmarkStart w:id="1046" w:name="_Toc300835163"/>
      <w:bookmarkStart w:id="1047" w:name="_Toc410559464"/>
      <w:r>
        <w:rPr>
          <w:rFonts w:hint="eastAsia" w:ascii="宋体" w:eastAsia="宋体" w:cs="宋体"/>
          <w:bCs w:val="0"/>
          <w:sz w:val="21"/>
          <w:szCs w:val="21"/>
          <w:highlight w:val="none"/>
        </w:rPr>
        <w:t>18.6 施工期运行</w:t>
      </w:r>
      <w:bookmarkEnd w:id="1040"/>
      <w:bookmarkEnd w:id="1041"/>
      <w:bookmarkEnd w:id="1042"/>
      <w:bookmarkEnd w:id="1043"/>
      <w:bookmarkEnd w:id="1044"/>
      <w:bookmarkEnd w:id="1045"/>
      <w:bookmarkEnd w:id="1046"/>
      <w:bookmarkEnd w:id="104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18.6.1 施工期运行是指合同工程尚未全部竣工，其中某项或某几项区段工程或工程设备安装已竣工，根据专用合同条款约定，需要投入施工期运行的，经发包人按第18.5 款的约定验收合格，证明能确保安全后，才能在施工期投入运行。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18.6.2 在施工期运行中发现工程或工程设备损坏或存在缺陷的，由承包人按第19.2 款约定进行修复。</w:t>
      </w:r>
    </w:p>
    <w:p>
      <w:pPr>
        <w:pStyle w:val="5"/>
        <w:spacing w:before="120" w:after="120" w:line="360" w:lineRule="auto"/>
        <w:ind w:firstLine="103"/>
        <w:rPr>
          <w:rFonts w:ascii="宋体" w:eastAsia="宋体" w:cs="宋体"/>
          <w:bCs w:val="0"/>
          <w:sz w:val="21"/>
          <w:szCs w:val="21"/>
          <w:highlight w:val="none"/>
        </w:rPr>
      </w:pPr>
      <w:bookmarkStart w:id="1048" w:name="_Toc486160096"/>
      <w:bookmarkStart w:id="1049" w:name="_Toc247514163"/>
      <w:bookmarkStart w:id="1050" w:name="_Toc476860482"/>
      <w:bookmarkStart w:id="1051" w:name="_Toc411736271"/>
      <w:bookmarkStart w:id="1052" w:name="_Toc300835164"/>
      <w:bookmarkStart w:id="1053" w:name="_Toc411736547"/>
      <w:bookmarkStart w:id="1054" w:name="_Toc410559465"/>
      <w:bookmarkStart w:id="1055" w:name="_Toc247527764"/>
      <w:r>
        <w:rPr>
          <w:rFonts w:hint="eastAsia" w:ascii="宋体" w:eastAsia="宋体" w:cs="宋体"/>
          <w:bCs w:val="0"/>
          <w:sz w:val="21"/>
          <w:szCs w:val="21"/>
          <w:highlight w:val="none"/>
        </w:rPr>
        <w:t>18.7 竣工清场</w:t>
      </w:r>
      <w:bookmarkEnd w:id="1048"/>
      <w:bookmarkEnd w:id="1049"/>
      <w:bookmarkEnd w:id="1050"/>
      <w:bookmarkEnd w:id="1051"/>
      <w:bookmarkEnd w:id="1052"/>
      <w:bookmarkEnd w:id="1053"/>
      <w:bookmarkEnd w:id="1054"/>
      <w:bookmarkEnd w:id="105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18.7.1 除合同另有约定外，工程接收证书颁发后，承包人应按以下要求对施工场地进行清理，直至监理人检验合格为止。竣工清场费用由承包人承担。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（1）施工场地内残留的垃圾已全部清除出场；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（2）临时工程已拆除，场地已按合同要求进行清理、平整或复原；</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（3）按合同约定应撤离的承包人设备和剩余的材料，包括废弃的施工设备和材料，已按计划撤离施工场地；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（4）工程建筑物周边及其附近道路、河道的施工堆积物，已按监理人指示全部清理；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（5）监理人指示的其他场地清理工作已全部完成。</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18.7.2 承包人未按监理人的要求恢复临时占地，或者场地清理未达到合同约定的，发包人有权委托其他人恢复或清理，所发生的金额从拟支付给承包人的款项中扣除。</w:t>
      </w:r>
    </w:p>
    <w:p>
      <w:pPr>
        <w:pStyle w:val="5"/>
        <w:spacing w:before="120" w:after="120" w:line="360" w:lineRule="auto"/>
        <w:ind w:firstLine="103"/>
        <w:rPr>
          <w:rFonts w:ascii="宋体" w:eastAsia="宋体" w:cs="宋体"/>
          <w:bCs w:val="0"/>
          <w:sz w:val="21"/>
          <w:szCs w:val="21"/>
          <w:highlight w:val="none"/>
        </w:rPr>
      </w:pPr>
      <w:bookmarkStart w:id="1056" w:name="_Toc247527765"/>
      <w:bookmarkStart w:id="1057" w:name="_Toc411736272"/>
      <w:bookmarkStart w:id="1058" w:name="_Toc411736548"/>
      <w:bookmarkStart w:id="1059" w:name="_Toc486160097"/>
      <w:bookmarkStart w:id="1060" w:name="_Toc476860483"/>
      <w:bookmarkStart w:id="1061" w:name="_Toc247514164"/>
      <w:bookmarkStart w:id="1062" w:name="_Toc300835165"/>
      <w:bookmarkStart w:id="1063" w:name="_Toc410559466"/>
      <w:r>
        <w:rPr>
          <w:rFonts w:hint="eastAsia" w:ascii="宋体" w:eastAsia="宋体" w:cs="宋体"/>
          <w:bCs w:val="0"/>
          <w:sz w:val="21"/>
          <w:szCs w:val="21"/>
          <w:highlight w:val="none"/>
        </w:rPr>
        <w:t>18.8 施工队伍的撤离</w:t>
      </w:r>
      <w:bookmarkEnd w:id="1056"/>
      <w:bookmarkEnd w:id="1057"/>
      <w:bookmarkEnd w:id="1058"/>
      <w:bookmarkEnd w:id="1059"/>
      <w:bookmarkEnd w:id="1060"/>
      <w:bookmarkEnd w:id="1061"/>
      <w:bookmarkEnd w:id="1062"/>
      <w:bookmarkEnd w:id="1063"/>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5"/>
        <w:spacing w:before="120" w:after="120" w:line="360" w:lineRule="auto"/>
        <w:ind w:firstLine="103"/>
        <w:rPr>
          <w:rFonts w:ascii="宋体" w:eastAsia="宋体" w:cs="宋体"/>
          <w:bCs w:val="0"/>
          <w:sz w:val="21"/>
          <w:szCs w:val="21"/>
          <w:highlight w:val="none"/>
        </w:rPr>
      </w:pPr>
      <w:bookmarkStart w:id="1064" w:name="_Toc476860484"/>
      <w:bookmarkStart w:id="1065" w:name="_Toc300835167"/>
      <w:bookmarkStart w:id="1066" w:name="_Toc410559467"/>
      <w:bookmarkStart w:id="1067" w:name="_Toc411736273"/>
      <w:bookmarkStart w:id="1068" w:name="_Toc486160098"/>
      <w:bookmarkStart w:id="1069" w:name="_Toc411736549"/>
      <w:r>
        <w:rPr>
          <w:rFonts w:hint="eastAsia" w:ascii="宋体" w:eastAsia="宋体" w:cs="宋体"/>
          <w:bCs w:val="0"/>
          <w:sz w:val="21"/>
          <w:szCs w:val="21"/>
          <w:highlight w:val="none"/>
        </w:rPr>
        <w:t>18.9 竣工后试验（B）</w:t>
      </w:r>
      <w:bookmarkEnd w:id="1064"/>
      <w:bookmarkEnd w:id="1065"/>
      <w:bookmarkEnd w:id="1066"/>
      <w:bookmarkEnd w:id="1067"/>
      <w:bookmarkEnd w:id="1068"/>
      <w:bookmarkEnd w:id="106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（1）发包人为竣工后试验提供必要的电力、材料、燃料、发包人人员和工程设备；</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（2）承包人应提供竣工后试验所需要的所有其他设备、仪器，以及有资格和经验的工作人员；</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pStyle w:val="5"/>
        <w:spacing w:before="120" w:after="120" w:line="360" w:lineRule="auto"/>
        <w:ind w:firstLine="103"/>
        <w:rPr>
          <w:rFonts w:ascii="宋体" w:eastAsia="宋体" w:cs="宋体"/>
          <w:bCs w:val="0"/>
          <w:sz w:val="21"/>
          <w:szCs w:val="21"/>
          <w:highlight w:val="none"/>
        </w:rPr>
      </w:pPr>
      <w:bookmarkStart w:id="1070" w:name="_Toc411736274"/>
      <w:bookmarkStart w:id="1071" w:name="_Toc247527766"/>
      <w:bookmarkStart w:id="1072" w:name="_Toc184635116"/>
      <w:bookmarkStart w:id="1073" w:name="_Toc410559468"/>
      <w:bookmarkStart w:id="1074" w:name="_Toc247514165"/>
      <w:bookmarkStart w:id="1075" w:name="_Toc486160099"/>
      <w:bookmarkStart w:id="1076" w:name="_Toc476860485"/>
      <w:bookmarkStart w:id="1077" w:name="_Toc411736550"/>
      <w:bookmarkStart w:id="1078" w:name="_Toc300835168"/>
      <w:r>
        <w:rPr>
          <w:rFonts w:hint="eastAsia" w:ascii="宋体" w:eastAsia="宋体" w:cs="宋体"/>
          <w:bCs w:val="0"/>
          <w:sz w:val="21"/>
          <w:szCs w:val="21"/>
          <w:highlight w:val="none"/>
        </w:rPr>
        <w:t>19. 缺陷责任与保修责任</w:t>
      </w:r>
      <w:bookmarkEnd w:id="1070"/>
      <w:bookmarkEnd w:id="1071"/>
      <w:bookmarkEnd w:id="1072"/>
      <w:bookmarkEnd w:id="1073"/>
      <w:bookmarkEnd w:id="1074"/>
      <w:bookmarkEnd w:id="1075"/>
      <w:bookmarkEnd w:id="1076"/>
      <w:bookmarkEnd w:id="1077"/>
      <w:bookmarkEnd w:id="1078"/>
    </w:p>
    <w:p>
      <w:pPr>
        <w:pStyle w:val="5"/>
        <w:spacing w:before="120" w:after="120" w:line="360" w:lineRule="auto"/>
        <w:ind w:firstLine="103"/>
        <w:rPr>
          <w:rFonts w:ascii="宋体" w:eastAsia="宋体" w:cs="宋体"/>
          <w:bCs w:val="0"/>
          <w:sz w:val="21"/>
          <w:szCs w:val="21"/>
          <w:highlight w:val="none"/>
        </w:rPr>
      </w:pPr>
      <w:bookmarkStart w:id="1079" w:name="_Toc486160100"/>
      <w:bookmarkStart w:id="1080" w:name="_Toc476860486"/>
      <w:bookmarkStart w:id="1081" w:name="_Toc247514166"/>
      <w:bookmarkStart w:id="1082" w:name="_Toc411736551"/>
      <w:bookmarkStart w:id="1083" w:name="_Toc300835169"/>
      <w:bookmarkStart w:id="1084" w:name="_Toc247527767"/>
      <w:bookmarkStart w:id="1085" w:name="_Toc410559469"/>
      <w:bookmarkStart w:id="1086" w:name="_Toc411736275"/>
      <w:r>
        <w:rPr>
          <w:rFonts w:hint="eastAsia" w:ascii="宋体" w:eastAsia="宋体" w:cs="宋体"/>
          <w:bCs w:val="0"/>
          <w:sz w:val="21"/>
          <w:szCs w:val="21"/>
          <w:highlight w:val="none"/>
        </w:rPr>
        <w:t>19.1 缺陷责任期的起算时间</w:t>
      </w:r>
      <w:bookmarkEnd w:id="1079"/>
      <w:bookmarkEnd w:id="1080"/>
      <w:bookmarkEnd w:id="1081"/>
      <w:bookmarkEnd w:id="1082"/>
      <w:bookmarkEnd w:id="1083"/>
      <w:bookmarkEnd w:id="1084"/>
      <w:bookmarkEnd w:id="1085"/>
      <w:bookmarkEnd w:id="108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缺陷责任期自实际竣工日期起计算。在全部工程竣工验收前，已经发包人提前验收的区段工程或进入施工期运行的工程，其缺陷责任期的起算日期相应提前到相应工程竣工日。</w:t>
      </w:r>
    </w:p>
    <w:p>
      <w:pPr>
        <w:pStyle w:val="5"/>
        <w:spacing w:before="120" w:after="120" w:line="360" w:lineRule="auto"/>
        <w:ind w:firstLine="103"/>
        <w:rPr>
          <w:rFonts w:ascii="宋体" w:eastAsia="宋体" w:cs="宋体"/>
          <w:bCs w:val="0"/>
          <w:sz w:val="21"/>
          <w:szCs w:val="21"/>
          <w:highlight w:val="none"/>
        </w:rPr>
      </w:pPr>
      <w:bookmarkStart w:id="1087" w:name="_Toc476860487"/>
      <w:bookmarkStart w:id="1088" w:name="_Toc411736552"/>
      <w:bookmarkStart w:id="1089" w:name="_Toc410559470"/>
      <w:bookmarkStart w:id="1090" w:name="_Toc247514167"/>
      <w:bookmarkStart w:id="1091" w:name="_Toc486160101"/>
      <w:bookmarkStart w:id="1092" w:name="_Toc411736276"/>
      <w:bookmarkStart w:id="1093" w:name="_Toc247527768"/>
      <w:bookmarkStart w:id="1094" w:name="_Toc300835170"/>
      <w:r>
        <w:rPr>
          <w:rFonts w:hint="eastAsia" w:ascii="宋体" w:eastAsia="宋体" w:cs="宋体"/>
          <w:bCs w:val="0"/>
          <w:sz w:val="21"/>
          <w:szCs w:val="21"/>
          <w:highlight w:val="none"/>
        </w:rPr>
        <w:t>19.2 缺陷责任</w:t>
      </w:r>
      <w:bookmarkEnd w:id="1087"/>
      <w:bookmarkEnd w:id="1088"/>
      <w:bookmarkEnd w:id="1089"/>
      <w:bookmarkEnd w:id="1090"/>
      <w:bookmarkEnd w:id="1091"/>
      <w:bookmarkEnd w:id="1092"/>
      <w:bookmarkEnd w:id="1093"/>
      <w:bookmarkEnd w:id="109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19.2.1 承包人应在缺陷责任期内对已交付使用的工程承担缺陷责任。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19.2.4 承包人不能在合理时间内修复缺陷的，发包人可自行修复或委托其他人修复，所需费用和利润的承担，按第19.2.3 项约定执行。</w:t>
      </w:r>
    </w:p>
    <w:p>
      <w:pPr>
        <w:pStyle w:val="5"/>
        <w:spacing w:before="120" w:after="120" w:line="360" w:lineRule="auto"/>
        <w:ind w:firstLine="103"/>
        <w:rPr>
          <w:rFonts w:ascii="宋体" w:eastAsia="宋体" w:cs="宋体"/>
          <w:bCs w:val="0"/>
          <w:sz w:val="21"/>
          <w:szCs w:val="21"/>
          <w:highlight w:val="none"/>
        </w:rPr>
      </w:pPr>
      <w:bookmarkStart w:id="1095" w:name="_Toc476860488"/>
      <w:bookmarkStart w:id="1096" w:name="_Toc247514168"/>
      <w:bookmarkStart w:id="1097" w:name="_Toc411736553"/>
      <w:bookmarkStart w:id="1098" w:name="_Toc410559471"/>
      <w:bookmarkStart w:id="1099" w:name="_Toc411736277"/>
      <w:bookmarkStart w:id="1100" w:name="_Toc300835171"/>
      <w:bookmarkStart w:id="1101" w:name="_Toc247527769"/>
      <w:bookmarkStart w:id="1102" w:name="_Toc486160102"/>
      <w:r>
        <w:rPr>
          <w:rFonts w:hint="eastAsia" w:ascii="宋体" w:eastAsia="宋体" w:cs="宋体"/>
          <w:bCs w:val="0"/>
          <w:sz w:val="21"/>
          <w:szCs w:val="21"/>
          <w:highlight w:val="none"/>
        </w:rPr>
        <w:t>19.3 缺陷责任期的延长</w:t>
      </w:r>
      <w:bookmarkEnd w:id="1095"/>
      <w:bookmarkEnd w:id="1096"/>
      <w:bookmarkEnd w:id="1097"/>
      <w:bookmarkEnd w:id="1098"/>
      <w:bookmarkEnd w:id="1099"/>
      <w:bookmarkEnd w:id="1100"/>
      <w:bookmarkEnd w:id="1101"/>
      <w:bookmarkEnd w:id="110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pStyle w:val="5"/>
        <w:spacing w:before="120" w:after="120" w:line="360" w:lineRule="auto"/>
        <w:ind w:firstLine="103"/>
        <w:rPr>
          <w:rFonts w:ascii="宋体" w:eastAsia="宋体" w:cs="宋体"/>
          <w:bCs w:val="0"/>
          <w:sz w:val="21"/>
          <w:szCs w:val="21"/>
          <w:highlight w:val="none"/>
        </w:rPr>
      </w:pPr>
      <w:bookmarkStart w:id="1103" w:name="_Toc486160103"/>
      <w:bookmarkStart w:id="1104" w:name="_Toc247527770"/>
      <w:bookmarkStart w:id="1105" w:name="_Toc411736278"/>
      <w:bookmarkStart w:id="1106" w:name="_Toc411736554"/>
      <w:bookmarkStart w:id="1107" w:name="_Toc410559472"/>
      <w:bookmarkStart w:id="1108" w:name="_Toc247514169"/>
      <w:bookmarkStart w:id="1109" w:name="_Toc476860489"/>
      <w:bookmarkStart w:id="1110" w:name="_Toc300835172"/>
      <w:r>
        <w:rPr>
          <w:rFonts w:hint="eastAsia" w:ascii="宋体" w:eastAsia="宋体" w:cs="宋体"/>
          <w:bCs w:val="0"/>
          <w:sz w:val="21"/>
          <w:szCs w:val="21"/>
          <w:highlight w:val="none"/>
        </w:rPr>
        <w:t>19.4 进一步试验和试运行</w:t>
      </w:r>
      <w:bookmarkEnd w:id="1103"/>
      <w:bookmarkEnd w:id="1104"/>
      <w:bookmarkEnd w:id="1105"/>
      <w:bookmarkEnd w:id="1106"/>
      <w:bookmarkEnd w:id="1107"/>
      <w:bookmarkEnd w:id="1108"/>
      <w:bookmarkEnd w:id="1109"/>
      <w:bookmarkEnd w:id="1110"/>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任何一项缺陷或损坏修复后，经检查证明其影响了工程或工程设备的使用性能，承包人应重新进行合同约定的试验和试运行，试验和试运行的全部费用应由责任方承担。</w:t>
      </w:r>
    </w:p>
    <w:p>
      <w:pPr>
        <w:pStyle w:val="5"/>
        <w:spacing w:before="120" w:after="120" w:line="360" w:lineRule="auto"/>
        <w:ind w:firstLine="103"/>
        <w:rPr>
          <w:rFonts w:ascii="宋体" w:eastAsia="宋体" w:cs="宋体"/>
          <w:bCs w:val="0"/>
          <w:sz w:val="21"/>
          <w:szCs w:val="21"/>
          <w:highlight w:val="none"/>
        </w:rPr>
      </w:pPr>
      <w:bookmarkStart w:id="1111" w:name="_Toc411736555"/>
      <w:bookmarkStart w:id="1112" w:name="_Toc411736279"/>
      <w:bookmarkStart w:id="1113" w:name="_Toc476860490"/>
      <w:bookmarkStart w:id="1114" w:name="_Toc486160104"/>
      <w:bookmarkStart w:id="1115" w:name="_Toc247527771"/>
      <w:bookmarkStart w:id="1116" w:name="_Toc247514170"/>
      <w:bookmarkStart w:id="1117" w:name="_Toc410559473"/>
      <w:bookmarkStart w:id="1118" w:name="_Toc300835173"/>
      <w:r>
        <w:rPr>
          <w:rFonts w:hint="eastAsia" w:ascii="宋体" w:eastAsia="宋体" w:cs="宋体"/>
          <w:bCs w:val="0"/>
          <w:sz w:val="21"/>
          <w:szCs w:val="21"/>
          <w:highlight w:val="none"/>
        </w:rPr>
        <w:t>19.5 承包人的进入权</w:t>
      </w:r>
      <w:bookmarkEnd w:id="1111"/>
      <w:bookmarkEnd w:id="1112"/>
      <w:bookmarkEnd w:id="1113"/>
      <w:bookmarkEnd w:id="1114"/>
      <w:bookmarkEnd w:id="1115"/>
      <w:bookmarkEnd w:id="1116"/>
      <w:bookmarkEnd w:id="1117"/>
      <w:bookmarkEnd w:id="1118"/>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缺陷责任期内承包人为缺陷修复工作需要，有权进入工程现场，但应遵守发包人的保安和保密规定。</w:t>
      </w:r>
    </w:p>
    <w:p>
      <w:pPr>
        <w:pStyle w:val="5"/>
        <w:spacing w:before="120" w:after="120" w:line="360" w:lineRule="auto"/>
        <w:ind w:firstLine="103"/>
        <w:rPr>
          <w:rFonts w:ascii="宋体" w:eastAsia="宋体" w:cs="宋体"/>
          <w:bCs w:val="0"/>
          <w:sz w:val="21"/>
          <w:szCs w:val="21"/>
          <w:highlight w:val="none"/>
        </w:rPr>
      </w:pPr>
      <w:bookmarkStart w:id="1119" w:name="_Toc410559474"/>
      <w:bookmarkStart w:id="1120" w:name="_Toc411736556"/>
      <w:bookmarkStart w:id="1121" w:name="_Toc300835174"/>
      <w:bookmarkStart w:id="1122" w:name="_Toc476860491"/>
      <w:bookmarkStart w:id="1123" w:name="_Toc411736280"/>
      <w:bookmarkStart w:id="1124" w:name="_Toc486160105"/>
      <w:bookmarkStart w:id="1125" w:name="_Toc247514171"/>
      <w:bookmarkStart w:id="1126" w:name="_Toc247527772"/>
      <w:r>
        <w:rPr>
          <w:rFonts w:hint="eastAsia" w:ascii="宋体" w:eastAsia="宋体" w:cs="宋体"/>
          <w:bCs w:val="0"/>
          <w:sz w:val="21"/>
          <w:szCs w:val="21"/>
          <w:highlight w:val="none"/>
        </w:rPr>
        <w:t>19.6 缺陷责任期终止证书</w:t>
      </w:r>
      <w:bookmarkEnd w:id="1119"/>
      <w:bookmarkEnd w:id="1120"/>
      <w:bookmarkEnd w:id="1121"/>
      <w:bookmarkEnd w:id="1122"/>
      <w:bookmarkEnd w:id="1123"/>
      <w:bookmarkEnd w:id="1124"/>
      <w:bookmarkEnd w:id="1125"/>
      <w:bookmarkEnd w:id="112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在第1.1.4.5目约定的缺陷责任期，包括根据第19.3款延长的期限终止后14天内，由监理人向承包人出具经发包人签认的缺陷责任期终止证书，并退还剩余的质量保证金。</w:t>
      </w:r>
    </w:p>
    <w:p>
      <w:pPr>
        <w:pStyle w:val="5"/>
        <w:spacing w:before="120" w:after="120" w:line="360" w:lineRule="auto"/>
        <w:ind w:firstLine="103"/>
        <w:rPr>
          <w:rFonts w:ascii="宋体" w:eastAsia="宋体" w:cs="宋体"/>
          <w:bCs w:val="0"/>
          <w:sz w:val="21"/>
          <w:szCs w:val="21"/>
          <w:highlight w:val="none"/>
        </w:rPr>
      </w:pPr>
      <w:bookmarkStart w:id="1127" w:name="_Toc476860492"/>
      <w:bookmarkStart w:id="1128" w:name="_Toc410559475"/>
      <w:bookmarkStart w:id="1129" w:name="_Toc411736557"/>
      <w:bookmarkStart w:id="1130" w:name="_Toc247527773"/>
      <w:bookmarkStart w:id="1131" w:name="_Toc247514172"/>
      <w:bookmarkStart w:id="1132" w:name="_Toc411736281"/>
      <w:bookmarkStart w:id="1133" w:name="_Toc486160106"/>
      <w:bookmarkStart w:id="1134" w:name="_Toc300835175"/>
      <w:r>
        <w:rPr>
          <w:rFonts w:hint="eastAsia" w:ascii="宋体" w:eastAsia="宋体" w:cs="宋体"/>
          <w:bCs w:val="0"/>
          <w:sz w:val="21"/>
          <w:szCs w:val="21"/>
          <w:highlight w:val="none"/>
        </w:rPr>
        <w:t>19.7 保修责任</w:t>
      </w:r>
      <w:bookmarkEnd w:id="1127"/>
      <w:bookmarkEnd w:id="1128"/>
      <w:bookmarkEnd w:id="1129"/>
      <w:bookmarkEnd w:id="1130"/>
      <w:bookmarkEnd w:id="1131"/>
      <w:bookmarkEnd w:id="1132"/>
      <w:bookmarkEnd w:id="1133"/>
      <w:bookmarkEnd w:id="113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合同当事人根据有关法律规定，在专用合同条款中约定工程质量保修范围、期限和责任。保修期自实际竣工日期起计算。在全部工程竣工验收前，已经发包人提前验收的区段工程，其保修期的起算日期相应提前。</w:t>
      </w:r>
    </w:p>
    <w:p>
      <w:pPr>
        <w:pStyle w:val="5"/>
        <w:spacing w:before="120" w:after="120" w:line="360" w:lineRule="auto"/>
        <w:ind w:firstLine="103"/>
        <w:rPr>
          <w:rFonts w:ascii="宋体" w:eastAsia="宋体" w:cs="宋体"/>
          <w:bCs w:val="0"/>
          <w:sz w:val="21"/>
          <w:szCs w:val="21"/>
          <w:highlight w:val="none"/>
        </w:rPr>
      </w:pPr>
      <w:bookmarkStart w:id="1135" w:name="_Toc411736558"/>
      <w:bookmarkStart w:id="1136" w:name="_Toc411736282"/>
      <w:bookmarkStart w:id="1137" w:name="_Toc184635117"/>
      <w:bookmarkStart w:id="1138" w:name="_Toc247527774"/>
      <w:bookmarkStart w:id="1139" w:name="_Toc486160107"/>
      <w:bookmarkStart w:id="1140" w:name="_Toc300835176"/>
      <w:bookmarkStart w:id="1141" w:name="_Toc476860493"/>
      <w:bookmarkStart w:id="1142" w:name="_Toc410559476"/>
      <w:bookmarkStart w:id="1143" w:name="_Toc247514173"/>
      <w:r>
        <w:rPr>
          <w:rFonts w:hint="eastAsia" w:ascii="宋体" w:eastAsia="宋体" w:cs="宋体"/>
          <w:bCs w:val="0"/>
          <w:sz w:val="21"/>
          <w:szCs w:val="21"/>
          <w:highlight w:val="none"/>
        </w:rPr>
        <w:t>20. 保险</w:t>
      </w:r>
      <w:bookmarkEnd w:id="1135"/>
      <w:bookmarkEnd w:id="1136"/>
      <w:bookmarkEnd w:id="1137"/>
      <w:bookmarkEnd w:id="1138"/>
      <w:bookmarkEnd w:id="1139"/>
      <w:bookmarkEnd w:id="1140"/>
      <w:bookmarkEnd w:id="1141"/>
      <w:bookmarkEnd w:id="1142"/>
      <w:bookmarkEnd w:id="1143"/>
    </w:p>
    <w:p>
      <w:pPr>
        <w:pStyle w:val="5"/>
        <w:spacing w:before="120" w:after="120" w:line="360" w:lineRule="auto"/>
        <w:ind w:firstLine="103"/>
        <w:rPr>
          <w:rFonts w:ascii="宋体" w:eastAsia="宋体" w:cs="宋体"/>
          <w:bCs w:val="0"/>
          <w:sz w:val="21"/>
          <w:szCs w:val="21"/>
          <w:highlight w:val="none"/>
        </w:rPr>
      </w:pPr>
      <w:bookmarkStart w:id="1144" w:name="_Toc247514174"/>
      <w:bookmarkStart w:id="1145" w:name="_Toc300835177"/>
      <w:bookmarkStart w:id="1146" w:name="_Toc411736283"/>
      <w:bookmarkStart w:id="1147" w:name="_Toc410559477"/>
      <w:bookmarkStart w:id="1148" w:name="_Toc247527775"/>
      <w:bookmarkStart w:id="1149" w:name="_Toc476860494"/>
      <w:bookmarkStart w:id="1150" w:name="_Toc486160108"/>
      <w:bookmarkStart w:id="1151" w:name="_Toc411736559"/>
      <w:r>
        <w:rPr>
          <w:rFonts w:hint="eastAsia" w:ascii="宋体" w:eastAsia="宋体" w:cs="宋体"/>
          <w:bCs w:val="0"/>
          <w:sz w:val="21"/>
          <w:szCs w:val="21"/>
          <w:highlight w:val="none"/>
        </w:rPr>
        <w:t>20.1 设计和工程保险</w:t>
      </w:r>
      <w:bookmarkEnd w:id="1144"/>
      <w:bookmarkEnd w:id="1145"/>
      <w:bookmarkEnd w:id="1146"/>
      <w:bookmarkEnd w:id="1147"/>
      <w:bookmarkEnd w:id="1148"/>
      <w:bookmarkEnd w:id="1149"/>
      <w:bookmarkEnd w:id="1150"/>
      <w:bookmarkEnd w:id="115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20.1.1 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20.1.2 在缺陷责任期终止证书颁发前，承包人应按照专用合同条款的约定投保第三者责任险。</w:t>
      </w:r>
    </w:p>
    <w:p>
      <w:pPr>
        <w:pStyle w:val="5"/>
        <w:spacing w:before="120" w:after="120" w:line="360" w:lineRule="auto"/>
        <w:ind w:firstLine="103"/>
        <w:rPr>
          <w:rFonts w:ascii="宋体" w:eastAsia="宋体" w:cs="宋体"/>
          <w:bCs w:val="0"/>
          <w:sz w:val="21"/>
          <w:szCs w:val="21"/>
          <w:highlight w:val="none"/>
        </w:rPr>
      </w:pPr>
      <w:bookmarkStart w:id="1152" w:name="_Toc247514175"/>
      <w:bookmarkStart w:id="1153" w:name="_Toc486160109"/>
      <w:bookmarkStart w:id="1154" w:name="_Toc247527776"/>
      <w:bookmarkStart w:id="1155" w:name="_Toc411736284"/>
      <w:bookmarkStart w:id="1156" w:name="_Toc411736560"/>
      <w:bookmarkStart w:id="1157" w:name="_Toc300835178"/>
      <w:bookmarkStart w:id="1158" w:name="_Toc476860495"/>
      <w:bookmarkStart w:id="1159" w:name="_Toc410559478"/>
      <w:r>
        <w:rPr>
          <w:rFonts w:hint="eastAsia" w:ascii="宋体" w:eastAsia="宋体" w:cs="宋体"/>
          <w:bCs w:val="0"/>
          <w:sz w:val="21"/>
          <w:szCs w:val="21"/>
          <w:highlight w:val="none"/>
        </w:rPr>
        <w:t>20.2 工伤保险</w:t>
      </w:r>
      <w:bookmarkEnd w:id="1152"/>
      <w:bookmarkEnd w:id="1153"/>
      <w:bookmarkEnd w:id="1154"/>
      <w:bookmarkEnd w:id="1155"/>
      <w:bookmarkEnd w:id="1156"/>
      <w:bookmarkEnd w:id="1157"/>
      <w:bookmarkEnd w:id="1158"/>
      <w:bookmarkEnd w:id="115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20.2.1 承包人员工伤保险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承包人应依照有关法律规定，为其履行合同所雇佣的全部人员投保工伤保险，缴纳工伤保险费，并要求其分包人也投保此项保险。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20.2.2 发包人员工伤保险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发包人应依照有关法律规定，为其现场机构雇佣的全部人员投保工伤保险，缴纳工伤保险费，并要求其监理人也进行此项保险。</w:t>
      </w:r>
    </w:p>
    <w:p>
      <w:pPr>
        <w:pStyle w:val="5"/>
        <w:spacing w:before="120" w:after="120" w:line="360" w:lineRule="auto"/>
        <w:ind w:firstLine="103"/>
        <w:rPr>
          <w:rFonts w:ascii="宋体" w:eastAsia="宋体" w:cs="宋体"/>
          <w:bCs w:val="0"/>
          <w:sz w:val="21"/>
          <w:szCs w:val="21"/>
          <w:highlight w:val="none"/>
        </w:rPr>
      </w:pPr>
      <w:bookmarkStart w:id="1160" w:name="_Toc247527777"/>
      <w:bookmarkStart w:id="1161" w:name="_Toc486160110"/>
      <w:bookmarkStart w:id="1162" w:name="_Toc476860496"/>
      <w:bookmarkStart w:id="1163" w:name="_Toc247514176"/>
      <w:bookmarkStart w:id="1164" w:name="_Toc410559479"/>
      <w:bookmarkStart w:id="1165" w:name="_Toc411736561"/>
      <w:bookmarkStart w:id="1166" w:name="_Toc411736285"/>
      <w:bookmarkStart w:id="1167" w:name="_Toc300835179"/>
      <w:r>
        <w:rPr>
          <w:rFonts w:hint="eastAsia" w:ascii="宋体" w:eastAsia="宋体" w:cs="宋体"/>
          <w:bCs w:val="0"/>
          <w:sz w:val="21"/>
          <w:szCs w:val="21"/>
          <w:highlight w:val="none"/>
        </w:rPr>
        <w:t>20.3 人身意外伤害险</w:t>
      </w:r>
      <w:bookmarkEnd w:id="1160"/>
      <w:bookmarkEnd w:id="1161"/>
      <w:bookmarkEnd w:id="1162"/>
      <w:bookmarkEnd w:id="1163"/>
      <w:bookmarkEnd w:id="1164"/>
      <w:bookmarkEnd w:id="1165"/>
      <w:bookmarkEnd w:id="1166"/>
      <w:bookmarkEnd w:id="116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20.3.1 发包人应在整个施工期间为其现场机构雇用的全部人员，投保人身意外伤害险，缴纳保险费，并要求其监理人也进行此项保险。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20.3.2 承包人应在整个施工期间为其现场机构雇用的全部人员，投保人身意外伤害险，缴纳保险费，并要求其分包人也进行此项保险。</w:t>
      </w:r>
      <w:bookmarkStart w:id="1168" w:name="_Toc247527778"/>
      <w:bookmarkEnd w:id="1168"/>
      <w:bookmarkStart w:id="1169" w:name="_Toc247514177"/>
      <w:bookmarkEnd w:id="1169"/>
    </w:p>
    <w:p>
      <w:pPr>
        <w:pStyle w:val="5"/>
        <w:spacing w:before="120" w:after="120" w:line="360" w:lineRule="auto"/>
        <w:ind w:firstLine="103"/>
        <w:rPr>
          <w:rFonts w:ascii="宋体" w:eastAsia="宋体" w:cs="宋体"/>
          <w:bCs w:val="0"/>
          <w:sz w:val="21"/>
          <w:szCs w:val="21"/>
          <w:highlight w:val="none"/>
        </w:rPr>
      </w:pPr>
      <w:bookmarkStart w:id="1170" w:name="_Toc411736286"/>
      <w:bookmarkStart w:id="1171" w:name="_Toc476860497"/>
      <w:bookmarkStart w:id="1172" w:name="_Toc486160111"/>
      <w:bookmarkStart w:id="1173" w:name="_Toc410559480"/>
      <w:bookmarkStart w:id="1174" w:name="_Toc411736562"/>
      <w:bookmarkStart w:id="1175" w:name="_Toc300835180"/>
      <w:bookmarkStart w:id="1176" w:name="_Toc247514178"/>
      <w:bookmarkStart w:id="1177" w:name="_Toc247527779"/>
      <w:r>
        <w:rPr>
          <w:rFonts w:hint="eastAsia" w:ascii="宋体" w:eastAsia="宋体" w:cs="宋体"/>
          <w:bCs w:val="0"/>
          <w:sz w:val="21"/>
          <w:szCs w:val="21"/>
          <w:highlight w:val="none"/>
        </w:rPr>
        <w:t>20.4 其他保险</w:t>
      </w:r>
      <w:bookmarkEnd w:id="1170"/>
      <w:bookmarkEnd w:id="1171"/>
      <w:bookmarkEnd w:id="1172"/>
      <w:bookmarkEnd w:id="1173"/>
      <w:bookmarkEnd w:id="1174"/>
      <w:bookmarkEnd w:id="1175"/>
      <w:bookmarkEnd w:id="1176"/>
      <w:bookmarkEnd w:id="117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除专用合同条款另有约定外，承包人应为其施工设备、进场的材料和工程设备等办理保险。</w:t>
      </w:r>
    </w:p>
    <w:p>
      <w:pPr>
        <w:pStyle w:val="5"/>
        <w:spacing w:before="120" w:after="120" w:line="360" w:lineRule="auto"/>
        <w:ind w:firstLine="103"/>
        <w:rPr>
          <w:rFonts w:ascii="宋体" w:eastAsia="宋体" w:cs="宋体"/>
          <w:bCs w:val="0"/>
          <w:sz w:val="21"/>
          <w:szCs w:val="21"/>
          <w:highlight w:val="none"/>
        </w:rPr>
      </w:pPr>
      <w:bookmarkStart w:id="1178" w:name="_Toc300835181"/>
      <w:bookmarkStart w:id="1179" w:name="_Toc411736287"/>
      <w:bookmarkStart w:id="1180" w:name="_Toc247527780"/>
      <w:bookmarkStart w:id="1181" w:name="_Toc410559481"/>
      <w:bookmarkStart w:id="1182" w:name="_Toc486160112"/>
      <w:bookmarkStart w:id="1183" w:name="_Toc411736563"/>
      <w:bookmarkStart w:id="1184" w:name="_Toc247514179"/>
      <w:bookmarkStart w:id="1185" w:name="_Toc476860498"/>
      <w:r>
        <w:rPr>
          <w:rFonts w:hint="eastAsia" w:ascii="宋体" w:eastAsia="宋体" w:cs="宋体"/>
          <w:bCs w:val="0"/>
          <w:sz w:val="21"/>
          <w:szCs w:val="21"/>
          <w:highlight w:val="none"/>
        </w:rPr>
        <w:t>20.5 对各项保险的一般要求</w:t>
      </w:r>
      <w:bookmarkEnd w:id="1178"/>
      <w:bookmarkEnd w:id="1179"/>
      <w:bookmarkEnd w:id="1180"/>
      <w:bookmarkEnd w:id="1181"/>
      <w:bookmarkEnd w:id="1182"/>
      <w:bookmarkEnd w:id="1183"/>
      <w:bookmarkEnd w:id="1184"/>
      <w:bookmarkEnd w:id="118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20.5.1 保险凭证</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承包人应在专用合同条款约定的期限内向发包人提交各项保险生效的证据和保险单副本，保险单必须与专用合同条款约定的条件保持一致。</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20.5.2 保险合同条款的变动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承包人需要变动保险合同条款时，应事先征得发包人同意，并通知监理人。保险人作出变动的，承包人应在收到保险人通知后立即通知发包人和监理人。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20.5.3 持续保险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承包人应与保险人保持联系，使保险人能够随时了解工程实施中的变动，并确保按保险合同条款要求持续保险。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20.5.4 保险金不足的补偿</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保险金不足以补偿损失的，应由承包人和（或）发包人按合同约定负责补偿。</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20.5.5 未按约定投保的补救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（1）由于负有投保义务的一方当事人未按合同约定办理保险，或未能使保险持续有效的，另一方当事人可代为办理，所需费用由对方当事人承担。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（2）由于负有投保义务的一方当事人未按合同约定办理某项保险，导致受益人未能得到保险人的赔偿，原应从该项保险得到的保险金应由负有投保义务的一方当事人支付。</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20.5.6 报告义务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当保险事故发生时，投保人应按照保险单规定的条件和期限及时向保险人报告。</w:t>
      </w:r>
    </w:p>
    <w:p>
      <w:pPr>
        <w:pStyle w:val="5"/>
        <w:spacing w:before="120" w:after="120" w:line="360" w:lineRule="auto"/>
        <w:ind w:firstLine="103"/>
        <w:rPr>
          <w:rFonts w:ascii="宋体" w:eastAsia="宋体" w:cs="宋体"/>
          <w:bCs w:val="0"/>
          <w:sz w:val="21"/>
          <w:szCs w:val="21"/>
          <w:highlight w:val="none"/>
        </w:rPr>
      </w:pPr>
      <w:bookmarkStart w:id="1186" w:name="_Toc247527781"/>
      <w:bookmarkStart w:id="1187" w:name="_Toc247514180"/>
      <w:bookmarkStart w:id="1188" w:name="_Toc486160113"/>
      <w:bookmarkStart w:id="1189" w:name="_Toc476860499"/>
      <w:bookmarkStart w:id="1190" w:name="_Toc410559482"/>
      <w:bookmarkStart w:id="1191" w:name="_Toc184635118"/>
      <w:bookmarkStart w:id="1192" w:name="_Toc300835182"/>
      <w:bookmarkStart w:id="1193" w:name="_Toc411736288"/>
      <w:bookmarkStart w:id="1194" w:name="_Toc411736564"/>
      <w:r>
        <w:rPr>
          <w:rFonts w:hint="eastAsia" w:ascii="宋体" w:eastAsia="宋体" w:cs="宋体"/>
          <w:bCs w:val="0"/>
          <w:sz w:val="21"/>
          <w:szCs w:val="21"/>
          <w:highlight w:val="none"/>
        </w:rPr>
        <w:t>21. 不可抗力</w:t>
      </w:r>
      <w:bookmarkEnd w:id="1186"/>
      <w:bookmarkEnd w:id="1187"/>
      <w:bookmarkEnd w:id="1188"/>
      <w:bookmarkEnd w:id="1189"/>
      <w:bookmarkEnd w:id="1190"/>
      <w:bookmarkEnd w:id="1191"/>
      <w:bookmarkEnd w:id="1192"/>
      <w:bookmarkEnd w:id="1193"/>
      <w:bookmarkEnd w:id="1194"/>
    </w:p>
    <w:p>
      <w:pPr>
        <w:pStyle w:val="5"/>
        <w:spacing w:before="120" w:after="120" w:line="360" w:lineRule="auto"/>
        <w:ind w:firstLine="103"/>
        <w:rPr>
          <w:rFonts w:ascii="宋体" w:eastAsia="宋体" w:cs="宋体"/>
          <w:bCs w:val="0"/>
          <w:sz w:val="21"/>
          <w:szCs w:val="21"/>
          <w:highlight w:val="none"/>
        </w:rPr>
      </w:pPr>
      <w:bookmarkStart w:id="1195" w:name="_Toc411736289"/>
      <w:bookmarkStart w:id="1196" w:name="_Toc410559483"/>
      <w:bookmarkStart w:id="1197" w:name="_Toc411736565"/>
      <w:bookmarkStart w:id="1198" w:name="_Toc486160114"/>
      <w:bookmarkStart w:id="1199" w:name="_Toc247527782"/>
      <w:bookmarkStart w:id="1200" w:name="_Toc300835183"/>
      <w:bookmarkStart w:id="1201" w:name="_Toc476860500"/>
      <w:bookmarkStart w:id="1202" w:name="_Toc247514181"/>
      <w:r>
        <w:rPr>
          <w:rFonts w:hint="eastAsia" w:ascii="宋体" w:eastAsia="宋体" w:cs="宋体"/>
          <w:bCs w:val="0"/>
          <w:sz w:val="21"/>
          <w:szCs w:val="21"/>
          <w:highlight w:val="none"/>
        </w:rPr>
        <w:t>21.1 不可抗力的确认</w:t>
      </w:r>
      <w:bookmarkEnd w:id="1195"/>
      <w:bookmarkEnd w:id="1196"/>
      <w:bookmarkEnd w:id="1197"/>
      <w:bookmarkEnd w:id="1198"/>
      <w:bookmarkEnd w:id="1199"/>
      <w:bookmarkEnd w:id="1200"/>
      <w:bookmarkEnd w:id="1201"/>
      <w:bookmarkEnd w:id="120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21.1.1 不可抗力是指承包人和发包人在订立合同时不可预见，在履行合同过程中不可避免发生并不能克服的自然灾害和社会性突发事件，如地震、海啸、瘟疫、水灾、骚乱、暴动、战争和专用合同条款约定的其他情形。</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21.1.2 不可抗力发生后，发包人和承包人应及时认真统计所造成的损失，收集不可抗力造成损失的证据。合同双方对是否属于不可抗力或其损失的意见不一致的，由监理人按第3.5 款商定或确定。发生争议时，按第24条的约定执行。</w:t>
      </w:r>
    </w:p>
    <w:p>
      <w:pPr>
        <w:pStyle w:val="5"/>
        <w:spacing w:before="120" w:after="120" w:line="360" w:lineRule="auto"/>
        <w:ind w:firstLine="103"/>
        <w:rPr>
          <w:rFonts w:ascii="宋体" w:eastAsia="宋体" w:cs="宋体"/>
          <w:bCs w:val="0"/>
          <w:sz w:val="21"/>
          <w:szCs w:val="21"/>
          <w:highlight w:val="none"/>
        </w:rPr>
      </w:pPr>
      <w:bookmarkStart w:id="1203" w:name="_Toc247527783"/>
      <w:bookmarkStart w:id="1204" w:name="_Toc247514182"/>
      <w:bookmarkStart w:id="1205" w:name="_Toc411736290"/>
      <w:bookmarkStart w:id="1206" w:name="_Toc486160115"/>
      <w:bookmarkStart w:id="1207" w:name="_Toc410559484"/>
      <w:bookmarkStart w:id="1208" w:name="_Toc476860501"/>
      <w:bookmarkStart w:id="1209" w:name="_Toc411736566"/>
      <w:bookmarkStart w:id="1210" w:name="_Toc300835184"/>
      <w:r>
        <w:rPr>
          <w:rFonts w:hint="eastAsia" w:ascii="宋体" w:eastAsia="宋体" w:cs="宋体"/>
          <w:bCs w:val="0"/>
          <w:sz w:val="21"/>
          <w:szCs w:val="21"/>
          <w:highlight w:val="none"/>
        </w:rPr>
        <w:t>21.2 不可抗力的通知</w:t>
      </w:r>
      <w:bookmarkEnd w:id="1203"/>
      <w:bookmarkEnd w:id="1204"/>
      <w:bookmarkEnd w:id="1205"/>
      <w:bookmarkEnd w:id="1206"/>
      <w:bookmarkEnd w:id="1207"/>
      <w:bookmarkEnd w:id="1208"/>
      <w:bookmarkEnd w:id="1209"/>
      <w:bookmarkEnd w:id="1210"/>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21.2.1 合同一方当事人遇到不可抗力事件，使其履行合同义务受到阻碍时，应立即通知合同另一方当事人和监理人，书面说明不可抗力和受阻碍的详细情况，并提供必要的证明。</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pStyle w:val="5"/>
        <w:spacing w:before="120" w:after="120" w:line="360" w:lineRule="auto"/>
        <w:ind w:firstLine="103"/>
        <w:rPr>
          <w:rFonts w:ascii="宋体" w:eastAsia="宋体" w:cs="宋体"/>
          <w:bCs w:val="0"/>
          <w:sz w:val="21"/>
          <w:szCs w:val="21"/>
          <w:highlight w:val="none"/>
        </w:rPr>
      </w:pPr>
      <w:bookmarkStart w:id="1211" w:name="_Toc476860502"/>
      <w:bookmarkStart w:id="1212" w:name="_Toc247514183"/>
      <w:bookmarkStart w:id="1213" w:name="_Toc411736291"/>
      <w:bookmarkStart w:id="1214" w:name="_Toc247527784"/>
      <w:bookmarkStart w:id="1215" w:name="_Toc486160116"/>
      <w:bookmarkStart w:id="1216" w:name="_Toc411736567"/>
      <w:bookmarkStart w:id="1217" w:name="_Toc410559485"/>
      <w:bookmarkStart w:id="1218" w:name="_Toc300835185"/>
      <w:r>
        <w:rPr>
          <w:rFonts w:hint="eastAsia" w:ascii="宋体" w:eastAsia="宋体" w:cs="宋体"/>
          <w:bCs w:val="0"/>
          <w:sz w:val="21"/>
          <w:szCs w:val="21"/>
          <w:highlight w:val="none"/>
        </w:rPr>
        <w:t>21.3 不可抗力后果及其处理</w:t>
      </w:r>
      <w:bookmarkEnd w:id="1211"/>
      <w:bookmarkEnd w:id="1212"/>
      <w:bookmarkEnd w:id="1213"/>
      <w:bookmarkEnd w:id="1214"/>
      <w:bookmarkEnd w:id="1215"/>
      <w:bookmarkEnd w:id="1216"/>
      <w:bookmarkEnd w:id="1217"/>
      <w:bookmarkEnd w:id="1218"/>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21.3.1 不可抗力造成损害的责任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除专用合同条款另有约定外，不可抗力导致的人员伤亡、财产损失、费用增加和（或）工期延误等后果，由合同双方按以下原则承担：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（1）永久工程，包括已运至施工场地的材料和工程设备的损害，以及因工程损害造成的第三者人员伤亡和财产损失由发包人承担；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（2）承包人设备的损坏由承包人承担；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（3）发包人和承包人各自承担其人员伤亡和其他财产损失及其相关费用；</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（4）承包人的停工损失由承包人承担，但停工期间应监理人要求照管工程和清理、修复工程的金额由发包人承担；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（5）不能按期竣工的，应合理延长工期，承包人不需支付逾期竣工违约金。发包人要求赶工的，承包人应采取赶工措施，赶工费用由发包人承担。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21.3.2 延迟履行期间发生的不可抗力</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合同一方当事人延迟履行，在延迟履行期间发生不可抗力的，不免除其责任。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21.3.3 避免和减少不可抗力损失</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不可抗力发生后，发包人和承包人均应采取措施尽量避免和减少损失的扩大，任何一方没有采取有效措施导致损失扩大的，应对扩大的损失承担责任。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21.3.4 因不可抗力解除合同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合同一方当事人因不可抗力不能履行合同的，应当及时通知对方解除合同。合同解除后，承包人应按照第22.2.4 项约定撤离施工场地。已经订货的材料、设备由订货方负责退货或解除订货合同，不能退还的货款和因退货、解除订货合同发生的费用，由发包人承担，因未及时退货造成的损失由责任方承担。合同解除后的付款，参照第22.2.3 项约定，由监理人按第3.5 款商定或确定。</w:t>
      </w:r>
    </w:p>
    <w:p>
      <w:pPr>
        <w:pStyle w:val="5"/>
        <w:spacing w:before="120" w:after="120" w:line="360" w:lineRule="auto"/>
        <w:ind w:firstLine="103"/>
        <w:rPr>
          <w:rFonts w:ascii="宋体" w:eastAsia="宋体" w:cs="宋体"/>
          <w:bCs w:val="0"/>
          <w:sz w:val="21"/>
          <w:szCs w:val="21"/>
          <w:highlight w:val="none"/>
        </w:rPr>
      </w:pPr>
      <w:bookmarkStart w:id="1219" w:name="_Toc410559486"/>
      <w:bookmarkStart w:id="1220" w:name="_Toc247527785"/>
      <w:bookmarkStart w:id="1221" w:name="_Toc411736568"/>
      <w:bookmarkStart w:id="1222" w:name="_Toc486160117"/>
      <w:bookmarkStart w:id="1223" w:name="_Toc411736292"/>
      <w:bookmarkStart w:id="1224" w:name="_Toc476860503"/>
      <w:bookmarkStart w:id="1225" w:name="_Toc247514184"/>
      <w:bookmarkStart w:id="1226" w:name="_Toc184635119"/>
      <w:bookmarkStart w:id="1227" w:name="_Toc300835186"/>
      <w:r>
        <w:rPr>
          <w:rFonts w:hint="eastAsia" w:ascii="宋体" w:eastAsia="宋体" w:cs="宋体"/>
          <w:bCs w:val="0"/>
          <w:sz w:val="21"/>
          <w:szCs w:val="21"/>
          <w:highlight w:val="none"/>
        </w:rPr>
        <w:t>22. 违约</w:t>
      </w:r>
      <w:bookmarkEnd w:id="1219"/>
      <w:bookmarkEnd w:id="1220"/>
      <w:bookmarkEnd w:id="1221"/>
      <w:bookmarkEnd w:id="1222"/>
      <w:bookmarkEnd w:id="1223"/>
      <w:bookmarkEnd w:id="1224"/>
      <w:bookmarkEnd w:id="1225"/>
      <w:bookmarkEnd w:id="1226"/>
      <w:bookmarkEnd w:id="1227"/>
    </w:p>
    <w:p>
      <w:pPr>
        <w:pStyle w:val="5"/>
        <w:spacing w:before="120" w:after="120" w:line="360" w:lineRule="auto"/>
        <w:ind w:firstLine="103"/>
        <w:rPr>
          <w:rFonts w:ascii="宋体" w:eastAsia="宋体" w:cs="宋体"/>
          <w:bCs w:val="0"/>
          <w:sz w:val="21"/>
          <w:szCs w:val="21"/>
          <w:highlight w:val="none"/>
        </w:rPr>
      </w:pPr>
      <w:bookmarkStart w:id="1228" w:name="_Toc476860504"/>
      <w:bookmarkStart w:id="1229" w:name="_Toc411736293"/>
      <w:bookmarkStart w:id="1230" w:name="_Toc300835187"/>
      <w:bookmarkStart w:id="1231" w:name="_Toc247514185"/>
      <w:bookmarkStart w:id="1232" w:name="_Toc486160118"/>
      <w:bookmarkStart w:id="1233" w:name="_Toc411736569"/>
      <w:bookmarkStart w:id="1234" w:name="_Toc410559487"/>
      <w:bookmarkStart w:id="1235" w:name="_Toc247527786"/>
      <w:r>
        <w:rPr>
          <w:rFonts w:hint="eastAsia" w:ascii="宋体" w:eastAsia="宋体" w:cs="宋体"/>
          <w:bCs w:val="0"/>
          <w:sz w:val="21"/>
          <w:szCs w:val="21"/>
          <w:highlight w:val="none"/>
        </w:rPr>
        <w:t>22.1 承包人违约</w:t>
      </w:r>
      <w:bookmarkEnd w:id="1228"/>
      <w:bookmarkEnd w:id="1229"/>
      <w:bookmarkEnd w:id="1230"/>
      <w:bookmarkEnd w:id="1231"/>
      <w:bookmarkEnd w:id="1232"/>
      <w:bookmarkEnd w:id="1233"/>
      <w:bookmarkEnd w:id="1234"/>
      <w:bookmarkEnd w:id="123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22.1.1 承包人违约的情形</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在履行合同过程中发生的下列情况之一的，属承包人违约：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（1）承包人的设计、承包人文件、实施和竣工的工程不符合法律以及合同约定；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（2）承包人违反第1.8 款或第4.3 款的约定，私自将合同的全部或部分权利转让给其他人，或私自将合同的全部或部分义务转移给其他人；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（3）承包人违反第6.3 款或第7.4 款的约定，未经监理人批准，私自将已按合同约定进入施工场地的施工设备、临时设施或材料撤离施工场地；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（4）承包人违反第6.5 款的约定使用了不合格材料或工程设备，工程质量达不到标准要求，又拒绝清除不合格工程；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（5）承包人未能按合同进度计划及时完成合同约定的工作，造成工期延误；</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（6）由于承包人原因未能通过竣工试验或竣工后试验的；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（7）承包人在缺陷责任期内，未能对工程接收证书所列的缺陷清单的内容或缺陷责任期内发生的缺陷进行修复，而又拒绝按监理人指示再进行修补；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（8）承包人无法继续履行或明确表示不履行或实质上已停止履行合同；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（9）承包人不按合同约定履行义务的其他情况。</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22.1.2 对承包人违约的处理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（1）承包人发生第22.1.1（6）目约定的违约情况时，按照发包人要求中的未能通过竣工/竣工后试验的损害进行赔偿。发生延期的，承包人应承担延期责任。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（2）承包人发生第22.1.1（8）目约定的违约情况时，发包人可通知承包人立即解除合同，并按第22.1.3项、第22.1.4项、第22.1.5项约定处理。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发生除第22.1.1（6）目和第22.1.1（8）目约定以外的其他违约情况时，监理人可向承包人发出整改通知，要求其在指定的期限内纠正。除合同条款另有约定外，承包人应承担其违约所引起的费用增加和（或）工期延误。</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22.1.3 因承包人违约解除合同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22.1.4 发包人发出合同解除通知后的估价、付款和结清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（2）发包人发出解除合同通知后，发包人有权暂停对承包人的一切付款，查清各项付款和已扣款金额，包括承包人应支付的违约金。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（3）发包人发出解除合同通知后，发包人有权按第23.4 款的约定向承包人索赔由于解除合同给发包人造成的损失。</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（4）合同双方确认合同价款后，发包人颁发最终结清付款证书，并结清全部合同款项。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（5）发包人和承包人未能就解除合同后的结清达成一致而形成争议的，按第24条的约定执行。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22.1.5 协议利益的转让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22.1.6 紧急情况下无能力或不愿进行抢救</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5"/>
        <w:spacing w:before="120" w:after="120" w:line="360" w:lineRule="auto"/>
        <w:ind w:firstLine="103"/>
        <w:rPr>
          <w:rFonts w:ascii="宋体" w:eastAsia="宋体" w:cs="宋体"/>
          <w:bCs w:val="0"/>
          <w:sz w:val="21"/>
          <w:szCs w:val="21"/>
          <w:highlight w:val="none"/>
        </w:rPr>
      </w:pPr>
      <w:bookmarkStart w:id="1236" w:name="_Toc476860505"/>
      <w:bookmarkStart w:id="1237" w:name="_Toc247514186"/>
      <w:bookmarkStart w:id="1238" w:name="_Toc486160119"/>
      <w:bookmarkStart w:id="1239" w:name="_Toc247527787"/>
      <w:bookmarkStart w:id="1240" w:name="_Toc410559488"/>
      <w:bookmarkStart w:id="1241" w:name="_Toc411736570"/>
      <w:bookmarkStart w:id="1242" w:name="_Toc300835188"/>
      <w:bookmarkStart w:id="1243" w:name="_Toc411736294"/>
      <w:r>
        <w:rPr>
          <w:rFonts w:hint="eastAsia" w:ascii="宋体" w:eastAsia="宋体" w:cs="宋体"/>
          <w:bCs w:val="0"/>
          <w:sz w:val="21"/>
          <w:szCs w:val="21"/>
          <w:highlight w:val="none"/>
        </w:rPr>
        <w:t>22.2 发包人违约</w:t>
      </w:r>
      <w:bookmarkEnd w:id="1236"/>
      <w:bookmarkEnd w:id="1237"/>
      <w:bookmarkEnd w:id="1238"/>
      <w:bookmarkEnd w:id="1239"/>
      <w:bookmarkEnd w:id="1240"/>
      <w:bookmarkEnd w:id="1241"/>
      <w:bookmarkEnd w:id="1242"/>
      <w:bookmarkEnd w:id="1243"/>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22.2.1 发包人违约的情形</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在履行合同过程中发生下列情形之一的，属发包人违约：</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（1）发包人未能按合同约定支付价款，或拖延、拒绝批准付款申请和支付凭证，导致付款延误；</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（2）发包人原因造成停工；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（3）监理人无正当理由没有在约定期限内发出复工指示，导致承包人无法复工；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（4）发包人无法继续履行或明确表示不履行或实质上已停止履行合同；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（5）发包人不履行合同约定其他义务。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22.2.2 因发包人违约解除合同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（1）发生第22.2.1（4）目的违约情况时，承包人可书面通知发包人解除合同。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（2）承包人按12.2.1项约定暂停施工28天后，发包人仍不纠正违约行为的，承包人可向发包人发出解除合同通知。但承包人的这一行为不免除发包人承担的违约责任，也不影响承包人根据合同约定享有的索赔权利。</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22.2.3 解除合同后的付款</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因发包人违约解除合同的，发包人应在解除合同后28天内向承包人支付下列款项，承包人应在此期限内及时向发包人提交要求支付下列金额的有关资料和凭证：</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（1）承包人发出解除合同通知前所完成工作的价款；</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（2）承包人为该工程施工订购并已付款的材料、工程设备和其他物品的金额。发包人付款后，该材料、工程设备和其他物品归发包人所有；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（3）承包人为完成工程所发生的，而发包人未支付的金额；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（4）承包人撤离施工场地以及遣散承包人人员的金额；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（5）因解除合同造成的承包人损失；</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（6）按合同约定在承包人发出解除合同通知前应支付给承包人的其他金额。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发包人应按本项约定支付上述金额并退还质量保证金和履约担保，但有权要求承包人支付应偿还给发包人的各项金额。</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22.2.4 解除合同后的承包人撤离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因发包人违约而解除合同后，承包人应妥善处理正在施工的工程和已购材料、设备的保护和移交工作，并按发包人的要求将承包人设备和人员撤出施工场地。承包人撤出施工场地应遵守第18.7.1 项的约定，发包人应为承包人撤出提供必要条件并办理移交手续。</w:t>
      </w:r>
    </w:p>
    <w:p>
      <w:pPr>
        <w:pStyle w:val="5"/>
        <w:spacing w:before="120" w:after="120" w:line="360" w:lineRule="auto"/>
        <w:ind w:firstLine="103"/>
        <w:rPr>
          <w:rFonts w:ascii="宋体" w:eastAsia="宋体" w:cs="宋体"/>
          <w:bCs w:val="0"/>
          <w:sz w:val="21"/>
          <w:szCs w:val="21"/>
          <w:highlight w:val="none"/>
        </w:rPr>
      </w:pPr>
      <w:bookmarkStart w:id="1244" w:name="_Toc300835189"/>
      <w:bookmarkStart w:id="1245" w:name="_Toc411736295"/>
      <w:bookmarkStart w:id="1246" w:name="_Toc411736571"/>
      <w:bookmarkStart w:id="1247" w:name="_Toc476860506"/>
      <w:bookmarkStart w:id="1248" w:name="_Toc247514187"/>
      <w:bookmarkStart w:id="1249" w:name="_Toc247527788"/>
      <w:bookmarkStart w:id="1250" w:name="_Toc486160120"/>
      <w:bookmarkStart w:id="1251" w:name="_Toc410559489"/>
      <w:r>
        <w:rPr>
          <w:rFonts w:hint="eastAsia" w:ascii="宋体" w:eastAsia="宋体" w:cs="宋体"/>
          <w:bCs w:val="0"/>
          <w:sz w:val="21"/>
          <w:szCs w:val="21"/>
          <w:highlight w:val="none"/>
        </w:rPr>
        <w:t>22.3 第三人造成的违约</w:t>
      </w:r>
      <w:bookmarkEnd w:id="1244"/>
      <w:bookmarkEnd w:id="1245"/>
      <w:bookmarkEnd w:id="1246"/>
      <w:bookmarkEnd w:id="1247"/>
      <w:bookmarkEnd w:id="1248"/>
      <w:bookmarkEnd w:id="1249"/>
      <w:bookmarkEnd w:id="1250"/>
      <w:bookmarkEnd w:id="1251"/>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在履行合同过程中，一方当事人因第三人的原因造成违约的，应当向对方当事人承担违约责任。一方当事人和第三人之间的纠纷，依照法律规定或者按照约定解决。</w:t>
      </w:r>
    </w:p>
    <w:p>
      <w:pPr>
        <w:pStyle w:val="5"/>
        <w:spacing w:before="120" w:after="120" w:line="360" w:lineRule="auto"/>
        <w:ind w:firstLine="103"/>
        <w:rPr>
          <w:rFonts w:ascii="宋体" w:eastAsia="宋体" w:cs="宋体"/>
          <w:bCs w:val="0"/>
          <w:sz w:val="21"/>
          <w:szCs w:val="21"/>
          <w:highlight w:val="none"/>
        </w:rPr>
      </w:pPr>
      <w:bookmarkStart w:id="1252" w:name="_Toc410559490"/>
      <w:bookmarkStart w:id="1253" w:name="_Toc300835190"/>
      <w:bookmarkStart w:id="1254" w:name="_Toc486160121"/>
      <w:bookmarkStart w:id="1255" w:name="_Toc247514188"/>
      <w:bookmarkStart w:id="1256" w:name="_Toc411736572"/>
      <w:bookmarkStart w:id="1257" w:name="_Toc247527789"/>
      <w:bookmarkStart w:id="1258" w:name="_Toc184635120"/>
      <w:bookmarkStart w:id="1259" w:name="_Toc476860507"/>
      <w:bookmarkStart w:id="1260" w:name="_Toc411736296"/>
      <w:r>
        <w:rPr>
          <w:rFonts w:hint="eastAsia" w:ascii="宋体" w:eastAsia="宋体" w:cs="宋体"/>
          <w:bCs w:val="0"/>
          <w:sz w:val="21"/>
          <w:szCs w:val="21"/>
          <w:highlight w:val="none"/>
        </w:rPr>
        <w:t>23. 索赔</w:t>
      </w:r>
      <w:bookmarkEnd w:id="1252"/>
      <w:bookmarkEnd w:id="1253"/>
      <w:bookmarkEnd w:id="1254"/>
      <w:bookmarkEnd w:id="1255"/>
      <w:bookmarkEnd w:id="1256"/>
      <w:bookmarkEnd w:id="1257"/>
      <w:bookmarkEnd w:id="1258"/>
      <w:bookmarkEnd w:id="1259"/>
      <w:bookmarkEnd w:id="1260"/>
    </w:p>
    <w:p>
      <w:pPr>
        <w:pStyle w:val="5"/>
        <w:spacing w:before="120" w:after="120" w:line="360" w:lineRule="auto"/>
        <w:ind w:firstLine="103"/>
        <w:rPr>
          <w:rFonts w:ascii="宋体" w:eastAsia="宋体" w:cs="宋体"/>
          <w:bCs w:val="0"/>
          <w:sz w:val="21"/>
          <w:szCs w:val="21"/>
          <w:highlight w:val="none"/>
        </w:rPr>
      </w:pPr>
      <w:bookmarkStart w:id="1261" w:name="_Toc247527790"/>
      <w:bookmarkStart w:id="1262" w:name="_Toc300835191"/>
      <w:bookmarkStart w:id="1263" w:name="_Toc410559491"/>
      <w:bookmarkStart w:id="1264" w:name="_Toc476860508"/>
      <w:bookmarkStart w:id="1265" w:name="_Toc411736573"/>
      <w:bookmarkStart w:id="1266" w:name="_Toc247514189"/>
      <w:bookmarkStart w:id="1267" w:name="_Toc486160122"/>
      <w:bookmarkStart w:id="1268" w:name="_Toc411736297"/>
      <w:r>
        <w:rPr>
          <w:rFonts w:hint="eastAsia" w:ascii="宋体" w:eastAsia="宋体" w:cs="宋体"/>
          <w:bCs w:val="0"/>
          <w:sz w:val="21"/>
          <w:szCs w:val="21"/>
          <w:highlight w:val="none"/>
        </w:rPr>
        <w:t>23.1 承包人索赔的提出</w:t>
      </w:r>
      <w:bookmarkEnd w:id="1261"/>
      <w:bookmarkEnd w:id="1262"/>
      <w:bookmarkEnd w:id="1263"/>
      <w:bookmarkEnd w:id="1264"/>
      <w:bookmarkEnd w:id="1265"/>
      <w:bookmarkEnd w:id="1266"/>
      <w:bookmarkEnd w:id="1267"/>
      <w:bookmarkEnd w:id="1268"/>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根据合同约定，承包人认为有权得到追加付款和（或）延长工期的，应按以下程序向发包人提出索赔：</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（1）承包人应在知道或应当知道索赔事件发生后28 天内，向监理人递交索赔意向通知书，并说明发生索赔事件的事由。承包人未在前述28天内发出索赔意向通知书的，工期不予顺延，且承包人无权获得追加付款；</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（2）承包人应在发出索赔意向通知书后28天内，向监理人正式递交索赔通知书。索赔通知书应详细说明索赔理由以及要求追加的付款金额和（或）延长的工期，并附必要的记录和证明材料；</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（3）索赔事件具有连续影响的，承包人应按合理时间间隔继续递交延续索赔通知，说明连续影响的实际情况和记录，列出累计的追加付款金额和（或）工期延长天数；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（4）在索赔事件影响结束后的28 天内，承包人应向监理人递交最终索赔通知书，说明最终要求索赔的追加付款金额和延长的工期，并附必要的记录和证明材料。</w:t>
      </w:r>
    </w:p>
    <w:p>
      <w:pPr>
        <w:pStyle w:val="5"/>
        <w:spacing w:before="120" w:after="120" w:line="360" w:lineRule="auto"/>
        <w:ind w:firstLine="103"/>
        <w:rPr>
          <w:rFonts w:ascii="宋体" w:eastAsia="宋体" w:cs="宋体"/>
          <w:bCs w:val="0"/>
          <w:sz w:val="21"/>
          <w:szCs w:val="21"/>
          <w:highlight w:val="none"/>
        </w:rPr>
      </w:pPr>
      <w:bookmarkStart w:id="1269" w:name="_Toc476860509"/>
      <w:bookmarkStart w:id="1270" w:name="_Toc247514190"/>
      <w:bookmarkStart w:id="1271" w:name="_Toc411736298"/>
      <w:bookmarkStart w:id="1272" w:name="_Toc300835192"/>
      <w:bookmarkStart w:id="1273" w:name="_Toc411736574"/>
      <w:bookmarkStart w:id="1274" w:name="_Toc410559492"/>
      <w:bookmarkStart w:id="1275" w:name="_Toc486160123"/>
      <w:bookmarkStart w:id="1276" w:name="_Toc247527791"/>
      <w:r>
        <w:rPr>
          <w:rFonts w:hint="eastAsia" w:ascii="宋体" w:eastAsia="宋体" w:cs="宋体"/>
          <w:bCs w:val="0"/>
          <w:sz w:val="21"/>
          <w:szCs w:val="21"/>
          <w:highlight w:val="none"/>
        </w:rPr>
        <w:t>23.2 承包人索赔处理程序</w:t>
      </w:r>
      <w:bookmarkEnd w:id="1269"/>
      <w:bookmarkEnd w:id="1270"/>
      <w:bookmarkEnd w:id="1271"/>
      <w:bookmarkEnd w:id="1272"/>
      <w:bookmarkEnd w:id="1273"/>
      <w:bookmarkEnd w:id="1274"/>
      <w:bookmarkEnd w:id="1275"/>
      <w:bookmarkEnd w:id="127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（1）监理人收到承包人提交的索赔通知书后，应及时审查索赔通知书的内容、查验承包人的记录和证明材料，必要时监理人可要求承包人提交全部原始记录副本。</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（3）承包人接受索赔处理结果的，发包人应在作出索赔处理结果答复后28 天内完成赔付。承包人不接受索赔处理结果的，按第24条的约定执行。</w:t>
      </w:r>
    </w:p>
    <w:p>
      <w:pPr>
        <w:pStyle w:val="5"/>
        <w:spacing w:before="120" w:after="120" w:line="360" w:lineRule="auto"/>
        <w:ind w:firstLine="103"/>
        <w:rPr>
          <w:rFonts w:ascii="宋体" w:eastAsia="宋体" w:cs="宋体"/>
          <w:bCs w:val="0"/>
          <w:sz w:val="21"/>
          <w:szCs w:val="21"/>
          <w:highlight w:val="none"/>
        </w:rPr>
      </w:pPr>
      <w:bookmarkStart w:id="1277" w:name="_Toc300835193"/>
      <w:bookmarkStart w:id="1278" w:name="_Toc411736299"/>
      <w:bookmarkStart w:id="1279" w:name="_Toc247514191"/>
      <w:bookmarkStart w:id="1280" w:name="_Toc247527792"/>
      <w:bookmarkStart w:id="1281" w:name="_Toc410559493"/>
      <w:bookmarkStart w:id="1282" w:name="_Toc486160124"/>
      <w:bookmarkStart w:id="1283" w:name="_Toc476860510"/>
      <w:bookmarkStart w:id="1284" w:name="_Toc411736575"/>
      <w:r>
        <w:rPr>
          <w:rFonts w:hint="eastAsia" w:ascii="宋体" w:eastAsia="宋体" w:cs="宋体"/>
          <w:bCs w:val="0"/>
          <w:sz w:val="21"/>
          <w:szCs w:val="21"/>
          <w:highlight w:val="none"/>
        </w:rPr>
        <w:t>23.3 承包人提出索赔的期限</w:t>
      </w:r>
      <w:bookmarkEnd w:id="1277"/>
      <w:bookmarkEnd w:id="1278"/>
      <w:bookmarkEnd w:id="1279"/>
      <w:bookmarkEnd w:id="1280"/>
      <w:bookmarkEnd w:id="1281"/>
      <w:bookmarkEnd w:id="1282"/>
      <w:bookmarkEnd w:id="1283"/>
      <w:bookmarkEnd w:id="1284"/>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23.3.1 承包人按第17.5 款的约定接受了竣工付款证书后，应被认为已无权再提出在合同工程接收证书颁发前所发生的任何索赔。</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23.3.2 承包人按第17.6 款的约定提交的最终结清申请单中，只限于提出工程接收证书颁发后发生的索赔。提出索赔的期限自接受最终结清证书时终止。</w:t>
      </w:r>
    </w:p>
    <w:p>
      <w:pPr>
        <w:pStyle w:val="5"/>
        <w:spacing w:before="120" w:after="120" w:line="360" w:lineRule="auto"/>
        <w:ind w:firstLine="103"/>
        <w:rPr>
          <w:rFonts w:ascii="宋体" w:eastAsia="宋体" w:cs="宋体"/>
          <w:bCs w:val="0"/>
          <w:sz w:val="21"/>
          <w:szCs w:val="21"/>
          <w:highlight w:val="none"/>
        </w:rPr>
      </w:pPr>
      <w:bookmarkStart w:id="1285" w:name="_Toc247514192"/>
      <w:bookmarkStart w:id="1286" w:name="_Toc411736300"/>
      <w:bookmarkStart w:id="1287" w:name="_Toc486160125"/>
      <w:bookmarkStart w:id="1288" w:name="_Toc247527793"/>
      <w:bookmarkStart w:id="1289" w:name="_Toc411736576"/>
      <w:bookmarkStart w:id="1290" w:name="_Toc476860511"/>
      <w:bookmarkStart w:id="1291" w:name="_Toc300835194"/>
      <w:bookmarkStart w:id="1292" w:name="_Toc410559494"/>
      <w:r>
        <w:rPr>
          <w:rFonts w:hint="eastAsia" w:ascii="宋体" w:eastAsia="宋体" w:cs="宋体"/>
          <w:bCs w:val="0"/>
          <w:sz w:val="21"/>
          <w:szCs w:val="21"/>
          <w:highlight w:val="none"/>
        </w:rPr>
        <w:t>23.4 发包人的索赔</w:t>
      </w:r>
      <w:bookmarkEnd w:id="1285"/>
      <w:bookmarkEnd w:id="1286"/>
      <w:bookmarkEnd w:id="1287"/>
      <w:bookmarkEnd w:id="1288"/>
      <w:bookmarkEnd w:id="1289"/>
      <w:bookmarkEnd w:id="1290"/>
      <w:bookmarkEnd w:id="1291"/>
      <w:bookmarkEnd w:id="1292"/>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23.4.1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23.3 款的约定相同，要求延长缺陷责任期的通知应在缺陷责任期届满前发出。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23.4.2 发包人按第3.5 款商定或确定发包人从承包人处得到赔付的金额和（或）缺陷责任期的延长期。承包人应付给发包人的金额可从拟支付给承包人的合同价款中扣除，或由承包人以其他方式支付给发包人。</w:t>
      </w:r>
    </w:p>
    <w:p>
      <w:pPr>
        <w:pStyle w:val="5"/>
        <w:spacing w:before="120" w:after="120" w:line="360" w:lineRule="auto"/>
        <w:ind w:firstLine="103"/>
        <w:rPr>
          <w:rFonts w:ascii="宋体" w:eastAsia="宋体" w:cs="宋体"/>
          <w:bCs w:val="0"/>
          <w:sz w:val="21"/>
          <w:szCs w:val="21"/>
          <w:highlight w:val="none"/>
        </w:rPr>
      </w:pPr>
      <w:bookmarkStart w:id="1293" w:name="_Toc184635121"/>
      <w:bookmarkStart w:id="1294" w:name="_Toc247514193"/>
      <w:bookmarkStart w:id="1295" w:name="_Toc300835195"/>
      <w:bookmarkStart w:id="1296" w:name="_Toc410559495"/>
      <w:bookmarkStart w:id="1297" w:name="_Toc476860512"/>
      <w:bookmarkStart w:id="1298" w:name="_Toc411736577"/>
      <w:bookmarkStart w:id="1299" w:name="_Toc411736301"/>
      <w:bookmarkStart w:id="1300" w:name="_Toc247527794"/>
      <w:bookmarkStart w:id="1301" w:name="_Toc486160126"/>
      <w:r>
        <w:rPr>
          <w:rFonts w:hint="eastAsia" w:ascii="宋体" w:eastAsia="宋体" w:cs="宋体"/>
          <w:bCs w:val="0"/>
          <w:sz w:val="21"/>
          <w:szCs w:val="21"/>
          <w:highlight w:val="none"/>
        </w:rPr>
        <w:t>24. 争议的解决</w:t>
      </w:r>
      <w:bookmarkEnd w:id="1293"/>
      <w:bookmarkEnd w:id="1294"/>
      <w:bookmarkEnd w:id="1295"/>
      <w:bookmarkEnd w:id="1296"/>
      <w:bookmarkEnd w:id="1297"/>
      <w:bookmarkEnd w:id="1298"/>
      <w:bookmarkEnd w:id="1299"/>
      <w:bookmarkEnd w:id="1300"/>
      <w:bookmarkEnd w:id="1301"/>
    </w:p>
    <w:p>
      <w:pPr>
        <w:pStyle w:val="5"/>
        <w:spacing w:before="120" w:after="120" w:line="360" w:lineRule="auto"/>
        <w:ind w:firstLine="103"/>
        <w:rPr>
          <w:rFonts w:ascii="宋体" w:eastAsia="宋体" w:cs="宋体"/>
          <w:bCs w:val="0"/>
          <w:sz w:val="21"/>
          <w:szCs w:val="21"/>
          <w:highlight w:val="none"/>
        </w:rPr>
      </w:pPr>
      <w:bookmarkStart w:id="1302" w:name="_Toc410559496"/>
      <w:bookmarkStart w:id="1303" w:name="_Toc411736578"/>
      <w:bookmarkStart w:id="1304" w:name="_Toc300835196"/>
      <w:bookmarkStart w:id="1305" w:name="_Toc411736302"/>
      <w:bookmarkStart w:id="1306" w:name="_Toc476860513"/>
      <w:bookmarkStart w:id="1307" w:name="_Toc486160127"/>
      <w:bookmarkStart w:id="1308" w:name="_Toc247527795"/>
      <w:bookmarkStart w:id="1309" w:name="_Toc247514194"/>
      <w:r>
        <w:rPr>
          <w:rFonts w:hint="eastAsia" w:ascii="宋体" w:eastAsia="宋体" w:cs="宋体"/>
          <w:bCs w:val="0"/>
          <w:sz w:val="21"/>
          <w:szCs w:val="21"/>
          <w:highlight w:val="none"/>
        </w:rPr>
        <w:t>24.1 争议的解决方式</w:t>
      </w:r>
      <w:bookmarkEnd w:id="1302"/>
      <w:bookmarkEnd w:id="1303"/>
      <w:bookmarkEnd w:id="1304"/>
      <w:bookmarkEnd w:id="1305"/>
      <w:bookmarkEnd w:id="1306"/>
      <w:bookmarkEnd w:id="1307"/>
      <w:bookmarkEnd w:id="1308"/>
      <w:bookmarkEnd w:id="1309"/>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（1）向约定的仲裁委员会申请仲裁；</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（2）向有管辖权的人民法院提起诉讼。</w:t>
      </w:r>
    </w:p>
    <w:p>
      <w:pPr>
        <w:pStyle w:val="5"/>
        <w:spacing w:before="120" w:after="120" w:line="360" w:lineRule="auto"/>
        <w:ind w:firstLine="103"/>
        <w:rPr>
          <w:rFonts w:ascii="宋体" w:eastAsia="宋体" w:cs="宋体"/>
          <w:bCs w:val="0"/>
          <w:sz w:val="21"/>
          <w:szCs w:val="21"/>
          <w:highlight w:val="none"/>
        </w:rPr>
      </w:pPr>
      <w:bookmarkStart w:id="1310" w:name="_Toc476860514"/>
      <w:bookmarkStart w:id="1311" w:name="_Toc411736303"/>
      <w:bookmarkStart w:id="1312" w:name="_Toc247527796"/>
      <w:bookmarkStart w:id="1313" w:name="_Toc300835197"/>
      <w:bookmarkStart w:id="1314" w:name="_Toc411736579"/>
      <w:bookmarkStart w:id="1315" w:name="_Toc410559497"/>
      <w:bookmarkStart w:id="1316" w:name="_Toc486160128"/>
      <w:bookmarkStart w:id="1317" w:name="_Toc247514195"/>
      <w:r>
        <w:rPr>
          <w:rFonts w:hint="eastAsia" w:ascii="宋体" w:eastAsia="宋体" w:cs="宋体"/>
          <w:bCs w:val="0"/>
          <w:sz w:val="21"/>
          <w:szCs w:val="21"/>
          <w:highlight w:val="none"/>
        </w:rPr>
        <w:t>24.2 友好解决</w:t>
      </w:r>
      <w:bookmarkEnd w:id="1310"/>
      <w:bookmarkEnd w:id="1311"/>
      <w:bookmarkEnd w:id="1312"/>
      <w:bookmarkEnd w:id="1313"/>
      <w:bookmarkEnd w:id="1314"/>
      <w:bookmarkEnd w:id="1315"/>
      <w:bookmarkEnd w:id="1316"/>
      <w:bookmarkEnd w:id="1317"/>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在提请争议评审、仲裁或者诉讼前，以及在争议评审、仲裁或诉讼过程中，发包人和承包人均可共同努力友好协商解决争议。</w:t>
      </w:r>
    </w:p>
    <w:p>
      <w:pPr>
        <w:pStyle w:val="5"/>
        <w:spacing w:before="120" w:after="120" w:line="360" w:lineRule="auto"/>
        <w:ind w:firstLine="103"/>
        <w:rPr>
          <w:rFonts w:ascii="宋体" w:eastAsia="宋体" w:cs="宋体"/>
          <w:bCs w:val="0"/>
          <w:sz w:val="21"/>
          <w:szCs w:val="21"/>
          <w:highlight w:val="none"/>
        </w:rPr>
      </w:pPr>
      <w:bookmarkStart w:id="1318" w:name="_Toc411736304"/>
      <w:bookmarkStart w:id="1319" w:name="_Toc486160129"/>
      <w:bookmarkStart w:id="1320" w:name="_Toc411736580"/>
      <w:bookmarkStart w:id="1321" w:name="_Toc247527797"/>
      <w:bookmarkStart w:id="1322" w:name="_Toc476860515"/>
      <w:bookmarkStart w:id="1323" w:name="_Toc247514196"/>
      <w:bookmarkStart w:id="1324" w:name="_Toc410559498"/>
      <w:bookmarkStart w:id="1325" w:name="_Toc300835198"/>
      <w:r>
        <w:rPr>
          <w:rFonts w:hint="eastAsia" w:ascii="宋体" w:eastAsia="宋体" w:cs="宋体"/>
          <w:bCs w:val="0"/>
          <w:sz w:val="21"/>
          <w:szCs w:val="21"/>
          <w:highlight w:val="none"/>
        </w:rPr>
        <w:t>24.3 争议评审</w:t>
      </w:r>
      <w:bookmarkEnd w:id="1318"/>
      <w:bookmarkEnd w:id="1319"/>
      <w:bookmarkEnd w:id="1320"/>
      <w:bookmarkEnd w:id="1321"/>
      <w:bookmarkEnd w:id="1322"/>
      <w:bookmarkEnd w:id="1323"/>
      <w:bookmarkEnd w:id="1324"/>
      <w:bookmarkEnd w:id="1325"/>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24.3.1 采用争议评审的，发包人和承包人应在开工日后的28天内或在争议发生后，协商成立争议评审组。争议评审组由有合同管理和工程实践经验的专家组成。</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24.3.2 合同双方的争议，应首先由申请人向争议评审组提交一份详细的评审申请报告，并附必要的文件、图纸和证明材料，申请人还应将上述报告的副本同时提交给被申请人和监理人。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24.3.3 被申请人在收到申请人评审申请报告副本后的28 天内，向争议评审组提交一份答辩报告，并附证明材料。被申请人应将答辩报告的副本同时提交给申请人和监理人。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24.3.6 发包人和承包人接受评审意见的，由监理人根据评审意见拟定执行协议，经争议双方签字后作为合同的补充文件，并遵照执行。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pPr>
        <w:spacing w:beforeLines="50" w:afterLines="50" w:line="360" w:lineRule="auto"/>
        <w:ind w:right="420" w:rightChars="200"/>
        <w:jc w:val="center"/>
        <w:rPr>
          <w:rFonts w:ascii="宋体" w:hAnsi="宋体"/>
          <w:b/>
          <w:szCs w:val="21"/>
          <w:highlight w:val="none"/>
        </w:rPr>
      </w:pPr>
    </w:p>
    <w:p>
      <w:pPr>
        <w:spacing w:line="360" w:lineRule="auto"/>
        <w:rPr>
          <w:rFonts w:ascii="宋体" w:hAnsi="宋体"/>
          <w:b/>
          <w:sz w:val="32"/>
          <w:szCs w:val="32"/>
          <w:highlight w:val="none"/>
        </w:rPr>
        <w:sectPr>
          <w:pgSz w:w="11907" w:h="16840"/>
          <w:pgMar w:top="1440" w:right="1440" w:bottom="1440" w:left="1440" w:header="851" w:footer="992" w:gutter="0"/>
          <w:cols w:space="720" w:num="1"/>
          <w:docGrid w:linePitch="312" w:charSpace="0"/>
        </w:sectPr>
      </w:pPr>
    </w:p>
    <w:p>
      <w:pPr>
        <w:pStyle w:val="4"/>
        <w:spacing w:line="360" w:lineRule="auto"/>
        <w:jc w:val="center"/>
        <w:rPr>
          <w:rFonts w:ascii="宋体" w:hAnsi="宋体" w:eastAsia="宋体"/>
          <w:szCs w:val="21"/>
          <w:highlight w:val="none"/>
        </w:rPr>
      </w:pPr>
      <w:bookmarkStart w:id="1326" w:name="_Toc486160130"/>
      <w:bookmarkStart w:id="1327" w:name="_Toc411736581"/>
      <w:bookmarkStart w:id="1328" w:name="_Toc476860516"/>
      <w:bookmarkStart w:id="1329" w:name="_Toc411736305"/>
      <w:r>
        <w:rPr>
          <w:rFonts w:hint="eastAsia" w:ascii="宋体" w:hAnsi="宋体" w:eastAsia="宋体"/>
          <w:highlight w:val="none"/>
        </w:rPr>
        <w:t>第三部分   专用合同条款</w:t>
      </w:r>
      <w:bookmarkEnd w:id="1326"/>
      <w:bookmarkEnd w:id="1327"/>
      <w:bookmarkEnd w:id="1328"/>
      <w:bookmarkEnd w:id="1329"/>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 一般约定</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1.1 词语定义</w:t>
      </w:r>
    </w:p>
    <w:p>
      <w:pPr>
        <w:spacing w:line="360" w:lineRule="auto"/>
        <w:ind w:firstLine="630" w:firstLineChars="300"/>
        <w:rPr>
          <w:rFonts w:ascii="宋体" w:hAnsi="宋体" w:cs="宋体"/>
          <w:kern w:val="0"/>
          <w:szCs w:val="21"/>
          <w:highlight w:val="none"/>
        </w:rPr>
      </w:pPr>
      <w:r>
        <w:rPr>
          <w:rFonts w:hint="eastAsia" w:ascii="宋体" w:hAnsi="宋体" w:cs="宋体"/>
          <w:szCs w:val="21"/>
          <w:highlight w:val="none"/>
        </w:rPr>
        <w:t>1.1.1.1 合同文件（或称合同）：指合同协议书、中标通知书、投标函及投标函附录、专用合同条款、通用合同条款、发包人要求、价格清单、招标文件、投标文件，以及其他构成合同组成部分的文件。</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1.1.1.4 投标函：本合同特指《投标函》。</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1.1.1.7 价格清单：本合同指承包人按合同专用条款第17.1款要求编制，并经</w:t>
      </w:r>
      <w:r>
        <w:rPr>
          <w:rFonts w:hint="eastAsia" w:ascii="宋体" w:hAnsi="宋体" w:cs="宋体"/>
          <w:kern w:val="0"/>
          <w:szCs w:val="21"/>
          <w:highlight w:val="none"/>
          <w:u w:val="single"/>
        </w:rPr>
        <w:t>区财政部门</w:t>
      </w:r>
      <w:r>
        <w:rPr>
          <w:rFonts w:hint="eastAsia" w:ascii="宋体" w:hAnsi="宋体" w:cs="宋体"/>
          <w:kern w:val="0"/>
          <w:szCs w:val="21"/>
          <w:highlight w:val="none"/>
        </w:rPr>
        <w:t>审核的价格清单。</w:t>
      </w:r>
    </w:p>
    <w:p>
      <w:pPr>
        <w:autoSpaceDE w:val="0"/>
        <w:autoSpaceDN w:val="0"/>
        <w:adjustRightInd w:val="0"/>
        <w:spacing w:line="360" w:lineRule="auto"/>
        <w:ind w:firstLine="420" w:firstLineChars="200"/>
        <w:jc w:val="left"/>
        <w:rPr>
          <w:rFonts w:ascii="宋体" w:hAnsi="宋体"/>
          <w:b/>
          <w:bCs/>
          <w:kern w:val="0"/>
          <w:szCs w:val="21"/>
          <w:highlight w:val="none"/>
        </w:rPr>
      </w:pPr>
      <w:r>
        <w:rPr>
          <w:rFonts w:hint="eastAsia" w:ascii="宋体" w:hAnsi="宋体" w:cs="宋体"/>
          <w:kern w:val="0"/>
          <w:szCs w:val="21"/>
          <w:highlight w:val="none"/>
        </w:rPr>
        <w:t>1.1.1.8 承包人建议书：</w:t>
      </w:r>
      <w:r>
        <w:rPr>
          <w:rFonts w:hint="eastAsia" w:ascii="宋体" w:hAnsi="宋体" w:cs="宋体"/>
          <w:kern w:val="0"/>
          <w:szCs w:val="21"/>
          <w:highlight w:val="none"/>
          <w:u w:val="single"/>
        </w:rPr>
        <w:t>（本合同不适用）</w:t>
      </w:r>
      <w:r>
        <w:rPr>
          <w:rFonts w:hint="eastAsia" w:ascii="宋体" w:hAnsi="宋体" w:cs="宋体"/>
          <w:kern w:val="0"/>
          <w:szCs w:val="21"/>
          <w:highlight w:val="none"/>
        </w:rPr>
        <w:t>。</w:t>
      </w:r>
    </w:p>
    <w:p>
      <w:pPr>
        <w:autoSpaceDE w:val="0"/>
        <w:autoSpaceDN w:val="0"/>
        <w:adjustRightInd w:val="0"/>
        <w:spacing w:line="360" w:lineRule="auto"/>
        <w:ind w:firstLine="422" w:firstLineChars="200"/>
        <w:jc w:val="left"/>
        <w:rPr>
          <w:rFonts w:ascii="宋体" w:hAnsi="宋体" w:cs="宋体"/>
          <w:kern w:val="0"/>
          <w:szCs w:val="21"/>
          <w:highlight w:val="none"/>
        </w:rPr>
      </w:pPr>
      <w:r>
        <w:rPr>
          <w:rFonts w:hint="eastAsia" w:ascii="宋体" w:hAnsi="宋体"/>
          <w:b/>
          <w:bCs/>
          <w:kern w:val="0"/>
          <w:szCs w:val="21"/>
          <w:highlight w:val="none"/>
        </w:rPr>
        <w:t xml:space="preserve">1.1.2 </w:t>
      </w:r>
      <w:r>
        <w:rPr>
          <w:rFonts w:hint="eastAsia" w:ascii="宋体" w:hAnsi="宋体" w:cs="宋体"/>
          <w:kern w:val="0"/>
          <w:szCs w:val="21"/>
          <w:highlight w:val="none"/>
        </w:rPr>
        <w:t>合同当事人和人员</w:t>
      </w:r>
    </w:p>
    <w:p>
      <w:pPr>
        <w:autoSpaceDE w:val="0"/>
        <w:autoSpaceDN w:val="0"/>
        <w:adjustRightInd w:val="0"/>
        <w:spacing w:line="360" w:lineRule="auto"/>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1.1.2.2 发包人：本合同发包人为</w:t>
      </w:r>
      <w:r>
        <w:rPr>
          <w:rFonts w:hint="eastAsia" w:ascii="宋体" w:hAnsi="宋体" w:cs="宋体"/>
          <w:kern w:val="0"/>
          <w:szCs w:val="21"/>
          <w:highlight w:val="none"/>
          <w:u w:val="single"/>
        </w:rPr>
        <w:t>广州市海珠区河涌管理所</w:t>
      </w:r>
      <w:r>
        <w:rPr>
          <w:rFonts w:hint="eastAsia" w:ascii="宋体" w:hAnsi="宋体" w:cs="宋体"/>
          <w:kern w:val="0"/>
          <w:szCs w:val="21"/>
          <w:highlight w:val="none"/>
        </w:rPr>
        <w:t>。</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u w:val="single"/>
        </w:rPr>
        <w:t>1.1.2.3 承包人：本合同承包人为（主）                      、（成）                  。</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1.1.2.4 承包人项目经理：本合同项目经理（项目负责人）为。负责项目设计施工总承包全面组织工作。</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1.1.2.5 设计负责人：本合同设计负责人为。负责项目设计管理工作。</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1.1.2.6 </w:t>
      </w:r>
      <w:r>
        <w:rPr>
          <w:rFonts w:hint="eastAsia" w:ascii="宋体" w:hAnsi="宋体" w:cs="宋体"/>
          <w:szCs w:val="21"/>
          <w:highlight w:val="none"/>
        </w:rPr>
        <w:t>施工负责人</w:t>
      </w:r>
      <w:r>
        <w:rPr>
          <w:rFonts w:hint="eastAsia" w:ascii="宋体" w:hAnsi="宋体" w:cs="宋体"/>
          <w:kern w:val="0"/>
          <w:szCs w:val="21"/>
          <w:highlight w:val="none"/>
        </w:rPr>
        <w:t>：本合同</w:t>
      </w:r>
      <w:r>
        <w:rPr>
          <w:rFonts w:hint="eastAsia" w:ascii="宋体" w:hAnsi="宋体" w:cs="宋体"/>
          <w:szCs w:val="21"/>
          <w:highlight w:val="none"/>
        </w:rPr>
        <w:t>施工负责人</w:t>
      </w:r>
      <w:r>
        <w:rPr>
          <w:rFonts w:hint="eastAsia" w:ascii="宋体" w:hAnsi="宋体" w:cs="宋体"/>
          <w:kern w:val="0"/>
          <w:szCs w:val="21"/>
          <w:highlight w:val="none"/>
        </w:rPr>
        <w:t>为。负责项目施工管理工作。</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1.1.2.8 分包人：</w:t>
      </w:r>
      <w:r>
        <w:rPr>
          <w:rFonts w:hint="eastAsia" w:ascii="宋体" w:hAnsi="宋体"/>
          <w:szCs w:val="21"/>
          <w:highlight w:val="none"/>
        </w:rPr>
        <w:t>经发包人批准的专业工程分包单位。</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1.1.2.9 监理人：本合同监理人为。</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1.1.2.10 总监理工程师：本合同总监理工程师为。</w:t>
      </w:r>
    </w:p>
    <w:p>
      <w:pPr>
        <w:autoSpaceDE w:val="0"/>
        <w:autoSpaceDN w:val="0"/>
        <w:adjustRightInd w:val="0"/>
        <w:spacing w:line="360" w:lineRule="auto"/>
        <w:ind w:firstLine="422" w:firstLineChars="200"/>
        <w:jc w:val="left"/>
        <w:rPr>
          <w:rFonts w:ascii="宋体" w:hAnsi="宋体" w:cs="宋体"/>
          <w:kern w:val="0"/>
          <w:szCs w:val="21"/>
          <w:highlight w:val="none"/>
        </w:rPr>
      </w:pPr>
      <w:r>
        <w:rPr>
          <w:rFonts w:hint="eastAsia" w:ascii="宋体" w:hAnsi="宋体"/>
          <w:b/>
          <w:bCs/>
          <w:kern w:val="0"/>
          <w:szCs w:val="21"/>
          <w:highlight w:val="none"/>
        </w:rPr>
        <w:t xml:space="preserve">1.1.3 </w:t>
      </w:r>
      <w:r>
        <w:rPr>
          <w:rFonts w:hint="eastAsia" w:ascii="宋体" w:hAnsi="宋体"/>
          <w:bCs/>
          <w:kern w:val="0"/>
          <w:szCs w:val="21"/>
          <w:highlight w:val="none"/>
        </w:rPr>
        <w:t>工程和设备</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1.1.3.4 区段工程：本合同区段工程包括：</w:t>
      </w:r>
      <w:r>
        <w:rPr>
          <w:rFonts w:hint="eastAsia" w:ascii="宋体" w:hAnsi="宋体" w:cs="宋体"/>
          <w:kern w:val="0"/>
          <w:szCs w:val="21"/>
          <w:highlight w:val="none"/>
          <w:u w:val="single"/>
        </w:rPr>
        <w:t>不采用</w:t>
      </w:r>
      <w:r>
        <w:rPr>
          <w:rFonts w:hint="eastAsia" w:ascii="宋体" w:hAnsi="宋体" w:cs="宋体"/>
          <w:kern w:val="0"/>
          <w:szCs w:val="21"/>
          <w:highlight w:val="none"/>
        </w:rPr>
        <w:t>。</w:t>
      </w:r>
    </w:p>
    <w:p>
      <w:pPr>
        <w:autoSpaceDE w:val="0"/>
        <w:autoSpaceDN w:val="0"/>
        <w:adjustRightInd w:val="0"/>
        <w:spacing w:line="360" w:lineRule="auto"/>
        <w:ind w:firstLine="422" w:firstLineChars="200"/>
        <w:jc w:val="left"/>
        <w:rPr>
          <w:rFonts w:ascii="宋体" w:hAnsi="宋体" w:cs="宋体"/>
          <w:kern w:val="0"/>
          <w:szCs w:val="21"/>
          <w:highlight w:val="none"/>
        </w:rPr>
      </w:pPr>
      <w:r>
        <w:rPr>
          <w:rFonts w:hint="eastAsia" w:ascii="宋体" w:hAnsi="宋体"/>
          <w:b/>
          <w:bCs/>
          <w:kern w:val="0"/>
          <w:szCs w:val="21"/>
          <w:highlight w:val="none"/>
        </w:rPr>
        <w:t xml:space="preserve">1.1.4 </w:t>
      </w:r>
      <w:r>
        <w:rPr>
          <w:rFonts w:hint="eastAsia" w:ascii="宋体" w:hAnsi="宋体" w:cs="宋体"/>
          <w:kern w:val="0"/>
          <w:szCs w:val="21"/>
          <w:highlight w:val="none"/>
        </w:rPr>
        <w:t>日期、检验和竣工</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1.1.4.5 缺陷责任期：</w:t>
      </w:r>
      <w:r>
        <w:rPr>
          <w:rFonts w:hint="eastAsia" w:ascii="宋体" w:hAnsi="宋体"/>
          <w:szCs w:val="21"/>
          <w:highlight w:val="none"/>
        </w:rPr>
        <w:t>整体工程</w:t>
      </w:r>
      <w:r>
        <w:rPr>
          <w:rFonts w:hint="eastAsia" w:ascii="宋体" w:hAnsi="宋体" w:cs="宋体"/>
          <w:kern w:val="0"/>
          <w:szCs w:val="21"/>
          <w:highlight w:val="none"/>
        </w:rPr>
        <w:t>缺陷责任期</w:t>
      </w:r>
      <w:r>
        <w:rPr>
          <w:rFonts w:hint="eastAsia" w:ascii="宋体" w:hAnsi="宋体"/>
          <w:szCs w:val="21"/>
          <w:highlight w:val="none"/>
          <w:u w:val="single"/>
        </w:rPr>
        <w:t>1</w:t>
      </w:r>
      <w:r>
        <w:rPr>
          <w:rFonts w:hint="eastAsia" w:ascii="宋体" w:hAnsi="宋体"/>
          <w:szCs w:val="21"/>
          <w:highlight w:val="none"/>
        </w:rPr>
        <w:t>年。</w:t>
      </w:r>
    </w:p>
    <w:p>
      <w:pPr>
        <w:autoSpaceDE w:val="0"/>
        <w:autoSpaceDN w:val="0"/>
        <w:adjustRightInd w:val="0"/>
        <w:spacing w:line="360" w:lineRule="auto"/>
        <w:ind w:firstLine="422" w:firstLineChars="200"/>
        <w:jc w:val="left"/>
        <w:rPr>
          <w:rFonts w:ascii="宋体" w:hAnsi="宋体" w:cs="宋体"/>
          <w:kern w:val="0"/>
          <w:szCs w:val="21"/>
          <w:highlight w:val="none"/>
        </w:rPr>
      </w:pPr>
      <w:r>
        <w:rPr>
          <w:rFonts w:hint="eastAsia" w:ascii="宋体" w:hAnsi="宋体"/>
          <w:b/>
          <w:bCs/>
          <w:kern w:val="0"/>
          <w:szCs w:val="21"/>
          <w:highlight w:val="none"/>
        </w:rPr>
        <w:t xml:space="preserve">1.1.5 </w:t>
      </w:r>
      <w:r>
        <w:rPr>
          <w:rFonts w:hint="eastAsia" w:ascii="宋体" w:hAnsi="宋体" w:cs="宋体"/>
          <w:kern w:val="0"/>
          <w:szCs w:val="21"/>
          <w:highlight w:val="none"/>
        </w:rPr>
        <w:t>合同价格和费用</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1.1.5.1 计日工：本合同除另有约定外，不采用计日工方式计量及支付。</w:t>
      </w:r>
    </w:p>
    <w:p>
      <w:pPr>
        <w:autoSpaceDE w:val="0"/>
        <w:autoSpaceDN w:val="0"/>
        <w:adjustRightIn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 xml:space="preserve">1.1.6 </w:t>
      </w:r>
      <w:r>
        <w:rPr>
          <w:rFonts w:hint="eastAsia" w:ascii="宋体" w:hAnsi="宋体" w:cs="宋体"/>
          <w:kern w:val="0"/>
          <w:szCs w:val="21"/>
          <w:highlight w:val="none"/>
        </w:rPr>
        <w:t>其他</w:t>
      </w:r>
    </w:p>
    <w:p>
      <w:pPr>
        <w:autoSpaceDE w:val="0"/>
        <w:autoSpaceDN w:val="0"/>
        <w:adjustRightInd w:val="0"/>
        <w:spacing w:line="360" w:lineRule="auto"/>
        <w:ind w:firstLine="420" w:firstLineChars="200"/>
        <w:jc w:val="left"/>
        <w:rPr>
          <w:rFonts w:ascii="宋体" w:hAnsi="宋体" w:cs="宋体"/>
          <w:b/>
          <w:kern w:val="0"/>
          <w:szCs w:val="21"/>
          <w:highlight w:val="none"/>
        </w:rPr>
      </w:pPr>
      <w:r>
        <w:rPr>
          <w:rFonts w:hint="eastAsia" w:ascii="宋体" w:hAnsi="宋体" w:cs="宋体"/>
          <w:kern w:val="0"/>
          <w:szCs w:val="21"/>
          <w:highlight w:val="none"/>
        </w:rPr>
        <w:t>1.1.6.3 变更：本合同的变更均是指在承包人的施工图纸经发包人及政府相关部门批准后，根据第15 条的约定，经指示或批准对发包人要求的改变。</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1.4 合同文件的优先顺序</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组成合同的各项文件应互相解释，互为说明。本合同解释合同文件的优先顺序如下：</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（l）合同协议书；</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（2）中标通知书；</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（3）专用合同条款；</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（4）通用合同条款；</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（5）招标文件（含澄清文件）；</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（6）投标文件；</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（7）价格清单；</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（8）发包人各项管理规定；</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（9）设计任务书;</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（10）施工管理任务书;</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（11）品质工程创建方案；</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（12）工程造价控制方案；</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（13）其他合同文件。</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1.6 文件的提供和照管</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cs="宋体"/>
          <w:kern w:val="0"/>
          <w:szCs w:val="21"/>
          <w:highlight w:val="none"/>
        </w:rPr>
        <w:t>1.6.1 承包人文件的提供：</w:t>
      </w:r>
      <w:r>
        <w:rPr>
          <w:rFonts w:hint="eastAsia" w:ascii="宋体" w:hAnsi="宋体"/>
          <w:szCs w:val="21"/>
          <w:highlight w:val="none"/>
        </w:rPr>
        <w:t>承包人交付的设计文件、份数及时间约定如下</w:t>
      </w:r>
    </w:p>
    <w:p>
      <w:pPr>
        <w:autoSpaceDE w:val="0"/>
        <w:autoSpaceDN w:val="0"/>
        <w:adjustRightInd w:val="0"/>
        <w:spacing w:line="360" w:lineRule="auto"/>
        <w:ind w:firstLine="420" w:firstLineChars="200"/>
        <w:jc w:val="left"/>
        <w:rPr>
          <w:rFonts w:ascii="宋体" w:hAnsi="宋体" w:cs="宋体"/>
          <w:kern w:val="0"/>
          <w:szCs w:val="21"/>
          <w:highlight w:val="none"/>
        </w:rPr>
      </w:pPr>
    </w:p>
    <w:tbl>
      <w:tblPr>
        <w:tblStyle w:val="63"/>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53"/>
        <w:gridCol w:w="4158"/>
        <w:gridCol w:w="1244"/>
        <w:gridCol w:w="968"/>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9"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序号</w:t>
            </w:r>
          </w:p>
        </w:tc>
        <w:tc>
          <w:tcPr>
            <w:tcW w:w="853"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阶段</w:t>
            </w:r>
          </w:p>
        </w:tc>
        <w:tc>
          <w:tcPr>
            <w:tcW w:w="4158"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资料及文件名称</w:t>
            </w:r>
          </w:p>
        </w:tc>
        <w:tc>
          <w:tcPr>
            <w:tcW w:w="1244"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提交日期</w:t>
            </w:r>
          </w:p>
        </w:tc>
        <w:tc>
          <w:tcPr>
            <w:tcW w:w="968"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份数</w:t>
            </w:r>
          </w:p>
        </w:tc>
        <w:tc>
          <w:tcPr>
            <w:tcW w:w="1354"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9"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853"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施工图设计阶段</w:t>
            </w:r>
          </w:p>
        </w:tc>
        <w:tc>
          <w:tcPr>
            <w:tcW w:w="4158" w:type="dxa"/>
            <w:vAlign w:val="center"/>
          </w:tcPr>
          <w:p>
            <w:pPr>
              <w:widowControl/>
              <w:spacing w:line="360" w:lineRule="auto"/>
              <w:rPr>
                <w:rFonts w:ascii="宋体" w:hAnsi="宋体" w:cs="宋体"/>
                <w:kern w:val="0"/>
                <w:szCs w:val="21"/>
                <w:highlight w:val="none"/>
              </w:rPr>
            </w:pPr>
            <w:r>
              <w:rPr>
                <w:rFonts w:hint="eastAsia" w:ascii="宋体" w:hAnsi="宋体" w:cs="宋体"/>
                <w:kern w:val="0"/>
                <w:szCs w:val="21"/>
                <w:highlight w:val="none"/>
              </w:rPr>
              <w:t>施工图设计成果文件（</w:t>
            </w:r>
            <w:r>
              <w:rPr>
                <w:rFonts w:ascii="宋体" w:hAnsi="宋体" w:cs="宋体"/>
                <w:kern w:val="0"/>
                <w:szCs w:val="21"/>
                <w:highlight w:val="none"/>
              </w:rPr>
              <w:t>施工图、</w:t>
            </w:r>
            <w:r>
              <w:rPr>
                <w:rFonts w:hint="eastAsia" w:ascii="宋体" w:hAnsi="宋体" w:cs="宋体"/>
                <w:kern w:val="0"/>
                <w:szCs w:val="21"/>
                <w:highlight w:val="none"/>
              </w:rPr>
              <w:t>设计计算书、满足招标和施工使用的技术条款、</w:t>
            </w:r>
            <w:r>
              <w:rPr>
                <w:rFonts w:ascii="宋体" w:hAnsi="宋体" w:cs="宋体"/>
                <w:kern w:val="0"/>
                <w:szCs w:val="21"/>
                <w:highlight w:val="none"/>
              </w:rPr>
              <w:t>工程预算</w:t>
            </w:r>
            <w:r>
              <w:rPr>
                <w:rFonts w:hint="eastAsia" w:ascii="宋体" w:hAnsi="宋体" w:cs="宋体"/>
                <w:kern w:val="0"/>
                <w:szCs w:val="21"/>
                <w:highlight w:val="none"/>
              </w:rPr>
              <w:t>书</w:t>
            </w:r>
            <w:r>
              <w:rPr>
                <w:rFonts w:ascii="宋体" w:hAnsi="宋体" w:cs="宋体"/>
                <w:kern w:val="0"/>
                <w:szCs w:val="21"/>
                <w:highlight w:val="none"/>
              </w:rPr>
              <w:t>、工程量清单</w:t>
            </w:r>
            <w:r>
              <w:rPr>
                <w:rFonts w:hint="eastAsia" w:ascii="宋体" w:hAnsi="宋体" w:cs="宋体"/>
                <w:kern w:val="0"/>
                <w:szCs w:val="21"/>
                <w:highlight w:val="none"/>
              </w:rPr>
              <w:t>，关键分部分项工程施工技术要求等），其深度应满足施工要求</w:t>
            </w:r>
          </w:p>
        </w:tc>
        <w:tc>
          <w:tcPr>
            <w:tcW w:w="1244"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按发包人要求及工程进度需要</w:t>
            </w:r>
          </w:p>
        </w:tc>
        <w:tc>
          <w:tcPr>
            <w:tcW w:w="968" w:type="dxa"/>
            <w:vAlign w:val="center"/>
          </w:tcPr>
          <w:p>
            <w:pPr>
              <w:spacing w:line="360" w:lineRule="auto"/>
              <w:jc w:val="center"/>
              <w:rPr>
                <w:rFonts w:ascii="宋体" w:hAnsi="宋体"/>
                <w:szCs w:val="21"/>
                <w:highlight w:val="none"/>
              </w:rPr>
            </w:pPr>
            <w:r>
              <w:rPr>
                <w:rFonts w:hint="eastAsia" w:ascii="宋体" w:hAnsi="宋体"/>
                <w:szCs w:val="21"/>
                <w:highlight w:val="none"/>
              </w:rPr>
              <w:t>15</w:t>
            </w:r>
          </w:p>
        </w:tc>
        <w:tc>
          <w:tcPr>
            <w:tcW w:w="1354" w:type="dxa"/>
            <w:vAlign w:val="center"/>
          </w:tcPr>
          <w:p>
            <w:pPr>
              <w:spacing w:line="360" w:lineRule="auto"/>
              <w:jc w:val="center"/>
              <w:rPr>
                <w:rFonts w:ascii="宋体" w:hAnsi="宋体"/>
                <w:szCs w:val="21"/>
                <w:highlight w:val="none"/>
              </w:rPr>
            </w:pPr>
            <w:r>
              <w:rPr>
                <w:rFonts w:hint="eastAsia" w:ascii="宋体" w:hAnsi="宋体"/>
                <w:szCs w:val="21"/>
                <w:highlight w:val="none"/>
              </w:rPr>
              <w:t>可根据施工需要分批提供，还应提供可编辑的电子版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9"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2</w:t>
            </w:r>
          </w:p>
        </w:tc>
        <w:tc>
          <w:tcPr>
            <w:tcW w:w="853"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现场服务阶段</w:t>
            </w:r>
          </w:p>
        </w:tc>
        <w:tc>
          <w:tcPr>
            <w:tcW w:w="4158" w:type="dxa"/>
            <w:vAlign w:val="center"/>
          </w:tcPr>
          <w:p>
            <w:pPr>
              <w:widowControl/>
              <w:spacing w:line="360" w:lineRule="auto"/>
              <w:rPr>
                <w:rFonts w:ascii="宋体" w:hAnsi="宋体" w:cs="宋体"/>
                <w:kern w:val="0"/>
                <w:szCs w:val="21"/>
                <w:highlight w:val="none"/>
              </w:rPr>
            </w:pPr>
            <w:r>
              <w:rPr>
                <w:rFonts w:hint="eastAsia" w:ascii="宋体" w:hAnsi="宋体" w:cs="宋体"/>
                <w:kern w:val="0"/>
                <w:szCs w:val="21"/>
                <w:highlight w:val="none"/>
              </w:rPr>
              <w:t>设计变更图纸（设计变更同时提供工程量对比清单，重大设计变更应同时提交概算及计算书）</w:t>
            </w:r>
          </w:p>
        </w:tc>
        <w:tc>
          <w:tcPr>
            <w:tcW w:w="1244" w:type="dxa"/>
            <w:vAlign w:val="center"/>
          </w:tcPr>
          <w:p>
            <w:pPr>
              <w:spacing w:line="360" w:lineRule="auto"/>
              <w:jc w:val="center"/>
              <w:rPr>
                <w:rFonts w:ascii="宋体" w:hAnsi="宋体" w:cs="宋体"/>
                <w:kern w:val="0"/>
                <w:szCs w:val="21"/>
                <w:highlight w:val="none"/>
              </w:rPr>
            </w:pPr>
            <w:r>
              <w:rPr>
                <w:rFonts w:hint="eastAsia" w:ascii="宋体" w:hAnsi="宋体" w:cs="宋体"/>
                <w:kern w:val="0"/>
                <w:szCs w:val="21"/>
                <w:highlight w:val="none"/>
              </w:rPr>
              <w:t>按发包人要求</w:t>
            </w:r>
          </w:p>
        </w:tc>
        <w:tc>
          <w:tcPr>
            <w:tcW w:w="968" w:type="dxa"/>
            <w:vAlign w:val="center"/>
          </w:tcPr>
          <w:p>
            <w:pPr>
              <w:spacing w:line="360" w:lineRule="auto"/>
              <w:jc w:val="center"/>
              <w:rPr>
                <w:rFonts w:ascii="宋体" w:hAnsi="宋体" w:cs="宋体"/>
                <w:kern w:val="0"/>
                <w:szCs w:val="21"/>
                <w:highlight w:val="none"/>
              </w:rPr>
            </w:pPr>
            <w:r>
              <w:rPr>
                <w:rFonts w:hint="eastAsia" w:ascii="宋体" w:hAnsi="宋体" w:cs="宋体"/>
                <w:kern w:val="0"/>
                <w:szCs w:val="21"/>
                <w:highlight w:val="none"/>
              </w:rPr>
              <w:t>10</w:t>
            </w:r>
          </w:p>
        </w:tc>
        <w:tc>
          <w:tcPr>
            <w:tcW w:w="1354" w:type="dxa"/>
            <w:vAlign w:val="center"/>
          </w:tcPr>
          <w:p>
            <w:pPr>
              <w:spacing w:line="360" w:lineRule="auto"/>
              <w:jc w:val="center"/>
              <w:rPr>
                <w:rFonts w:ascii="宋体" w:hAnsi="宋体" w:cs="宋体"/>
                <w:kern w:val="0"/>
                <w:szCs w:val="21"/>
                <w:highlight w:val="none"/>
              </w:rPr>
            </w:pPr>
            <w:r>
              <w:rPr>
                <w:rFonts w:hint="eastAsia" w:ascii="宋体" w:hAnsi="宋体" w:cs="宋体"/>
                <w:szCs w:val="21"/>
                <w:highlight w:val="none"/>
              </w:rPr>
              <w:t>含可编辑的电子版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9"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53"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竣工</w:t>
            </w:r>
          </w:p>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验收</w:t>
            </w:r>
          </w:p>
        </w:tc>
        <w:tc>
          <w:tcPr>
            <w:tcW w:w="4158" w:type="dxa"/>
            <w:vAlign w:val="center"/>
          </w:tcPr>
          <w:p>
            <w:pPr>
              <w:widowControl/>
              <w:spacing w:line="360" w:lineRule="auto"/>
              <w:rPr>
                <w:rFonts w:ascii="宋体" w:hAnsi="宋体" w:cs="宋体"/>
                <w:kern w:val="0"/>
                <w:szCs w:val="21"/>
                <w:highlight w:val="none"/>
              </w:rPr>
            </w:pPr>
            <w:r>
              <w:rPr>
                <w:rFonts w:hint="eastAsia" w:ascii="宋体" w:hAnsi="宋体" w:cs="宋体"/>
                <w:kern w:val="0"/>
                <w:szCs w:val="21"/>
                <w:highlight w:val="none"/>
              </w:rPr>
              <w:t>竣工图</w:t>
            </w:r>
          </w:p>
        </w:tc>
        <w:tc>
          <w:tcPr>
            <w:tcW w:w="1244" w:type="dxa"/>
            <w:vAlign w:val="center"/>
          </w:tcPr>
          <w:p>
            <w:pPr>
              <w:spacing w:line="360" w:lineRule="auto"/>
              <w:jc w:val="center"/>
              <w:rPr>
                <w:rFonts w:ascii="宋体" w:hAnsi="宋体" w:cs="宋体"/>
                <w:kern w:val="0"/>
                <w:szCs w:val="21"/>
                <w:highlight w:val="none"/>
              </w:rPr>
            </w:pPr>
            <w:r>
              <w:rPr>
                <w:rFonts w:hint="eastAsia" w:ascii="宋体" w:hAnsi="宋体" w:cs="宋体"/>
                <w:kern w:val="0"/>
                <w:szCs w:val="21"/>
                <w:highlight w:val="none"/>
              </w:rPr>
              <w:t>按发包人要求</w:t>
            </w:r>
          </w:p>
        </w:tc>
        <w:tc>
          <w:tcPr>
            <w:tcW w:w="968" w:type="dxa"/>
            <w:vAlign w:val="center"/>
          </w:tcPr>
          <w:p>
            <w:pPr>
              <w:spacing w:line="360" w:lineRule="auto"/>
              <w:jc w:val="center"/>
              <w:rPr>
                <w:rFonts w:ascii="宋体" w:hAnsi="宋体" w:cs="宋体"/>
                <w:kern w:val="0"/>
                <w:szCs w:val="21"/>
                <w:highlight w:val="none"/>
              </w:rPr>
            </w:pPr>
            <w:r>
              <w:rPr>
                <w:rFonts w:hint="eastAsia" w:ascii="宋体" w:hAnsi="宋体" w:cs="宋体"/>
                <w:kern w:val="0"/>
                <w:szCs w:val="21"/>
                <w:highlight w:val="none"/>
              </w:rPr>
              <w:t>10</w:t>
            </w:r>
          </w:p>
        </w:tc>
        <w:tc>
          <w:tcPr>
            <w:tcW w:w="1354" w:type="dxa"/>
            <w:vAlign w:val="center"/>
          </w:tcPr>
          <w:p>
            <w:pPr>
              <w:spacing w:line="360" w:lineRule="auto"/>
              <w:jc w:val="center"/>
              <w:rPr>
                <w:rFonts w:ascii="宋体" w:hAnsi="宋体" w:cs="宋体"/>
                <w:kern w:val="0"/>
                <w:szCs w:val="21"/>
                <w:highlight w:val="none"/>
              </w:rPr>
            </w:pPr>
            <w:r>
              <w:rPr>
                <w:rFonts w:hint="eastAsia" w:ascii="宋体" w:hAnsi="宋体" w:cs="宋体"/>
                <w:szCs w:val="21"/>
                <w:highlight w:val="none"/>
              </w:rPr>
              <w:t>含可编辑的电子版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9"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53"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其他</w:t>
            </w:r>
          </w:p>
        </w:tc>
        <w:tc>
          <w:tcPr>
            <w:tcW w:w="4158" w:type="dxa"/>
            <w:vAlign w:val="center"/>
          </w:tcPr>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1、提供满足甲方要求的若干效果图，供方案说明或宣传使用；</w:t>
            </w:r>
          </w:p>
          <w:p>
            <w:pPr>
              <w:widowControl/>
              <w:spacing w:line="360" w:lineRule="auto"/>
              <w:jc w:val="left"/>
              <w:rPr>
                <w:rFonts w:ascii="宋体" w:hAnsi="宋体" w:cs="宋体"/>
                <w:kern w:val="0"/>
                <w:szCs w:val="21"/>
                <w:highlight w:val="none"/>
              </w:rPr>
            </w:pPr>
            <w:r>
              <w:rPr>
                <w:rFonts w:hint="eastAsia" w:ascii="宋体" w:hAnsi="宋体" w:cs="宋体"/>
                <w:kern w:val="0"/>
                <w:szCs w:val="21"/>
                <w:highlight w:val="none"/>
              </w:rPr>
              <w:t>2、其他设计文件</w:t>
            </w:r>
          </w:p>
        </w:tc>
        <w:tc>
          <w:tcPr>
            <w:tcW w:w="1244"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按发包人要求及工程进度需要</w:t>
            </w:r>
          </w:p>
        </w:tc>
        <w:tc>
          <w:tcPr>
            <w:tcW w:w="968"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按发包人要求提交</w:t>
            </w:r>
          </w:p>
        </w:tc>
        <w:tc>
          <w:tcPr>
            <w:tcW w:w="1354" w:type="dxa"/>
            <w:vAlign w:val="center"/>
          </w:tcPr>
          <w:p>
            <w:pPr>
              <w:widowControl/>
              <w:spacing w:line="360" w:lineRule="auto"/>
              <w:jc w:val="center"/>
              <w:rPr>
                <w:rFonts w:ascii="宋体" w:hAnsi="宋体" w:cs="宋体"/>
                <w:kern w:val="0"/>
                <w:szCs w:val="21"/>
                <w:highlight w:val="none"/>
              </w:rPr>
            </w:pPr>
            <w:r>
              <w:rPr>
                <w:rFonts w:hint="eastAsia" w:ascii="宋体" w:hAnsi="宋体" w:cs="宋体"/>
                <w:kern w:val="0"/>
                <w:szCs w:val="21"/>
                <w:highlight w:val="none"/>
              </w:rPr>
              <w:t>含可编辑的电子版</w:t>
            </w:r>
          </w:p>
        </w:tc>
      </w:tr>
    </w:tbl>
    <w:p>
      <w:pPr>
        <w:autoSpaceDE w:val="0"/>
        <w:autoSpaceDN w:val="0"/>
        <w:adjustRightInd w:val="0"/>
        <w:spacing w:line="360" w:lineRule="auto"/>
        <w:ind w:firstLine="420" w:firstLineChars="200"/>
        <w:jc w:val="left"/>
        <w:rPr>
          <w:rFonts w:ascii="宋体" w:hAnsi="宋体"/>
          <w:snapToGrid w:val="0"/>
          <w:szCs w:val="21"/>
          <w:highlight w:val="none"/>
        </w:rPr>
      </w:pPr>
      <w:r>
        <w:rPr>
          <w:rFonts w:hint="eastAsia" w:ascii="宋体" w:hAnsi="宋体"/>
          <w:snapToGrid w:val="0"/>
          <w:szCs w:val="21"/>
          <w:highlight w:val="none"/>
        </w:rPr>
        <w:t>注：1.</w:t>
      </w:r>
      <w:r>
        <w:rPr>
          <w:rFonts w:hint="eastAsia" w:ascii="宋体" w:hAnsi="宋体" w:cs="宋体"/>
          <w:kern w:val="0"/>
          <w:szCs w:val="21"/>
          <w:highlight w:val="none"/>
        </w:rPr>
        <w:t xml:space="preserve"> 成果份数可根据工作需要增加，费用已包含在投标报价中。</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 发包人提供的文件：发包人提供文件的份数及时间的约定如下：</w:t>
      </w:r>
    </w:p>
    <w:tbl>
      <w:tblPr>
        <w:tblStyle w:val="6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700"/>
        <w:gridCol w:w="2550"/>
        <w:gridCol w:w="740"/>
        <w:gridCol w:w="1749"/>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519" w:hRule="atLeast"/>
          <w:jc w:val="center"/>
        </w:trPr>
        <w:tc>
          <w:tcPr>
            <w:tcW w:w="700"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序号</w:t>
            </w:r>
          </w:p>
        </w:tc>
        <w:tc>
          <w:tcPr>
            <w:tcW w:w="2550"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资料及文件名称</w:t>
            </w:r>
          </w:p>
        </w:tc>
        <w:tc>
          <w:tcPr>
            <w:tcW w:w="740"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份数</w:t>
            </w:r>
          </w:p>
        </w:tc>
        <w:tc>
          <w:tcPr>
            <w:tcW w:w="1749"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提交日期</w:t>
            </w:r>
          </w:p>
        </w:tc>
        <w:tc>
          <w:tcPr>
            <w:tcW w:w="3399"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89" w:hRule="atLeast"/>
          <w:jc w:val="center"/>
        </w:trPr>
        <w:tc>
          <w:tcPr>
            <w:tcW w:w="700"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1</w:t>
            </w:r>
          </w:p>
        </w:tc>
        <w:tc>
          <w:tcPr>
            <w:tcW w:w="2550" w:type="dxa"/>
            <w:vAlign w:val="center"/>
          </w:tcPr>
          <w:p>
            <w:pPr>
              <w:spacing w:line="360" w:lineRule="auto"/>
              <w:contextualSpacing/>
              <w:jc w:val="center"/>
              <w:rPr>
                <w:rFonts w:ascii="宋体" w:hAnsi="宋体"/>
                <w:szCs w:val="21"/>
                <w:highlight w:val="none"/>
              </w:rPr>
            </w:pPr>
            <w:r>
              <w:rPr>
                <w:rFonts w:hint="eastAsia" w:ascii="宋体" w:hAnsi="宋体" w:cs="宋体"/>
                <w:kern w:val="0"/>
                <w:szCs w:val="21"/>
                <w:highlight w:val="none"/>
              </w:rPr>
              <w:t>前期工作相关文件</w:t>
            </w:r>
          </w:p>
        </w:tc>
        <w:tc>
          <w:tcPr>
            <w:tcW w:w="740"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1</w:t>
            </w:r>
          </w:p>
        </w:tc>
        <w:tc>
          <w:tcPr>
            <w:tcW w:w="1749"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招标时已提供</w:t>
            </w:r>
          </w:p>
        </w:tc>
        <w:tc>
          <w:tcPr>
            <w:tcW w:w="3399" w:type="dxa"/>
            <w:vAlign w:val="center"/>
          </w:tcPr>
          <w:p>
            <w:pPr>
              <w:spacing w:line="360" w:lineRule="auto"/>
              <w:contextualSpacing/>
              <w:rPr>
                <w:rFonts w:ascii="宋体" w:hAnsi="宋体"/>
                <w:szCs w:val="21"/>
                <w:highlight w:val="none"/>
              </w:rPr>
            </w:pPr>
            <w:r>
              <w:rPr>
                <w:rFonts w:hint="eastAsia" w:ascii="宋体" w:hAnsi="宋体"/>
                <w:szCs w:val="21"/>
                <w:highlight w:val="none"/>
              </w:rPr>
              <w:t>如有补充或修改，根据需要提供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96" w:hRule="atLeast"/>
          <w:jc w:val="center"/>
        </w:trPr>
        <w:tc>
          <w:tcPr>
            <w:tcW w:w="700"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2</w:t>
            </w:r>
          </w:p>
        </w:tc>
        <w:tc>
          <w:tcPr>
            <w:tcW w:w="2550"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发包人要求</w:t>
            </w:r>
          </w:p>
        </w:tc>
        <w:tc>
          <w:tcPr>
            <w:tcW w:w="740"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1</w:t>
            </w:r>
          </w:p>
        </w:tc>
        <w:tc>
          <w:tcPr>
            <w:tcW w:w="1749"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设计工作开始前</w:t>
            </w:r>
          </w:p>
        </w:tc>
        <w:tc>
          <w:tcPr>
            <w:tcW w:w="3399" w:type="dxa"/>
            <w:vAlign w:val="center"/>
          </w:tcPr>
          <w:p>
            <w:pPr>
              <w:spacing w:line="360" w:lineRule="auto"/>
              <w:contextualSpacing/>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54" w:hRule="atLeast"/>
          <w:jc w:val="center"/>
        </w:trPr>
        <w:tc>
          <w:tcPr>
            <w:tcW w:w="700"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3</w:t>
            </w:r>
          </w:p>
        </w:tc>
        <w:tc>
          <w:tcPr>
            <w:tcW w:w="2550"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勘察资料及初步设计图纸</w:t>
            </w:r>
          </w:p>
        </w:tc>
        <w:tc>
          <w:tcPr>
            <w:tcW w:w="740"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1</w:t>
            </w:r>
          </w:p>
        </w:tc>
        <w:tc>
          <w:tcPr>
            <w:tcW w:w="1749" w:type="dxa"/>
            <w:vAlign w:val="center"/>
          </w:tcPr>
          <w:p>
            <w:pPr>
              <w:spacing w:line="360" w:lineRule="auto"/>
              <w:contextualSpacing/>
              <w:jc w:val="center"/>
              <w:rPr>
                <w:rFonts w:ascii="宋体" w:hAnsi="宋体"/>
                <w:szCs w:val="21"/>
                <w:highlight w:val="none"/>
              </w:rPr>
            </w:pPr>
            <w:r>
              <w:rPr>
                <w:rFonts w:hint="eastAsia" w:ascii="宋体" w:hAnsi="宋体"/>
                <w:szCs w:val="21"/>
                <w:highlight w:val="none"/>
              </w:rPr>
              <w:t>中标后提供</w:t>
            </w:r>
          </w:p>
        </w:tc>
        <w:tc>
          <w:tcPr>
            <w:tcW w:w="3399" w:type="dxa"/>
            <w:vAlign w:val="center"/>
          </w:tcPr>
          <w:p>
            <w:pPr>
              <w:spacing w:line="360" w:lineRule="auto"/>
              <w:contextualSpacing/>
              <w:rPr>
                <w:rFonts w:ascii="宋体" w:hAnsi="宋体"/>
                <w:szCs w:val="21"/>
                <w:highlight w:val="none"/>
              </w:rPr>
            </w:pPr>
          </w:p>
        </w:tc>
      </w:tr>
    </w:tbl>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1.7 联络</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1.7.2发包人、监理人的发函和答复由承包人项目经理签收，送达地点为承包人项目经理部。如承包人拒绝签收，监理人可在签收回执上注明相关情况及原因，并由发包人现场工程师签字证明，并将函件放置于承包人项目经理部即视为送达。</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1.13 发包人要求中的错误（B）</w:t>
      </w:r>
    </w:p>
    <w:p>
      <w:pPr>
        <w:spacing w:line="360" w:lineRule="auto"/>
        <w:ind w:firstLine="420"/>
        <w:rPr>
          <w:rFonts w:ascii="宋体" w:hAnsi="宋体" w:cs="宋体"/>
          <w:szCs w:val="21"/>
          <w:highlight w:val="none"/>
        </w:rPr>
      </w:pPr>
      <w:r>
        <w:rPr>
          <w:rFonts w:hint="eastAsia" w:ascii="宋体" w:hAnsi="宋体" w:cs="宋体"/>
          <w:szCs w:val="21"/>
          <w:highlight w:val="none"/>
        </w:rPr>
        <w:t>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pPr>
        <w:spacing w:line="360" w:lineRule="auto"/>
        <w:ind w:firstLine="420"/>
        <w:rPr>
          <w:rFonts w:ascii="宋体" w:hAnsi="宋体" w:cs="宋体"/>
          <w:szCs w:val="21"/>
          <w:highlight w:val="none"/>
        </w:rPr>
      </w:pPr>
      <w:r>
        <w:rPr>
          <w:rFonts w:hint="eastAsia" w:ascii="宋体" w:hAnsi="宋体" w:cs="宋体"/>
          <w:szCs w:val="21"/>
          <w:highlight w:val="none"/>
        </w:rPr>
        <w:t>1.13.2 承包人未发现发包人要求中存在错误的，承包人自行承担由此导致的费用增加和（或） 工期延误，但专用合同条款另有约定的除外。</w:t>
      </w:r>
    </w:p>
    <w:p>
      <w:pPr>
        <w:spacing w:line="360" w:lineRule="auto"/>
        <w:ind w:left="210" w:leftChars="100" w:firstLine="420"/>
        <w:rPr>
          <w:rFonts w:ascii="宋体" w:hAnsi="宋体" w:cs="宋体"/>
          <w:szCs w:val="21"/>
          <w:highlight w:val="none"/>
          <w:u w:val="single"/>
        </w:rPr>
      </w:pPr>
      <w:r>
        <w:rPr>
          <w:rFonts w:hint="eastAsia" w:ascii="宋体" w:hAnsi="宋体" w:cs="宋体"/>
          <w:szCs w:val="21"/>
          <w:highlight w:val="none"/>
        </w:rPr>
        <w:t>1.13.3 无论承包人发现与否，在任何情况下，</w:t>
      </w:r>
      <w:r>
        <w:rPr>
          <w:rFonts w:hint="eastAsia" w:ascii="宋体" w:hAnsi="宋体" w:cs="宋体"/>
          <w:kern w:val="0"/>
          <w:szCs w:val="21"/>
          <w:highlight w:val="none"/>
        </w:rPr>
        <w:t>发包人要求中的下列错误按工程变更处理</w:t>
      </w:r>
      <w:r>
        <w:rPr>
          <w:rFonts w:hint="eastAsia" w:ascii="宋体" w:hAnsi="宋体" w:cs="宋体"/>
          <w:szCs w:val="21"/>
          <w:highlight w:val="none"/>
        </w:rPr>
        <w:t>。</w:t>
      </w:r>
    </w:p>
    <w:p>
      <w:pPr>
        <w:spacing w:line="360" w:lineRule="auto"/>
        <w:ind w:left="210" w:leftChars="100" w:firstLine="420"/>
        <w:rPr>
          <w:rFonts w:ascii="宋体" w:hAnsi="宋体" w:cs="宋体"/>
          <w:szCs w:val="21"/>
          <w:highlight w:val="none"/>
        </w:rPr>
      </w:pPr>
      <w:r>
        <w:rPr>
          <w:rFonts w:hint="eastAsia" w:ascii="宋体" w:hAnsi="宋体" w:cs="宋体"/>
          <w:szCs w:val="21"/>
          <w:highlight w:val="none"/>
        </w:rPr>
        <w:t>（1）发包人要求中引用的原始数据和资料；</w:t>
      </w:r>
    </w:p>
    <w:p>
      <w:pPr>
        <w:spacing w:line="360" w:lineRule="auto"/>
        <w:ind w:left="210" w:leftChars="100" w:firstLine="420"/>
        <w:rPr>
          <w:rFonts w:ascii="宋体" w:hAnsi="宋体" w:cs="宋体"/>
          <w:szCs w:val="21"/>
          <w:highlight w:val="none"/>
        </w:rPr>
      </w:pPr>
      <w:r>
        <w:rPr>
          <w:rFonts w:hint="eastAsia" w:ascii="宋体" w:hAnsi="宋体" w:cs="宋体"/>
          <w:szCs w:val="21"/>
          <w:highlight w:val="none"/>
        </w:rPr>
        <w:t>（2）对工程或其任何部分的功能要求；</w:t>
      </w:r>
    </w:p>
    <w:p>
      <w:pPr>
        <w:spacing w:line="360" w:lineRule="auto"/>
        <w:ind w:left="210" w:leftChars="100" w:firstLine="420"/>
        <w:rPr>
          <w:rFonts w:ascii="宋体" w:hAnsi="宋体" w:cs="宋体"/>
          <w:szCs w:val="21"/>
          <w:highlight w:val="none"/>
        </w:rPr>
      </w:pPr>
      <w:r>
        <w:rPr>
          <w:rFonts w:hint="eastAsia" w:ascii="宋体" w:hAnsi="宋体" w:cs="宋体"/>
          <w:szCs w:val="21"/>
          <w:highlight w:val="none"/>
        </w:rPr>
        <w:t>（3）对工程的工艺安排或要求；</w:t>
      </w:r>
    </w:p>
    <w:p>
      <w:pPr>
        <w:spacing w:line="360" w:lineRule="auto"/>
        <w:ind w:left="210" w:leftChars="100" w:firstLine="420"/>
        <w:rPr>
          <w:rFonts w:ascii="宋体" w:hAnsi="宋体" w:cs="宋体"/>
          <w:szCs w:val="21"/>
          <w:highlight w:val="none"/>
        </w:rPr>
      </w:pPr>
      <w:r>
        <w:rPr>
          <w:rFonts w:hint="eastAsia" w:ascii="宋体" w:hAnsi="宋体" w:cs="宋体"/>
          <w:szCs w:val="21"/>
          <w:highlight w:val="none"/>
        </w:rPr>
        <w:t>（4）试验和检验标准；</w:t>
      </w:r>
    </w:p>
    <w:p>
      <w:pPr>
        <w:spacing w:line="360" w:lineRule="auto"/>
        <w:ind w:left="210" w:leftChars="100" w:firstLine="420"/>
        <w:rPr>
          <w:rFonts w:ascii="宋体" w:hAnsi="宋体" w:cs="宋体"/>
          <w:kern w:val="0"/>
          <w:szCs w:val="21"/>
          <w:highlight w:val="none"/>
        </w:rPr>
      </w:pPr>
      <w:r>
        <w:rPr>
          <w:rFonts w:hint="eastAsia" w:ascii="宋体" w:hAnsi="宋体" w:cs="宋体"/>
          <w:szCs w:val="21"/>
          <w:highlight w:val="none"/>
        </w:rPr>
        <w:t>（5）除合同另有约定外，承包人无法核实的数据和资料。</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2．发包人义务</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2.3 提供施工场地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2.3.1 改为“发包人应在合同双方签订合同协议书后的14天内，将本合同工程的施工场地范围图提交给承包人。发包人提供的施工场地范围图应标明场地范围内永久占地与临时占地的范围和界限，如果发包人提供的施工用地不能满足承包人施工需要，承包人应自行解决其他施工临时用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2.3.2 发包人提供的施工场地范围为：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发包人提供给承包人的施工用地范围为图纸已标明范围内的土地。发包人不保证本合同工程范围内的施工用地能全部移交承包人进行施工。经发包人提出，承包人应同意将发包人书面通知因各种原因引起的不能施工区段或停止施工的内容从合同中剥离并按照第15.4结算，且承包人不得以此为由向发包人索赔。如果发包人提供的施工用地不能满足承包人施工需要，承包人应自行解决其他施工临时用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施工场地应当在监理人发出的开工通知中载明的开工日期前 14 天基本具备施工条件，发包人最迟应当在合同预定的开工日期向承包人移交部分施工场地，并根据工程的进展情况，视情况分期移交剩余施工场地给承包人，以便承包人能按进度计划进行施工，承包人应据此调整施工进度计划,因推迟移交场地并经双方共同认定耽误施工时间的，应根据实际情况相应推迟完工日期。</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2.3.3 改为“承包人应按技术标准和要求（合同技术条款）的约定，自行负责施工场地内的地上及地下,水上及水下施工障碍物进行摸查,并将摸查资料上报给发包人,承包人应保证摸查资料的真实、准确、完整。”</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2.4 办理证件和批件</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对于按规定应由发包人办理各类审批、核准或备案手续，承包人应主动提出使用时间计划并积极协助发包人协调，以便于保证项目工期。</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2.5 支付合同价款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本款双方约定为：发包人按合同约定支付合同价款，发包人无需提供支付担保。</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2.7 其他义务</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无。</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3. 监理人</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3.1 监理人的职责和权力</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3.1.1 监理人在行使下列权力前，必须得到发包人的批准</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（1）确定延长完工期限；</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（2）作出变更决定；</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（3）批准承包人更换施工负责人、设计负责人、主要设计及施工管理及技术人员。</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（4）在合同履行期间，发包人有权根据具体情况调整监理人需经发包人批准的权力范围并通知承包人。</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合同规定计算相应增加的费用，并通知承包人。</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除上述规定以外监理人具体工作职责和权力以该项目监理合同及发包人的监理工作要求为准。</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 承包人</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4.1 承包人的一般义务</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4.1.1 其他义务</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（1）承包人提交的竣工资料的内容：</w:t>
      </w:r>
      <w:r>
        <w:rPr>
          <w:rFonts w:hint="eastAsia" w:ascii="宋体" w:hAnsi="宋体" w:cs="宋体"/>
          <w:kern w:val="0"/>
          <w:szCs w:val="21"/>
          <w:highlight w:val="none"/>
          <w:u w:val="single"/>
        </w:rPr>
        <w:t>承包人应按照国家《城市建设档案管理规定》、《广州市城市建设档案管理办法》有关管理规定和发包人有关整理工程档案的管理规定及要求，在工程施工期间及时收集、汇总、整理、编制竣工档案。</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承包人需要提交的竣工资料套数及竣工资料形式要求：</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①竣工文件资料、竣工图档案（原件）各一式四份；</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②与本款（1）项内容相同的电子版档案一式二份；</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③声像档案一式二份。</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承包人提交的竣工资料的费用承担：</w:t>
      </w:r>
      <w:r>
        <w:rPr>
          <w:rFonts w:hint="eastAsia" w:ascii="宋体" w:hAnsi="宋体" w:cs="宋体"/>
          <w:kern w:val="0"/>
          <w:szCs w:val="21"/>
          <w:highlight w:val="none"/>
          <w:u w:val="single"/>
        </w:rPr>
        <w:t>承包人承担</w:t>
      </w:r>
      <w:r>
        <w:rPr>
          <w:rFonts w:hint="eastAsia" w:ascii="宋体" w:hAnsi="宋体" w:cs="宋体"/>
          <w:kern w:val="0"/>
          <w:szCs w:val="21"/>
          <w:highlight w:val="none"/>
        </w:rPr>
        <w:t>。</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承包人提交的竣工资料移交时间：</w:t>
      </w:r>
      <w:r>
        <w:rPr>
          <w:rFonts w:hint="eastAsia" w:ascii="宋体" w:hAnsi="宋体" w:cs="宋体"/>
          <w:kern w:val="0"/>
          <w:szCs w:val="21"/>
          <w:highlight w:val="none"/>
          <w:u w:val="single"/>
        </w:rPr>
        <w:t>承包人应于工程竣工验收后15天内将竣工档案提交监理人审查。经监理人审查合格后，承包人应及时将竣工档案移交给发包人归档并同时移交有关归档的证明文件。发包人应在收到经审查合格的竣工档案后10天内签署档案验收意见；不合格的，要求承包人限期补正，直至合格为止</w:t>
      </w:r>
      <w:r>
        <w:rPr>
          <w:rFonts w:hint="eastAsia" w:ascii="宋体" w:hAnsi="宋体" w:cs="宋体"/>
          <w:kern w:val="0"/>
          <w:szCs w:val="21"/>
          <w:highlight w:val="none"/>
        </w:rPr>
        <w:t>。</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电子版竣工图的编制，以发包人提供的电子版施工图为基础。承包人在移交竣工档案时，应一并移交发包人提供的电子版施工图。电子版施工图和电子版竣工图的知识产权归属发包人所有，非经发包人许可，承包人不得以任何方式复制、备份、转让和利用。否则，由此引起的任何纠纷和责任由承包人承担。</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承包人应督促其工程分包单位及时做好竣工资料整理工作，于分包工程竣工验收后25天内将全部档案资料移交给承包人，由承包人汇总、归档，并在承包人移交竣工档案时一并移交。</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承包人不按时移交竣工档案，或者移交的竣工档案不完整且在发包人规定的期限内不补充完整的，承包人承担20万元的违约金。同时，并不免除承包人完整移交竣工档案的义务。因承包人的原因致使发包人未能按照国家规定向政府有关部门移交工程竣工档案而受到经济处罚的，由承包人承担全额赔偿责任。</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（2）承包人应当按照国家及广东省、广州市的有关规定和本合同的有关约定加强其参与本工程建设人员（包括施工人员）实名制的管理，并及时发放工人工资。</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按时足额支付施工人员工资</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1）承包人应当根据劳动合同约定的施工人员工资标准等内容，按照依法签订的集体合同或劳动合同约定的日期按月支付工资，并不得低于当地最低工资标准。</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2）承包人应每月编制施工人员工资支付表，如实记录支付时间、支付对象、支付金额等工资支付情况，并于每月底在其现场管理机构办公场所显眼位置公示，接受监督。</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3）承包人应对其专业分包或劳务分包单位工资支付进行监督，督促其依法支付施工人员工资。</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贯彻落实《广州市建筑施工企业工人工资支付保证金管理办法》（穗劳社函﹝2009﹞786号）、《关于贯彻《广州市建筑施工企业工人工资支付保证金管理办法》有关具体事项的通知》（穗劳社函〔2009〕1508号）、《广州市建筑施工企业工人工资支付保证金管理办法》（穗人社发〔2014〕43号）等文件。</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承包人不按合同及有关规定按时、足额支付分包单位合同价款及施工人员工资而被投诉或上访属实的，发包人将严格按照合同约定追究其违约责任；如因此致使施工人员集体上访、集聚围阻而造成社会不良影响的，发包人可立即终止与承包人的合同，并上报省、市主管部门建议取消其参加广州地区省、市重大项目的投标资格，并予以公告。如属恶意煽动并造成社会不良影响的，发包人将提请司法部门追究其法律责任。</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由于承包人或其管理的分包单位、劳务合作单位拖欠施工人员工资，致使发包人被投诉或起诉并被判令先行垫付施工人员工资的，发包人除追究承包人和其他相关责任单位的违约责任外，还将在工程结算扣回相关款项作为补偿。</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7）承包人必须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③成立处理劳资纠纷的协调机构</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承包人必须成立处理劳资纠纷的协调机构，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pPr>
        <w:autoSpaceDE w:val="0"/>
        <w:autoSpaceDN w:val="0"/>
        <w:adjustRightIn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w:t>
      </w:r>
      <w:r>
        <w:rPr>
          <w:rFonts w:hint="eastAsia" w:ascii="宋体" w:hAnsi="宋体" w:cs="宋体"/>
          <w:bCs/>
          <w:kern w:val="0"/>
          <w:szCs w:val="21"/>
          <w:highlight w:val="none"/>
        </w:rPr>
        <w:t>对各合同段内发包人委托第三方施工的工程，凡需互相配合协作的，承包人应按发包人的指令积极予以配合和提供方便（如施工水电、施工通道、场地等），不得借故收取额外费用，水电费由使用方负责。</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承包人需配合由发包人委托的检测工作，负责按检测单位要求提供水源、电源、脚手架、场地、钻芯孔回灌封闭所需的水泥等、相关预埋件的埋设、结构实体检测后的恢复工作等准备、配合工作，所发生相关费用由承包人综合考虑，包括在合同报价中。</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本项目经过城镇居民住宅区，应充分考虑施工准备措施和施工方案，加强安全文明施工，避免扰民和发生纠纷。任何由于承包人未按照上述要求进行安全文明施工所引起的纠纷由承包人负责并保证发包人免于任何可能的指控和赔偿。</w:t>
      </w:r>
    </w:p>
    <w:p>
      <w:pPr>
        <w:autoSpaceDE w:val="0"/>
        <w:autoSpaceDN w:val="0"/>
        <w:adjustRightInd w:val="0"/>
        <w:spacing w:line="360" w:lineRule="auto"/>
        <w:ind w:firstLine="420" w:firstLineChars="200"/>
        <w:jc w:val="left"/>
        <w:rPr>
          <w:rFonts w:ascii="宋体" w:hAnsi="宋体" w:cs="宋体"/>
          <w:bCs/>
          <w:iCs/>
          <w:kern w:val="0"/>
          <w:szCs w:val="21"/>
          <w:highlight w:val="none"/>
        </w:rPr>
      </w:pPr>
      <w:r>
        <w:rPr>
          <w:rFonts w:hint="eastAsia" w:ascii="宋体" w:hAnsi="宋体" w:cs="宋体"/>
          <w:kern w:val="0"/>
          <w:szCs w:val="21"/>
          <w:highlight w:val="none"/>
        </w:rPr>
        <w:t>承包人应对上述内容所采取的保护措施进行监测及维护，并应根据监测结果及时反馈信息指导施工，以确保上述受保护物件及作业人员、居民的安全。因承包人原因，受保护物件发生损坏的，由承包人承担责任并负责赔偿。</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（6）承包人应自备足够数量的备用发电机，以满足工程施工的需要，不得以停电为理由拖延工期。</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7）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8）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相关费用包含在承包人投标价中，若承包人无法保证，则发包人可另行委托其他单位实施上述工作，相关费用从支付给承包人的工程款中扣回。</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（9）根据《广州市人力资源和社会保障局 广州市住房和城乡建设委员会广州市地方税务局 广州市安全生产监督管理局 广州市总工会关于印发广州市建筑业职工参加工伤保险实施办法的通知》（穗人社发〔2015〕73号）要求，承包人应当依法参加工伤保险，并按时、足额缴纳工伤保险费。</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根据《建设工程安全生产管理条例》、《关于印发&lt;建筑施工企业安全生产管理机构设置及专职安全生产管理人员配备办法&gt;和&lt;危险性较大工程安全专项施工方案编制及专家论证审查办法&gt;的通知》（建质[2004]213号）、《建筑施工企业安全生产管理机构设置及专职安全生产管理人员配备办法》（建质[2008]91号</w:t>
      </w:r>
      <w:r>
        <w:rPr>
          <w:rFonts w:hint="eastAsia" w:ascii="宋体" w:hAnsi="宋体"/>
          <w:sz w:val="28"/>
          <w:szCs w:val="28"/>
          <w:highlight w:val="none"/>
        </w:rPr>
        <w:t>）</w:t>
      </w:r>
      <w:r>
        <w:rPr>
          <w:rFonts w:hint="eastAsia" w:ascii="宋体" w:hAnsi="宋体" w:cs="宋体"/>
          <w:kern w:val="0"/>
          <w:szCs w:val="21"/>
          <w:highlight w:val="none"/>
        </w:rPr>
        <w:t>高大模板、深基坑支护工程等六类危险性较大工程需由承包人编制（通过其内部审批的）专项施工方案，并由承包人聘请专家进行论证评审通过后方可实施，该审查费用已包含在承包人投标价中，发包人不予以另外支付。</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由于承包人的原因，工程质量或工程进度无法满足合同要求，则在发包人发出书面警告后7天内，若承包人仍没有采取令发包人满意的措施，发包人有权要求承包人对部分工作量进行分包，交由其他承包人完成，承包人应无条件接受，否则发包人有权终止合同并没收履约担保金。承包人应无条件提供已有的临时设施（如便道、电力线路等）供分包人使用，承包人必须接受并不得为此要求增加任何费用。</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（12）承包人必须接受政府有关部门对本工程的监督，并无条件配合政府指定的审计机构的工作。</w:t>
      </w:r>
    </w:p>
    <w:p>
      <w:pPr>
        <w:spacing w:line="360" w:lineRule="auto"/>
        <w:ind w:firstLine="420" w:firstLineChars="200"/>
        <w:rPr>
          <w:rFonts w:ascii="宋体" w:hAnsi="宋体" w:cs="宋体"/>
          <w:highlight w:val="none"/>
        </w:rPr>
      </w:pPr>
      <w:r>
        <w:rPr>
          <w:rFonts w:hint="eastAsia" w:ascii="宋体" w:hAnsi="宋体" w:cs="宋体"/>
          <w:highlight w:val="none"/>
        </w:rPr>
        <w:t>（13）工程完工后，应按照合同约定提交工程完工验收申请报告和完工结算申请书文件，逾期或者不按规定提交的，发包人有权依据已有资料做出判断并报送给结算审核方，以保证结算的连续性,由此产生的费用由承包人承担。</w:t>
      </w:r>
    </w:p>
    <w:p>
      <w:pPr>
        <w:spacing w:line="360" w:lineRule="auto"/>
        <w:ind w:firstLine="420" w:firstLineChars="200"/>
        <w:rPr>
          <w:rFonts w:ascii="宋体" w:hAnsi="宋体" w:cs="宋体"/>
          <w:highlight w:val="none"/>
        </w:rPr>
      </w:pPr>
      <w:r>
        <w:rPr>
          <w:rFonts w:hint="eastAsia" w:ascii="宋体" w:hAnsi="宋体" w:cs="宋体"/>
          <w:highlight w:val="none"/>
        </w:rPr>
        <w:t>（14）配合有关部门的检查、审计等工作，包括并不限于提供工程或账务资料和说明。</w:t>
      </w:r>
    </w:p>
    <w:p>
      <w:pPr>
        <w:spacing w:line="360" w:lineRule="auto"/>
        <w:ind w:firstLine="420" w:firstLineChars="200"/>
        <w:rPr>
          <w:rFonts w:ascii="宋体" w:hAnsi="宋体" w:cs="宋体"/>
          <w:highlight w:val="none"/>
        </w:rPr>
      </w:pPr>
      <w:r>
        <w:rPr>
          <w:rFonts w:hint="eastAsia" w:ascii="宋体" w:hAnsi="宋体" w:cs="宋体"/>
          <w:highlight w:val="none"/>
        </w:rPr>
        <w:t>（15）及时进场施工</w:t>
      </w:r>
    </w:p>
    <w:p>
      <w:pPr>
        <w:spacing w:line="360" w:lineRule="auto"/>
        <w:ind w:firstLine="420" w:firstLineChars="200"/>
        <w:rPr>
          <w:rFonts w:ascii="宋体" w:hAnsi="宋体" w:cs="宋体"/>
          <w:highlight w:val="none"/>
        </w:rPr>
      </w:pPr>
      <w:r>
        <w:rPr>
          <w:rFonts w:hint="eastAsia" w:ascii="宋体" w:hAnsi="宋体" w:cs="宋体"/>
          <w:highlight w:val="none"/>
        </w:rPr>
        <w:t>承包人应在接到开工通知后3天内调遣人员和调配施工设备、材料进入工地，按施工总进度要求完成施工准备工作。</w:t>
      </w:r>
    </w:p>
    <w:p>
      <w:pPr>
        <w:spacing w:line="360" w:lineRule="auto"/>
        <w:ind w:firstLine="420" w:firstLineChars="200"/>
        <w:rPr>
          <w:rFonts w:ascii="宋体" w:hAnsi="宋体" w:cs="宋体"/>
          <w:highlight w:val="none"/>
        </w:rPr>
      </w:pPr>
      <w:r>
        <w:rPr>
          <w:rFonts w:hint="eastAsia" w:ascii="宋体" w:hAnsi="宋体" w:cs="宋体"/>
          <w:highlight w:val="none"/>
        </w:rPr>
        <w:t>（16）提交施工组织设计、施工措施计划和部分施工图纸</w:t>
      </w:r>
    </w:p>
    <w:p>
      <w:pPr>
        <w:spacing w:line="360" w:lineRule="auto"/>
        <w:ind w:firstLine="420" w:firstLineChars="200"/>
        <w:rPr>
          <w:rFonts w:ascii="宋体" w:hAnsi="宋体" w:cs="宋体"/>
          <w:highlight w:val="none"/>
        </w:rPr>
      </w:pPr>
      <w:r>
        <w:rPr>
          <w:rFonts w:hint="eastAsia" w:ascii="宋体" w:hAnsi="宋体" w:cs="宋体"/>
          <w:highlight w:val="none"/>
        </w:rPr>
        <w:t>承包人应按合同规定的内容在签订合同后5天内提交施工组织设计，在接到开工通知后7天内，按照监理人和发包人的意见修正施工组织设计、施工措施计划和由承包人负责的施工图纸，报送监理人审批，并对现场作业和施工方法的完备和可靠负全部责任。由于各类原因引起的施工方案调整，在接到相关通知后7天内，调整施工组织设计、施工措施计划和由承包人负责的施工图纸，报送监理人审批，并对现场作业和施工方法的完备和可靠负全部责任。以上资料每延期提交1天，按承包人工期延误处理，具体见第11.5条。</w:t>
      </w:r>
    </w:p>
    <w:p>
      <w:pPr>
        <w:spacing w:line="360" w:lineRule="auto"/>
        <w:ind w:firstLine="420" w:firstLineChars="200"/>
        <w:rPr>
          <w:rFonts w:ascii="宋体" w:hAnsi="宋体" w:cs="宋体"/>
          <w:highlight w:val="none"/>
        </w:rPr>
      </w:pPr>
      <w:r>
        <w:rPr>
          <w:rFonts w:hint="eastAsia" w:ascii="宋体" w:hAnsi="宋体" w:cs="宋体"/>
          <w:highlight w:val="none"/>
        </w:rPr>
        <w:t>（17）完工清场和撤离</w:t>
      </w:r>
    </w:p>
    <w:p>
      <w:pPr>
        <w:spacing w:line="360" w:lineRule="auto"/>
        <w:ind w:firstLine="420" w:firstLineChars="200"/>
        <w:rPr>
          <w:rFonts w:ascii="宋体" w:hAnsi="宋体" w:cs="宋体"/>
          <w:highlight w:val="none"/>
        </w:rPr>
      </w:pPr>
      <w:r>
        <w:rPr>
          <w:rFonts w:hint="eastAsia" w:ascii="宋体" w:hAnsi="宋体" w:cs="宋体"/>
          <w:highlight w:val="none"/>
        </w:rPr>
        <w:t>承包人应在合同规定的期限内完成工地清理并按期撤退其人员、施工设备和剩余材料。在单位工程验收前，对承包人逾期未清理的施工设备和剩余材料、余泥，发包人可委托他人进行清理，所需费用在承包人预留结算金和保修金中扣除，承包人不得提出异议。</w:t>
      </w:r>
    </w:p>
    <w:p>
      <w:pPr>
        <w:spacing w:line="360" w:lineRule="auto"/>
        <w:ind w:firstLine="420" w:firstLineChars="200"/>
        <w:rPr>
          <w:rFonts w:ascii="宋体" w:hAnsi="宋体" w:cs="宋体"/>
          <w:highlight w:val="none"/>
        </w:rPr>
      </w:pPr>
      <w:r>
        <w:rPr>
          <w:rFonts w:hint="eastAsia" w:ascii="宋体" w:hAnsi="宋体" w:cs="宋体"/>
          <w:highlight w:val="none"/>
        </w:rPr>
        <w:t>(18)配合施工清障</w:t>
      </w:r>
    </w:p>
    <w:p>
      <w:pPr>
        <w:spacing w:line="360" w:lineRule="auto"/>
        <w:ind w:firstLine="420" w:firstLineChars="200"/>
        <w:rPr>
          <w:rFonts w:ascii="宋体" w:hAnsi="宋体" w:cs="宋体"/>
          <w:highlight w:val="none"/>
        </w:rPr>
      </w:pPr>
      <w:r>
        <w:rPr>
          <w:rFonts w:hint="eastAsia" w:ascii="宋体" w:hAnsi="宋体" w:cs="宋体"/>
          <w:highlight w:val="none"/>
        </w:rPr>
        <w:t>施工期间，承包人应配合发包人进行施工用地范围内的施工清障。并根据发包人的指示合理安排或调整施工计划，由此造成的工期延误和费用增加按11.5条规定办理。用地范围内的障碍物由承包人清除（具体工作由甲方明确），费用由投标人在投标报价时考虑。</w:t>
      </w:r>
    </w:p>
    <w:p>
      <w:pPr>
        <w:spacing w:line="360" w:lineRule="auto"/>
        <w:ind w:firstLine="420" w:firstLineChars="200"/>
        <w:rPr>
          <w:rFonts w:ascii="宋体" w:hAnsi="宋体" w:cs="宋体"/>
          <w:highlight w:val="none"/>
        </w:rPr>
      </w:pPr>
      <w:r>
        <w:rPr>
          <w:rFonts w:hint="eastAsia" w:ascii="宋体" w:hAnsi="宋体" w:cs="宋体"/>
          <w:highlight w:val="none"/>
        </w:rPr>
        <w:t>（19）办理水上、水下施工许可证</w:t>
      </w:r>
    </w:p>
    <w:p>
      <w:pPr>
        <w:spacing w:line="360" w:lineRule="auto"/>
        <w:ind w:firstLine="420" w:firstLineChars="200"/>
        <w:rPr>
          <w:rFonts w:ascii="宋体" w:hAnsi="宋体" w:cs="宋体"/>
          <w:highlight w:val="none"/>
        </w:rPr>
      </w:pPr>
      <w:r>
        <w:rPr>
          <w:rFonts w:hint="eastAsia" w:ascii="宋体" w:hAnsi="宋体" w:cs="宋体"/>
          <w:highlight w:val="none"/>
        </w:rPr>
        <w:t>承包人应自行到海事、航道、海洋和其他行政管理部门办理《水上水下施工许可证》、《淤泥排放许可证》和有关其他证照，并发布航行通告。若其他部门亦要求办理有关证件，承包人亦应办理。办理证件及施工过程有关的任何费用由承包人在投标报价中考虑。</w:t>
      </w:r>
    </w:p>
    <w:p>
      <w:pPr>
        <w:spacing w:line="360" w:lineRule="auto"/>
        <w:ind w:firstLine="420" w:firstLineChars="200"/>
        <w:rPr>
          <w:rFonts w:ascii="宋体" w:hAnsi="宋体" w:cs="宋体"/>
          <w:highlight w:val="none"/>
        </w:rPr>
      </w:pPr>
      <w:r>
        <w:rPr>
          <w:rFonts w:hint="eastAsia" w:ascii="宋体" w:hAnsi="宋体" w:cs="宋体"/>
          <w:highlight w:val="none"/>
        </w:rPr>
        <w:t>（20）临时停泊设施</w:t>
      </w:r>
    </w:p>
    <w:p>
      <w:pPr>
        <w:spacing w:line="360" w:lineRule="auto"/>
        <w:ind w:firstLine="420" w:firstLineChars="200"/>
        <w:rPr>
          <w:rFonts w:ascii="宋体" w:hAnsi="宋体" w:cs="宋体"/>
          <w:highlight w:val="none"/>
        </w:rPr>
      </w:pPr>
      <w:r>
        <w:rPr>
          <w:rFonts w:hint="eastAsia" w:ascii="宋体" w:hAnsi="宋体" w:cs="宋体"/>
          <w:highlight w:val="none"/>
        </w:rPr>
        <w:t> 承包人应自行解决施工船舶的临时停泊场所、设施并做好标志，并按有关部门批准的位置和方式停放。对有关管理部门要求办理的施工期的警戒、警示、航标或夜间照明灯等工作，承包人应按其要求进行，其费用在投标总报价中考虑。</w:t>
      </w:r>
    </w:p>
    <w:p>
      <w:pPr>
        <w:spacing w:line="360" w:lineRule="auto"/>
        <w:ind w:firstLine="420" w:firstLineChars="200"/>
        <w:rPr>
          <w:rFonts w:ascii="宋体" w:hAnsi="宋体" w:cs="宋体"/>
          <w:highlight w:val="none"/>
        </w:rPr>
      </w:pPr>
      <w:r>
        <w:rPr>
          <w:rFonts w:hint="eastAsia" w:ascii="宋体" w:hAnsi="宋体" w:cs="宋体"/>
          <w:highlight w:val="none"/>
        </w:rPr>
        <w:t>（21）沉没物品处理</w:t>
      </w:r>
    </w:p>
    <w:p>
      <w:pPr>
        <w:spacing w:line="360" w:lineRule="auto"/>
        <w:ind w:firstLine="420" w:firstLineChars="200"/>
        <w:rPr>
          <w:rFonts w:ascii="宋体" w:hAnsi="宋体" w:cs="宋体"/>
          <w:highlight w:val="none"/>
        </w:rPr>
      </w:pPr>
      <w:r>
        <w:rPr>
          <w:rFonts w:hint="eastAsia" w:ascii="宋体" w:hAnsi="宋体" w:cs="宋体"/>
          <w:highlight w:val="none"/>
        </w:rPr>
        <w:t>承包人应采取一切措施，防止施工船舶、设备及材料的沉没。不论何种原因，如发生沉没时，对妨碍交通和其他部门正常作业的均应立即向有关部门和发包人报告，并按有关部门的要求自费设置保证航行安全的浮标或夜间照明信号灯。对沉没的物品，承包人应立即打捞并移走，费用由承包人向责任方索赔。</w:t>
      </w:r>
    </w:p>
    <w:p>
      <w:pPr>
        <w:spacing w:line="360" w:lineRule="auto"/>
        <w:ind w:firstLine="420" w:firstLineChars="200"/>
        <w:rPr>
          <w:rFonts w:ascii="宋体" w:hAnsi="宋体" w:cs="宋体"/>
          <w:highlight w:val="none"/>
        </w:rPr>
      </w:pPr>
      <w:r>
        <w:rPr>
          <w:rFonts w:hint="eastAsia" w:ascii="宋体" w:hAnsi="宋体" w:cs="宋体"/>
          <w:highlight w:val="none"/>
        </w:rPr>
        <w:t>（22）拆除原有建（构）筑物</w:t>
      </w:r>
    </w:p>
    <w:p>
      <w:pPr>
        <w:spacing w:line="360" w:lineRule="auto"/>
        <w:ind w:firstLine="420" w:firstLineChars="200"/>
        <w:rPr>
          <w:rFonts w:ascii="宋体" w:hAnsi="宋体" w:cs="宋体"/>
          <w:highlight w:val="none"/>
        </w:rPr>
      </w:pPr>
      <w:r>
        <w:rPr>
          <w:rFonts w:hint="eastAsia" w:ascii="宋体" w:hAnsi="宋体" w:cs="宋体"/>
          <w:highlight w:val="none"/>
        </w:rPr>
        <w:t>承包人在拆除的每一建（构）筑物前都须书面报发包人，经发包人同意后方能实施拆除。</w:t>
      </w:r>
    </w:p>
    <w:p>
      <w:pPr>
        <w:spacing w:line="360" w:lineRule="auto"/>
        <w:ind w:firstLine="420" w:firstLineChars="200"/>
        <w:rPr>
          <w:rFonts w:ascii="宋体" w:hAnsi="宋体" w:cs="宋体"/>
          <w:highlight w:val="none"/>
        </w:rPr>
      </w:pPr>
      <w:r>
        <w:rPr>
          <w:rFonts w:hint="eastAsia" w:ascii="宋体" w:hAnsi="宋体" w:cs="宋体"/>
          <w:highlight w:val="none"/>
        </w:rPr>
        <w:t>（23）工程施工过程中，如果需要借用施工沿线企、事业单位及村落的道路或场地的（指工程建设范围以外），其相关的事宜及费用由承包人自行解决。</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4.1.11 临水临电报建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承包人不得以临时用水、临时用电未接通为由延迟或拒绝施工，施工用水、用电（含临时用水、临时用电报装、停电采用的发电机等）由承包人自行解决，相关费用请承包人综合考虑，包括在</w:t>
      </w:r>
      <w:r>
        <w:rPr>
          <w:rFonts w:hint="eastAsia" w:ascii="宋体" w:hAnsi="宋体" w:cs="宋体"/>
          <w:kern w:val="0"/>
          <w:szCs w:val="21"/>
          <w:highlight w:val="none"/>
        </w:rPr>
        <w:t>承包人投标报价中</w:t>
      </w:r>
      <w:r>
        <w:rPr>
          <w:rFonts w:hint="eastAsia" w:ascii="宋体" w:hAnsi="宋体"/>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4.1.12办理开工的各项手续</w:t>
      </w:r>
    </w:p>
    <w:p>
      <w:pPr>
        <w:autoSpaceDE w:val="0"/>
        <w:autoSpaceDN w:val="0"/>
        <w:adjustRightInd w:val="0"/>
        <w:spacing w:line="360" w:lineRule="auto"/>
        <w:ind w:firstLine="420" w:firstLineChars="200"/>
        <w:jc w:val="left"/>
        <w:rPr>
          <w:rFonts w:ascii="宋体" w:hAnsi="宋体" w:cs="宋体"/>
          <w:bCs/>
          <w:iCs/>
          <w:kern w:val="0"/>
          <w:szCs w:val="21"/>
          <w:highlight w:val="none"/>
        </w:rPr>
      </w:pPr>
      <w:r>
        <w:rPr>
          <w:rFonts w:hint="eastAsia" w:ascii="宋体" w:hAnsi="宋体"/>
          <w:szCs w:val="21"/>
          <w:highlight w:val="none"/>
        </w:rPr>
        <w:t>协助建设单位办理开工的各项手续（所需费用包含在合同内），包括但不限于办理施工许可证（或临时施工复函）、专业报建报装、报监手续、排污手续、排水接驳、水质检测、扬尘排污、排水许可证等申报安装工作。</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4.2 履约担保</w:t>
      </w:r>
    </w:p>
    <w:p>
      <w:pPr>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4.2.1</w:t>
      </w:r>
      <w:r>
        <w:rPr>
          <w:rFonts w:hint="eastAsia" w:ascii="宋体" w:hAnsi="宋体" w:cs="宋体"/>
          <w:b/>
          <w:kern w:val="0"/>
          <w:szCs w:val="21"/>
          <w:highlight w:val="none"/>
        </w:rPr>
        <w:t>履约担保</w:t>
      </w:r>
      <w:r>
        <w:rPr>
          <w:rFonts w:hint="eastAsia" w:ascii="宋体" w:hAnsi="宋体" w:cs="宋体"/>
          <w:b/>
          <w:kern w:val="0"/>
          <w:szCs w:val="21"/>
          <w:highlight w:val="none"/>
        </w:rPr>
        <w:t>的格式和金额</w:t>
      </w:r>
    </w:p>
    <w:p>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按照中标合同额的10%提交（由业主单位视工程重要性、合同金额等情况确定，但不得高于中标合同额的10%）。履约担保是本合同的附件。</w:t>
      </w:r>
    </w:p>
    <w:p>
      <w:pPr>
        <w:spacing w:line="360" w:lineRule="auto"/>
        <w:ind w:firstLine="422" w:firstLineChars="200"/>
        <w:rPr>
          <w:rFonts w:ascii="宋体" w:hAnsi="宋体" w:cs="宋体"/>
          <w:bCs/>
          <w:kern w:val="0"/>
          <w:szCs w:val="21"/>
          <w:highlight w:val="none"/>
        </w:rPr>
      </w:pPr>
      <w:r>
        <w:rPr>
          <w:rFonts w:hint="eastAsia" w:ascii="宋体" w:hAnsi="宋体" w:cs="宋体"/>
          <w:b/>
          <w:kern w:val="0"/>
          <w:szCs w:val="21"/>
          <w:highlight w:val="none"/>
        </w:rPr>
        <w:t>4.2.1.1</w:t>
      </w:r>
      <w:r>
        <w:rPr>
          <w:rFonts w:hint="eastAsia" w:ascii="宋体" w:hAnsi="宋体" w:cs="宋体"/>
          <w:bCs/>
          <w:kern w:val="0"/>
          <w:szCs w:val="21"/>
          <w:highlight w:val="none"/>
        </w:rPr>
        <w:t>如果承包人以履约银行保函形式</w:t>
      </w:r>
      <w:r>
        <w:rPr>
          <w:rFonts w:hint="eastAsia" w:ascii="宋体" w:hAnsi="宋体" w:cs="宋体"/>
          <w:bCs/>
          <w:kern w:val="0"/>
          <w:szCs w:val="21"/>
          <w:highlight w:val="none"/>
        </w:rPr>
        <w:t>（不限定只能以银行保函形式提交，还包括担保保函、保证保险等形式）</w:t>
      </w:r>
      <w:r>
        <w:rPr>
          <w:rFonts w:hint="eastAsia" w:ascii="宋体" w:hAnsi="宋体" w:cs="宋体"/>
          <w:bCs/>
          <w:kern w:val="0"/>
          <w:szCs w:val="21"/>
          <w:highlight w:val="none"/>
        </w:rPr>
        <w:t>提交履约保证金的，在银行保函到期前，承包人应提前7天向发包人提交修改函，与原保函同时使用，且新提交的修改函的期限延长不得少于6个月。如承包人未及时提交的，发包人有权直接要求担保银行支付其担保的全部金额。</w:t>
      </w:r>
    </w:p>
    <w:p>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当发生违约情形而导致履约保证金被扣罚或因其他原因，而导致履约保证金余额少于剩余工程量的10%,或者少于合同总价的2%的，承包人应在收到发包人通知之日起在7天内补足，补足后的履约保证金金额应相当于剩余工程量的10%，且不得低于合同总价的2%，否则按两者较高者补足。对于未按时限要求补足的，发包人有权扣罚剩余的全部履约保证金并有权解除合同。</w:t>
      </w:r>
    </w:p>
    <w:p>
      <w:pPr>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4.2.1.2</w:t>
      </w:r>
      <w:r>
        <w:rPr>
          <w:rFonts w:hint="eastAsia" w:ascii="宋体" w:hAnsi="宋体" w:cs="宋体"/>
          <w:bCs/>
          <w:kern w:val="0"/>
          <w:szCs w:val="21"/>
          <w:highlight w:val="none"/>
        </w:rPr>
        <w:t>承包人应按时足额向雇员支付劳务工资，并不低于当地最低工资标准。对于因承包人拖欠劳务工资而造成群体性示威、游行等，造成一切不良社会影响后果的，发包人有权从承包人履约保证金或应付、将付给承包人的款项中扣除10万元/次作为违约金。发包人有权根据承包人的雇员所提供的数据直接将劳务工资支付给承包人雇员，并在应付、将付给承包人的工程款或其他款项中扣除。上述行为对发包人造成损失和（或）导致工期延误的，应赔偿发包人的损失，工期不予顺延。</w:t>
      </w:r>
    </w:p>
    <w:p>
      <w:pPr>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4.2.2履约担保的有效期</w:t>
      </w:r>
    </w:p>
    <w:p>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pPr>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4.2.3履约担保的退还</w:t>
      </w:r>
    </w:p>
    <w:p>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履约担保应在监理人向承包人颁发（出具）工程接收证书且完成工程结算之日后28天内退还给承包人。</w:t>
      </w:r>
    </w:p>
    <w:p>
      <w:pPr>
        <w:spacing w:line="360" w:lineRule="auto"/>
        <w:ind w:firstLine="420" w:firstLineChars="200"/>
        <w:rPr>
          <w:rFonts w:ascii="宋体" w:hAnsi="宋体" w:cs="宋体"/>
          <w:bCs/>
          <w:kern w:val="0"/>
          <w:szCs w:val="21"/>
          <w:highlight w:val="none"/>
        </w:rPr>
      </w:pPr>
      <w:r>
        <w:rPr>
          <w:rFonts w:hint="eastAsia" w:ascii="宋体" w:hAnsi="宋体" w:cs="宋体"/>
          <w:bCs/>
          <w:kern w:val="0"/>
          <w:szCs w:val="21"/>
          <w:highlight w:val="none"/>
        </w:rPr>
        <w:t>发包人不承担承包人与履约担保有关的任何利息或其它类似的费用或者收益。</w:t>
      </w:r>
    </w:p>
    <w:p>
      <w:pPr>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4.2.4通知义务</w:t>
      </w:r>
    </w:p>
    <w:p>
      <w:pPr>
        <w:spacing w:line="360" w:lineRule="auto"/>
        <w:ind w:firstLine="420" w:firstLineChars="200"/>
        <w:rPr>
          <w:rFonts w:ascii="宋体" w:hAnsi="宋体"/>
          <w:bCs/>
          <w:kern w:val="0"/>
          <w:szCs w:val="21"/>
          <w:highlight w:val="none"/>
        </w:rPr>
      </w:pPr>
      <w:r>
        <w:rPr>
          <w:rFonts w:hint="eastAsia" w:ascii="宋体" w:hAnsi="宋体" w:cs="宋体"/>
          <w:bCs/>
          <w:kern w:val="0"/>
          <w:szCs w:val="21"/>
          <w:highlight w:val="none"/>
        </w:rPr>
        <w:t>不管履约担保条款中如何约定，发包人根据担保条款提出索赔或兑现要求28天前，应通知承包人并说明导致此类索赔或兑现的违约性质或原因。相应地，承包人根据担保条款提出索赔或兑现要求28天前，也应通知发包人并说明导致此类索赔或兑现的违约性质或原因。但是，本项约定的通知不应理解为是在任何意义上寻求承包人或者发包人的同意。</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4.4 联合体</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补充以下内容：</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4.4.4如果联合体中标，合同签订后，联合体主办方应根据所承担的工作内容向招标人提交相关支付协议，由招标人据此向联合体主办支付相关费用。</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4.5承包人项目经理（即项目负责人，下同）</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4.5.1 项中 “并委派代表代行其职责” 删除，本工程完工验收前施工负责人不能参与其他工程项目招投标。</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4.5.2 </w:t>
      </w:r>
      <w:r>
        <w:rPr>
          <w:rFonts w:hint="eastAsia" w:ascii="宋体" w:hAnsi="宋体"/>
          <w:szCs w:val="21"/>
          <w:highlight w:val="none"/>
        </w:rPr>
        <w:t>补充以下内容</w:t>
      </w:r>
      <w:r>
        <w:rPr>
          <w:rFonts w:hint="eastAsia" w:ascii="宋体" w:hAnsi="宋体" w:cs="宋体"/>
          <w:kern w:val="0"/>
          <w:szCs w:val="21"/>
          <w:highlight w:val="none"/>
        </w:rPr>
        <w:t>：</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施工负责人应履行下列职责：</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（1）贯彻执行国家有关法律、法规、方针、政策和强制性标准，执行工程总承包企业的管理制度，严格履行工程总承包合同。</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（2）代表承包人组织实施工程项目管理，对实现合同规定的项目目标负责。</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（3）组织编制项目管理实施规划。对项目实施全过程进行策划、组织、协调和控制。</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（4）对进入现场的生产要素进行优化配置和动态管理。</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（5）建立质量管理体系和安全管理体系并组织实施。</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（6）完成合同规定应达到的项目安全目标、质量目标、进度目标等任务。</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（7）在授权范围内负责与发包人、监理人、分包人及其他各协作单位的协调，解决项目中出现的问题。</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（8）进行现场文明施工管理,发现和处理突发事件。</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（9）参与工程完工验收,准备结算资料和分析总结。</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（10）负责组织处理项目的管理收尾和合同收尾工作。</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（11）协助企业进行项目的检查，鉴定和评奖申报。</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按发包人认可的施工组织设计（施工方案）和工程师依据合同发出的指令组织施工。在情况紧急且无法与工程师联系时，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4.6 承包人人员的管理</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4.6.1 </w:t>
      </w:r>
      <w:r>
        <w:rPr>
          <w:rFonts w:hint="eastAsia" w:ascii="宋体" w:hAnsi="宋体"/>
          <w:szCs w:val="21"/>
          <w:highlight w:val="none"/>
        </w:rPr>
        <w:t>补充以下内容</w:t>
      </w:r>
      <w:r>
        <w:rPr>
          <w:rFonts w:hint="eastAsia" w:ascii="宋体" w:hAnsi="宋体" w:cs="宋体"/>
          <w:kern w:val="0"/>
          <w:szCs w:val="21"/>
          <w:highlight w:val="none"/>
        </w:rPr>
        <w:t>：承包人人员在项目实施前必须全部到位且与投标文件承诺一致，并接受总监理工程师和发包人代表的查验。承包人委派的现场施工管理人员不得有兼职情况存在，并需接受监理人的监督。承包人人员</w:t>
      </w:r>
      <w:r>
        <w:rPr>
          <w:rFonts w:hint="eastAsia" w:ascii="宋体" w:hAnsi="宋体"/>
          <w:szCs w:val="21"/>
          <w:highlight w:val="none"/>
        </w:rPr>
        <w:t>确须变更的，应符合《广东省住房和城乡建设厅关于建设工程项目招标中标后监督检查的办法》第九条规定，且须经招标人同意、水行政主管部门批准后方可变更。</w:t>
      </w:r>
    </w:p>
    <w:p>
      <w:pPr>
        <w:pStyle w:val="33"/>
        <w:spacing w:line="360" w:lineRule="auto"/>
        <w:ind w:firstLine="420"/>
        <w:rPr>
          <w:rFonts w:hAnsi="宋体" w:cs="宋体"/>
          <w:sz w:val="21"/>
          <w:szCs w:val="21"/>
          <w:highlight w:val="none"/>
        </w:rPr>
      </w:pPr>
      <w:r>
        <w:rPr>
          <w:rFonts w:hint="eastAsia" w:hAnsi="宋体" w:cs="宋体"/>
          <w:sz w:val="21"/>
          <w:szCs w:val="21"/>
          <w:highlight w:val="none"/>
        </w:rPr>
        <w:t>4.6.5 “3天”改为“2天”，并</w:t>
      </w:r>
      <w:r>
        <w:rPr>
          <w:rFonts w:hint="eastAsia" w:hAnsi="宋体"/>
          <w:sz w:val="21"/>
          <w:szCs w:val="21"/>
          <w:highlight w:val="none"/>
        </w:rPr>
        <w:t>补充以下内容</w:t>
      </w:r>
      <w:r>
        <w:rPr>
          <w:rFonts w:hint="eastAsia" w:hAnsi="宋体" w:cs="宋体"/>
          <w:sz w:val="21"/>
          <w:szCs w:val="21"/>
          <w:highlight w:val="none"/>
        </w:rPr>
        <w:t>：</w:t>
      </w:r>
    </w:p>
    <w:p>
      <w:pPr>
        <w:pStyle w:val="33"/>
        <w:spacing w:line="360" w:lineRule="auto"/>
        <w:ind w:firstLine="420"/>
        <w:rPr>
          <w:rFonts w:hAnsi="宋体"/>
          <w:sz w:val="21"/>
          <w:szCs w:val="21"/>
          <w:highlight w:val="none"/>
        </w:rPr>
      </w:pPr>
      <w:r>
        <w:rPr>
          <w:rFonts w:hint="eastAsia" w:hAnsi="宋体"/>
          <w:sz w:val="21"/>
          <w:szCs w:val="21"/>
          <w:highlight w:val="none"/>
        </w:rPr>
        <w:t>（1）施工负责人及其他关键人员应长驻工地，并配胸卡、戴安全帽上岗，每月驻工地时间不得少于22天。未经发包人批准同意擅自更换施工负责人的，发包人有权按本合同专用条款第22条的约定对承包人进行处罚。如特殊原因需要更换项目负责人、技术负责人、设计负责人、施工负责人的，由承包人向发包人提出申请，发包人同意后方可更换，承包人需承担违约金100000元/次。接任的承包人代表的资质、资历与工程经验应等于或高于前任代表，且应继续行使合同规定的前任承包人代表的职权和履行相应的义务。</w:t>
      </w:r>
    </w:p>
    <w:p>
      <w:pPr>
        <w:pStyle w:val="33"/>
        <w:spacing w:line="360" w:lineRule="auto"/>
        <w:ind w:firstLine="472" w:firstLineChars="225"/>
        <w:rPr>
          <w:rFonts w:hAnsi="宋体"/>
          <w:sz w:val="21"/>
          <w:szCs w:val="21"/>
          <w:highlight w:val="none"/>
        </w:rPr>
      </w:pPr>
      <w:r>
        <w:rPr>
          <w:rFonts w:hint="eastAsia" w:hAnsi="宋体"/>
          <w:sz w:val="21"/>
          <w:szCs w:val="21"/>
          <w:highlight w:val="none"/>
        </w:rPr>
        <w:t>（2）技术负责人应有类似于本工程的施工经历，未经发包人批准同意擅自更换技术负责人，发包人有权按本合同专用条款第22条的约定对承包人进行处罚。未经发包人批准同意擅自更换其他施工管理人员的，发包人有权按本合同专用条款第22条的约定对承包人进行处罚。</w:t>
      </w:r>
    </w:p>
    <w:p>
      <w:pPr>
        <w:pStyle w:val="33"/>
        <w:spacing w:line="360" w:lineRule="auto"/>
        <w:ind w:firstLine="472" w:firstLineChars="225"/>
        <w:rPr>
          <w:rFonts w:hAnsi="宋体"/>
          <w:sz w:val="21"/>
          <w:szCs w:val="21"/>
          <w:highlight w:val="none"/>
        </w:rPr>
      </w:pPr>
      <w:r>
        <w:rPr>
          <w:rFonts w:hint="eastAsia" w:hAnsi="宋体"/>
          <w:sz w:val="21"/>
          <w:szCs w:val="21"/>
          <w:highlight w:val="none"/>
        </w:rPr>
        <w:t>（3）设计负责人应有类似于本工程的设计经历，同时必须是投标时承诺的人员。未经发包人批准同意擅自更换设计负责人，发包人有权按本合同专用条款第22条的约定对承包人进行处罚。</w:t>
      </w:r>
    </w:p>
    <w:p>
      <w:pPr>
        <w:pStyle w:val="33"/>
        <w:spacing w:line="360" w:lineRule="auto"/>
        <w:ind w:firstLine="472" w:firstLineChars="225"/>
        <w:rPr>
          <w:rFonts w:hAnsi="宋体"/>
          <w:sz w:val="21"/>
          <w:szCs w:val="21"/>
          <w:highlight w:val="none"/>
        </w:rPr>
      </w:pPr>
      <w:r>
        <w:rPr>
          <w:rFonts w:hint="eastAsia" w:hAnsi="宋体"/>
          <w:sz w:val="21"/>
          <w:szCs w:val="21"/>
          <w:highlight w:val="none"/>
        </w:rPr>
        <w:t>（4）施工负责人等投标承诺关键人员必须长驻工地现场。关键人员短期离开工地时应委托其他有资质的人员代行其职，离岗两天以内的，需书面向现场监理请假；离岗两天及以上的，需书面向总监请假，并经发包人书面批准。违者承包人承担每人每天10000元违约金。未经批准离岗的情况以监理人和发包人共同出具的书面确认为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5）按照承包人投标书或月（半月）进度计划承诺用于本工程的施工人员，以不影响施工进度及质量为原则按承诺的人员及时进场，若未经监理人同意而擅自减少、调离施工人员并经监理人书面通知后1天内仍未到位的</w:t>
      </w:r>
      <w:r>
        <w:rPr>
          <w:rFonts w:hint="eastAsia" w:ascii="宋体" w:hAnsi="宋体" w:cs="宋体"/>
          <w:szCs w:val="21"/>
          <w:highlight w:val="none"/>
        </w:rPr>
        <w:t>，</w:t>
      </w:r>
      <w:r>
        <w:rPr>
          <w:rFonts w:hint="eastAsia" w:ascii="宋体" w:hAnsi="宋体"/>
          <w:szCs w:val="21"/>
          <w:highlight w:val="none"/>
        </w:rPr>
        <w:t>发包人有权按本合同专用条款第22条的约定对承包人进行处罚</w:t>
      </w:r>
      <w:r>
        <w:rPr>
          <w:rFonts w:hint="eastAsia" w:ascii="宋体" w:hAnsi="宋体" w:cs="宋体"/>
          <w:szCs w:val="21"/>
          <w:highlight w:val="none"/>
        </w:rPr>
        <w:t>，</w:t>
      </w:r>
      <w:r>
        <w:rPr>
          <w:rFonts w:hint="eastAsia" w:ascii="宋体" w:hAnsi="宋体"/>
          <w:szCs w:val="21"/>
          <w:highlight w:val="none"/>
        </w:rPr>
        <w:t>同时承担因此对发包人造成的工期延误和经济损失。</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（6）上述违约金由发包人在承包人当期的工程进度款中扣除。</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4.7 撤换承包人项目经理（施工负责人）和其他人员</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补充以下内容：发包人要求承包人撤换不合格人员，承包人必须立即执行。如果发包人的撤换通知下达5天后，承包人仍拒不执行，则视为该部门负责人空缺，承包人需按本合同的约定承担违约责任。</w:t>
      </w:r>
      <w:r>
        <w:rPr>
          <w:rFonts w:hint="eastAsia" w:ascii="宋体" w:hAnsi="宋体"/>
          <w:highlight w:val="none"/>
        </w:rPr>
        <w:t>发包人可对不满足项目建设要求的施工班组、分包单位等具有否决权，承包人在收到我办否决指令后必须无条件执行，并在7日内完成施工班组、分包单位的撤场与更换，由此引起的工期延误由中标单位承担，承包人无理由拒不执行的，发包人有权单方面解除合同，并有权书面通知承包人或者在相关网站上公示并抄送行政监督部门，拒绝承包人参与以后发包人所负责的工程投标资格。</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4.8 保障承包人人员的合法权益</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4.8.1 补充以下内容：</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（1）承包人应当根据劳动合同约定的工人工资标准等内容，按照依法签订的集体合同或劳动合同约定的日期按月支付工资，并不得低于当地最低工资标准。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（2）承包人支付工人工资应编制工资支付表，如实记录支付表，支付时间、支付对象、支付数额等工资支付情况，并保存备查。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（3）承包人应对其专业分包或劳务分包单位工资支付进行监督，督促其依法支付工人工资。</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（4）承包人应按上述要求及国家、地方有关规定按时支付工人工资，否则，视为违约，承担相应违约责任。</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4.12 进度计划</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4.12.1 合同进度计划</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（1）进度计划的提交时间约定：</w:t>
      </w:r>
      <w:r>
        <w:rPr>
          <w:rFonts w:hint="eastAsia" w:ascii="宋体" w:hAnsi="宋体"/>
          <w:szCs w:val="21"/>
          <w:highlight w:val="none"/>
        </w:rPr>
        <w:t>接到开始工作通知后7天内</w:t>
      </w:r>
      <w:r>
        <w:rPr>
          <w:rFonts w:hint="eastAsia" w:ascii="宋体" w:hAnsi="宋体" w:cs="宋体"/>
          <w:kern w:val="0"/>
          <w:szCs w:val="21"/>
          <w:highlight w:val="none"/>
        </w:rPr>
        <w:t>；</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（2）监理人批复合同进度计划时间的约定：监理人应在收到承包人提交的完整合同计划后10日内批复或提出修改意见。</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（3）承包人在监理人发出进场通知后3天内将施工组织设计报送监理人审批。承包人提交的施工组织设计应当载明如下内容（包括但不限于）：</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1）各分部分项工程的完整的施工方案；</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2）施工资源投入计划，包括：机械设备进场计划、工程材料和物料进场计划、施工人员进场计划等；</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3）季节性施工措施；</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4）保证工期、质量的措施；</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5）保证安全生产，文明施工，减少扰民降低环境污染和噪音的措施；</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6）妥善处理与相邻施工地作业现场关系的措施；</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7）其他与工程施工有关的管理方案、措施。</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8）承包人编制的工程进度计划内容应全面详实，且应针对全部或分项施工作业和特点提出施工方法、施工穿插顺序及时间安排，并在各节点位置标注相应的工程量、资金使用计划、人机组织及材料消耗量。</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9）保证执行施工组织设计中所承诺的资源投入计划，将工程施工所需的机械设备、人员、材料等资源，根据工程进度计划按时、按标准、足额投入。</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各分项工程开工前，承包人必须在施工组织设计中编制资源投入计划，报总监理工程师和发包人批准后实施。特别是施工所需的机械设备（包括自有和租赁），应与投标文件填报的品牌、数量、质量、规格、性能相符且具备正常施工功能，并配有明显的承包人单位标志，且为合法使用设备（如年检证、使用证等），便于发包人检查承包人施工设备投入情况。</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TimesNewRomanPSMT"/>
          <w:kern w:val="0"/>
          <w:szCs w:val="21"/>
          <w:highlight w:val="none"/>
        </w:rPr>
        <w:t xml:space="preserve">4.12.2 </w:t>
      </w:r>
      <w:r>
        <w:rPr>
          <w:rFonts w:hint="eastAsia" w:ascii="宋体" w:hAnsi="宋体" w:cs="宋体"/>
          <w:kern w:val="0"/>
          <w:szCs w:val="21"/>
          <w:highlight w:val="none"/>
        </w:rPr>
        <w:t>合同进度计划的修订</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（1）承包人提交合同进度计划的修订报告的时间约定：在承包人能够预计可能会实际进度计划不符后的7日内或实际已经不符的3日内提出。</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（2）监理人批复合同进度计划修订报告时间的约定：监理人应在收到承包人提交的完整合同计划修订报告后5日内批复或提出修改意见。</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5. 设计</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5.1 承包人的设计义务</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5.1.1 补充以下内容：</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（1）在项目实施过程中，如果发包人或政府主管部门提出修改设计的要求，承包人应无条件进行优化设计、变更设计等，直至满足要求。</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增加5.3.4以下内容：</w:t>
      </w:r>
    </w:p>
    <w:p>
      <w:pPr>
        <w:autoSpaceDE w:val="0"/>
        <w:autoSpaceDN w:val="0"/>
        <w:adjustRightIn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5.3.4设计文件需包括施工总平面图、项目驻地设计等内容。</w:t>
      </w:r>
    </w:p>
    <w:p>
      <w:pPr>
        <w:autoSpaceDE w:val="0"/>
        <w:autoSpaceDN w:val="0"/>
        <w:adjustRightInd w:val="0"/>
        <w:spacing w:line="360" w:lineRule="auto"/>
        <w:jc w:val="left"/>
        <w:rPr>
          <w:rFonts w:ascii="宋体" w:hAnsi="宋体" w:cs="宋体"/>
          <w:b/>
          <w:kern w:val="0"/>
          <w:szCs w:val="21"/>
          <w:highlight w:val="none"/>
        </w:rPr>
      </w:pPr>
      <w:r>
        <w:rPr>
          <w:rFonts w:hint="eastAsia" w:ascii="宋体" w:hAnsi="宋体" w:cs="宋体"/>
          <w:b/>
          <w:szCs w:val="21"/>
          <w:highlight w:val="none"/>
        </w:rPr>
        <w:t>本条增加5.8、5.9、5.10、5.11、5.12、5.13、5.14、5.15、5.16款以下内容：</w:t>
      </w:r>
    </w:p>
    <w:p>
      <w:pPr>
        <w:autoSpaceDE w:val="0"/>
        <w:autoSpaceDN w:val="0"/>
        <w:adjustRightInd w:val="0"/>
        <w:spacing w:line="360" w:lineRule="auto"/>
        <w:ind w:firstLine="316" w:firstLineChars="150"/>
        <w:jc w:val="left"/>
        <w:rPr>
          <w:rFonts w:ascii="宋体" w:hAnsi="宋体" w:cs="宋体"/>
          <w:b/>
          <w:kern w:val="0"/>
          <w:szCs w:val="21"/>
          <w:highlight w:val="none"/>
        </w:rPr>
      </w:pPr>
      <w:r>
        <w:rPr>
          <w:rFonts w:hint="eastAsia" w:ascii="宋体" w:hAnsi="宋体" w:cs="宋体"/>
          <w:b/>
          <w:kern w:val="0"/>
          <w:szCs w:val="21"/>
          <w:highlight w:val="none"/>
        </w:rPr>
        <w:t>5.8 工程设计要求</w:t>
      </w:r>
    </w:p>
    <w:p>
      <w:pPr>
        <w:autoSpaceDE w:val="0"/>
        <w:autoSpaceDN w:val="0"/>
        <w:adjustRightInd w:val="0"/>
        <w:spacing w:line="360" w:lineRule="auto"/>
        <w:ind w:firstLine="316" w:firstLineChars="150"/>
        <w:jc w:val="left"/>
        <w:rPr>
          <w:rFonts w:ascii="宋体" w:hAnsi="宋体"/>
          <w:snapToGrid w:val="0"/>
          <w:kern w:val="0"/>
          <w:szCs w:val="21"/>
          <w:highlight w:val="none"/>
        </w:rPr>
      </w:pPr>
      <w:r>
        <w:rPr>
          <w:rFonts w:hint="eastAsia" w:ascii="宋体" w:hAnsi="宋体"/>
          <w:b/>
          <w:snapToGrid w:val="0"/>
          <w:kern w:val="0"/>
          <w:szCs w:val="21"/>
          <w:highlight w:val="none"/>
        </w:rPr>
        <w:t>5.8.1工程设计的总体要求</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（2）承包人应在设计成果文件中明确列出本工程设计涉及到的详细的设计规范、规定及标准（名称、编号与版本）。</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（3）承包人应认真贯彻执行ISO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4）承包人应在接到《中标通知书》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5）如在项目运作中遇国家或地区颁布新的标准、规定和依据，按新标准、规定和依据执行。如果执行新标准、规定和依据导致承包人义务增加、工作量或费用增加，发包人应根据实际情况，支付相应费用，使承包人不因执行新标准、规定和依据而遭受损失,双方另行签订补充协议。设计中如遇国家和地区无相应规范、标准和依据的，由承包人提出建议，由发包人报送有关主管部门审查确认或解释所采用的标准、规定和依据。</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（6）承包人根据本合同约定进行设计、资料管理、技术管理、现场配合等工作时，必须同时遵守发包人的相关设计、技术、图文、图档、工程的各项管理办法、规定和细则。</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（7）承包人应积极配合各项审批、施工图审查单位、发包人的审核、施工图强制审查及图纸会审，对审查过程中发现的设计质量问题，应及时解决并按规定出具修改图纸。</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8）承包人应对发包人提供的文件、资料进行认真研究，对本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（9）承包人的设计成果文件应尽可能减少施工难度，为施工创造方便合理的施工条件；应尽量减少施工对城市交通、市民生活以及水利的干扰，并尽可能减少对施工期的影响。</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10）承包人应确保其提交的施工图设计成果文件通过发包人、发包人委托的第三方、发包人认可的本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确保发包人相关招标工作的有效推进。</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（11）在交付项目的部分或全部设计文件后，如获悉有更好的新工艺、新技术、新材料、新设备等适用于本工程，承包人应向发包人推荐并提供科学的评估。</w:t>
      </w:r>
    </w:p>
    <w:p>
      <w:pPr>
        <w:spacing w:line="360" w:lineRule="auto"/>
        <w:ind w:firstLine="371" w:firstLineChars="176"/>
        <w:rPr>
          <w:rFonts w:ascii="宋体" w:hAnsi="宋体"/>
          <w:b/>
          <w:snapToGrid w:val="0"/>
          <w:kern w:val="0"/>
          <w:szCs w:val="21"/>
          <w:highlight w:val="none"/>
        </w:rPr>
      </w:pPr>
      <w:r>
        <w:rPr>
          <w:rFonts w:hint="eastAsia" w:ascii="宋体" w:hAnsi="宋体"/>
          <w:b/>
          <w:snapToGrid w:val="0"/>
          <w:kern w:val="0"/>
          <w:szCs w:val="21"/>
          <w:highlight w:val="none"/>
        </w:rPr>
        <w:t>5.9施工图设计阶段的主要工作及要求</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（1）施工图设计文件均以各工程子项为编制单位。</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（2）施工图设计文件的深度要满足以下要求：</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1）应根据发包人批准的初步设计进行编制；</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2）满足国家现行的相关规程规范，技术标准的要求；</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3）能据以编制施工图预算和投标限价（若有）；</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4）能据以编制招标文件（若有）；</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5）能据以安排材料、设备订货和非标准设备的制作；</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6）能据以进行施工和安装；</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7）能据以进行工程竣工验收。</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（3）承包人提交给发包人的施工图设计成果文件应不存在错、漏、碰、缺等问题。</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4）承包人须根据发包人的相关规定和要求，进行施工图预算的编制（若有），施工图预算组成必须完整（包括但不限于编制说明，工程量计算书、主要材料设备定价依据文件资料等）、开项必须齐全、工程量必须准确、造价必须合理，提交时间必须与相应的施工图设计文件同步（否则发包人拒绝接收其设计文件，影响设计进度的，承包人承担进度违约责任），满足工程投资控制的要求。</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5）承包人应对分包单位的各专项设计的施工图设计（包括各专项设计的施工图预算）进行预审把关，确保专项设计成果的完整性、有效性、正确性、可靠性及经济合理性。承包人分包单位提交的施工图预算由承包人负责汇总，承包人须确保汇总后施工图预算满足工程投资控制的要求。</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（6）承包人应根据本工程设计的特点，提供施工安装操作、安全防护的有关要求。</w:t>
      </w:r>
    </w:p>
    <w:p>
      <w:pPr>
        <w:spacing w:line="360" w:lineRule="auto"/>
        <w:ind w:firstLine="371" w:firstLineChars="176"/>
        <w:rPr>
          <w:rFonts w:ascii="宋体" w:hAnsi="宋体"/>
          <w:b/>
          <w:bCs/>
          <w:snapToGrid w:val="0"/>
          <w:kern w:val="0"/>
          <w:szCs w:val="21"/>
          <w:highlight w:val="none"/>
        </w:rPr>
      </w:pPr>
      <w:r>
        <w:rPr>
          <w:rFonts w:hint="eastAsia" w:ascii="宋体" w:hAnsi="宋体"/>
          <w:b/>
          <w:bCs/>
          <w:snapToGrid w:val="0"/>
          <w:kern w:val="0"/>
          <w:szCs w:val="21"/>
          <w:highlight w:val="none"/>
        </w:rPr>
        <w:t>5.9.1材料、设备选型的设计配合</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（1）设计成果文件中选用的材料、构配件和设备，其质量标准必须符合国家规范、标准要求。</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2）承包人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（3）设计文件对于工艺、技术、材料、设备的选用应该满足施工工期的要求，充分考虑设计的可实施性，重视和吸收施工单位对施工安装提出的意见，并充分考虑国内承建商的施工能力。</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4）设计所选用的材料及设备（包括各专业采用的材料、设备），应提交进行性能价格的分析比较报告，不应选用不节能或已淘汰的产品；设备的选用必须考虑相关的系统配套，原则上应优先采用国内产品。国内没有的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（5）承包人应及时提供工程的各主要建筑材料和设备的生产厂商及价格等资料，供发包人选择时参考。</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6）承包人的设计文件在对本工程设备材料的技术要求进行描述时不得带有倾向性、排他性、指向某一特定厂商品牌或指向某一具有独一性的材料设备。如根据项目的定位、功能等的要求必须选用某种品牌或某一具有独一性的材料、设备时，承包人应事前书面详细报告发包人并获得发包人批准。</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7）对于由发包人拟定的候选材料和设备，在厂商提供符合设计要求的技术资料后，承包人须协助发包人鉴别其优劣并提供相关咨询意见。同时，承包人应派本工程设计专业负责人参与发包人组织的相关看样定板工作，出具材料设备选型的相关技术意见。</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8）由于本工程中采用新工艺而导致需要采用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9）承包人应对本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（10）承包人应详细了解市场上本工程的主要材料和设备生产商的供货能力和供货周期（包括生产时间和运输时间），并据此向发包人提出各种主要材料和设备（包括国产和国外进口的）提前订货时间的建议。</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（11）承包人应根据城市规划、城市绿化的要求，选择适合当地气候、经济性高、成活率强的植物，并负责编制技术文件。</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cs="宋体"/>
          <w:b/>
          <w:kern w:val="0"/>
          <w:szCs w:val="21"/>
          <w:highlight w:val="none"/>
        </w:rPr>
        <w:t>5.10 设计后续服务</w:t>
      </w:r>
    </w:p>
    <w:p>
      <w:pPr>
        <w:spacing w:line="360" w:lineRule="auto"/>
        <w:ind w:firstLine="420" w:firstLineChars="200"/>
        <w:rPr>
          <w:rFonts w:ascii="宋体" w:hAnsi="宋体"/>
          <w:szCs w:val="21"/>
          <w:highlight w:val="none"/>
        </w:rPr>
      </w:pPr>
      <w:r>
        <w:rPr>
          <w:rFonts w:hint="eastAsia" w:ascii="宋体" w:hAnsi="宋体"/>
          <w:szCs w:val="21"/>
          <w:highlight w:val="none"/>
        </w:rPr>
        <w:t>承包人应在施工现场设立代表处，并派驻设计代表常驻施工现场，且设计代表应为参与本工程设计的各专业负责人，做好施工现场服务，包括但不限于：</w:t>
      </w:r>
    </w:p>
    <w:p>
      <w:pPr>
        <w:spacing w:line="360" w:lineRule="auto"/>
        <w:ind w:firstLine="420" w:firstLineChars="200"/>
        <w:rPr>
          <w:rFonts w:ascii="宋体" w:hAnsi="宋体"/>
          <w:szCs w:val="21"/>
          <w:highlight w:val="none"/>
        </w:rPr>
      </w:pPr>
      <w:r>
        <w:rPr>
          <w:rFonts w:hint="eastAsia" w:ascii="宋体" w:hAnsi="宋体"/>
          <w:szCs w:val="21"/>
          <w:highlight w:val="none"/>
        </w:rPr>
        <w:t>（1）开工前在发包人指定的时间内，做好设计文件的技术交底工作和现场控制点的交接工作；</w:t>
      </w:r>
    </w:p>
    <w:p>
      <w:pPr>
        <w:spacing w:line="360" w:lineRule="auto"/>
        <w:ind w:firstLine="420" w:firstLineChars="200"/>
        <w:rPr>
          <w:rFonts w:ascii="宋体" w:hAnsi="宋体"/>
          <w:szCs w:val="21"/>
          <w:highlight w:val="none"/>
        </w:rPr>
      </w:pPr>
      <w:r>
        <w:rPr>
          <w:rFonts w:hint="eastAsia" w:ascii="宋体" w:hAnsi="宋体"/>
          <w:szCs w:val="21"/>
          <w:highlight w:val="none"/>
        </w:rPr>
        <w:t>（2）在发包人规定的时间内积极配合发包人对施工及设计方案进行优化设计；</w:t>
      </w:r>
    </w:p>
    <w:p>
      <w:pPr>
        <w:spacing w:line="360" w:lineRule="auto"/>
        <w:ind w:firstLine="420" w:firstLineChars="200"/>
        <w:rPr>
          <w:rFonts w:ascii="宋体" w:hAnsi="宋体"/>
          <w:szCs w:val="21"/>
          <w:highlight w:val="none"/>
        </w:rPr>
      </w:pPr>
      <w:r>
        <w:rPr>
          <w:rFonts w:hint="eastAsia" w:ascii="宋体" w:hAnsi="宋体"/>
          <w:szCs w:val="21"/>
          <w:highlight w:val="none"/>
        </w:rPr>
        <w:t>（3）做好绿化景观工程咨询服务、审查工作，咨询要点：从景观方案的总体布局、总平面设计、功能需求提出咨询意见，审查植物方案，对植物空间、种植间距、苗木尺寸、苗木品种进行严格把关；认真审查材料使用情况，复杂景观建筑、构筑物、景观桥、铺装园路及小品的用材、颜色、收口及尺度，提出优化建议；审查微地形设计，掌握人行车行视线与地形关系，对空间疏密开放提出总体建议；对景观照明设计的审查，对灯具选型及灯具布置提出合理化建议，对于其他专项工程的衔接及细部节点设计深度、符合性进行重点审查。</w:t>
      </w:r>
    </w:p>
    <w:p>
      <w:pPr>
        <w:spacing w:line="360" w:lineRule="auto"/>
        <w:ind w:firstLine="420" w:firstLineChars="200"/>
        <w:rPr>
          <w:rFonts w:ascii="宋体" w:hAnsi="宋体"/>
          <w:szCs w:val="21"/>
          <w:highlight w:val="none"/>
        </w:rPr>
      </w:pPr>
      <w:r>
        <w:rPr>
          <w:rFonts w:hint="eastAsia" w:ascii="宋体" w:hAnsi="宋体"/>
          <w:szCs w:val="21"/>
          <w:highlight w:val="none"/>
        </w:rPr>
        <w:t>（4）其他设计问题。</w:t>
      </w:r>
    </w:p>
    <w:p>
      <w:pPr>
        <w:spacing w:line="360" w:lineRule="auto"/>
        <w:ind w:firstLine="420" w:firstLineChars="200"/>
        <w:rPr>
          <w:rFonts w:ascii="宋体" w:hAnsi="宋体"/>
          <w:szCs w:val="21"/>
          <w:highlight w:val="none"/>
        </w:rPr>
      </w:pPr>
      <w:r>
        <w:rPr>
          <w:rFonts w:hint="eastAsia" w:ascii="宋体" w:hAnsi="宋体"/>
          <w:szCs w:val="21"/>
          <w:highlight w:val="none"/>
        </w:rPr>
        <w:t>以上各专业设计代表</w:t>
      </w:r>
      <w:r>
        <w:rPr>
          <w:rFonts w:hint="eastAsia" w:ascii="宋体" w:hAnsi="宋体"/>
          <w:snapToGrid w:val="0"/>
          <w:highlight w:val="none"/>
        </w:rPr>
        <w:t>每月驻工地时间不得少于22天</w:t>
      </w:r>
      <w:r>
        <w:rPr>
          <w:rFonts w:hint="eastAsia" w:ascii="宋体" w:hAnsi="宋体"/>
          <w:szCs w:val="21"/>
          <w:highlight w:val="none"/>
        </w:rPr>
        <w:t>。未经发包人批准同意擅自更换设计代表的，承包人承担50000元违约金。如特殊原因需要更换设计代表的，由承包人向发包人提出申请，发包人同意后方可更换，承包人需承担违约金10000元/次。上述违约金，由发包人在承包人当期的工程进度款中扣除。</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5.11 限额设计</w:t>
      </w:r>
    </w:p>
    <w:p>
      <w:pPr>
        <w:spacing w:line="360" w:lineRule="auto"/>
        <w:ind w:firstLine="369" w:firstLineChars="176"/>
        <w:rPr>
          <w:rFonts w:ascii="宋体" w:hAnsi="宋体"/>
          <w:snapToGrid w:val="0"/>
          <w:kern w:val="0"/>
          <w:szCs w:val="21"/>
          <w:highlight w:val="none"/>
        </w:rPr>
      </w:pPr>
      <w:r>
        <w:rPr>
          <w:rFonts w:hint="eastAsia" w:ascii="宋体" w:hAnsi="宋体"/>
          <w:snapToGrid w:val="0"/>
          <w:kern w:val="0"/>
          <w:szCs w:val="21"/>
          <w:highlight w:val="none"/>
        </w:rPr>
        <w:t>承包人承诺在不违背初步设计的主要设计指标的前提下，在规定的时间内编制施工图并报发包人审核，</w:t>
      </w:r>
      <w:r>
        <w:rPr>
          <w:rFonts w:hint="eastAsia" w:ascii="宋体" w:hAnsi="宋体"/>
          <w:snapToGrid w:val="0"/>
          <w:kern w:val="0"/>
          <w:szCs w:val="21"/>
          <w:highlight w:val="none"/>
        </w:rPr>
        <w:t>合同价暂定以行业主管部门批复的概算*（1-投标下浮率）计算，其中初步设计费由发包人另行使用与本合同无关。</w:t>
      </w:r>
    </w:p>
    <w:p>
      <w:pPr>
        <w:spacing w:line="360" w:lineRule="auto"/>
        <w:ind w:firstLine="369" w:firstLineChars="176"/>
        <w:rPr>
          <w:rFonts w:ascii="宋体" w:hAnsi="宋体"/>
          <w:szCs w:val="21"/>
          <w:highlight w:val="none"/>
        </w:rPr>
      </w:pPr>
      <w:r>
        <w:rPr>
          <w:rFonts w:hint="eastAsia" w:ascii="宋体" w:hAnsi="宋体"/>
          <w:szCs w:val="21"/>
          <w:highlight w:val="none"/>
        </w:rPr>
        <w:t>（1）承包人应遵循功能适用、标准合理、经济合理的原则开展设计，在初步设计的基础上结合项目设计内容进一步分解投资，明确投资控制主要指标，在编制施工图时逐步细化落实。</w:t>
      </w:r>
    </w:p>
    <w:p>
      <w:pPr>
        <w:spacing w:line="360" w:lineRule="auto"/>
        <w:ind w:firstLine="369" w:firstLineChars="176"/>
        <w:rPr>
          <w:rFonts w:ascii="宋体" w:hAnsi="宋体"/>
          <w:szCs w:val="21"/>
          <w:highlight w:val="none"/>
        </w:rPr>
      </w:pPr>
      <w:r>
        <w:rPr>
          <w:rFonts w:hint="eastAsia" w:ascii="宋体" w:hAnsi="宋体"/>
          <w:szCs w:val="21"/>
          <w:highlight w:val="none"/>
        </w:rPr>
        <w:t>（2）承包人在限额设计范围内应充分运用性价比分析、多方案（不少于2个方案）技术经济比较等技术手段对设计方案进行优化。在所有方案比较的过程中，必须进行相应深度的投资估算比较，确保方案的可比性并提供相应的工程数量表、主要材料表（含推荐品牌）、主要设备清单（含推荐品牌）等，在确保工程质量的前提下，降低工程投资。</w:t>
      </w:r>
    </w:p>
    <w:p>
      <w:pPr>
        <w:spacing w:line="360" w:lineRule="auto"/>
        <w:ind w:firstLine="369" w:firstLineChars="176"/>
        <w:rPr>
          <w:rFonts w:ascii="宋体" w:hAnsi="宋体"/>
          <w:szCs w:val="21"/>
          <w:highlight w:val="none"/>
        </w:rPr>
      </w:pPr>
      <w:r>
        <w:rPr>
          <w:rFonts w:hint="eastAsia" w:ascii="宋体" w:hAnsi="宋体"/>
          <w:szCs w:val="21"/>
          <w:highlight w:val="none"/>
        </w:rPr>
        <w:t>（3）承包人应承诺如果根据承包人提供的施工图设计图纸编制的预算超出初步设计概算或施工部分招标限价，承包人必须在不改变原方案设计的构想及设计理念、不降低设计质量标准及使用要求、不影响下一阶段交付设计文件的期限、不追加设计费用的情况下对施工图设计进行优化。</w:t>
      </w:r>
    </w:p>
    <w:p>
      <w:pPr>
        <w:spacing w:line="360" w:lineRule="auto"/>
        <w:ind w:firstLine="369" w:firstLineChars="176"/>
        <w:rPr>
          <w:rFonts w:ascii="宋体" w:hAnsi="宋体"/>
          <w:szCs w:val="21"/>
          <w:highlight w:val="none"/>
        </w:rPr>
      </w:pPr>
      <w:r>
        <w:rPr>
          <w:rFonts w:hint="eastAsia" w:ascii="宋体" w:hAnsi="宋体"/>
          <w:szCs w:val="21"/>
          <w:highlight w:val="none"/>
        </w:rPr>
        <w:t>（4）承包人应承诺有关设计的任何修改、变动或由于修改设计所引起的工艺、技术、材料、设备的变更均须经过发包人的同意。</w:t>
      </w:r>
    </w:p>
    <w:p>
      <w:pPr>
        <w:spacing w:line="360" w:lineRule="auto"/>
        <w:ind w:firstLine="369" w:firstLineChars="176"/>
        <w:rPr>
          <w:rFonts w:ascii="宋体" w:hAnsi="宋体"/>
          <w:szCs w:val="21"/>
          <w:highlight w:val="none"/>
        </w:rPr>
      </w:pPr>
      <w:r>
        <w:rPr>
          <w:rFonts w:hint="eastAsia" w:ascii="宋体" w:hAnsi="宋体"/>
          <w:szCs w:val="21"/>
          <w:highlight w:val="none"/>
        </w:rPr>
        <w:t>（5）承包人承诺在交付项目的部分或全部设计文件后,如有更好的新工艺、新技术、新材料、新设备等适用于本项目，将及时向发包人推荐并提供科学的评估。</w:t>
      </w:r>
    </w:p>
    <w:p>
      <w:pPr>
        <w:autoSpaceDE w:val="0"/>
        <w:autoSpaceDN w:val="0"/>
        <w:adjustRightInd w:val="0"/>
        <w:spacing w:line="360" w:lineRule="auto"/>
        <w:ind w:firstLine="422" w:firstLineChars="200"/>
        <w:jc w:val="left"/>
        <w:rPr>
          <w:rFonts w:ascii="宋体" w:hAnsi="宋体" w:cs="宋体"/>
          <w:b/>
          <w:kern w:val="0"/>
          <w:szCs w:val="21"/>
          <w:highlight w:val="none"/>
        </w:rPr>
      </w:pP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5.12 设计优化</w:t>
      </w:r>
    </w:p>
    <w:p>
      <w:pPr>
        <w:spacing w:line="360" w:lineRule="auto"/>
        <w:ind w:firstLine="369" w:firstLineChars="176"/>
        <w:rPr>
          <w:rFonts w:ascii="宋体" w:hAnsi="宋体"/>
          <w:bCs/>
          <w:snapToGrid w:val="0"/>
          <w:kern w:val="0"/>
          <w:szCs w:val="21"/>
          <w:highlight w:val="none"/>
        </w:rPr>
      </w:pPr>
      <w:r>
        <w:rPr>
          <w:rFonts w:hint="eastAsia" w:ascii="宋体" w:hAnsi="宋体"/>
          <w:bCs/>
          <w:snapToGrid w:val="0"/>
          <w:kern w:val="0"/>
          <w:szCs w:val="21"/>
          <w:highlight w:val="none"/>
        </w:rPr>
        <w:t>具体要求包括但不限于如下：</w:t>
      </w:r>
    </w:p>
    <w:p>
      <w:pPr>
        <w:spacing w:line="360" w:lineRule="auto"/>
        <w:ind w:firstLine="369" w:firstLineChars="176"/>
        <w:rPr>
          <w:rFonts w:ascii="宋体" w:hAnsi="宋体"/>
          <w:bCs/>
          <w:snapToGrid w:val="0"/>
          <w:kern w:val="0"/>
          <w:szCs w:val="21"/>
          <w:highlight w:val="none"/>
        </w:rPr>
      </w:pPr>
      <w:r>
        <w:rPr>
          <w:rFonts w:hint="eastAsia" w:ascii="宋体" w:hAnsi="宋体"/>
          <w:bCs/>
          <w:snapToGrid w:val="0"/>
          <w:kern w:val="0"/>
          <w:szCs w:val="21"/>
          <w:highlight w:val="none"/>
        </w:rPr>
        <w:t>（1）总体设计方案的优化：在满足使用功能和经济合理的基础上，进行总体设计方案的优化。</w:t>
      </w:r>
    </w:p>
    <w:p>
      <w:pPr>
        <w:spacing w:line="360" w:lineRule="auto"/>
        <w:ind w:firstLine="369" w:firstLineChars="176"/>
        <w:rPr>
          <w:rFonts w:ascii="宋体" w:hAnsi="宋体"/>
          <w:bCs/>
          <w:snapToGrid w:val="0"/>
          <w:kern w:val="0"/>
          <w:szCs w:val="21"/>
          <w:highlight w:val="none"/>
        </w:rPr>
      </w:pPr>
      <w:r>
        <w:rPr>
          <w:rFonts w:hint="eastAsia" w:ascii="宋体" w:hAnsi="宋体"/>
          <w:bCs/>
          <w:snapToGrid w:val="0"/>
          <w:kern w:val="0"/>
          <w:szCs w:val="21"/>
          <w:highlight w:val="none"/>
        </w:rPr>
        <w:t>（2）结构工程的优化：对于结构的选择，要在满足结构安全的前提下，进行结构优化设计，以降低混凝土、钢筋等的单方消耗含量，进而降低造价。</w:t>
      </w:r>
    </w:p>
    <w:p>
      <w:pPr>
        <w:spacing w:line="360" w:lineRule="auto"/>
        <w:ind w:firstLine="369" w:firstLineChars="176"/>
        <w:rPr>
          <w:rFonts w:ascii="宋体" w:hAnsi="宋体"/>
          <w:bCs/>
          <w:snapToGrid w:val="0"/>
          <w:kern w:val="0"/>
          <w:szCs w:val="21"/>
          <w:highlight w:val="none"/>
        </w:rPr>
      </w:pPr>
      <w:r>
        <w:rPr>
          <w:rFonts w:hint="eastAsia" w:ascii="宋体" w:hAnsi="宋体"/>
          <w:bCs/>
          <w:snapToGrid w:val="0"/>
          <w:kern w:val="0"/>
          <w:szCs w:val="21"/>
          <w:highlight w:val="none"/>
        </w:rPr>
        <w:t>□（3）设备选型：以经济实用，运行可靠，维护管理方便为原则进行设备选型。通过主要技术指标对设备选型进行限额控制，通过设备询价对设备提出可靠的价格信息（提供相关询价单），详细制定大型设备选型、招标、采购控制方法，尽可能采用性价比较优的设备。在造价控制方面重点控制好通风空调设备、电气设备、电梯设备、水处理设备、建筑智能设备。</w:t>
      </w:r>
    </w:p>
    <w:p>
      <w:pPr>
        <w:spacing w:line="360" w:lineRule="auto"/>
        <w:ind w:firstLine="369" w:firstLineChars="176"/>
        <w:rPr>
          <w:rFonts w:ascii="宋体" w:hAnsi="宋体"/>
          <w:bCs/>
          <w:snapToGrid w:val="0"/>
          <w:kern w:val="0"/>
          <w:szCs w:val="21"/>
          <w:highlight w:val="none"/>
        </w:rPr>
      </w:pPr>
      <w:r>
        <w:rPr>
          <w:rFonts w:hint="eastAsia" w:ascii="宋体" w:hAnsi="宋体"/>
          <w:bCs/>
          <w:snapToGrid w:val="0"/>
          <w:kern w:val="0"/>
          <w:szCs w:val="21"/>
          <w:highlight w:val="none"/>
        </w:rPr>
        <w:t>□（4）特殊专业工程：自动火灾报警系统、综合布线、视频监控系统、车辆管理系统等专业工程应进行深化设计及限额设计。</w:t>
      </w:r>
    </w:p>
    <w:p>
      <w:pPr>
        <w:spacing w:line="360" w:lineRule="auto"/>
        <w:ind w:firstLine="369" w:firstLineChars="176"/>
        <w:rPr>
          <w:rFonts w:ascii="宋体" w:hAnsi="宋体"/>
          <w:bCs/>
          <w:snapToGrid w:val="0"/>
          <w:kern w:val="0"/>
          <w:szCs w:val="21"/>
          <w:highlight w:val="none"/>
        </w:rPr>
      </w:pPr>
      <w:r>
        <w:rPr>
          <w:rFonts w:hint="eastAsia" w:ascii="宋体" w:hAnsi="宋体"/>
          <w:bCs/>
          <w:snapToGrid w:val="0"/>
          <w:kern w:val="0"/>
          <w:szCs w:val="21"/>
          <w:highlight w:val="none"/>
        </w:rPr>
        <w:t>（5）室外附属工程：道路工程、园林绿化工程、室外管网工程等在保证道路应用、绿化指标的前提下，尽可能减少高标准道路面积。园建工程要突出重点部位，简化非重点部位。</w:t>
      </w:r>
    </w:p>
    <w:p>
      <w:pPr>
        <w:spacing w:line="360" w:lineRule="auto"/>
        <w:ind w:firstLine="369" w:firstLineChars="176"/>
        <w:rPr>
          <w:rFonts w:ascii="宋体" w:hAnsi="宋体"/>
          <w:bCs/>
          <w:snapToGrid w:val="0"/>
          <w:kern w:val="0"/>
          <w:szCs w:val="21"/>
          <w:highlight w:val="none"/>
        </w:rPr>
      </w:pPr>
      <w:r>
        <w:rPr>
          <w:rFonts w:hint="eastAsia" w:ascii="宋体" w:hAnsi="宋体"/>
          <w:bCs/>
          <w:snapToGrid w:val="0"/>
          <w:kern w:val="0"/>
          <w:szCs w:val="21"/>
          <w:highlight w:val="none"/>
        </w:rPr>
        <w:t>□（6）其他设计优化要求。</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5.13 设计成果确认</w:t>
      </w:r>
    </w:p>
    <w:p>
      <w:pPr>
        <w:spacing w:line="360" w:lineRule="auto"/>
        <w:ind w:firstLine="369" w:firstLineChars="176"/>
        <w:rPr>
          <w:rFonts w:ascii="宋体" w:hAnsi="宋体"/>
          <w:bCs/>
          <w:snapToGrid w:val="0"/>
          <w:kern w:val="0"/>
          <w:szCs w:val="21"/>
          <w:highlight w:val="none"/>
        </w:rPr>
      </w:pPr>
      <w:r>
        <w:rPr>
          <w:rFonts w:hint="eastAsia" w:ascii="宋体" w:hAnsi="宋体"/>
          <w:bCs/>
          <w:snapToGrid w:val="0"/>
          <w:kern w:val="0"/>
          <w:szCs w:val="21"/>
          <w:highlight w:val="none"/>
        </w:rPr>
        <w:t>（1）对联合体承包人，施工图设计文件必须经联合体各方审核、确认，并将该审核、确认文件报价监理人、发包人备案。</w:t>
      </w:r>
    </w:p>
    <w:p>
      <w:pPr>
        <w:spacing w:line="360" w:lineRule="auto"/>
        <w:ind w:firstLine="369" w:firstLineChars="176"/>
        <w:rPr>
          <w:rFonts w:ascii="宋体" w:hAnsi="宋体"/>
          <w:bCs/>
          <w:snapToGrid w:val="0"/>
          <w:kern w:val="0"/>
          <w:szCs w:val="21"/>
          <w:highlight w:val="none"/>
        </w:rPr>
      </w:pPr>
      <w:r>
        <w:rPr>
          <w:rFonts w:hint="eastAsia" w:ascii="宋体" w:hAnsi="宋体"/>
          <w:bCs/>
          <w:snapToGrid w:val="0"/>
          <w:kern w:val="0"/>
          <w:szCs w:val="21"/>
          <w:highlight w:val="none"/>
        </w:rPr>
        <w:t>（2）对联合体承包人，在施工图设计阶段负责施工任务的一方须深度介入设计工作，解决设计的错漏碰缺问题以及施工措施方案等问题，提出优化设计的方案，并需出具专项审核报告，报监理单位、设计咨询单位及发包人审核。</w:t>
      </w:r>
    </w:p>
    <w:p>
      <w:pPr>
        <w:spacing w:line="360" w:lineRule="auto"/>
        <w:ind w:firstLine="369" w:firstLineChars="176"/>
        <w:rPr>
          <w:rFonts w:ascii="宋体" w:hAnsi="宋体" w:cs="宋体"/>
          <w:kern w:val="0"/>
          <w:szCs w:val="21"/>
          <w:highlight w:val="none"/>
        </w:rPr>
      </w:pPr>
      <w:r>
        <w:rPr>
          <w:rFonts w:hint="eastAsia" w:ascii="宋体" w:hAnsi="宋体"/>
          <w:bCs/>
          <w:snapToGrid w:val="0"/>
          <w:kern w:val="0"/>
          <w:szCs w:val="21"/>
          <w:highlight w:val="none"/>
        </w:rPr>
        <w:t>（3）监理单位、设计咨询单位、发包人对承包人各阶段的设计成果文件提出的审核或咨询意见，承包人应逐条予以书面回复。</w:t>
      </w:r>
      <w:r>
        <w:rPr>
          <w:rFonts w:hint="eastAsia" w:ascii="宋体" w:hAnsi="宋体" w:cs="宋体"/>
          <w:kern w:val="0"/>
          <w:szCs w:val="21"/>
          <w:highlight w:val="none"/>
        </w:rPr>
        <w:t>监理单位、设计咨询单位、</w:t>
      </w:r>
      <w:r>
        <w:rPr>
          <w:rFonts w:hint="eastAsia" w:ascii="宋体" w:hAnsi="宋体"/>
          <w:bCs/>
          <w:snapToGrid w:val="0"/>
          <w:kern w:val="0"/>
          <w:szCs w:val="21"/>
          <w:highlight w:val="none"/>
        </w:rPr>
        <w:t>发包人</w:t>
      </w:r>
      <w:r>
        <w:rPr>
          <w:rFonts w:hint="eastAsia" w:ascii="宋体" w:hAnsi="宋体" w:cs="宋体"/>
          <w:kern w:val="0"/>
          <w:szCs w:val="21"/>
          <w:highlight w:val="none"/>
        </w:rPr>
        <w:t>的审核或咨询意见不免除或减轻承包人对设计工作应承担的责任和义务。</w:t>
      </w:r>
    </w:p>
    <w:p>
      <w:pPr>
        <w:spacing w:line="360" w:lineRule="auto"/>
        <w:ind w:firstLine="369" w:firstLineChars="176"/>
        <w:rPr>
          <w:rFonts w:ascii="宋体" w:hAnsi="宋体"/>
          <w:bCs/>
          <w:snapToGrid w:val="0"/>
          <w:kern w:val="0"/>
          <w:szCs w:val="21"/>
          <w:highlight w:val="none"/>
        </w:rPr>
      </w:pPr>
      <w:r>
        <w:rPr>
          <w:rFonts w:hint="eastAsia" w:ascii="宋体" w:hAnsi="宋体"/>
          <w:bCs/>
          <w:snapToGrid w:val="0"/>
          <w:kern w:val="0"/>
          <w:szCs w:val="21"/>
          <w:highlight w:val="none"/>
        </w:rPr>
        <w:t>（4）承包人提交的各阶段性设计成果文件（包括施工图设计文件等），须通过设计咨询单位或发包人的审核，并按规定通过相应行政主管部门的审批，若设计成果未能通过审核或审批，承包人应按发包人限定的期限及要求进行补充、修改、完善，经补充、修改、完善后的设计成果文件仍无法满足要求的，发包人有权要求承包人更换设计团队或与承包人部分解除合同或解除合同。</w:t>
      </w:r>
    </w:p>
    <w:p>
      <w:pPr>
        <w:autoSpaceDE w:val="0"/>
        <w:autoSpaceDN w:val="0"/>
        <w:adjustRightInd w:val="0"/>
        <w:spacing w:line="360" w:lineRule="auto"/>
        <w:ind w:firstLine="422" w:firstLineChars="200"/>
        <w:jc w:val="left"/>
        <w:rPr>
          <w:rFonts w:ascii="宋体" w:hAnsi="宋体"/>
          <w:szCs w:val="21"/>
          <w:highlight w:val="none"/>
        </w:rPr>
      </w:pPr>
      <w:r>
        <w:rPr>
          <w:rFonts w:hint="eastAsia" w:ascii="宋体" w:hAnsi="宋体" w:cs="宋体"/>
          <w:b/>
          <w:kern w:val="0"/>
          <w:szCs w:val="21"/>
          <w:highlight w:val="none"/>
        </w:rPr>
        <w:t>5.14 设计统筹管理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bCs/>
          <w:szCs w:val="21"/>
          <w:highlight w:val="none"/>
        </w:rPr>
        <w:t>（1）</w:t>
      </w:r>
      <w:r>
        <w:rPr>
          <w:rFonts w:hint="eastAsia" w:ascii="宋体" w:hAnsi="宋体"/>
          <w:szCs w:val="21"/>
          <w:highlight w:val="none"/>
        </w:rPr>
        <w:t>设计统筹管理工作，包括但不限：</w:t>
      </w:r>
    </w:p>
    <w:p>
      <w:pPr>
        <w:spacing w:line="360" w:lineRule="auto"/>
        <w:ind w:firstLine="369" w:firstLineChars="176"/>
        <w:rPr>
          <w:rFonts w:ascii="宋体" w:hAnsi="宋体"/>
          <w:szCs w:val="21"/>
          <w:highlight w:val="none"/>
        </w:rPr>
      </w:pPr>
      <w:r>
        <w:rPr>
          <w:rFonts w:hint="eastAsia" w:ascii="宋体" w:hAnsi="宋体"/>
          <w:szCs w:val="21"/>
          <w:highlight w:val="none"/>
        </w:rPr>
        <w:t>①设计工作管理：对整个设计工作进行质量、进度、成本的管理，对人员进行相关考核的管理。</w:t>
      </w:r>
    </w:p>
    <w:p>
      <w:pPr>
        <w:spacing w:line="360" w:lineRule="auto"/>
        <w:ind w:firstLine="369" w:firstLineChars="176"/>
        <w:rPr>
          <w:rFonts w:ascii="宋体" w:hAnsi="宋体"/>
          <w:szCs w:val="21"/>
          <w:highlight w:val="none"/>
        </w:rPr>
      </w:pPr>
      <w:r>
        <w:rPr>
          <w:rFonts w:hint="eastAsia" w:ascii="宋体" w:hAnsi="宋体"/>
          <w:szCs w:val="21"/>
          <w:highlight w:val="none"/>
        </w:rPr>
        <w:t>②规划把控:负责对整个区域各项设计与规划衔接的控制，各设计以控规和竖向设计为基础，对存在工程与规划之间的问题及时协调，督促设计单位按规划进行具体工程设计。</w:t>
      </w:r>
    </w:p>
    <w:p>
      <w:pPr>
        <w:spacing w:line="360" w:lineRule="auto"/>
        <w:ind w:firstLine="369" w:firstLineChars="176"/>
        <w:rPr>
          <w:rFonts w:ascii="宋体" w:hAnsi="宋体"/>
          <w:szCs w:val="21"/>
          <w:highlight w:val="none"/>
        </w:rPr>
      </w:pPr>
      <w:r>
        <w:rPr>
          <w:rFonts w:hint="eastAsia" w:ascii="宋体" w:hAnsi="宋体"/>
          <w:szCs w:val="21"/>
          <w:highlight w:val="none"/>
        </w:rPr>
        <w:t>③总体方案控制：在整个区域规划的基础上，组织对关键的、重要的工程节点组织深入的技术方案研究与比选，最终稳定总体方案并保证整个项目的完整性。</w:t>
      </w:r>
    </w:p>
    <w:p>
      <w:pPr>
        <w:spacing w:line="360" w:lineRule="auto"/>
        <w:ind w:firstLine="369" w:firstLineChars="176"/>
        <w:rPr>
          <w:rFonts w:ascii="宋体" w:hAnsi="宋体"/>
          <w:szCs w:val="21"/>
          <w:highlight w:val="none"/>
        </w:rPr>
      </w:pPr>
      <w:r>
        <w:rPr>
          <w:rFonts w:hint="eastAsia" w:ascii="宋体" w:hAnsi="宋体"/>
          <w:szCs w:val="21"/>
          <w:highlight w:val="none"/>
        </w:rPr>
        <w:t>④各子项工程的界面划分与技术接口的控制：负责划定整个区域内各子项工程的范围以及对应的界面，并对界面上的技术接口进行控制，保证各项目之间各系统之间能够顺利衔接，实现本项目的系统性。</w:t>
      </w:r>
    </w:p>
    <w:p>
      <w:pPr>
        <w:spacing w:line="360" w:lineRule="auto"/>
        <w:ind w:firstLine="369" w:firstLineChars="176"/>
        <w:rPr>
          <w:rFonts w:ascii="宋体" w:hAnsi="宋体"/>
          <w:szCs w:val="21"/>
          <w:highlight w:val="none"/>
        </w:rPr>
      </w:pPr>
      <w:r>
        <w:rPr>
          <w:rFonts w:hint="eastAsia" w:ascii="宋体" w:hAnsi="宋体"/>
          <w:szCs w:val="21"/>
          <w:highlight w:val="none"/>
        </w:rPr>
        <w:t>⑤管线综合协调：负责对整个区域内的市政管线综合工作进行指导，对各项目与管线之间的关系进行总体协调。</w:t>
      </w:r>
    </w:p>
    <w:p>
      <w:pPr>
        <w:spacing w:line="360" w:lineRule="auto"/>
        <w:ind w:firstLine="369" w:firstLineChars="176"/>
        <w:rPr>
          <w:rFonts w:ascii="宋体" w:hAnsi="宋体"/>
          <w:szCs w:val="21"/>
          <w:highlight w:val="none"/>
        </w:rPr>
      </w:pPr>
      <w:r>
        <w:rPr>
          <w:rFonts w:hint="eastAsia" w:ascii="宋体" w:hAnsi="宋体"/>
          <w:szCs w:val="21"/>
          <w:highlight w:val="none"/>
        </w:rPr>
        <w:t>⑥组织设计会议：负责定期组织总体设计例会，以及各类专题协调会，协调设计进度，解决各类技术问题。</w:t>
      </w:r>
    </w:p>
    <w:p>
      <w:pPr>
        <w:spacing w:line="360" w:lineRule="auto"/>
        <w:ind w:firstLine="369" w:firstLineChars="176"/>
        <w:rPr>
          <w:rFonts w:ascii="宋体" w:hAnsi="宋体"/>
          <w:szCs w:val="21"/>
          <w:highlight w:val="none"/>
        </w:rPr>
      </w:pPr>
      <w:r>
        <w:rPr>
          <w:rFonts w:hint="eastAsia" w:ascii="宋体" w:hAnsi="宋体"/>
          <w:szCs w:val="21"/>
          <w:highlight w:val="none"/>
        </w:rPr>
        <w:t>⑦组织设计会签：组织各子项设计单位进行设计图纸的会签，重点是检查各项目之间界面和接口的衔接情况。</w:t>
      </w:r>
    </w:p>
    <w:p>
      <w:pPr>
        <w:spacing w:line="360" w:lineRule="auto"/>
        <w:ind w:firstLine="369" w:firstLineChars="176"/>
        <w:rPr>
          <w:rFonts w:ascii="宋体" w:hAnsi="宋体"/>
          <w:szCs w:val="21"/>
          <w:highlight w:val="none"/>
        </w:rPr>
      </w:pPr>
      <w:r>
        <w:rPr>
          <w:rFonts w:hint="eastAsia" w:ascii="宋体" w:hAnsi="宋体"/>
          <w:szCs w:val="21"/>
          <w:highlight w:val="none"/>
        </w:rPr>
        <w:t>⑧总体审查：对各阶段的设计过程和成果进行总体审查，检查其是否符合总体方案，是否符合统一的技术标准，设计会签的落实情况，专题协调成果的落实情况，政府审批部门意见的落实情况等等。</w:t>
      </w:r>
    </w:p>
    <w:p>
      <w:pPr>
        <w:spacing w:line="360" w:lineRule="auto"/>
        <w:ind w:firstLine="369" w:firstLineChars="176"/>
        <w:rPr>
          <w:rFonts w:ascii="宋体" w:hAnsi="宋体"/>
          <w:szCs w:val="21"/>
          <w:highlight w:val="none"/>
        </w:rPr>
      </w:pPr>
      <w:r>
        <w:rPr>
          <w:rFonts w:hint="eastAsia" w:ascii="宋体" w:hAnsi="宋体"/>
          <w:szCs w:val="21"/>
          <w:highlight w:val="none"/>
        </w:rPr>
        <w:t>⑨变更把控：对过程中出现的设计变更进行把控，主要是判断其是否影响总体方案，是否符合统一的技术标准，以及其对整个项目的经济性影响（是否会造成其他项目的成本上升）。</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5.15对承包人设计成果文件的设计评审包括相关行政主管部门及行业主管部门的审查、施工图审查单位（设计咨询单位）的审查、发包人或发包人组织的专家评审。发包人有权视项目情况组织召开初步设计、施工图设计、专项设计、重大技术论证等方面的专家评审会，评审会一切费用已包含在合同价（结算价）中，由承包人负责支付。</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5.16除上述规定以外，其余未尽事宜以设计任务书为准，详见附件。</w:t>
      </w:r>
    </w:p>
    <w:p>
      <w:pPr>
        <w:autoSpaceDE w:val="0"/>
        <w:autoSpaceDN w:val="0"/>
        <w:adjustRightInd w:val="0"/>
        <w:spacing w:line="360" w:lineRule="auto"/>
        <w:ind w:firstLine="422" w:firstLineChars="200"/>
        <w:jc w:val="left"/>
        <w:rPr>
          <w:rFonts w:ascii="宋体" w:hAnsi="宋体" w:cs="黑体"/>
          <w:b/>
          <w:kern w:val="0"/>
          <w:szCs w:val="21"/>
          <w:highlight w:val="none"/>
        </w:rPr>
      </w:pPr>
      <w:r>
        <w:rPr>
          <w:rFonts w:hint="eastAsia" w:ascii="宋体" w:hAnsi="宋体" w:cs="Arial"/>
          <w:b/>
          <w:bCs/>
          <w:kern w:val="0"/>
          <w:szCs w:val="21"/>
          <w:highlight w:val="none"/>
        </w:rPr>
        <w:t>9</w:t>
      </w:r>
      <w:r>
        <w:rPr>
          <w:rFonts w:hint="eastAsia" w:ascii="宋体" w:hAnsi="宋体" w:cs="黑体"/>
          <w:b/>
          <w:kern w:val="0"/>
          <w:szCs w:val="21"/>
          <w:highlight w:val="none"/>
        </w:rPr>
        <w:t>．测量放线</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9.1 施工控制网：</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删除本款全文，代之以：</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监理人应在本合同《技术条款》规定的期限内，协助向承包人提供测量基准点、基准线和水准点及其书面资料。承包人应根据上述基准点（线）以及国家测绘标准和本工程精度要求，测设自己的施工控制网，并应在本合同《技术条款》规定的期限内，将施工控制网资料报送监理人审批。</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9.3 基准资料错误的责任</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本款修改为：发包人提供测量基准点、基准线和水准点的，承包人应进行复核并对其真实性、准确性负责；发包人不提供的，承包人应自行收集。</w:t>
      </w:r>
    </w:p>
    <w:p>
      <w:pPr>
        <w:autoSpaceDE w:val="0"/>
        <w:autoSpaceDN w:val="0"/>
        <w:adjustRightInd w:val="0"/>
        <w:spacing w:line="360" w:lineRule="auto"/>
        <w:ind w:firstLine="422" w:firstLineChars="200"/>
        <w:jc w:val="left"/>
        <w:rPr>
          <w:rFonts w:ascii="宋体" w:hAnsi="宋体" w:cs="黑体"/>
          <w:b/>
          <w:kern w:val="0"/>
          <w:szCs w:val="21"/>
          <w:highlight w:val="none"/>
        </w:rPr>
      </w:pPr>
      <w:r>
        <w:rPr>
          <w:rFonts w:hint="eastAsia" w:ascii="宋体" w:hAnsi="宋体" w:cs="Arial"/>
          <w:b/>
          <w:bCs/>
          <w:kern w:val="0"/>
          <w:szCs w:val="21"/>
          <w:highlight w:val="none"/>
        </w:rPr>
        <w:t>10</w:t>
      </w:r>
      <w:r>
        <w:rPr>
          <w:rFonts w:hint="eastAsia" w:ascii="宋体" w:hAnsi="宋体" w:cs="黑体"/>
          <w:b/>
          <w:kern w:val="0"/>
          <w:szCs w:val="21"/>
          <w:highlight w:val="none"/>
        </w:rPr>
        <w:t>．安全、治安保卫和环境保护</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10.2 承包人的安全责任</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本款增加以下内容：</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10.2.10 施工安全</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发包人应负责统一管理本工程的施工作业安全以及消防、防汛和抗灾等工作。监理人应按有关法律、法规和规章以及本合同的有关规定，检查、监督施工安全工作的实施，承包人应认真执行监理人有关安全管理工作的指示。监理人在检查中发现施工中存在不安全因素，应及时指示承包人采取有效措施予以改正，若承包人放意延误或拒绝改正时，则监理人有权责令其停工整改。</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承包人应按合同规定履行其安全职责。承包人应设置必要的安全管理机构和配备专职的安全人员，加强对施工作业安全的管理，特别应加强易燃、易爆材料、火工器材和爆破作业的管理，制定安全操作规程，配备必要的安全生产设施和劳动保护用具，并经常对其职工进行施工安全教育。</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）承包人须在工地建立一支消防队伍负责全工地的消防工作，并配备必要的消防设备和救助设施，所需费用由承包人承担。</w:t>
      </w:r>
    </w:p>
    <w:p>
      <w:pPr>
        <w:autoSpaceDE w:val="0"/>
        <w:autoSpaceDN w:val="0"/>
        <w:adjustRightInd w:val="0"/>
        <w:spacing w:line="360" w:lineRule="auto"/>
        <w:ind w:firstLine="42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发包人或委托监理人在每年汛前组织承包人和有关单位进行防汛检查，并负责统一指挥全工地的防汛和抗灾工作。承包人应负责其管辖范围内的防汛和抗灾等工作，按发包人的要求和监理人的指示，做好每年的汛前检查，配置必要的防汛物资和器材，按合同规定做好汛情预报和安全渡汛工作。</w:t>
      </w:r>
    </w:p>
    <w:p>
      <w:pPr>
        <w:autoSpaceDE w:val="0"/>
        <w:autoSpaceDN w:val="0"/>
        <w:adjustRightInd w:val="0"/>
        <w:spacing w:line="360" w:lineRule="auto"/>
        <w:ind w:firstLine="42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）本工程安全生产目标：</w:t>
      </w:r>
      <w:r>
        <w:rPr>
          <w:rFonts w:ascii="宋体" w:hAnsi="宋体"/>
          <w:szCs w:val="21"/>
          <w:highlight w:val="none"/>
        </w:rPr>
        <w:t>（1）不发生较大以上安全责任事故和职业病危险事故</w:t>
      </w:r>
      <w:r>
        <w:rPr>
          <w:rFonts w:hint="eastAsia" w:ascii="宋体" w:hAnsi="宋体"/>
          <w:szCs w:val="21"/>
          <w:highlight w:val="none"/>
        </w:rPr>
        <w:t>；</w:t>
      </w:r>
      <w:r>
        <w:rPr>
          <w:rFonts w:ascii="宋体" w:hAnsi="宋体"/>
          <w:szCs w:val="21"/>
          <w:highlight w:val="none"/>
        </w:rPr>
        <w:t>（</w:t>
      </w:r>
      <w:r>
        <w:rPr>
          <w:rFonts w:hint="eastAsia" w:ascii="宋体" w:hAnsi="宋体"/>
          <w:szCs w:val="21"/>
          <w:highlight w:val="none"/>
        </w:rPr>
        <w:t>2</w:t>
      </w:r>
      <w:r>
        <w:rPr>
          <w:rFonts w:ascii="宋体" w:hAnsi="宋体"/>
          <w:szCs w:val="21"/>
          <w:highlight w:val="none"/>
        </w:rPr>
        <w:t>）每年由单位主要责任人带队组织安全生产专项检查不少于４次；（</w:t>
      </w:r>
      <w:r>
        <w:rPr>
          <w:rFonts w:hint="eastAsia" w:ascii="宋体" w:hAnsi="宋体"/>
          <w:szCs w:val="21"/>
          <w:highlight w:val="none"/>
        </w:rPr>
        <w:t>3</w:t>
      </w:r>
      <w:r>
        <w:rPr>
          <w:rFonts w:ascii="宋体" w:hAnsi="宋体"/>
          <w:szCs w:val="21"/>
          <w:highlight w:val="none"/>
        </w:rPr>
        <w:t>）事故隐患自查覆盖率达</w:t>
      </w:r>
      <w:r>
        <w:rPr>
          <w:rFonts w:hint="eastAsia" w:ascii="宋体" w:hAnsi="宋体"/>
          <w:szCs w:val="21"/>
          <w:highlight w:val="none"/>
        </w:rPr>
        <w:t>100%</w:t>
      </w:r>
      <w:r>
        <w:rPr>
          <w:rFonts w:ascii="宋体" w:hAnsi="宋体"/>
          <w:szCs w:val="21"/>
          <w:highlight w:val="none"/>
        </w:rPr>
        <w:t>以上，一般事故隐患整改率</w:t>
      </w:r>
      <w:r>
        <w:rPr>
          <w:rFonts w:hint="eastAsia" w:ascii="宋体" w:hAnsi="宋体"/>
          <w:szCs w:val="21"/>
          <w:highlight w:val="none"/>
        </w:rPr>
        <w:t>100%</w:t>
      </w:r>
      <w:r>
        <w:rPr>
          <w:rFonts w:ascii="宋体" w:hAnsi="宋体"/>
          <w:szCs w:val="21"/>
          <w:highlight w:val="none"/>
        </w:rPr>
        <w:t>，安全生产非法违法行为举报投诉查办率</w:t>
      </w:r>
      <w:r>
        <w:rPr>
          <w:rFonts w:hint="eastAsia" w:ascii="宋体" w:hAnsi="宋体"/>
          <w:szCs w:val="21"/>
          <w:highlight w:val="none"/>
        </w:rPr>
        <w:t>100%</w:t>
      </w:r>
      <w:r>
        <w:rPr>
          <w:rFonts w:hint="eastAsia" w:ascii="宋体" w:hAnsi="宋体"/>
          <w:bCs/>
          <w:snapToGrid w:val="0"/>
          <w:kern w:val="0"/>
          <w:szCs w:val="21"/>
          <w:highlight w:val="none"/>
        </w:rPr>
        <w:t>；（4）完成隐患排查治理信息平台推广应用任务；（5）完成本单位安全生产改革发展目标任务。</w:t>
      </w:r>
      <w:r>
        <w:rPr>
          <w:rFonts w:hint="eastAsia" w:ascii="宋体" w:hAnsi="宋体"/>
          <w:szCs w:val="21"/>
          <w:highlight w:val="none"/>
        </w:rPr>
        <w:t>对发生安全生产死亡事故的施工承包人，每死亡一人扣款50万元，由发包人直接从履约保证金中扣除，履约保证金不足的，从应支付的工程款扣除。发生生产安全事故，承包人应当按照国家有关伤亡事故报告和调查处理的规定，及时、如实地上报。并采取措施防止事故扩大，保护事故场。需要移动现场物品时，应当做出标记和书面记录，妥善保管有关证物。</w:t>
      </w:r>
    </w:p>
    <w:p>
      <w:pPr>
        <w:autoSpaceDE w:val="0"/>
        <w:autoSpaceDN w:val="0"/>
        <w:adjustRightInd w:val="0"/>
        <w:spacing w:line="360" w:lineRule="auto"/>
        <w:ind w:firstLine="42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）承包人必须按照国务院《建设工程安全生产管理条例》、建设部《关于落实建设工程安全生产监理责任的若干意见》（建市〔</w:t>
      </w:r>
      <w:r>
        <w:rPr>
          <w:rFonts w:ascii="宋体" w:hAnsi="宋体"/>
          <w:szCs w:val="21"/>
          <w:highlight w:val="none"/>
        </w:rPr>
        <w:t>2006</w:t>
      </w:r>
      <w:r>
        <w:rPr>
          <w:rFonts w:hint="eastAsia" w:ascii="宋体" w:hAnsi="宋体"/>
          <w:szCs w:val="21"/>
          <w:highlight w:val="none"/>
        </w:rPr>
        <w:t>〕</w:t>
      </w:r>
      <w:r>
        <w:rPr>
          <w:rFonts w:ascii="宋体" w:hAnsi="宋体"/>
          <w:szCs w:val="21"/>
          <w:highlight w:val="none"/>
        </w:rPr>
        <w:t>248</w:t>
      </w:r>
      <w:r>
        <w:rPr>
          <w:rFonts w:hint="eastAsia" w:ascii="宋体" w:hAnsi="宋体"/>
          <w:szCs w:val="21"/>
          <w:highlight w:val="none"/>
        </w:rPr>
        <w:t>号）和水利部颁布的《水利水电工程施工通用安全技术规程》（</w:t>
      </w:r>
      <w:r>
        <w:rPr>
          <w:rFonts w:ascii="宋体" w:hAnsi="宋体"/>
          <w:szCs w:val="21"/>
          <w:highlight w:val="none"/>
        </w:rPr>
        <w:t>SL398-2007</w:t>
      </w:r>
      <w:r>
        <w:rPr>
          <w:rFonts w:hint="eastAsia" w:ascii="宋体" w:hAnsi="宋体"/>
          <w:szCs w:val="21"/>
          <w:highlight w:val="none"/>
        </w:rPr>
        <w:t>）、《水利水电工程土建施工安全技术规程》（</w:t>
      </w:r>
      <w:r>
        <w:rPr>
          <w:rFonts w:ascii="宋体" w:hAnsi="宋体"/>
          <w:szCs w:val="21"/>
          <w:highlight w:val="none"/>
        </w:rPr>
        <w:t>SL399-2007</w:t>
      </w:r>
      <w:r>
        <w:rPr>
          <w:rFonts w:hint="eastAsia" w:ascii="宋体" w:hAnsi="宋体"/>
          <w:szCs w:val="21"/>
          <w:highlight w:val="none"/>
        </w:rPr>
        <w:t>）、《水利水电工程金属结构与机电设备安装安全技术规程》（</w:t>
      </w:r>
      <w:r>
        <w:rPr>
          <w:rFonts w:ascii="宋体" w:hAnsi="宋体"/>
          <w:szCs w:val="21"/>
          <w:highlight w:val="none"/>
        </w:rPr>
        <w:t>SL400-2007</w:t>
      </w:r>
      <w:r>
        <w:rPr>
          <w:rFonts w:hint="eastAsia" w:ascii="宋体" w:hAnsi="宋体"/>
          <w:szCs w:val="21"/>
          <w:highlight w:val="none"/>
        </w:rPr>
        <w:t>）、《水利水电工程施工作业人员安全操作规程》（</w:t>
      </w:r>
      <w:r>
        <w:rPr>
          <w:rFonts w:ascii="宋体" w:hAnsi="宋体"/>
          <w:szCs w:val="21"/>
          <w:highlight w:val="none"/>
        </w:rPr>
        <w:t>SL401-2007</w:t>
      </w:r>
      <w:r>
        <w:rPr>
          <w:rFonts w:hint="eastAsia" w:ascii="宋体" w:hAnsi="宋体"/>
          <w:szCs w:val="21"/>
          <w:highlight w:val="none"/>
        </w:rPr>
        <w:t>）及其他有关规律法规、制度和本合同规定，制定完善并落实安全生产工作制度和安全生产事故应急预案、根据发包人编制的本工程度汛方案和措施，制定相应的度汛方案，报发包人批准后实施。全面预防消防、防汛、环保及其他方面涉及的各类施工事故的发生，及时处理，减少损失，降低危害。上述安全生产工作制度和安全生产事故应急预案由承包人接到开工通知</w:t>
      </w:r>
      <w:r>
        <w:rPr>
          <w:rFonts w:ascii="宋体" w:hAnsi="宋体"/>
          <w:szCs w:val="21"/>
          <w:highlight w:val="none"/>
        </w:rPr>
        <w:t>7</w:t>
      </w:r>
      <w:r>
        <w:rPr>
          <w:rFonts w:hint="eastAsia" w:ascii="宋体" w:hAnsi="宋体"/>
          <w:szCs w:val="21"/>
          <w:highlight w:val="none"/>
        </w:rPr>
        <w:t>日内提交监理人审批，不能按时提交或提交的文件不合格的，按违约处理，扣除工程款</w:t>
      </w:r>
      <w:r>
        <w:rPr>
          <w:rFonts w:ascii="宋体" w:hAnsi="宋体"/>
          <w:szCs w:val="21"/>
          <w:highlight w:val="none"/>
        </w:rPr>
        <w:t>2000</w:t>
      </w:r>
      <w:r>
        <w:rPr>
          <w:rFonts w:hint="eastAsia" w:ascii="宋体" w:hAnsi="宋体"/>
          <w:szCs w:val="21"/>
          <w:highlight w:val="none"/>
        </w:rPr>
        <w:t>元，并视情节加重处罚。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7</w:t>
      </w:r>
      <w:r>
        <w:rPr>
          <w:rFonts w:hint="eastAsia" w:ascii="宋体" w:hAnsi="宋体"/>
          <w:szCs w:val="21"/>
          <w:highlight w:val="none"/>
        </w:rPr>
        <w:t>）所有进入施工现场的施工人员必须戴安全帽，管理人员佩戴胸卡，否则按每人每次扣除工程款</w:t>
      </w:r>
      <w:r>
        <w:rPr>
          <w:rFonts w:ascii="宋体" w:hAnsi="宋体"/>
          <w:szCs w:val="21"/>
          <w:highlight w:val="none"/>
        </w:rPr>
        <w:t>50</w:t>
      </w:r>
      <w:r>
        <w:rPr>
          <w:rFonts w:hint="eastAsia" w:ascii="宋体" w:hAnsi="宋体"/>
          <w:szCs w:val="21"/>
          <w:highlight w:val="none"/>
        </w:rPr>
        <w:t>元。</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8</w:t>
      </w:r>
      <w:r>
        <w:rPr>
          <w:rFonts w:hint="eastAsia" w:ascii="宋体" w:hAnsi="宋体"/>
          <w:szCs w:val="21"/>
          <w:highlight w:val="none"/>
        </w:rPr>
        <w:t>）承包人应按安全生产和文明施工的有关规定落实公示牌、警示牌、施工围蔽等相关安全生产措施，进行安全操作，所需费用包含在投标报价中。未按规定落实上述措施，每发现</w:t>
      </w:r>
      <w:r>
        <w:rPr>
          <w:rFonts w:ascii="宋体" w:hAnsi="宋体"/>
          <w:szCs w:val="21"/>
          <w:highlight w:val="none"/>
        </w:rPr>
        <w:t>1</w:t>
      </w:r>
      <w:r>
        <w:rPr>
          <w:rFonts w:hint="eastAsia" w:ascii="宋体" w:hAnsi="宋体"/>
          <w:szCs w:val="21"/>
          <w:highlight w:val="none"/>
        </w:rPr>
        <w:t>例，扣除工程款</w:t>
      </w:r>
      <w:r>
        <w:rPr>
          <w:rFonts w:ascii="宋体" w:hAnsi="宋体"/>
          <w:szCs w:val="21"/>
          <w:highlight w:val="none"/>
        </w:rPr>
        <w:t>2000</w:t>
      </w:r>
      <w:r>
        <w:rPr>
          <w:rFonts w:hint="eastAsia" w:ascii="宋体" w:hAnsi="宋体"/>
          <w:szCs w:val="21"/>
          <w:highlight w:val="none"/>
        </w:rPr>
        <w:t>元。</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9</w:t>
      </w:r>
      <w:r>
        <w:rPr>
          <w:rFonts w:hint="eastAsia" w:ascii="宋体" w:hAnsi="宋体"/>
          <w:szCs w:val="21"/>
          <w:highlight w:val="none"/>
        </w:rPr>
        <w:t>）承包人必须按照国务院《建设工程安全生产管理条例》的规定，采取必要的安全措施确保毗邻建筑物、构筑物和地下管线等的安全，所需费用已经包含在安全生产措施费或其他投标报价中。未按规定落实上述措施，每发现</w:t>
      </w:r>
      <w:r>
        <w:rPr>
          <w:rFonts w:ascii="宋体" w:hAnsi="宋体"/>
          <w:szCs w:val="21"/>
          <w:highlight w:val="none"/>
        </w:rPr>
        <w:t>1</w:t>
      </w:r>
      <w:r>
        <w:rPr>
          <w:rFonts w:hint="eastAsia" w:ascii="宋体" w:hAnsi="宋体"/>
          <w:szCs w:val="21"/>
          <w:highlight w:val="none"/>
        </w:rPr>
        <w:t>例，扣除工程款</w:t>
      </w:r>
      <w:r>
        <w:rPr>
          <w:rFonts w:ascii="宋体" w:hAnsi="宋体"/>
          <w:szCs w:val="21"/>
          <w:highlight w:val="none"/>
        </w:rPr>
        <w:t>2000</w:t>
      </w:r>
      <w:r>
        <w:rPr>
          <w:rFonts w:hint="eastAsia" w:ascii="宋体" w:hAnsi="宋体"/>
          <w:szCs w:val="21"/>
          <w:highlight w:val="none"/>
        </w:rPr>
        <w:t>元，因此发生安全事故的，按本款（</w:t>
      </w:r>
      <w:r>
        <w:rPr>
          <w:rFonts w:ascii="宋体" w:hAnsi="宋体"/>
          <w:szCs w:val="21"/>
          <w:highlight w:val="none"/>
        </w:rPr>
        <w:t>5</w:t>
      </w:r>
      <w:r>
        <w:rPr>
          <w:rFonts w:hint="eastAsia" w:ascii="宋体" w:hAnsi="宋体"/>
          <w:szCs w:val="21"/>
          <w:highlight w:val="none"/>
        </w:rPr>
        <w:t>）处理。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为了解本工程周边毗邻建筑物、构筑物和地下管线等实际情况，以便及时采取相关措施，确保周边建筑物、构筑物和地下管线等的安全，区分因施工过程中对周边建筑物、构筑物和地下管线等可能造成损坏的各方应担负的责任，承包人应按招标文件、图纸等要求及有关规定委托有资质的单位对本工程施工涉及的周边建筑物、构筑物和地下管线等进行施工前、后鉴定，出具安全鉴定报告。根据鉴定报告与周边利益人、产权发包人签订协议，协议明确由工程施工原因造成的工程周边建筑物、构筑物和地下管线等的破坏由承包人负责修缮或赔偿，此相关费用视为已包含在投标报价中。</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建筑物、构筑物和地下管线等安全鉴定内容及要求由项目管理单位明确。承包人应在施工过程中进行安全监测，项目管理单位及监理单位应监督检查承包人相关建筑物、构筑物和地下管线等安全鉴定的落实及工程实施中相关问题的处理。有关鉴定报告及协议作为合同附件资料。</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10</w:t>
      </w:r>
      <w:r>
        <w:rPr>
          <w:rFonts w:hint="eastAsia" w:ascii="宋体" w:hAnsi="宋体"/>
          <w:szCs w:val="21"/>
          <w:highlight w:val="none"/>
        </w:rPr>
        <w:t>）突发事件、应急事件处置：承包人应在第一时间对突发事件、应急事件进行处置并报告，若因处置不力或不及时、不落实有关部门及涉事第三方合法要求而造成事故及事故扩大损失，发包人可按专用合同条款4</w:t>
      </w:r>
      <w:r>
        <w:rPr>
          <w:rFonts w:ascii="宋体" w:hAnsi="宋体"/>
          <w:szCs w:val="21"/>
          <w:highlight w:val="none"/>
        </w:rPr>
        <w:t>.3</w:t>
      </w:r>
      <w:r>
        <w:rPr>
          <w:rFonts w:hint="eastAsia" w:ascii="宋体" w:hAnsi="宋体"/>
          <w:szCs w:val="21"/>
          <w:highlight w:val="none"/>
        </w:rPr>
        <w:t>支取履约担保资金及处理后续工作。此外，发包人视情节影响严重程度，可对每宗事件处罚人民币</w:t>
      </w:r>
      <w:r>
        <w:rPr>
          <w:rFonts w:ascii="宋体" w:hAnsi="宋体"/>
          <w:szCs w:val="21"/>
          <w:highlight w:val="none"/>
        </w:rPr>
        <w:t>5</w:t>
      </w:r>
      <w:r>
        <w:rPr>
          <w:rFonts w:hint="eastAsia" w:ascii="宋体" w:hAnsi="宋体"/>
          <w:szCs w:val="21"/>
          <w:highlight w:val="none"/>
        </w:rPr>
        <w:t>至</w:t>
      </w:r>
      <w:r>
        <w:rPr>
          <w:rFonts w:ascii="宋体" w:hAnsi="宋体"/>
          <w:szCs w:val="21"/>
          <w:highlight w:val="none"/>
        </w:rPr>
        <w:t>10</w:t>
      </w:r>
      <w:r>
        <w:rPr>
          <w:rFonts w:hint="eastAsia" w:ascii="宋体" w:hAnsi="宋体"/>
          <w:szCs w:val="21"/>
          <w:highlight w:val="none"/>
        </w:rPr>
        <w:t>万元，并纳入诚信管理系统。</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11</w:t>
      </w:r>
      <w:r>
        <w:rPr>
          <w:rFonts w:hint="eastAsia" w:ascii="宋体" w:hAnsi="宋体"/>
          <w:szCs w:val="21"/>
          <w:highlight w:val="none"/>
        </w:rPr>
        <w:t>）承包人必须配备应急和备用电源、水源等，避免不可预见的突然停电、停水对工程正常和安全施工造成影响，所需费用已经包含在安全生产措施费或其他投标报价中。</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12</w:t>
      </w:r>
      <w:r>
        <w:rPr>
          <w:rFonts w:hint="eastAsia" w:ascii="宋体" w:hAnsi="宋体"/>
          <w:szCs w:val="21"/>
          <w:highlight w:val="none"/>
        </w:rPr>
        <w:t>）工程安全监督部门以及建设或水行政主管部门检查指出的安全问题，除返工整顿外，每个问题扣除工程款</w:t>
      </w:r>
      <w:r>
        <w:rPr>
          <w:rFonts w:ascii="宋体" w:hAnsi="宋体"/>
          <w:szCs w:val="21"/>
          <w:highlight w:val="none"/>
        </w:rPr>
        <w:t>5000</w:t>
      </w:r>
      <w:r>
        <w:rPr>
          <w:rFonts w:hint="eastAsia" w:ascii="宋体" w:hAnsi="宋体"/>
          <w:szCs w:val="21"/>
          <w:highlight w:val="none"/>
        </w:rPr>
        <w:t>元。</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13</w:t>
      </w:r>
      <w:r>
        <w:rPr>
          <w:rFonts w:hint="eastAsia" w:ascii="宋体" w:hAnsi="宋体"/>
          <w:szCs w:val="21"/>
          <w:highlight w:val="none"/>
        </w:rPr>
        <w:t>）安全文明管理：按照《广州市建设工程安全文明施工管理规定》（广州市人民政府令第</w:t>
      </w:r>
      <w:r>
        <w:rPr>
          <w:rFonts w:ascii="宋体" w:hAnsi="宋体"/>
          <w:szCs w:val="21"/>
          <w:highlight w:val="none"/>
        </w:rPr>
        <w:t xml:space="preserve"> 62 </w:t>
      </w:r>
      <w:r>
        <w:rPr>
          <w:rFonts w:hint="eastAsia" w:ascii="宋体" w:hAnsi="宋体"/>
          <w:szCs w:val="21"/>
          <w:highlight w:val="none"/>
        </w:rPr>
        <w:t>号）执行。应急预案的处理应符合穗府办【</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号文关于企业先期处理相关要求，承包人为企业先期处置的主责单位，项目负责人为第一责任人。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10.2.11 承包人的其他安全责任</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承包人应建立健全建筑施工安全生产组织机构和安全保证体系，落实安全生产责任制，按照工程建设安全生产的有关管理规定，采取相应措施，负责现场全部作业的安全，并对此承担全部责任。承包人的主要负责人、项目负责人、专职安全生产管理人员应当经水行政主管部门安全生产考核合格后方可任职。承包人应当对管理人员和作业人员进行安全生产教育培训，其教育培训情况记入个人工作档案。安全生产教育培训考核不合格的人员，不得上岗。承包人在采用新技术、新工艺、新设备、新材料时，应当对作业人员进行相应的安全生产教育培训。承包人应当根据水利工程施工的特点和范围，对施工现场易发生重大事故的部位、环节进行监控，制定施工现场生产安全事故应急救援预案。按照应急救援预案，建立应急救援组织或者配备应急救援人员，配备救援器本设备，并组织演练。</w:t>
      </w:r>
    </w:p>
    <w:p>
      <w:pPr>
        <w:autoSpaceDE w:val="0"/>
        <w:autoSpaceDN w:val="0"/>
        <w:adjustRightInd w:val="0"/>
        <w:spacing w:line="360" w:lineRule="auto"/>
        <w:ind w:firstLine="420" w:firstLineChars="200"/>
        <w:jc w:val="left"/>
        <w:rPr>
          <w:rFonts w:ascii="宋体" w:hAnsi="宋体"/>
          <w:kern w:val="0"/>
          <w:szCs w:val="21"/>
          <w:highlight w:val="none"/>
        </w:rPr>
      </w:pPr>
      <w:r>
        <w:rPr>
          <w:rFonts w:hint="eastAsia" w:ascii="宋体" w:hAnsi="宋体"/>
          <w:szCs w:val="21"/>
          <w:highlight w:val="none"/>
        </w:rPr>
        <w:t>（2）承包人应当按照有关</w:t>
      </w:r>
      <w:r>
        <w:rPr>
          <w:rFonts w:hint="eastAsia" w:ascii="宋体" w:hAnsi="宋体"/>
          <w:kern w:val="0"/>
          <w:szCs w:val="21"/>
          <w:highlight w:val="none"/>
        </w:rPr>
        <w:t>规定编制安全技术措施或者专项施工方案，</w:t>
      </w:r>
      <w:r>
        <w:rPr>
          <w:rFonts w:hint="eastAsia" w:ascii="宋体" w:hAnsi="宋体"/>
          <w:szCs w:val="21"/>
          <w:highlight w:val="none"/>
        </w:rPr>
        <w:t>建立安全生产责任制度、治安保卫制度及安全生产教育培训制度，并</w:t>
      </w:r>
      <w:r>
        <w:rPr>
          <w:rFonts w:hint="eastAsia" w:ascii="宋体" w:hAnsi="宋体"/>
          <w:kern w:val="0"/>
          <w:szCs w:val="21"/>
          <w:highlight w:val="none"/>
        </w:rPr>
        <w:t>按安全生产法律规定及合同约定履行安全职责，如实</w:t>
      </w:r>
      <w:r>
        <w:rPr>
          <w:rFonts w:hint="eastAsia" w:ascii="宋体" w:hAnsi="宋体"/>
          <w:szCs w:val="21"/>
          <w:highlight w:val="none"/>
        </w:rPr>
        <w:t>编制工程安全生产的有关记录，</w:t>
      </w:r>
      <w:r>
        <w:rPr>
          <w:rFonts w:hint="eastAsia" w:ascii="宋体" w:hAnsi="宋体"/>
          <w:kern w:val="0"/>
          <w:szCs w:val="21"/>
          <w:highlight w:val="none"/>
        </w:rPr>
        <w:t>接受发包人、监理人及政府安全监督部门的检查与监督。</w:t>
      </w:r>
    </w:p>
    <w:p>
      <w:pPr>
        <w:spacing w:line="360" w:lineRule="auto"/>
        <w:ind w:firstLine="420" w:firstLineChars="200"/>
        <w:rPr>
          <w:rFonts w:ascii="宋体" w:hAnsi="宋体"/>
          <w:szCs w:val="21"/>
          <w:highlight w:val="none"/>
        </w:rPr>
      </w:pPr>
      <w:r>
        <w:rPr>
          <w:rFonts w:hint="eastAsia" w:ascii="宋体" w:hAnsi="宋体"/>
          <w:szCs w:val="21"/>
          <w:highlight w:val="none"/>
        </w:rPr>
        <w:t>（3）需单独编制危险性较大分部分项专项工程施工方案的，及要求进行专家论证的超过一定规模的危险性较大的分部分项工程，承包人应及时编制和组织论证。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rPr>
          <w:rFonts w:ascii="宋体" w:hAnsi="宋体"/>
          <w:szCs w:val="21"/>
          <w:highlight w:val="none"/>
        </w:rPr>
      </w:pPr>
      <w:r>
        <w:rPr>
          <w:rFonts w:hint="eastAsia" w:ascii="宋体" w:hAnsi="宋体"/>
          <w:szCs w:val="21"/>
          <w:highlight w:val="none"/>
        </w:rPr>
        <w:t>（4）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（5）承包人在动力设备、输电线路、地下管道、密封防震车间、易燃易爆地段以及临街交通要道附近施工时，施工开始前应向发包人和监理人提出安全防护措施，经发包人认可后实施。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rPr>
          <w:rFonts w:ascii="宋体" w:hAnsi="宋体"/>
          <w:szCs w:val="21"/>
          <w:highlight w:val="none"/>
        </w:rPr>
      </w:pPr>
      <w:r>
        <w:rPr>
          <w:rFonts w:hint="eastAsia" w:ascii="宋体" w:hAnsi="宋体"/>
          <w:szCs w:val="21"/>
          <w:highlight w:val="none"/>
        </w:rPr>
        <w:t>（6）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rPr>
          <w:rFonts w:ascii="宋体" w:hAnsi="宋体"/>
          <w:szCs w:val="21"/>
          <w:highlight w:val="none"/>
        </w:rPr>
      </w:pPr>
      <w:r>
        <w:rPr>
          <w:rFonts w:hint="eastAsia" w:ascii="宋体" w:hAnsi="宋体"/>
          <w:szCs w:val="21"/>
          <w:highlight w:val="none"/>
        </w:rPr>
        <w:t>（7）承包人有权拒绝发包人及监理人强令承包人违章作业、冒险施工的任何指示。</w:t>
      </w:r>
    </w:p>
    <w:p>
      <w:pPr>
        <w:spacing w:line="360" w:lineRule="auto"/>
        <w:ind w:firstLine="420" w:firstLineChars="200"/>
        <w:rPr>
          <w:rFonts w:ascii="宋体" w:hAnsi="宋体"/>
          <w:kern w:val="0"/>
          <w:szCs w:val="21"/>
          <w:highlight w:val="none"/>
        </w:rPr>
      </w:pPr>
      <w:r>
        <w:rPr>
          <w:rFonts w:hint="eastAsia" w:ascii="宋体" w:hAnsi="宋体"/>
          <w:kern w:val="0"/>
          <w:szCs w:val="21"/>
          <w:highlight w:val="none"/>
        </w:rPr>
        <w:t>（8）承包人在施工中必须加强对自身及各专业分包单位在安全施工方面的检查、监督管理；若被发现存在严重安全隐患的，按照本合同条款约定承担违约责任。</w:t>
      </w:r>
    </w:p>
    <w:p>
      <w:pPr>
        <w:spacing w:line="360" w:lineRule="auto"/>
        <w:ind w:firstLine="420" w:firstLineChars="200"/>
        <w:rPr>
          <w:rFonts w:ascii="宋体" w:hAnsi="宋体"/>
          <w:szCs w:val="21"/>
          <w:highlight w:val="none"/>
        </w:rPr>
      </w:pPr>
      <w:r>
        <w:rPr>
          <w:rFonts w:hint="eastAsia" w:ascii="宋体" w:hAnsi="宋体"/>
          <w:szCs w:val="21"/>
          <w:highlight w:val="none"/>
        </w:rPr>
        <w:t>（9）现场作业人员必须接受包括但不限于交通安全培训的安全教育，交通疏解人员专职专用，不得挪做他用，承包人必须给现场作业人员购买意外伤害险等保险。</w:t>
      </w:r>
    </w:p>
    <w:p>
      <w:pPr>
        <w:spacing w:line="360" w:lineRule="auto"/>
        <w:ind w:firstLine="420" w:firstLineChars="200"/>
        <w:rPr>
          <w:rFonts w:ascii="宋体" w:hAnsi="宋体"/>
          <w:kern w:val="0"/>
          <w:szCs w:val="21"/>
          <w:highlight w:val="none"/>
        </w:rPr>
      </w:pPr>
      <w:r>
        <w:rPr>
          <w:rFonts w:hint="eastAsia" w:ascii="宋体" w:hAnsi="宋体"/>
          <w:szCs w:val="21"/>
          <w:highlight w:val="none"/>
        </w:rPr>
        <w:t>（10）</w:t>
      </w:r>
      <w:r>
        <w:rPr>
          <w:rFonts w:hint="eastAsia" w:ascii="宋体" w:hAnsi="宋体"/>
          <w:kern w:val="0"/>
          <w:szCs w:val="21"/>
          <w:highlight w:val="none"/>
        </w:rPr>
        <w:t>在需要的时间和地点，根据总监理工程师、发包人或者当地政府的要求，自费提供和维持所有的照明灯光、护板、围墙、栅栏、警告信号标志和值班人员，对工程进行保护和为公众提供安全和方便。</w:t>
      </w:r>
      <w:r>
        <w:rPr>
          <w:rFonts w:hint="eastAsia" w:ascii="宋体" w:hAnsi="宋体"/>
          <w:szCs w:val="21"/>
          <w:highlight w:val="none"/>
        </w:rPr>
        <w:t>该费用已包含在签约承包人投标价中，承包人不得向发包人另外收取任何费用。</w:t>
      </w:r>
      <w:r>
        <w:rPr>
          <w:rFonts w:hint="eastAsia" w:ascii="宋体" w:hAnsi="宋体"/>
          <w:kern w:val="0"/>
          <w:szCs w:val="21"/>
          <w:highlight w:val="none"/>
        </w:rPr>
        <w:t>若承包人未履行上述义务造成工程、财产、人身损害等，由承包人承担责任及因此所发生的一切费用。</w:t>
      </w:r>
    </w:p>
    <w:p>
      <w:pPr>
        <w:spacing w:line="360" w:lineRule="auto"/>
        <w:ind w:firstLine="420" w:firstLineChars="200"/>
        <w:rPr>
          <w:rFonts w:ascii="宋体" w:hAnsi="宋体"/>
          <w:kern w:val="0"/>
          <w:szCs w:val="21"/>
          <w:highlight w:val="none"/>
        </w:rPr>
      </w:pPr>
      <w:r>
        <w:rPr>
          <w:rFonts w:hint="eastAsia" w:ascii="宋体" w:hAnsi="宋体"/>
          <w:kern w:val="0"/>
          <w:szCs w:val="21"/>
          <w:highlight w:val="none"/>
        </w:rPr>
        <w:t>（11）承包人应全面关照所有留在现场上的人员的安全，保护其管辖范围内的现场以及尚未完工的和发包人尚未占用的工程处于有条不紊和良好的状态。</w:t>
      </w:r>
    </w:p>
    <w:p>
      <w:pPr>
        <w:spacing w:line="360" w:lineRule="auto"/>
        <w:ind w:firstLine="420" w:firstLineChars="200"/>
        <w:rPr>
          <w:rFonts w:ascii="宋体" w:hAnsi="宋体"/>
          <w:kern w:val="0"/>
          <w:szCs w:val="21"/>
          <w:highlight w:val="none"/>
        </w:rPr>
      </w:pPr>
      <w:r>
        <w:rPr>
          <w:rFonts w:hint="eastAsia" w:ascii="宋体" w:hAnsi="宋体"/>
          <w:kern w:val="0"/>
          <w:szCs w:val="21"/>
          <w:highlight w:val="none"/>
        </w:rPr>
        <w:t>（12）视频监控安装约定：承包人应在工地现场装备实时监控系统，并符合发包人和政府相关主管部门的要求，由此产生的一切费用已包含在承包人投标价中（包括接入发包人办公室的视频监控系统费用）。</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10.3 治安保卫</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删除本款全文，代之以：</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“本工程施工范围内的治安保卫责任由承包人负责协助当地公安部门落实。”</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10.4 环境保护</w:t>
      </w:r>
    </w:p>
    <w:p>
      <w:pPr>
        <w:spacing w:line="360" w:lineRule="auto"/>
        <w:ind w:firstLine="420" w:firstLineChars="200"/>
        <w:rPr>
          <w:rFonts w:ascii="宋体" w:hAnsi="宋体"/>
          <w:kern w:val="0"/>
          <w:szCs w:val="21"/>
          <w:highlight w:val="none"/>
        </w:rPr>
      </w:pPr>
      <w:r>
        <w:rPr>
          <w:rFonts w:hint="eastAsia" w:ascii="宋体" w:hAnsi="宋体"/>
          <w:kern w:val="0"/>
          <w:szCs w:val="21"/>
          <w:highlight w:val="none"/>
        </w:rPr>
        <w:t>10.4.2承包人应在进入现场前提交一式四份施工期间的环境保护方案，经监理工程师批准后实施。环境保护方案必须包括：施工现场所必须的照明灯光、护板、围护、栅栏、警告标志和值班人员名单，以及建筑垃圾、施工和生活污水、噪音、粉尘的处理排放。方案在实施过程中所采用的材料、设备等应与本项目的环境影响评价报告中的要求一致，且须符合法律规定和发包人的要求。</w:t>
      </w:r>
    </w:p>
    <w:p>
      <w:pPr>
        <w:spacing w:line="360" w:lineRule="auto"/>
        <w:ind w:firstLine="420" w:firstLineChars="200"/>
        <w:rPr>
          <w:rFonts w:ascii="宋体" w:hAnsi="宋体"/>
          <w:kern w:val="0"/>
          <w:szCs w:val="21"/>
          <w:highlight w:val="none"/>
        </w:rPr>
      </w:pPr>
      <w:r>
        <w:rPr>
          <w:rFonts w:hint="eastAsia" w:ascii="宋体" w:hAnsi="宋体"/>
          <w:kern w:val="0"/>
          <w:szCs w:val="21"/>
          <w:highlight w:val="none"/>
        </w:rPr>
        <w:t>对于承包人施工过程中造成的环境污染问题，经发包人或者监理工程师指出后，承包人未能在24小时之内采取整治措施，或者所采取的整治措施未有效消除污染的，发包人可以自行或者委托他人代为整治，由此所产生的一切损失、费用均由承包人承担。</w:t>
      </w:r>
    </w:p>
    <w:p>
      <w:pPr>
        <w:spacing w:line="360" w:lineRule="auto"/>
        <w:ind w:firstLine="420" w:firstLineChars="200"/>
        <w:rPr>
          <w:rFonts w:ascii="宋体" w:hAnsi="宋体"/>
          <w:kern w:val="0"/>
          <w:szCs w:val="21"/>
          <w:highlight w:val="none"/>
        </w:rPr>
      </w:pPr>
      <w:r>
        <w:rPr>
          <w:rFonts w:hint="eastAsia" w:ascii="宋体" w:hAnsi="宋体"/>
          <w:kern w:val="0"/>
          <w:szCs w:val="21"/>
          <w:highlight w:val="none"/>
        </w:rPr>
        <w:t>承包人须按照广州市关于扬尘污染防治的最新规定和要求，对现场的扬尘污染采取相关措施，并严格接受发包人及上级部门的检查和监督。</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增加条款：</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10.4.4 排水、排污费用</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施工过程中排水、排污所需的费用由承包人承担，</w:t>
      </w:r>
      <w:r>
        <w:rPr>
          <w:rFonts w:hint="eastAsia" w:ascii="宋体" w:hAnsi="宋体"/>
          <w:kern w:val="0"/>
          <w:szCs w:val="21"/>
          <w:highlight w:val="none"/>
        </w:rPr>
        <w:t>已包含在承包人投标价中</w:t>
      </w:r>
      <w:r>
        <w:rPr>
          <w:rFonts w:hint="eastAsia" w:ascii="宋体" w:hAnsi="宋体" w:cs="宋体"/>
          <w:kern w:val="0"/>
          <w:szCs w:val="21"/>
          <w:highlight w:val="none"/>
        </w:rPr>
        <w:t>。</w:t>
      </w:r>
    </w:p>
    <w:p>
      <w:pPr>
        <w:autoSpaceDE w:val="0"/>
        <w:autoSpaceDN w:val="0"/>
        <w:adjustRightInd w:val="0"/>
        <w:spacing w:line="360" w:lineRule="auto"/>
        <w:ind w:firstLine="420" w:firstLineChars="200"/>
        <w:jc w:val="left"/>
        <w:rPr>
          <w:rFonts w:ascii="宋体" w:hAnsi="宋体" w:cs="宋体"/>
          <w:bCs/>
          <w:szCs w:val="21"/>
          <w:highlight w:val="none"/>
        </w:rPr>
      </w:pPr>
      <w:r>
        <w:rPr>
          <w:rFonts w:hint="eastAsia" w:ascii="宋体" w:hAnsi="宋体" w:cs="宋体"/>
          <w:bCs/>
          <w:szCs w:val="21"/>
          <w:highlight w:val="none"/>
        </w:rPr>
        <w:t>增加10.7 绿色施工</w:t>
      </w:r>
    </w:p>
    <w:p>
      <w:pPr>
        <w:spacing w:line="360" w:lineRule="auto"/>
        <w:ind w:firstLine="420" w:firstLineChars="200"/>
        <w:rPr>
          <w:rFonts w:ascii="宋体" w:hAnsi="宋体"/>
          <w:szCs w:val="21"/>
          <w:highlight w:val="none"/>
        </w:rPr>
      </w:pPr>
      <w:r>
        <w:rPr>
          <w:rFonts w:hint="eastAsia" w:ascii="宋体" w:hAnsi="宋体"/>
          <w:szCs w:val="21"/>
          <w:highlight w:val="none"/>
        </w:rPr>
        <w:t>（1）施工管理要求。加强绿色施工管理，主要包括组织管理、规划管理、实施管理、评价管理和人员安全与健康管理五个方面。建立绿色施工管理体系，并制定相应的管理制度与目标；编制绿色施工方案，该方案应在施工组织设计中独立成章，并按有关规定进行审批；绿色施工应对整个施工过程实施动态管理，加强对施工策划、施工准备、材料采购、现场施工、工程验收等各阶段的管理和监督。</w:t>
      </w:r>
    </w:p>
    <w:p>
      <w:pPr>
        <w:spacing w:line="360" w:lineRule="auto"/>
        <w:ind w:firstLine="420" w:firstLineChars="200"/>
        <w:rPr>
          <w:rFonts w:ascii="宋体" w:hAnsi="宋体"/>
          <w:szCs w:val="21"/>
          <w:highlight w:val="none"/>
        </w:rPr>
      </w:pPr>
      <w:r>
        <w:rPr>
          <w:rFonts w:hint="eastAsia" w:ascii="宋体" w:hAnsi="宋体"/>
          <w:szCs w:val="21"/>
          <w:highlight w:val="none"/>
        </w:rPr>
        <w:t>（2）环境保护要求。对土方作业阶段、结构安装装饰阶段作业区扬尘高度进行监控，采用喷雾、洒水等措施进行治理；同时做好对噪音与振动控制、光污染控制、水污染控制、土壤保护、建筑垃圾控制、地下设施、文物和资源保护等方面控制。</w:t>
      </w:r>
    </w:p>
    <w:p>
      <w:pPr>
        <w:spacing w:line="360" w:lineRule="auto"/>
        <w:ind w:firstLine="420" w:firstLineChars="200"/>
        <w:rPr>
          <w:rFonts w:ascii="宋体" w:hAnsi="宋体"/>
          <w:szCs w:val="21"/>
          <w:highlight w:val="none"/>
        </w:rPr>
      </w:pPr>
      <w:r>
        <w:rPr>
          <w:rFonts w:hint="eastAsia" w:ascii="宋体" w:hAnsi="宋体"/>
          <w:szCs w:val="21"/>
          <w:highlight w:val="none"/>
        </w:rPr>
        <w:t>（3）节材与材料资源利用。优化模板及支撑体系方案，采用工具式模板、钢制大模板和早拆支撑体系，采用定型钢模、钢框竹模、竹胶板代替木模板； 钢筋制作采用专业化加工、配送；使用预拌混凝土和商品砂浆。</w:t>
      </w:r>
    </w:p>
    <w:p>
      <w:pPr>
        <w:spacing w:line="360" w:lineRule="auto"/>
        <w:ind w:firstLine="420" w:firstLineChars="200"/>
        <w:rPr>
          <w:rFonts w:ascii="宋体" w:hAnsi="宋体"/>
          <w:szCs w:val="21"/>
          <w:highlight w:val="none"/>
        </w:rPr>
      </w:pPr>
      <w:r>
        <w:rPr>
          <w:rFonts w:hint="eastAsia" w:ascii="宋体" w:hAnsi="宋体"/>
          <w:szCs w:val="21"/>
          <w:highlight w:val="none"/>
        </w:rPr>
        <w:t>（4）推广使用节水与水资源利用技术，要求采取多种措施提高用水效率。如施工中采用先进的节水施工工艺；现场搅拌用水、养护用水应采取有效的节水措施，严禁无措施浇水养护混凝土；施工现场分别对生活用水与工程用水确定用水定额指标，并分别计量管理；大型工程的不同单项工程、不同标段、不同分包生活区，凡具备条件的应分别计量用水量；对混凝土搅拌站点等用水集中的区域和工艺点进行专项计量考核，施工现场建立雨水、中水或可再利用水的搜集利用系统。</w:t>
      </w:r>
    </w:p>
    <w:p>
      <w:pPr>
        <w:spacing w:line="360" w:lineRule="auto"/>
        <w:ind w:firstLine="420" w:firstLineChars="200"/>
        <w:rPr>
          <w:rFonts w:ascii="宋体" w:hAnsi="宋体"/>
          <w:szCs w:val="21"/>
          <w:highlight w:val="none"/>
        </w:rPr>
      </w:pPr>
      <w:r>
        <w:rPr>
          <w:rFonts w:hint="eastAsia" w:ascii="宋体" w:hAnsi="宋体"/>
          <w:szCs w:val="21"/>
          <w:highlight w:val="none"/>
        </w:rPr>
        <w:t>（5）量化指标要求</w:t>
      </w:r>
    </w:p>
    <w:p>
      <w:pPr>
        <w:spacing w:line="360" w:lineRule="auto"/>
        <w:ind w:firstLine="420" w:firstLineChars="200"/>
        <w:rPr>
          <w:rFonts w:ascii="宋体" w:hAnsi="宋体"/>
          <w:szCs w:val="21"/>
          <w:highlight w:val="none"/>
        </w:rPr>
      </w:pPr>
      <w:r>
        <w:rPr>
          <w:rFonts w:hint="eastAsia" w:ascii="宋体" w:hAnsi="宋体"/>
          <w:szCs w:val="21"/>
          <w:highlight w:val="none"/>
        </w:rPr>
        <w:t>在环境保护方面，按《广州市住房和城乡建设委员会关于印发广州市建设工程绿色施工围蔽指导突击（V1.0试行版）的通知》（穗建质【2018】1953号）、《广州市住房和城乡建设委员会关于实施《广州市建设工程绿色施工围蔽指导突击（V1.0试行版）》的补充通知》（穗建质【2018】2281号）、《广州市住房和城乡建设委员会关于印发建设工程扬尘防治“6个100%”管理标准细化措施的通知》（穗建质【2018】1394号）的规定。</w:t>
      </w:r>
    </w:p>
    <w:p>
      <w:pPr>
        <w:spacing w:line="360" w:lineRule="auto"/>
        <w:ind w:firstLine="420" w:firstLineChars="200"/>
        <w:rPr>
          <w:rFonts w:ascii="宋体" w:hAnsi="宋体"/>
          <w:szCs w:val="21"/>
          <w:highlight w:val="none"/>
        </w:rPr>
      </w:pPr>
      <w:r>
        <w:rPr>
          <w:rFonts w:hint="eastAsia" w:ascii="宋体" w:hAnsi="宋体"/>
          <w:szCs w:val="21"/>
          <w:highlight w:val="none"/>
        </w:rPr>
        <w:t>在节水与水资源利用方面，施工现场办公区、生活区的生活用水采用节水系统和节水器具，提高节水器具配置比率；施工中非传统水源和循环水的再利用量大于30%。</w:t>
      </w:r>
    </w:p>
    <w:p>
      <w:pPr>
        <w:spacing w:line="360" w:lineRule="auto"/>
        <w:ind w:firstLine="420" w:firstLineChars="200"/>
        <w:rPr>
          <w:rFonts w:ascii="宋体" w:hAnsi="宋体"/>
          <w:szCs w:val="21"/>
          <w:highlight w:val="none"/>
        </w:rPr>
      </w:pPr>
      <w:r>
        <w:rPr>
          <w:rFonts w:hint="eastAsia" w:ascii="宋体" w:hAnsi="宋体"/>
          <w:szCs w:val="21"/>
          <w:highlight w:val="none"/>
        </w:rPr>
        <w:t>在节能与能源利用方面，施工临时用电采用声控、光控等节能照明灯具；照明设计以满足最低照度为原则，照度不应超过最低照度的20％。</w:t>
      </w:r>
    </w:p>
    <w:p>
      <w:pPr>
        <w:spacing w:line="360" w:lineRule="auto"/>
        <w:ind w:firstLine="420" w:firstLineChars="200"/>
        <w:rPr>
          <w:rFonts w:ascii="宋体" w:hAnsi="宋体"/>
          <w:highlight w:val="none"/>
        </w:rPr>
      </w:pPr>
      <w:r>
        <w:rPr>
          <w:rFonts w:hint="eastAsia" w:ascii="宋体" w:hAnsi="宋体"/>
          <w:szCs w:val="21"/>
          <w:highlight w:val="none"/>
        </w:rPr>
        <w:t>在节地与施工用地保护方面，临时设施的占地面积应按用地指标所需的最低面积设计；临时设施占地面积有效利用率大于90%。</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承包人在施工期间涉及电力设施的，须接受当地供电管理部门的管理和监督。</w:t>
      </w:r>
    </w:p>
    <w:p>
      <w:pPr>
        <w:autoSpaceDE w:val="0"/>
        <w:autoSpaceDN w:val="0"/>
        <w:adjustRightInd w:val="0"/>
        <w:spacing w:line="360" w:lineRule="auto"/>
        <w:ind w:firstLine="422" w:firstLineChars="200"/>
        <w:jc w:val="left"/>
        <w:rPr>
          <w:rFonts w:ascii="宋体" w:hAnsi="宋体"/>
          <w:b/>
          <w:szCs w:val="21"/>
          <w:highlight w:val="none"/>
        </w:rPr>
      </w:pPr>
      <w:r>
        <w:rPr>
          <w:rFonts w:hint="eastAsia" w:ascii="宋体" w:hAnsi="宋体"/>
          <w:b/>
          <w:szCs w:val="21"/>
          <w:highlight w:val="none"/>
        </w:rPr>
        <w:t>增加10.8补充条款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承包人应按合同约定的安全工作内容在开工前编制安全文明施工费资金使用计划，报监理工程师、发包人审批。按照《广州市建筑工程安全生产措施管理费管理办法》规定安全生产措施费专款专用。安全生产措施费按相关部门、机构审定的本工程招标控制价及《转发省建设厅关于安全防护、文明施工措施费用计算补充规定的通知》（穗建筑[2008]967号文）及相关补充说明执行，从工程施工合同价中提取，专款专用。由建设安监机构和监理人分阶段对施工现场进行安全生产检查，达到合格者经安监机构批准，一周内划拨给承包人。经审查符合开工条件支付50％；工程进度完成50%后支付40％，工程竣工，安全评价合格后支付10％。</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增加10.9补充条款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发包人按照《广州市建设工程文明施工管理规定》、《广州市委宣传部、广州市住房和城乡建设委员会、广州市城市管理委员会关于完善广州市建设工程施工围蔽管理提升实施技术要求和标准图集的通知》、《关于加强户外公益广告检查和管理工作的通知》等相关法律法规，落实安全、文明施工措施费用，检查、督促、协助承包人实施文明施工，不得要求承包人降低文明施工标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1、承包人负有实施文明施工的责任，项目负责人是本工程项目的文明施工直接责任人。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2、承包人对本工程文明施工应实现施工封闭化、围栏标准化、现场硬地化、厨房厕所卫生化、宿舍和办公室规范化。应减少对周围环境的污染和影响．鼓励美化建设工程周围环境。</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3、项目负责人必须制定并监督执行文明施工的目标、标准、制度以及工程各阶段实施文明施工的计划和措施，指定各作业场所、材料堆放场、生活设施的文明施工责任人。</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文明施工制度的内容包括：</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（一）各责任人的权利和义务；</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（二）环境管理；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（三）场地设施管理；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（四）安全生产和防火管理；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（五）教育培训；</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（六）检查验收要求；</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（七）卫生管理。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4、承包人应“建立文明施工档案，将施工现场文明施工的各项制度的执行情况，质监、监理等部门对施工现场检查情况一并归档。档案资料应及时、准确、真实、完整。</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5、承包人应当加强施工队伍的全面管理，坚持岗前培训和持证上岗，严禁接受“无暂住证、无劳动就业证、无计划生育证”人员。施工现场的管理人员和作业人员应当在胸前佩戴“平安卡”。</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6、承包人应当做好建设工地施工现场安全保卫工作，落实防盗、防火措施，对各类违法行为和犯罪行为要及时制止，并报告公安机关，要积极主动地处理好与周边居民、企事业单位的友好合作关系，尊重当地社区各行政主管部门，自觉遵守社区行政管理规定。</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7、施工作业区与办公、生活区必须明显划分，并采取相应的隔离措施。施工现场实行封闭式施工。现场四周除留必要的人员、车辆进出口通道外，施工单位必须在施工开始前设置好连续封闭的围板，其高度从内外地面最高处计，不得低于2.5米。在例行检查中累计5次发现承包人未按规定进行围蔽的，发包人有权将围蔽费用从合同总价中剥离。</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8、施工围蔽按照《广州市住房和城乡建设委员会关于印发广州市建设工程绿色施工围蔽指导突击（V1.0试行版）的通知》（穗建质【2018】1953号）、《广州市住房和城乡建设委员会关于实施《广州市建设工程绿色施工围蔽指导突击（V1.0试行版）》的补充通知》（穗建质【2018】2281号）、《广州市住房和城乡建设委员会关于印发建设工程扬尘防治“6个100%”管理标准细化措施的通知》（穗建质【2018】1394号）实施。</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（1）工期在半年以下15日以上</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1）采用轻型钢架铝扣板、装配式双面彩钢夹心板或钢架围板封闭，鼓励采用钢架可装配式材料。</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围板高度不得低于2.5米，围板用角钢支撑，并通过C型钢柱与在地面固结，钢柱间距不大于3.3米，围板柱顶应设置造型，每隔一个立柱须在柱顶安装圆型节能LED灯具，电压应低于36V，并采取措施保证用电安全，各单元四边须加固压边。</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3）支柱、支座、弧形彩色压型钢板的连接必须牢固、安全、可靠，围板颜色应一致。</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4）临近机动车道德围板应设置成品铸铁或钢制防撞杆，按交通相关管理规定及相关标准设置夜间反光警示标志。</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5）市属在建水务工程工地围档（围蔽、围墙），按 《 通知 》 要求“统一刊载以核心价值观和中国梦为主题的公益广告，每处工地围挡中公益广告需达到工地围挡总面积的 70 % ，无设置证情况下公益广告刊登比例达到 100 % ”完成刊登任务。围板外立面及其广告宣传画等要定期维护、清洗和更换，保持围板立面的整洁清爽。</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（2）工期在15日以下</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1）采用标准密扣式钢围栏围蔽。</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2）标准密扣式钢围栏应密排整齐，相邻单元间应扣接。</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3）临近机动车道的围蔽应按交通相关管理规定设置夜间反光警示标志。</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9、工地内车辆出入口应当设置用混凝土挠捣的由宽30厘米、深40厘米沟糟围成宽3米、长5米的矩形洗车场地和沉淀池、高压冲洗水枪，驶出工地的机动车辆必须在工地出入口洗车场内冲洗干净方可上路行驶。</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10、施工现场应进行硬地化，施工现场的工地大门内外通道、临时设施室内地面、材料堆放场、加工场、仓库地面等要求浇厚度不小于20厘米，强度不少于 C15 的混凝土硬底，机动车通道的宽度不少于3.5米，其外侧设里排水沟、浆槽．施工现场内裸置三个月以上的土地，应当采取绿化措施；裸置三个月以下的土地，应当采取履盖、压实、洒水等压尘措施。</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11、施工现场的建设材料和设备设施，必须按照施工总平面图划定的区域存放，并设置标签，不得堆放在围墙、围板或围栏外，如确需要占用堆放的，必须按有关规定办理手续，并设置临时围栏。</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12、施工现场必须道路畅通，设置连续、通畅的排水设施和其他应急设施，场地内不得大面积积水，泥浆、污水、废水必须经硬底硬壁沉淀池沉淀及其他必要处理．未经处理禁止排入下水道．废浆和淤泥必须使用封闭的专用车辆进行运输。</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13、施工垃圾应当设立垃级池集中堆放并及时清理。</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14、施工现场办公室内应在醒目处张贴施工许可证、余泥渣土排放证、夜间施工许可证等证件的复印件，悬挂质量管理、文明施工、安全生产制度和组织机构表、施工现场平面布置图。</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15、施工现场应当设置一个集体厨房，位置原则上远离厕所30米以上，远离建筑物排栅、作业场所、污水沟及其他污染源20米以上。厨房内要求通风、卫生，经常保持清洁。</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16、工程完工后，且经业主及监理同意后，施工单位应当在一个月内（市政道路工程在通车半个月内）拆除工地围蔽，安全防护设施和其他临时设施，做到“工完料净、场地清”，工地及四周环境要及时清理干净．拆除工程完工后30日内不能开工的建设用地，必须采取履盖、地面硬化、简易绿化等措施控制扬尘。</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11. 开始工作和竣工</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11.1 开始工作</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开始工作的条件：本合同为设计施工总承包合同，自合同生效之日起开始计算工期，承包人应按此约定进场开展设计工作，并按经发包人批准的进度计划，按期开工施工。</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11.2 竣工</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预计竣工时间：见合同协议书。</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11.3 发包人的工期延误</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本款修改为：</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11.3.1本合同为设计施工总承包合同，承包人是工期控制的主体，除发包人的下列原因造成工期延误的，承包人有权要求发包人延长工期外，承包人无权要求其他的延长工期和增加费用要求。</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（l）因计划调整导致暂停施工的，延长工期；</w:t>
      </w:r>
    </w:p>
    <w:p>
      <w:pPr>
        <w:autoSpaceDE w:val="0"/>
        <w:autoSpaceDN w:val="0"/>
        <w:adjustRightInd w:val="0"/>
        <w:spacing w:line="360" w:lineRule="auto"/>
        <w:ind w:firstLine="420" w:firstLineChars="200"/>
        <w:jc w:val="left"/>
        <w:rPr>
          <w:rFonts w:ascii="宋体" w:hAnsi="宋体" w:cs="TimesNewRomanPSMT"/>
          <w:kern w:val="0"/>
          <w:szCs w:val="21"/>
          <w:highlight w:val="none"/>
        </w:rPr>
      </w:pPr>
      <w:r>
        <w:rPr>
          <w:rFonts w:hint="eastAsia" w:ascii="宋体" w:hAnsi="宋体" w:cs="宋体"/>
          <w:kern w:val="0"/>
          <w:szCs w:val="21"/>
          <w:highlight w:val="none"/>
        </w:rPr>
        <w:t>（2）未能按照合同要求的期限对承包人文件进行审查，延长工期；</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（3）因改变功能和需求导致设计变更的，延长工期，费用按变更的相关规定执行；</w:t>
      </w:r>
    </w:p>
    <w:p>
      <w:pPr>
        <w:adjustRightInd w:val="0"/>
        <w:snapToGrid w:val="0"/>
        <w:spacing w:line="360" w:lineRule="auto"/>
        <w:ind w:right="11" w:firstLine="403" w:firstLineChars="192"/>
        <w:rPr>
          <w:rFonts w:ascii="宋体" w:hAnsi="宋体" w:cs="宋体"/>
          <w:kern w:val="0"/>
          <w:szCs w:val="21"/>
          <w:highlight w:val="none"/>
        </w:rPr>
      </w:pPr>
      <w:r>
        <w:rPr>
          <w:rFonts w:hint="eastAsia" w:ascii="宋体" w:hAnsi="宋体" w:cs="宋体"/>
          <w:kern w:val="0"/>
          <w:szCs w:val="21"/>
          <w:highlight w:val="none"/>
        </w:rPr>
        <w:t>（4）因场地移交滞后原因导致工期拖延的，且影响关键节点工期的，承包人有权要求发包人延长工期</w:t>
      </w:r>
    </w:p>
    <w:p>
      <w:pPr>
        <w:adjustRightInd w:val="0"/>
        <w:snapToGrid w:val="0"/>
        <w:spacing w:line="360" w:lineRule="auto"/>
        <w:ind w:right="11" w:firstLine="403" w:firstLineChars="192"/>
        <w:rPr>
          <w:rFonts w:ascii="宋体" w:hAnsi="宋体" w:cs="宋体"/>
          <w:kern w:val="0"/>
          <w:szCs w:val="21"/>
          <w:highlight w:val="none"/>
        </w:rPr>
      </w:pPr>
      <w:r>
        <w:rPr>
          <w:rFonts w:hint="eastAsia" w:ascii="宋体" w:hAnsi="宋体" w:cs="宋体"/>
          <w:kern w:val="0"/>
          <w:szCs w:val="21"/>
          <w:highlight w:val="none"/>
        </w:rPr>
        <w:t>（5）承包人因天灾或人力不可抗拒的原因被迫停工（指遇六级以上地震，十级以上强台风或龙卷风造成的重大破坏而延误工期或政府部门出具的停工指令的）；</w:t>
      </w:r>
    </w:p>
    <w:p>
      <w:pPr>
        <w:adjustRightInd w:val="0"/>
        <w:snapToGrid w:val="0"/>
        <w:spacing w:line="360" w:lineRule="auto"/>
        <w:ind w:right="11" w:firstLine="403" w:firstLineChars="192"/>
        <w:rPr>
          <w:rFonts w:ascii="宋体" w:hAnsi="宋体" w:cs="宋体"/>
          <w:kern w:val="0"/>
          <w:szCs w:val="21"/>
          <w:highlight w:val="none"/>
        </w:rPr>
      </w:pPr>
      <w:r>
        <w:rPr>
          <w:rFonts w:hint="eastAsia" w:ascii="宋体" w:hAnsi="宋体" w:cs="宋体"/>
          <w:kern w:val="0"/>
          <w:szCs w:val="21"/>
          <w:highlight w:val="none"/>
        </w:rPr>
        <w:t>除上述原因之外，其他所有工期延误均为承包人原因造成的延误。</w:t>
      </w:r>
    </w:p>
    <w:p>
      <w:pPr>
        <w:adjustRightInd w:val="0"/>
        <w:snapToGrid w:val="0"/>
        <w:spacing w:line="360" w:lineRule="auto"/>
        <w:ind w:right="11" w:firstLine="403" w:firstLineChars="192"/>
        <w:rPr>
          <w:rFonts w:ascii="宋体" w:hAnsi="宋体" w:cs="宋体"/>
          <w:kern w:val="0"/>
          <w:szCs w:val="21"/>
          <w:highlight w:val="none"/>
        </w:rPr>
      </w:pPr>
      <w:r>
        <w:rPr>
          <w:rFonts w:hint="eastAsia" w:ascii="宋体" w:hAnsi="宋体" w:cs="宋体"/>
          <w:kern w:val="0"/>
          <w:szCs w:val="21"/>
          <w:highlight w:val="none"/>
        </w:rPr>
        <w:t>11.3.2因承包人原因或因承包人对专业分包现场组织管理不力造成的工期延误的；因材料供应、施工劳力和机具设备的不足或发生安全、质量事故而影响工期属承包人责任的；承包人对现场组织管理不力或未能对专业分包提供协调、配合服务，以致专业工程的进度影响工期的，承包人不得以上述理由提出延长工期的要求，造成工期、质量影响的承包人还应当按照合同承担相应的违约责任。</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11.4 异常恶劣的气候条件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由于出现专用合同条款规定的异常恶劣气候的条件导致工期延误的（指遇六级以上地震，十级以上强台风或龙卷风造成的重大破坏而延误工期或政府部门出具的停工指令的），承包人有权要求发包人延长工期。由于下雨、洪水等原因造成工程、施工现场的材料和工程设备等承包人财产损失或人员伤亡的，费用全部由承包人承担，发包人一概不负责。</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11.5 承包人的工期延误</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对于承包人原因造成的工期延误，工期一概不得顺延；对于非承包人造成的工期延误，一般节点工期可以相应顺延，但该项顺延以不对关键节点工期和总工期构成不利影响为限。关键节点工期一般不予调整，承包人应当采取合理有效的赶工措施予以消化，而且这些合理有效的赶工措施已包括在投标总报价中，发包人不予补偿。</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由于承包人原因未能完成监理人批准的预期半月进度、月进度和季进度工作，承包人除自己承担赶工费用外还应支付逾期违约金。半月进度、月进度和季进度逾期违约金分别按半月进度、月进度和季进度计划完成的工程造价的1%进行处罚。不对关键节点工期和总工期构成不利影响的不进行处罚。</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szCs w:val="21"/>
          <w:highlight w:val="none"/>
        </w:rPr>
        <w:t>（3）由于承包人原因造成不能按监理人批准的完工日期完工的，每延误工期一天，支付违约金50000元。</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11.6 工期提前</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发包人要求承包人提前竣工的，</w:t>
      </w:r>
      <w:r>
        <w:rPr>
          <w:rFonts w:hint="eastAsia" w:ascii="宋体" w:hAnsi="宋体"/>
          <w:szCs w:val="21"/>
          <w:highlight w:val="none"/>
        </w:rPr>
        <w:t>赶工费用协商解决</w:t>
      </w:r>
      <w:r>
        <w:rPr>
          <w:rFonts w:hint="eastAsia" w:ascii="宋体" w:hAnsi="宋体" w:cs="宋体"/>
          <w:kern w:val="0"/>
          <w:szCs w:val="21"/>
          <w:highlight w:val="none"/>
        </w:rPr>
        <w:t>；承包人工期提前的，不支付奖金。</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11.7 行政审批迟延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合同约定范围内的工作需国家有关部门审批的，发包人和（或）承包人应按照合同约定的职责分工完成行政审批报送。</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12. 暂停工作</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12.1 由发包人暂停工作</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12.1.1 发包人认为必要时，可通过监理人向承包人发出暂停工作的指示，承包人应按监理人指示暂停工作。由于发包人原因引起的暂停工作造成工期延误的，承包人有权要求发包人延长工期。</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12.2 由承包人暂停工作</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工期延误责任。</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（1）发包人未能按合同约定支付价款，或拖延、拒绝批准付款申请和支付证书，导致付款延误的；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（2）监理人无正当理由没有在约定期限内发出复工指示，导致承包人无法复工的；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（3）发包人无法继续履行或明确表示不履行或实质上已停止履行合同的；</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（4）发包人不履行合同约定其他义务的。</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12.3 暂停工作后的照管</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不论由于何种原因引起暂停工作的，暂停工作期间，承包人应负责妥善保护工程并提供安全保障。</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12.4 暂停工作后的复工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12.4.2承包人无故拖延和拒绝复工的，由此增加的费用和工期延误由承包人承担。</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13．工程质量</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13.1 工程质量要求</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cs="宋体"/>
          <w:kern w:val="0"/>
          <w:szCs w:val="21"/>
          <w:highlight w:val="none"/>
        </w:rPr>
        <w:t>13.1.1工程质量验收标准：合格</w:t>
      </w:r>
      <w:r>
        <w:rPr>
          <w:rFonts w:hint="eastAsia" w:ascii="宋体" w:hAnsi="宋体" w:cs="宋体"/>
          <w:highlight w:val="none"/>
        </w:rPr>
        <w:t>（由广州市海珠区水务工程质量安全监督站核定）</w:t>
      </w:r>
      <w:r>
        <w:rPr>
          <w:rFonts w:hint="eastAsia" w:ascii="宋体" w:hAnsi="宋体"/>
          <w:szCs w:val="21"/>
          <w:highlight w:val="none"/>
        </w:rPr>
        <w:t>。</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13.2 承包人的质量检查</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本条增加以下条款：</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（1）按规定必须检验的单元工程未经检验合格而私自覆盖的，每个单元工程扣除工程款</w:t>
      </w:r>
      <w:r>
        <w:rPr>
          <w:rFonts w:ascii="宋体" w:hAnsi="宋体" w:cs="宋体"/>
          <w:kern w:val="0"/>
          <w:szCs w:val="21"/>
          <w:highlight w:val="none"/>
        </w:rPr>
        <w:t>5000</w:t>
      </w:r>
      <w:r>
        <w:rPr>
          <w:rFonts w:hint="eastAsia" w:ascii="宋体" w:hAnsi="宋体" w:cs="宋体"/>
          <w:kern w:val="0"/>
          <w:szCs w:val="21"/>
          <w:highlight w:val="none"/>
        </w:rPr>
        <w:t>元，私自覆盖事后又检验不合格的，除上述扣款外每个单元工程再扣除工程款</w:t>
      </w:r>
      <w:r>
        <w:rPr>
          <w:rFonts w:ascii="宋体" w:hAnsi="宋体" w:cs="宋体"/>
          <w:kern w:val="0"/>
          <w:szCs w:val="21"/>
          <w:highlight w:val="none"/>
        </w:rPr>
        <w:t>2000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（2）由于承包人原因产生的下列质量问题的处理办法：</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）未按技术条款要求清基或清基不干净、不彻底，除无偿返工外，每平方米扣除工程款</w:t>
      </w:r>
      <w:r>
        <w:rPr>
          <w:rFonts w:ascii="宋体" w:hAnsi="宋体" w:cs="宋体"/>
          <w:kern w:val="0"/>
          <w:szCs w:val="21"/>
          <w:highlight w:val="none"/>
        </w:rPr>
        <w:t>10</w:t>
      </w:r>
      <w:r>
        <w:rPr>
          <w:rFonts w:hint="eastAsia" w:ascii="宋体" w:hAnsi="宋体" w:cs="宋体"/>
          <w:kern w:val="0"/>
          <w:szCs w:val="21"/>
          <w:highlight w:val="none"/>
        </w:rPr>
        <w:t>元；未按施工技术要求疏浚河道或清淤不干净、不彻底，除无偿返工外，每平方米扣除工程款</w:t>
      </w:r>
      <w:r>
        <w:rPr>
          <w:rFonts w:ascii="宋体" w:hAnsi="宋体" w:cs="宋体"/>
          <w:kern w:val="0"/>
          <w:szCs w:val="21"/>
          <w:highlight w:val="none"/>
        </w:rPr>
        <w:t>10</w:t>
      </w:r>
      <w:r>
        <w:rPr>
          <w:rFonts w:hint="eastAsia" w:ascii="宋体" w:hAnsi="宋体" w:cs="宋体"/>
          <w:kern w:val="0"/>
          <w:szCs w:val="21"/>
          <w:highlight w:val="none"/>
        </w:rPr>
        <w:t>元；堤脚开挖弃土不按设计要求在阶地上平整的，除无偿返工外，按每平方米扣除工程款</w:t>
      </w:r>
      <w:r>
        <w:rPr>
          <w:rFonts w:ascii="宋体" w:hAnsi="宋体" w:cs="宋体"/>
          <w:kern w:val="0"/>
          <w:szCs w:val="21"/>
          <w:highlight w:val="none"/>
        </w:rPr>
        <w:t>10</w:t>
      </w:r>
      <w:r>
        <w:rPr>
          <w:rFonts w:hint="eastAsia" w:ascii="宋体" w:hAnsi="宋体" w:cs="宋体"/>
          <w:kern w:val="0"/>
          <w:szCs w:val="21"/>
          <w:highlight w:val="none"/>
        </w:rPr>
        <w:t>元；未按规定进行植草的，除无偿返工外，按每平方米扣除工程款</w:t>
      </w:r>
      <w:r>
        <w:rPr>
          <w:rFonts w:ascii="宋体" w:hAnsi="宋体" w:cs="宋体"/>
          <w:kern w:val="0"/>
          <w:szCs w:val="21"/>
          <w:highlight w:val="none"/>
        </w:rPr>
        <w:t>10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）施工前需对所在河段滩地临水建筑物、构筑物及附属物进行处理。同时，需调查施工作业区有无过河电力及通信线路和水底电缆管道等</w:t>
      </w:r>
      <w:r>
        <w:rPr>
          <w:rFonts w:ascii="宋体" w:hAnsi="宋体" w:cs="宋体"/>
          <w:kern w:val="0"/>
          <w:szCs w:val="21"/>
          <w:highlight w:val="none"/>
        </w:rPr>
        <w:t>,</w:t>
      </w:r>
      <w:r>
        <w:rPr>
          <w:rFonts w:hint="eastAsia" w:ascii="宋体" w:hAnsi="宋体" w:cs="宋体"/>
          <w:kern w:val="0"/>
          <w:szCs w:val="21"/>
          <w:highlight w:val="none"/>
        </w:rPr>
        <w:t>查明这些设施的所属单位、具体位置和细节，确保有关设施的安全或商定解决办法。凡因施工原因造成的设施损坏</w:t>
      </w:r>
      <w:r>
        <w:rPr>
          <w:rFonts w:ascii="宋体" w:hAnsi="宋体" w:cs="宋体"/>
          <w:kern w:val="0"/>
          <w:szCs w:val="21"/>
          <w:highlight w:val="none"/>
        </w:rPr>
        <w:t>,</w:t>
      </w:r>
      <w:r>
        <w:rPr>
          <w:rFonts w:hint="eastAsia" w:ascii="宋体" w:hAnsi="宋体" w:cs="宋体"/>
          <w:kern w:val="0"/>
          <w:szCs w:val="21"/>
          <w:highlight w:val="none"/>
        </w:rPr>
        <w:t>承包人应承担全部责任，并按每处扣除工程款</w:t>
      </w:r>
      <w:r>
        <w:rPr>
          <w:rFonts w:ascii="宋体" w:hAnsi="宋体" w:cs="宋体"/>
          <w:kern w:val="0"/>
          <w:szCs w:val="21"/>
          <w:highlight w:val="none"/>
        </w:rPr>
        <w:t>1000</w:t>
      </w:r>
      <w:r>
        <w:rPr>
          <w:rFonts w:hint="eastAsia" w:ascii="宋体" w:hAnsi="宋体" w:cs="宋体"/>
          <w:kern w:val="0"/>
          <w:szCs w:val="21"/>
          <w:highlight w:val="none"/>
        </w:rPr>
        <w:t>元；施工时须维护好施工范围内的市政、码头设施，包括地上和地下各种管线，管井、道路、桥梁、码头等。承包人应合理使用运输工具，运输工具荷载不得施工期间使用的道路、桥梁的超过承载能力，若因承包人原因造成桥梁损坏和安全（包括人身安全和工程安全）事故，除由承包人承担全部责任并无偿修复损坏设施外，按每处扣除工程款</w:t>
      </w:r>
      <w:r>
        <w:rPr>
          <w:rFonts w:ascii="宋体" w:hAnsi="宋体" w:cs="宋体"/>
          <w:kern w:val="0"/>
          <w:szCs w:val="21"/>
          <w:highlight w:val="none"/>
        </w:rPr>
        <w:t>1000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）疏浚弃土必须按国家有关规定排放，否则，由承包人应承担全部责任，并按每立方扣除工程款</w:t>
      </w:r>
      <w:r>
        <w:rPr>
          <w:rFonts w:ascii="宋体" w:hAnsi="宋体" w:cs="宋体"/>
          <w:kern w:val="0"/>
          <w:szCs w:val="21"/>
          <w:highlight w:val="none"/>
        </w:rPr>
        <w:t>100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）除经监理人同意的零星砌体外，采用人工拌和砂浆、混凝土的，应当改用机械拌和，无偿返工，并按每立方米砌体、混凝土分别扣除工程款</w:t>
      </w:r>
      <w:r>
        <w:rPr>
          <w:rFonts w:ascii="宋体" w:hAnsi="宋体" w:cs="宋体"/>
          <w:kern w:val="0"/>
          <w:szCs w:val="21"/>
          <w:highlight w:val="none"/>
        </w:rPr>
        <w:t>100</w:t>
      </w:r>
      <w:r>
        <w:rPr>
          <w:rFonts w:hint="eastAsia" w:ascii="宋体" w:hAnsi="宋体" w:cs="宋体"/>
          <w:kern w:val="0"/>
          <w:szCs w:val="21"/>
          <w:highlight w:val="none"/>
        </w:rPr>
        <w:t>元、</w:t>
      </w:r>
      <w:r>
        <w:rPr>
          <w:rFonts w:ascii="宋体" w:hAnsi="宋体" w:cs="宋体"/>
          <w:kern w:val="0"/>
          <w:szCs w:val="21"/>
          <w:highlight w:val="none"/>
        </w:rPr>
        <w:t>500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）砂浆、混凝土拌和料不按规定配合比随意上机拌和的，除无偿返工外，每次扣除工程款</w:t>
      </w:r>
      <w:r>
        <w:rPr>
          <w:rFonts w:ascii="宋体" w:hAnsi="宋体" w:cs="宋体"/>
          <w:kern w:val="0"/>
          <w:szCs w:val="21"/>
          <w:highlight w:val="none"/>
        </w:rPr>
        <w:t>2000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6</w:t>
      </w:r>
      <w:r>
        <w:rPr>
          <w:rFonts w:hint="eastAsia" w:ascii="宋体" w:hAnsi="宋体" w:cs="宋体"/>
          <w:kern w:val="0"/>
          <w:szCs w:val="21"/>
          <w:highlight w:val="none"/>
        </w:rPr>
        <w:t>）随地拌砂浆，或砂浆、混凝土没有临时浆槽存放，或掺杂泥土进行拌浆的，除无偿返工外，每处每次扣除工程款</w:t>
      </w:r>
      <w:r>
        <w:rPr>
          <w:rFonts w:ascii="宋体" w:hAnsi="宋体" w:cs="宋体"/>
          <w:kern w:val="0"/>
          <w:szCs w:val="21"/>
          <w:highlight w:val="none"/>
        </w:rPr>
        <w:t>1000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7</w:t>
      </w:r>
      <w:r>
        <w:rPr>
          <w:rFonts w:hint="eastAsia" w:ascii="宋体" w:hAnsi="宋体" w:cs="宋体"/>
          <w:kern w:val="0"/>
          <w:szCs w:val="21"/>
          <w:highlight w:val="none"/>
        </w:rPr>
        <w:t>）砂浆、混凝土标号不符合设计要求的，除无偿返工外，每立方米砌体、混凝土扣除工程款</w:t>
      </w:r>
      <w:r>
        <w:rPr>
          <w:rFonts w:ascii="宋体" w:hAnsi="宋体" w:cs="宋体"/>
          <w:kern w:val="0"/>
          <w:szCs w:val="21"/>
          <w:highlight w:val="none"/>
        </w:rPr>
        <w:t>100</w:t>
      </w:r>
      <w:r>
        <w:rPr>
          <w:rFonts w:hint="eastAsia" w:ascii="宋体" w:hAnsi="宋体" w:cs="宋体"/>
          <w:kern w:val="0"/>
          <w:szCs w:val="21"/>
          <w:highlight w:val="none"/>
        </w:rPr>
        <w:t>元、</w:t>
      </w:r>
      <w:r>
        <w:rPr>
          <w:rFonts w:ascii="宋体" w:hAnsi="宋体" w:cs="宋体"/>
          <w:kern w:val="0"/>
          <w:szCs w:val="21"/>
          <w:highlight w:val="none"/>
        </w:rPr>
        <w:t>500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8</w:t>
      </w:r>
      <w:r>
        <w:rPr>
          <w:rFonts w:hint="eastAsia" w:ascii="宋体" w:hAnsi="宋体" w:cs="宋体"/>
          <w:kern w:val="0"/>
          <w:szCs w:val="21"/>
          <w:highlight w:val="none"/>
        </w:rPr>
        <w:t>）碎石、块石有污泥、油污未清洗干净而直接采用的，除无偿返工外，按每立方米分别扣除工程款</w:t>
      </w:r>
      <w:r>
        <w:rPr>
          <w:rFonts w:ascii="宋体" w:hAnsi="宋体" w:cs="宋体"/>
          <w:kern w:val="0"/>
          <w:szCs w:val="21"/>
          <w:highlight w:val="none"/>
        </w:rPr>
        <w:t>100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9</w:t>
      </w:r>
      <w:r>
        <w:rPr>
          <w:rFonts w:hint="eastAsia" w:ascii="宋体" w:hAnsi="宋体" w:cs="宋体"/>
          <w:kern w:val="0"/>
          <w:szCs w:val="21"/>
          <w:highlight w:val="none"/>
        </w:rPr>
        <w:t>）浆砌石不按要求进行砌筑的，除无偿返工外，按每立方米扣除工程款</w:t>
      </w:r>
      <w:r>
        <w:rPr>
          <w:rFonts w:ascii="宋体" w:hAnsi="宋体" w:cs="宋体"/>
          <w:kern w:val="0"/>
          <w:szCs w:val="21"/>
          <w:highlight w:val="none"/>
        </w:rPr>
        <w:t>100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10</w:t>
      </w:r>
      <w:r>
        <w:rPr>
          <w:rFonts w:hint="eastAsia" w:ascii="宋体" w:hAnsi="宋体" w:cs="宋体"/>
          <w:kern w:val="0"/>
          <w:szCs w:val="21"/>
          <w:highlight w:val="none"/>
        </w:rPr>
        <w:t>）浆砌石、板桩、铰链链锁板预制件没有按要求进行淋水养护，达不到设计标号的，除拆除或报废外，每立方米扣除工程款</w:t>
      </w:r>
      <w:r>
        <w:rPr>
          <w:rFonts w:ascii="宋体" w:hAnsi="宋体" w:cs="宋体"/>
          <w:kern w:val="0"/>
          <w:szCs w:val="21"/>
          <w:highlight w:val="none"/>
        </w:rPr>
        <w:t>500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11</w:t>
      </w:r>
      <w:r>
        <w:rPr>
          <w:rFonts w:hint="eastAsia" w:ascii="宋体" w:hAnsi="宋体" w:cs="宋体"/>
          <w:kern w:val="0"/>
          <w:szCs w:val="21"/>
          <w:highlight w:val="none"/>
        </w:rPr>
        <w:t>）板桩、铰链链锁板预制件混凝土表面的蜂窝、麻面（含砂斑）、平整度（用</w:t>
      </w:r>
      <w:r>
        <w:rPr>
          <w:rFonts w:ascii="宋体" w:hAnsi="宋体" w:cs="宋体"/>
          <w:kern w:val="0"/>
          <w:szCs w:val="21"/>
          <w:highlight w:val="none"/>
        </w:rPr>
        <w:t>2</w:t>
      </w:r>
      <w:r>
        <w:rPr>
          <w:rFonts w:hint="eastAsia" w:ascii="宋体" w:hAnsi="宋体" w:cs="宋体"/>
          <w:kern w:val="0"/>
          <w:szCs w:val="21"/>
          <w:highlight w:val="none"/>
        </w:rPr>
        <w:t>米直尺测平面）、平直度（用</w:t>
      </w:r>
      <w:r>
        <w:rPr>
          <w:rFonts w:ascii="宋体" w:hAnsi="宋体" w:cs="宋体"/>
          <w:kern w:val="0"/>
          <w:szCs w:val="21"/>
          <w:highlight w:val="none"/>
        </w:rPr>
        <w:t>5</w:t>
      </w:r>
      <w:r>
        <w:rPr>
          <w:rFonts w:hint="eastAsia" w:ascii="宋体" w:hAnsi="宋体" w:cs="宋体"/>
          <w:kern w:val="0"/>
          <w:szCs w:val="21"/>
          <w:highlight w:val="none"/>
        </w:rPr>
        <w:t>米直尺测轮廓线）、相邻板桩、铅丝笼块石错牙应达到以下标准：</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①蜂窝面积不超过所在面积的</w:t>
      </w:r>
      <w:r>
        <w:rPr>
          <w:rFonts w:ascii="宋体" w:hAnsi="宋体" w:cs="宋体"/>
          <w:kern w:val="0"/>
          <w:szCs w:val="21"/>
          <w:highlight w:val="none"/>
        </w:rPr>
        <w:t>0.2%</w:t>
      </w:r>
      <w:r>
        <w:rPr>
          <w:rFonts w:hint="eastAsia" w:ascii="宋体" w:hAnsi="宋体" w:cs="宋体"/>
          <w:kern w:val="0"/>
          <w:szCs w:val="21"/>
          <w:highlight w:val="none"/>
        </w:rPr>
        <w:t>，麻面（含砂斑）面积不超过所在面积的</w:t>
      </w:r>
      <w:r>
        <w:rPr>
          <w:rFonts w:ascii="宋体" w:hAnsi="宋体" w:cs="宋体"/>
          <w:kern w:val="0"/>
          <w:szCs w:val="21"/>
          <w:highlight w:val="none"/>
        </w:rPr>
        <w:t>0.5%</w:t>
      </w:r>
      <w:r>
        <w:rPr>
          <w:rFonts w:hint="eastAsia" w:ascii="宋体" w:hAnsi="宋体" w:cs="宋体"/>
          <w:kern w:val="0"/>
          <w:szCs w:val="21"/>
          <w:highlight w:val="none"/>
        </w:rPr>
        <w:t>。</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②板桩、铰链链锁板表面平整度误差不超过</w:t>
      </w:r>
      <w:r>
        <w:rPr>
          <w:rFonts w:ascii="宋体" w:hAnsi="宋体" w:cs="宋体"/>
          <w:kern w:val="0"/>
          <w:szCs w:val="21"/>
          <w:highlight w:val="none"/>
        </w:rPr>
        <w:t>3</w:t>
      </w:r>
      <w:r>
        <w:rPr>
          <w:rFonts w:hint="eastAsia" w:ascii="宋体" w:hAnsi="宋体" w:cs="宋体"/>
          <w:kern w:val="0"/>
          <w:szCs w:val="21"/>
          <w:highlight w:val="none"/>
        </w:rPr>
        <w:t>毫米，平直度误差不超过</w:t>
      </w:r>
      <w:r>
        <w:rPr>
          <w:rFonts w:ascii="宋体" w:hAnsi="宋体" w:cs="宋体"/>
          <w:kern w:val="0"/>
          <w:szCs w:val="21"/>
          <w:highlight w:val="none"/>
        </w:rPr>
        <w:t>5</w:t>
      </w:r>
      <w:r>
        <w:rPr>
          <w:rFonts w:hint="eastAsia" w:ascii="宋体" w:hAnsi="宋体" w:cs="宋体"/>
          <w:kern w:val="0"/>
          <w:szCs w:val="21"/>
          <w:highlight w:val="none"/>
        </w:rPr>
        <w:t>毫米。误差超标的，未经监理人同意不得打磨、修补。</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③相邻板桩错牙不超过</w:t>
      </w:r>
      <w:r>
        <w:rPr>
          <w:rFonts w:ascii="宋体" w:hAnsi="宋体" w:cs="宋体"/>
          <w:kern w:val="0"/>
          <w:szCs w:val="21"/>
          <w:highlight w:val="none"/>
        </w:rPr>
        <w:t>3</w:t>
      </w:r>
      <w:r>
        <w:rPr>
          <w:rFonts w:hint="eastAsia" w:ascii="宋体" w:hAnsi="宋体" w:cs="宋体"/>
          <w:kern w:val="0"/>
          <w:szCs w:val="21"/>
          <w:highlight w:val="none"/>
        </w:rPr>
        <w:t>毫米，平整度误差不超过</w:t>
      </w:r>
      <w:r>
        <w:rPr>
          <w:rFonts w:ascii="宋体" w:hAnsi="宋体" w:cs="宋体"/>
          <w:kern w:val="0"/>
          <w:szCs w:val="21"/>
          <w:highlight w:val="none"/>
        </w:rPr>
        <w:t>3</w:t>
      </w:r>
      <w:r>
        <w:rPr>
          <w:rFonts w:hint="eastAsia" w:ascii="宋体" w:hAnsi="宋体" w:cs="宋体"/>
          <w:kern w:val="0"/>
          <w:szCs w:val="21"/>
          <w:highlight w:val="none"/>
        </w:rPr>
        <w:t>毫米，误差超标的，拔出桩重打。</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④相邻铅丝笼块石错牙不超过</w:t>
      </w:r>
      <w:r>
        <w:rPr>
          <w:rFonts w:ascii="宋体" w:hAnsi="宋体" w:cs="宋体"/>
          <w:kern w:val="0"/>
          <w:szCs w:val="21"/>
          <w:highlight w:val="none"/>
        </w:rPr>
        <w:t>5</w:t>
      </w:r>
      <w:r>
        <w:rPr>
          <w:rFonts w:hint="eastAsia" w:ascii="宋体" w:hAnsi="宋体" w:cs="宋体"/>
          <w:kern w:val="0"/>
          <w:szCs w:val="21"/>
          <w:highlight w:val="none"/>
        </w:rPr>
        <w:t>毫米，平整度误差不超过</w:t>
      </w:r>
      <w:r>
        <w:rPr>
          <w:rFonts w:ascii="宋体" w:hAnsi="宋体" w:cs="宋体"/>
          <w:kern w:val="0"/>
          <w:szCs w:val="21"/>
          <w:highlight w:val="none"/>
        </w:rPr>
        <w:t>8</w:t>
      </w:r>
      <w:r>
        <w:rPr>
          <w:rFonts w:hint="eastAsia" w:ascii="宋体" w:hAnsi="宋体" w:cs="宋体"/>
          <w:kern w:val="0"/>
          <w:szCs w:val="21"/>
          <w:highlight w:val="none"/>
        </w:rPr>
        <w:t>毫米，平直度误差不超过</w:t>
      </w:r>
      <w:r>
        <w:rPr>
          <w:rFonts w:ascii="宋体" w:hAnsi="宋体" w:cs="宋体"/>
          <w:kern w:val="0"/>
          <w:szCs w:val="21"/>
          <w:highlight w:val="none"/>
        </w:rPr>
        <w:t>20</w:t>
      </w:r>
      <w:r>
        <w:rPr>
          <w:rFonts w:hint="eastAsia" w:ascii="宋体" w:hAnsi="宋体" w:cs="宋体"/>
          <w:kern w:val="0"/>
          <w:szCs w:val="21"/>
          <w:highlight w:val="none"/>
        </w:rPr>
        <w:t>毫米。误差超标的，重新砌筑。</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蜂窝、麻面（含砂斑）面积超过上述控制标准的，超过部分分别按</w:t>
      </w:r>
      <w:r>
        <w:rPr>
          <w:rFonts w:ascii="宋体" w:hAnsi="宋体" w:cs="宋体"/>
          <w:kern w:val="0"/>
          <w:szCs w:val="21"/>
          <w:highlight w:val="none"/>
        </w:rPr>
        <w:t>5000</w:t>
      </w:r>
      <w:r>
        <w:rPr>
          <w:rFonts w:hint="eastAsia" w:ascii="宋体" w:hAnsi="宋体" w:cs="宋体"/>
          <w:kern w:val="0"/>
          <w:szCs w:val="21"/>
          <w:highlight w:val="none"/>
        </w:rPr>
        <w:t>元</w:t>
      </w:r>
      <w:r>
        <w:rPr>
          <w:rFonts w:ascii="宋体" w:hAnsi="宋体" w:cs="宋体"/>
          <w:kern w:val="0"/>
          <w:szCs w:val="21"/>
          <w:highlight w:val="none"/>
        </w:rPr>
        <w:t>/</w:t>
      </w:r>
      <w:r>
        <w:rPr>
          <w:rFonts w:hint="eastAsia" w:ascii="宋体" w:hAnsi="宋体" w:cs="宋体"/>
          <w:kern w:val="0"/>
          <w:szCs w:val="21"/>
          <w:highlight w:val="none"/>
        </w:rPr>
        <w:t>平方米、</w:t>
      </w:r>
      <w:r>
        <w:rPr>
          <w:rFonts w:ascii="宋体" w:hAnsi="宋体" w:cs="宋体"/>
          <w:kern w:val="0"/>
          <w:szCs w:val="21"/>
          <w:highlight w:val="none"/>
        </w:rPr>
        <w:t>2000</w:t>
      </w:r>
      <w:r>
        <w:rPr>
          <w:rFonts w:hint="eastAsia" w:ascii="宋体" w:hAnsi="宋体" w:cs="宋体"/>
          <w:kern w:val="0"/>
          <w:szCs w:val="21"/>
          <w:highlight w:val="none"/>
        </w:rPr>
        <w:t>元</w:t>
      </w:r>
      <w:r>
        <w:rPr>
          <w:rFonts w:ascii="宋体" w:hAnsi="宋体" w:cs="宋体"/>
          <w:kern w:val="0"/>
          <w:szCs w:val="21"/>
          <w:highlight w:val="none"/>
        </w:rPr>
        <w:t>/</w:t>
      </w:r>
      <w:r>
        <w:rPr>
          <w:rFonts w:hint="eastAsia" w:ascii="宋体" w:hAnsi="宋体" w:cs="宋体"/>
          <w:kern w:val="0"/>
          <w:szCs w:val="21"/>
          <w:highlight w:val="none"/>
        </w:rPr>
        <w:t>平方米扣除工程款；平整度、平直度达不到上述标准的，分别按</w:t>
      </w:r>
      <w:r>
        <w:rPr>
          <w:rFonts w:ascii="宋体" w:hAnsi="宋体" w:cs="宋体"/>
          <w:kern w:val="0"/>
          <w:szCs w:val="21"/>
          <w:highlight w:val="none"/>
        </w:rPr>
        <w:t>500</w:t>
      </w:r>
      <w:r>
        <w:rPr>
          <w:rFonts w:hint="eastAsia" w:ascii="宋体" w:hAnsi="宋体" w:cs="宋体"/>
          <w:kern w:val="0"/>
          <w:szCs w:val="21"/>
          <w:highlight w:val="none"/>
        </w:rPr>
        <w:t>元</w:t>
      </w:r>
      <w:r>
        <w:rPr>
          <w:rFonts w:ascii="宋体" w:hAnsi="宋体" w:cs="宋体"/>
          <w:kern w:val="0"/>
          <w:szCs w:val="21"/>
          <w:highlight w:val="none"/>
        </w:rPr>
        <w:t>/</w:t>
      </w:r>
      <w:r>
        <w:rPr>
          <w:rFonts w:hint="eastAsia" w:ascii="宋体" w:hAnsi="宋体" w:cs="宋体"/>
          <w:kern w:val="0"/>
          <w:szCs w:val="21"/>
          <w:highlight w:val="none"/>
        </w:rPr>
        <w:t>处、</w:t>
      </w:r>
      <w:r>
        <w:rPr>
          <w:rFonts w:ascii="宋体" w:hAnsi="宋体" w:cs="宋体"/>
          <w:kern w:val="0"/>
          <w:szCs w:val="21"/>
          <w:highlight w:val="none"/>
        </w:rPr>
        <w:t>1000</w:t>
      </w:r>
      <w:r>
        <w:rPr>
          <w:rFonts w:hint="eastAsia" w:ascii="宋体" w:hAnsi="宋体" w:cs="宋体"/>
          <w:kern w:val="0"/>
          <w:szCs w:val="21"/>
          <w:highlight w:val="none"/>
        </w:rPr>
        <w:t>元</w:t>
      </w:r>
      <w:r>
        <w:rPr>
          <w:rFonts w:ascii="宋体" w:hAnsi="宋体" w:cs="宋体"/>
          <w:kern w:val="0"/>
          <w:szCs w:val="21"/>
          <w:highlight w:val="none"/>
        </w:rPr>
        <w:t>/</w:t>
      </w:r>
      <w:r>
        <w:rPr>
          <w:rFonts w:hint="eastAsia" w:ascii="宋体" w:hAnsi="宋体" w:cs="宋体"/>
          <w:kern w:val="0"/>
          <w:szCs w:val="21"/>
          <w:highlight w:val="none"/>
        </w:rPr>
        <w:t>处扣除工程款。不足一个扣除工程款单位的，按一个扣除工程款单位进行扣除。</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12</w:t>
      </w:r>
      <w:r>
        <w:rPr>
          <w:rFonts w:hint="eastAsia" w:ascii="宋体" w:hAnsi="宋体" w:cs="宋体"/>
          <w:kern w:val="0"/>
          <w:szCs w:val="21"/>
          <w:highlight w:val="none"/>
        </w:rPr>
        <w:t>）使用不合格材料的，除由承包人负责清除出场外，尚需按以下各项分别扣除工程款：</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①土料：每立方米</w:t>
      </w:r>
      <w:r>
        <w:rPr>
          <w:rFonts w:ascii="宋体" w:hAnsi="宋体" w:cs="宋体"/>
          <w:kern w:val="0"/>
          <w:szCs w:val="21"/>
          <w:highlight w:val="none"/>
        </w:rPr>
        <w:t>50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②砂：每立方米</w:t>
      </w:r>
      <w:r>
        <w:rPr>
          <w:rFonts w:ascii="宋体" w:hAnsi="宋体" w:cs="宋体"/>
          <w:kern w:val="0"/>
          <w:szCs w:val="21"/>
          <w:highlight w:val="none"/>
        </w:rPr>
        <w:t>60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③块石：每立方米</w:t>
      </w:r>
      <w:r>
        <w:rPr>
          <w:rFonts w:ascii="宋体" w:hAnsi="宋体" w:cs="宋体"/>
          <w:kern w:val="0"/>
          <w:szCs w:val="21"/>
          <w:highlight w:val="none"/>
        </w:rPr>
        <w:t>80</w:t>
      </w:r>
      <w:r>
        <w:rPr>
          <w:rFonts w:hint="eastAsia" w:ascii="宋体" w:hAnsi="宋体" w:cs="宋体"/>
          <w:kern w:val="0"/>
          <w:szCs w:val="21"/>
          <w:highlight w:val="none"/>
        </w:rPr>
        <w:t>元；</w:t>
      </w:r>
      <w:r>
        <w:rPr>
          <w:rFonts w:ascii="宋体" w:hAnsi="宋体" w:cs="宋体"/>
          <w:kern w:val="0"/>
          <w:szCs w:val="21"/>
          <w:highlight w:val="none"/>
        </w:rPr>
        <w:tab/>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④水泥：每吨</w:t>
      </w:r>
      <w:r>
        <w:rPr>
          <w:rFonts w:ascii="宋体" w:hAnsi="宋体" w:cs="宋体"/>
          <w:kern w:val="0"/>
          <w:szCs w:val="21"/>
          <w:highlight w:val="none"/>
        </w:rPr>
        <w:t>500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⑤钢筋：每吨</w:t>
      </w:r>
      <w:r>
        <w:rPr>
          <w:rFonts w:ascii="宋体" w:hAnsi="宋体" w:cs="宋体"/>
          <w:kern w:val="0"/>
          <w:szCs w:val="21"/>
          <w:highlight w:val="none"/>
        </w:rPr>
        <w:t>4000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⑥模板：每平方米</w:t>
      </w:r>
      <w:r>
        <w:rPr>
          <w:rFonts w:ascii="宋体" w:hAnsi="宋体" w:cs="宋体"/>
          <w:kern w:val="0"/>
          <w:szCs w:val="21"/>
          <w:highlight w:val="none"/>
        </w:rPr>
        <w:t>150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⑦碎石：每立方米</w:t>
      </w:r>
      <w:r>
        <w:rPr>
          <w:rFonts w:ascii="宋体" w:hAnsi="宋体" w:cs="宋体"/>
          <w:kern w:val="0"/>
          <w:szCs w:val="21"/>
          <w:highlight w:val="none"/>
        </w:rPr>
        <w:t>100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监理人指出后仍强行使用的，除清除出场外，需加倍扣除工程款。</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13</w:t>
      </w:r>
      <w:r>
        <w:rPr>
          <w:rFonts w:hint="eastAsia" w:ascii="宋体" w:hAnsi="宋体" w:cs="宋体"/>
          <w:kern w:val="0"/>
          <w:szCs w:val="21"/>
          <w:highlight w:val="none"/>
        </w:rPr>
        <w:t>）承包人用于本工程的原材料、中间产品未提供有相应资质的检测部门出具的有效检验报告或免检证的，按不合格材料论处。若强行使用，除清除出场外，并加倍扣除工程款。</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14</w:t>
      </w:r>
      <w:r>
        <w:rPr>
          <w:rFonts w:hint="eastAsia" w:ascii="宋体" w:hAnsi="宋体" w:cs="宋体"/>
          <w:kern w:val="0"/>
          <w:szCs w:val="21"/>
          <w:highlight w:val="none"/>
        </w:rPr>
        <w:t>）草皮及其铺设质量不合格的，按</w:t>
      </w:r>
      <w:r>
        <w:rPr>
          <w:rFonts w:ascii="宋体" w:hAnsi="宋体" w:cs="宋体"/>
          <w:kern w:val="0"/>
          <w:szCs w:val="21"/>
          <w:highlight w:val="none"/>
        </w:rPr>
        <w:t>50</w:t>
      </w:r>
      <w:r>
        <w:rPr>
          <w:rFonts w:hint="eastAsia" w:ascii="宋体" w:hAnsi="宋体" w:cs="宋体"/>
          <w:kern w:val="0"/>
          <w:szCs w:val="21"/>
          <w:highlight w:val="none"/>
        </w:rPr>
        <w:t>元</w:t>
      </w:r>
      <w:r>
        <w:rPr>
          <w:rFonts w:ascii="宋体" w:hAnsi="宋体" w:cs="宋体"/>
          <w:kern w:val="0"/>
          <w:szCs w:val="21"/>
          <w:highlight w:val="none"/>
        </w:rPr>
        <w:t>/</w:t>
      </w:r>
      <w:r>
        <w:rPr>
          <w:rFonts w:hint="eastAsia" w:ascii="宋体" w:hAnsi="宋体" w:cs="宋体"/>
          <w:kern w:val="0"/>
          <w:szCs w:val="21"/>
          <w:highlight w:val="none"/>
        </w:rPr>
        <w:t>平方米扣除工程款；树木及栽种质量不合格的，乔木按</w:t>
      </w:r>
      <w:r>
        <w:rPr>
          <w:rFonts w:ascii="宋体" w:hAnsi="宋体" w:cs="宋体"/>
          <w:kern w:val="0"/>
          <w:szCs w:val="21"/>
          <w:highlight w:val="none"/>
        </w:rPr>
        <w:t>500</w:t>
      </w:r>
      <w:r>
        <w:rPr>
          <w:rFonts w:hint="eastAsia" w:ascii="宋体" w:hAnsi="宋体" w:cs="宋体"/>
          <w:kern w:val="0"/>
          <w:szCs w:val="21"/>
          <w:highlight w:val="none"/>
        </w:rPr>
        <w:t>元</w:t>
      </w:r>
      <w:r>
        <w:rPr>
          <w:rFonts w:ascii="宋体" w:hAnsi="宋体" w:cs="宋体"/>
          <w:kern w:val="0"/>
          <w:szCs w:val="21"/>
          <w:highlight w:val="none"/>
        </w:rPr>
        <w:t>/</w:t>
      </w:r>
      <w:r>
        <w:rPr>
          <w:rFonts w:hint="eastAsia" w:ascii="宋体" w:hAnsi="宋体" w:cs="宋体"/>
          <w:kern w:val="0"/>
          <w:szCs w:val="21"/>
          <w:highlight w:val="none"/>
        </w:rPr>
        <w:t>株扣除工程款，灌木按</w:t>
      </w:r>
      <w:r>
        <w:rPr>
          <w:rFonts w:ascii="宋体" w:hAnsi="宋体" w:cs="宋体"/>
          <w:kern w:val="0"/>
          <w:szCs w:val="21"/>
          <w:highlight w:val="none"/>
        </w:rPr>
        <w:t>100</w:t>
      </w:r>
      <w:r>
        <w:rPr>
          <w:rFonts w:hint="eastAsia" w:ascii="宋体" w:hAnsi="宋体" w:cs="宋体"/>
          <w:kern w:val="0"/>
          <w:szCs w:val="21"/>
          <w:highlight w:val="none"/>
        </w:rPr>
        <w:t>元</w:t>
      </w:r>
      <w:r>
        <w:rPr>
          <w:rFonts w:ascii="宋体" w:hAnsi="宋体" w:cs="宋体"/>
          <w:kern w:val="0"/>
          <w:szCs w:val="21"/>
          <w:highlight w:val="none"/>
        </w:rPr>
        <w:t>/</w:t>
      </w:r>
      <w:r>
        <w:rPr>
          <w:rFonts w:hint="eastAsia" w:ascii="宋体" w:hAnsi="宋体" w:cs="宋体"/>
          <w:kern w:val="0"/>
          <w:szCs w:val="21"/>
          <w:highlight w:val="none"/>
        </w:rPr>
        <w:t>株扣除工程款。</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15</w:t>
      </w:r>
      <w:r>
        <w:rPr>
          <w:rFonts w:hint="eastAsia" w:ascii="宋体" w:hAnsi="宋体" w:cs="宋体"/>
          <w:kern w:val="0"/>
          <w:szCs w:val="21"/>
          <w:highlight w:val="none"/>
        </w:rPr>
        <w:t>）工程竣工验收前，经抽检发现达不到合格标准的，土方、混凝土、浆砌石按每个不合格点扣除工程款</w:t>
      </w:r>
      <w:r>
        <w:rPr>
          <w:rFonts w:ascii="宋体" w:hAnsi="宋体" w:cs="宋体"/>
          <w:kern w:val="0"/>
          <w:szCs w:val="21"/>
          <w:highlight w:val="none"/>
        </w:rPr>
        <w:t>1</w:t>
      </w:r>
      <w:r>
        <w:rPr>
          <w:rFonts w:hint="eastAsia" w:ascii="宋体" w:hAnsi="宋体" w:cs="宋体"/>
          <w:kern w:val="0"/>
          <w:szCs w:val="21"/>
          <w:highlight w:val="none"/>
        </w:rPr>
        <w:t>万元。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16</w:t>
      </w:r>
      <w:r>
        <w:rPr>
          <w:rFonts w:hint="eastAsia" w:ascii="宋体" w:hAnsi="宋体" w:cs="宋体"/>
          <w:kern w:val="0"/>
          <w:szCs w:val="21"/>
          <w:highlight w:val="none"/>
        </w:rPr>
        <w:t>）工程质量监督部门以及建设或水行政主管部门检查指出的质量问题，除返工整顿外，每个问题扣除工程款</w:t>
      </w:r>
      <w:r>
        <w:rPr>
          <w:rFonts w:ascii="宋体" w:hAnsi="宋体" w:cs="宋体"/>
          <w:kern w:val="0"/>
          <w:szCs w:val="21"/>
          <w:highlight w:val="none"/>
        </w:rPr>
        <w:t>5000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17</w:t>
      </w:r>
      <w:r>
        <w:rPr>
          <w:rFonts w:hint="eastAsia" w:ascii="宋体" w:hAnsi="宋体" w:cs="宋体"/>
          <w:kern w:val="0"/>
          <w:szCs w:val="21"/>
          <w:highlight w:val="none"/>
        </w:rPr>
        <w:t>）无法具体确定不合格工程量的，则以当日上午（或下午）半天工程量作为扣除工程款的处罚工程量。</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13.4 工程隐蔽部位覆盖前的检查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13.4.2 监理人未到场检查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删除本款全文。</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13.4.3 监理人重新检查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删除本款全文。</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13.4.4 承包人私自覆盖</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本款增加以下内容：</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对工程项目划分中明确的隐蔽工程和隐蔽部位，承包人私自覆盖的，每次扣除工程款</w:t>
      </w:r>
      <w:r>
        <w:rPr>
          <w:rFonts w:ascii="宋体" w:hAnsi="宋体" w:cs="宋体"/>
          <w:kern w:val="0"/>
          <w:szCs w:val="21"/>
          <w:highlight w:val="none"/>
        </w:rPr>
        <w:t>5000</w:t>
      </w:r>
      <w:r>
        <w:rPr>
          <w:rFonts w:hint="eastAsia" w:ascii="宋体" w:hAnsi="宋体" w:cs="宋体"/>
          <w:kern w:val="0"/>
          <w:szCs w:val="21"/>
          <w:highlight w:val="none"/>
        </w:rPr>
        <w:t>元；私自覆盖而事后又检查出承包人施工质量不合格的，每次再扣除工程款</w:t>
      </w:r>
      <w:r>
        <w:rPr>
          <w:rFonts w:ascii="宋体" w:hAnsi="宋体" w:cs="宋体"/>
          <w:kern w:val="0"/>
          <w:szCs w:val="21"/>
          <w:highlight w:val="none"/>
        </w:rPr>
        <w:t>2000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要隐蔽单元工程和关键部位单元工程质量评定的约定：按照《水利水电工程施工质量检验与评定规程》（SL176-2007）等相关质量评定规范进行评定。</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工程合格标准和优良标准：按照《水利水电工程施工质量检验与评定规程》（SL176-2007）等相关质量评定规范进行评定。</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工程《技术条款》和《施工技术要求》中提出的需进行检验检测的单元工程、中间产品，承包人应委托具备相应工程检测资质检测单位进行各项检验检测并承担所需费用。承包人应为监理人进行质量检查和检验提供必要的试验资料和原始记录。监理人在质量检查和检验过程中，若需抽样试验，所需试件由承包人提供，由此发生的费用由承包人承担。承包人应派出具有水利质量监督部门颁发的工程质量评定员资格证的质量评定员专门负责质量评定相关工作，确保质量评定资料的真实准确，按相关规定要求填写质量评定表。</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14.2 现场材料试验</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删去本款全文，代之以：</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“承包人应按合同规定和监理人的指示进行各项材料试验并承担所需费用。试验须委托具有相关资质的检测单位进行。</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15．变更</w:t>
      </w:r>
    </w:p>
    <w:p>
      <w:pPr>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删去本款全文，代之以：</w:t>
      </w:r>
    </w:p>
    <w:p>
      <w:pPr>
        <w:pStyle w:val="290"/>
        <w:spacing w:line="360" w:lineRule="auto"/>
        <w:ind w:firstLine="422" w:firstLineChars="200"/>
        <w:rPr>
          <w:b/>
          <w:highlight w:val="none"/>
        </w:rPr>
      </w:pPr>
      <w:r>
        <w:rPr>
          <w:rFonts w:hint="eastAsia"/>
          <w:b/>
          <w:highlight w:val="none"/>
        </w:rPr>
        <w:t>15.1 变更的范围和内容（指建安工程部分）</w:t>
      </w:r>
    </w:p>
    <w:p>
      <w:pPr>
        <w:pStyle w:val="360"/>
        <w:spacing w:line="360" w:lineRule="auto"/>
        <w:ind w:firstLine="420" w:firstLineChars="200"/>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）在履行合同过程中，监理人可根据工程的需要指示承包人进行以下各种类型的变更、没有监理人的指示，承包人不得擅自变更。</w:t>
      </w:r>
    </w:p>
    <w:p>
      <w:pPr>
        <w:pStyle w:val="360"/>
        <w:spacing w:line="360" w:lineRule="auto"/>
        <w:ind w:firstLine="420" w:firstLineChars="200"/>
        <w:rPr>
          <w:rFonts w:ascii="宋体" w:hAnsi="宋体"/>
          <w:highlight w:val="none"/>
        </w:rPr>
      </w:pPr>
      <w:r>
        <w:rPr>
          <w:rFonts w:hint="eastAsia" w:ascii="宋体" w:hAnsi="宋体"/>
          <w:highlight w:val="none"/>
        </w:rPr>
        <w:t>①增加或减少合同中任何一项工作内容；</w:t>
      </w:r>
    </w:p>
    <w:p>
      <w:pPr>
        <w:pStyle w:val="360"/>
        <w:spacing w:line="360" w:lineRule="auto"/>
        <w:ind w:firstLine="420" w:firstLineChars="200"/>
        <w:rPr>
          <w:rFonts w:ascii="宋体" w:hAnsi="宋体"/>
          <w:highlight w:val="none"/>
        </w:rPr>
      </w:pPr>
      <w:r>
        <w:rPr>
          <w:rFonts w:hint="eastAsia" w:ascii="宋体" w:hAnsi="宋体"/>
          <w:highlight w:val="none"/>
        </w:rPr>
        <w:t>②改变合同中任何一项工作的标准或性质；</w:t>
      </w:r>
    </w:p>
    <w:p>
      <w:pPr>
        <w:pStyle w:val="360"/>
        <w:spacing w:line="360" w:lineRule="auto"/>
        <w:ind w:firstLine="420" w:firstLineChars="200"/>
        <w:rPr>
          <w:rFonts w:ascii="宋体" w:hAnsi="宋体"/>
          <w:highlight w:val="none"/>
        </w:rPr>
      </w:pPr>
      <w:r>
        <w:rPr>
          <w:rFonts w:hint="eastAsia" w:ascii="宋体" w:hAnsi="宋体"/>
          <w:highlight w:val="none"/>
        </w:rPr>
        <w:t>③改变工程建筑物的形式、基线、标高、位置或尺寸：</w:t>
      </w:r>
    </w:p>
    <w:p>
      <w:pPr>
        <w:pStyle w:val="360"/>
        <w:spacing w:line="360" w:lineRule="auto"/>
        <w:ind w:firstLine="420" w:firstLineChars="200"/>
        <w:rPr>
          <w:rFonts w:ascii="宋体" w:hAnsi="宋体"/>
          <w:highlight w:val="none"/>
        </w:rPr>
      </w:pPr>
      <w:r>
        <w:rPr>
          <w:rFonts w:hint="eastAsia" w:ascii="宋体" w:hAnsi="宋体"/>
          <w:highlight w:val="none"/>
        </w:rPr>
        <w:t>④改变合同中任何一项工程的完工日期或改变已批准的施工顺序：</w:t>
      </w:r>
    </w:p>
    <w:p>
      <w:pPr>
        <w:pStyle w:val="360"/>
        <w:spacing w:line="360" w:lineRule="auto"/>
        <w:ind w:firstLine="420" w:firstLineChars="200"/>
        <w:rPr>
          <w:rFonts w:ascii="宋体" w:hAnsi="宋体"/>
          <w:highlight w:val="none"/>
        </w:rPr>
      </w:pPr>
      <w:r>
        <w:rPr>
          <w:rFonts w:hint="eastAsia" w:ascii="宋体" w:hAnsi="宋体"/>
          <w:highlight w:val="none"/>
        </w:rPr>
        <w:t>⑤追加为完成工程所需的任何额外工作。</w:t>
      </w:r>
    </w:p>
    <w:p>
      <w:pPr>
        <w:pStyle w:val="360"/>
        <w:spacing w:line="360" w:lineRule="auto"/>
        <w:ind w:firstLine="420" w:firstLineChars="200"/>
        <w:rPr>
          <w:rFonts w:ascii="宋体" w:hAnsi="宋体"/>
          <w:highlight w:val="none"/>
        </w:rPr>
      </w:pPr>
      <w:r>
        <w:rPr>
          <w:rFonts w:hint="eastAsia" w:ascii="宋体" w:hAnsi="宋体"/>
          <w:highlight w:val="none"/>
        </w:rPr>
        <w:t>（2）增加或减少合同中项目的工程量累计引起的工程造价不超过合同总价1%的部分，不予调整工程款；累计引起的工程造价超过合同总价1%的，则按超过部分扣除合同总价1%后的实际工程量计价支付工程款。增加工程款达到招标要求的按相关规定办理。堤岸建设长度变化引起的调整费用增减按实结算。</w:t>
      </w:r>
    </w:p>
    <w:p>
      <w:pPr>
        <w:pStyle w:val="360"/>
        <w:spacing w:line="360" w:lineRule="auto"/>
        <w:ind w:firstLine="420" w:firstLineChars="200"/>
        <w:rPr>
          <w:rFonts w:ascii="宋体" w:hAnsi="宋体"/>
          <w:highlight w:val="none"/>
        </w:rPr>
      </w:pPr>
      <w:r>
        <w:rPr>
          <w:rFonts w:hint="eastAsia" w:ascii="宋体" w:hAnsi="宋体"/>
          <w:highlight w:val="none"/>
        </w:rPr>
        <w:t>（4）以下情况不作为变更处理，不予调整合同价：</w:t>
      </w:r>
    </w:p>
    <w:p>
      <w:pPr>
        <w:pStyle w:val="360"/>
        <w:spacing w:line="360" w:lineRule="auto"/>
        <w:ind w:firstLine="420" w:firstLineChars="200"/>
        <w:rPr>
          <w:rFonts w:ascii="宋体" w:hAnsi="宋体"/>
          <w:highlight w:val="none"/>
        </w:rPr>
      </w:pPr>
      <w:r>
        <w:rPr>
          <w:rFonts w:hint="eastAsia" w:ascii="宋体" w:hAnsi="宋体"/>
          <w:highlight w:val="none"/>
        </w:rPr>
        <w:t>1）对于堤防工程，堤轴线不变的情况下，由于施工图纸标示的地面线与实际地形不一致而引起的工程量增减。</w:t>
      </w:r>
    </w:p>
    <w:p>
      <w:pPr>
        <w:pStyle w:val="360"/>
        <w:spacing w:line="360" w:lineRule="auto"/>
        <w:ind w:firstLine="420" w:firstLineChars="200"/>
        <w:rPr>
          <w:rFonts w:ascii="宋体" w:hAnsi="宋体"/>
          <w:highlight w:val="none"/>
        </w:rPr>
      </w:pPr>
      <w:r>
        <w:rPr>
          <w:rFonts w:hint="eastAsia" w:ascii="宋体" w:hAnsi="宋体"/>
          <w:highlight w:val="none"/>
        </w:rPr>
        <w:t>2）承包人自身应承担的风险范围内工作。</w:t>
      </w:r>
    </w:p>
    <w:p>
      <w:pPr>
        <w:pStyle w:val="360"/>
        <w:spacing w:line="360" w:lineRule="auto"/>
        <w:ind w:firstLine="420" w:firstLineChars="200"/>
        <w:rPr>
          <w:rFonts w:ascii="宋体" w:hAnsi="宋体"/>
          <w:highlight w:val="none"/>
        </w:rPr>
      </w:pPr>
      <w:r>
        <w:rPr>
          <w:rFonts w:hint="eastAsia" w:ascii="宋体" w:hAnsi="宋体"/>
          <w:highlight w:val="none"/>
        </w:rPr>
        <w:t>3）项目法人在工程招标文件及其配套的补充通知、设计图纸等文件中已明确应由承包方承担的工作内容、义务和风险，如工程实体的实施（含临时工程）、现场安全生产措施、物价正常波动等。</w:t>
      </w:r>
    </w:p>
    <w:p>
      <w:pPr>
        <w:pStyle w:val="360"/>
        <w:spacing w:line="360" w:lineRule="auto"/>
        <w:ind w:firstLine="420" w:firstLineChars="200"/>
        <w:rPr>
          <w:rFonts w:ascii="宋体" w:hAnsi="宋体"/>
          <w:highlight w:val="none"/>
        </w:rPr>
      </w:pPr>
      <w:r>
        <w:rPr>
          <w:rFonts w:hint="eastAsia" w:ascii="宋体" w:hAnsi="宋体"/>
          <w:highlight w:val="none"/>
        </w:rPr>
        <w:t>4）因承包方自身技术力量、施工机械、流动资金以及其他应由承包方自身解决的问题等原因导致的工程无法实施或难以实施。</w:t>
      </w:r>
    </w:p>
    <w:p>
      <w:pPr>
        <w:pStyle w:val="360"/>
        <w:spacing w:line="360" w:lineRule="auto"/>
        <w:ind w:firstLine="420" w:firstLineChars="200"/>
        <w:rPr>
          <w:rFonts w:ascii="宋体" w:hAnsi="宋体"/>
          <w:highlight w:val="none"/>
        </w:rPr>
      </w:pPr>
      <w:r>
        <w:rPr>
          <w:rFonts w:hint="eastAsia" w:ascii="宋体" w:hAnsi="宋体"/>
          <w:highlight w:val="none"/>
        </w:rPr>
        <w:t>5）施工图纸与工程量清单不一致（存在漏项或计量不准确等），但未超出相关合同计量条款约定的调整界限。</w:t>
      </w:r>
    </w:p>
    <w:p>
      <w:pPr>
        <w:pStyle w:val="360"/>
        <w:spacing w:line="360" w:lineRule="auto"/>
        <w:ind w:firstLine="420" w:firstLineChars="200"/>
        <w:rPr>
          <w:rFonts w:ascii="宋体" w:hAnsi="宋体"/>
          <w:highlight w:val="none"/>
        </w:rPr>
      </w:pPr>
      <w:r>
        <w:rPr>
          <w:rFonts w:hint="eastAsia" w:ascii="宋体" w:hAnsi="宋体"/>
          <w:highlight w:val="none"/>
        </w:rPr>
        <w:t>6）承包方投标失误，如工程量、单价、总价计算错误，对现场施工组织考虑不周等。</w:t>
      </w:r>
    </w:p>
    <w:p>
      <w:pPr>
        <w:pStyle w:val="360"/>
        <w:spacing w:line="360" w:lineRule="auto"/>
        <w:ind w:firstLine="420" w:firstLineChars="200"/>
        <w:rPr>
          <w:rFonts w:ascii="宋体" w:hAnsi="宋体"/>
          <w:highlight w:val="none"/>
        </w:rPr>
      </w:pPr>
      <w:r>
        <w:rPr>
          <w:rFonts w:hint="eastAsia" w:ascii="宋体" w:hAnsi="宋体"/>
          <w:highlight w:val="none"/>
        </w:rPr>
        <w:t>7）属于发包时约定由承包方统筹包干使用费用的项目（如一般临时工程、一般拆除工程、排水、承包人驻地建设、施工道路与通道、围蔽、支护等）。</w:t>
      </w:r>
    </w:p>
    <w:p>
      <w:pPr>
        <w:pStyle w:val="360"/>
        <w:spacing w:line="360" w:lineRule="auto"/>
        <w:ind w:firstLine="420" w:firstLineChars="200"/>
        <w:rPr>
          <w:rFonts w:ascii="宋体" w:hAnsi="宋体"/>
          <w:highlight w:val="none"/>
        </w:rPr>
      </w:pPr>
      <w:r>
        <w:rPr>
          <w:rFonts w:hint="eastAsia" w:ascii="宋体" w:hAnsi="宋体"/>
          <w:highlight w:val="none"/>
        </w:rPr>
        <w:t>（5）由于变更引起的工程施工组织和进度计划发生的任何变动，均不予以调整项目单价和合价。</w:t>
      </w:r>
    </w:p>
    <w:p>
      <w:pPr>
        <w:pStyle w:val="290"/>
        <w:spacing w:line="360" w:lineRule="auto"/>
        <w:ind w:firstLine="422" w:firstLineChars="200"/>
        <w:rPr>
          <w:b/>
          <w:highlight w:val="none"/>
        </w:rPr>
      </w:pPr>
      <w:r>
        <w:rPr>
          <w:rFonts w:hint="eastAsia"/>
          <w:b/>
          <w:highlight w:val="none"/>
        </w:rPr>
        <w:t>15.2变更的处理原则</w:t>
      </w:r>
    </w:p>
    <w:p>
      <w:pPr>
        <w:pStyle w:val="290"/>
        <w:spacing w:line="360" w:lineRule="auto"/>
        <w:ind w:firstLine="420" w:firstLineChars="200"/>
        <w:rPr>
          <w:highlight w:val="none"/>
        </w:rPr>
      </w:pPr>
      <w:r>
        <w:rPr>
          <w:rFonts w:hint="eastAsia"/>
          <w:highlight w:val="none"/>
        </w:rPr>
        <w:t>（</w:t>
      </w:r>
      <w:r>
        <w:rPr>
          <w:highlight w:val="none"/>
        </w:rPr>
        <w:t>1</w:t>
      </w:r>
      <w:r>
        <w:rPr>
          <w:rFonts w:hint="eastAsia"/>
          <w:highlight w:val="none"/>
        </w:rPr>
        <w:t>）变更需要延长工期时，应按本合同的规定办理；若变更使合同工作量减少，监理人认为应予提前变更项目的工期时，由监理人和承包人协商确定。</w:t>
      </w:r>
    </w:p>
    <w:p>
      <w:pPr>
        <w:pStyle w:val="290"/>
        <w:spacing w:line="360" w:lineRule="auto"/>
        <w:ind w:firstLine="420" w:firstLineChars="200"/>
        <w:rPr>
          <w:highlight w:val="none"/>
        </w:rPr>
      </w:pPr>
      <w:r>
        <w:rPr>
          <w:rFonts w:hint="eastAsia"/>
          <w:highlight w:val="none"/>
        </w:rPr>
        <w:t>（</w:t>
      </w:r>
      <w:r>
        <w:rPr>
          <w:highlight w:val="none"/>
        </w:rPr>
        <w:t>2</w:t>
      </w:r>
      <w:r>
        <w:rPr>
          <w:rFonts w:hint="eastAsia"/>
          <w:highlight w:val="none"/>
        </w:rPr>
        <w:t>）单项工程经批准增加合同规定以外的内容，工程估算投资100万人民币以上（含100万）或者单项工程合同变更追加工程款超过招标合同价10%以上（含10%）但各项合同总额不超预（概）算的，应当组织招标；但经论证不适宜招标的，按照穗府办【2014】15号文规定经批准后可不招标。</w:t>
      </w:r>
    </w:p>
    <w:p>
      <w:pPr>
        <w:pStyle w:val="290"/>
        <w:spacing w:line="360" w:lineRule="auto"/>
        <w:ind w:firstLine="420" w:firstLineChars="200"/>
        <w:rPr>
          <w:highlight w:val="none"/>
        </w:rPr>
      </w:pPr>
      <w:r>
        <w:rPr>
          <w:rFonts w:hint="eastAsia"/>
          <w:highlight w:val="none"/>
        </w:rPr>
        <w:t>（3）工程变更必须按照《广州市水务建设工程设计变更管理办法》（</w:t>
      </w:r>
      <w:r>
        <w:rPr>
          <w:highlight w:val="none"/>
        </w:rPr>
        <w:t>穗水规划〔2014〕28号</w:t>
      </w:r>
      <w:r>
        <w:rPr>
          <w:rFonts w:hint="eastAsia"/>
          <w:highlight w:val="none"/>
        </w:rPr>
        <w:t>）和其他相关规定履行报批手续后方可变更。</w:t>
      </w:r>
    </w:p>
    <w:p>
      <w:pPr>
        <w:pStyle w:val="290"/>
        <w:spacing w:line="360" w:lineRule="auto"/>
        <w:ind w:firstLine="420" w:firstLineChars="200"/>
        <w:rPr>
          <w:highlight w:val="none"/>
        </w:rPr>
      </w:pPr>
      <w:r>
        <w:rPr>
          <w:rFonts w:hint="eastAsia"/>
          <w:highlight w:val="none"/>
        </w:rPr>
        <w:t>（4）工程变更还应遵循相关法律法规和政策规定以及发包人制定的设计变更管理办法。</w:t>
      </w:r>
    </w:p>
    <w:p>
      <w:pPr>
        <w:pStyle w:val="290"/>
        <w:spacing w:line="360" w:lineRule="auto"/>
        <w:ind w:firstLine="420" w:firstLineChars="200"/>
        <w:rPr>
          <w:highlight w:val="none"/>
        </w:rPr>
      </w:pPr>
      <w:r>
        <w:rPr>
          <w:rFonts w:hint="eastAsia"/>
          <w:highlight w:val="none"/>
        </w:rPr>
        <w:t>（5）变更前后项目引起的单价和合价按以下规定办理：</w:t>
      </w:r>
    </w:p>
    <w:p>
      <w:pPr>
        <w:pStyle w:val="290"/>
        <w:spacing w:line="360" w:lineRule="auto"/>
        <w:ind w:firstLine="420" w:firstLineChars="200"/>
        <w:rPr>
          <w:highlight w:val="none"/>
        </w:rPr>
      </w:pPr>
      <w:r>
        <w:rPr>
          <w:rFonts w:hint="eastAsia"/>
          <w:highlight w:val="none"/>
        </w:rPr>
        <w:t>1）合同中没有适用于变更工程项目的单价的，则根据变更工程资料、计量规范和计价办法、工程造价管理机构发布的信息（参考）价格（提交变更申请当季度），并按照中标合同总价的下浮率（即中标价相对于最高投标限价的下浮比率）核定变更项目的单价和总价，按发包人有关规定办理有关变更审价程序后调整。</w:t>
      </w:r>
    </w:p>
    <w:p>
      <w:pPr>
        <w:pStyle w:val="290"/>
        <w:spacing w:line="360" w:lineRule="auto"/>
        <w:ind w:firstLine="420" w:firstLineChars="200"/>
        <w:rPr>
          <w:highlight w:val="none"/>
        </w:rPr>
      </w:pPr>
      <w:r>
        <w:rPr>
          <w:rFonts w:hint="eastAsia"/>
          <w:highlight w:val="none"/>
        </w:rPr>
        <w:t>2）合同中没有适用的单价、且工程造价管理机构发布的信息(参考)价格缺价的，则根据变更工程资料、计量规则、计价办法和通过市场调查等有合法依据的市场价格，并按照中标合同总价的下浮率（即中标价相对于最高投标限价的下浮比率）核定变更项目的单价和总价，按发包人有关规定办理有关变更审价程序后调整。</w:t>
      </w:r>
    </w:p>
    <w:p>
      <w:pPr>
        <w:pStyle w:val="290"/>
        <w:spacing w:line="360" w:lineRule="auto"/>
        <w:ind w:firstLine="420" w:firstLineChars="200"/>
        <w:rPr>
          <w:highlight w:val="none"/>
        </w:rPr>
      </w:pPr>
      <w:r>
        <w:rPr>
          <w:rFonts w:hint="eastAsia"/>
          <w:highlight w:val="none"/>
        </w:rPr>
        <w:t>3）合同中有适用单价的，变更项目按照中标价的下浮率核定单价和总价。</w:t>
      </w:r>
    </w:p>
    <w:p>
      <w:pPr>
        <w:pStyle w:val="290"/>
        <w:spacing w:line="360" w:lineRule="auto"/>
        <w:ind w:firstLine="420" w:firstLineChars="200"/>
        <w:rPr>
          <w:highlight w:val="none"/>
        </w:rPr>
      </w:pPr>
      <w:r>
        <w:rPr>
          <w:rFonts w:hint="eastAsia"/>
          <w:highlight w:val="none"/>
        </w:rPr>
        <w:t>4）工程措施费用不作调整。</w:t>
      </w:r>
    </w:p>
    <w:p>
      <w:pPr>
        <w:pStyle w:val="511"/>
        <w:spacing w:line="360" w:lineRule="auto"/>
        <w:rPr>
          <w:rFonts w:ascii="宋体" w:hAnsi="宋体"/>
          <w:highlight w:val="none"/>
        </w:rPr>
      </w:pPr>
      <w:r>
        <w:rPr>
          <w:rFonts w:hint="eastAsia" w:ascii="宋体" w:hAnsi="宋体"/>
          <w:highlight w:val="none"/>
        </w:rPr>
        <w:t>（6）合同变更中涉及的主要材料应注明产地、品牌、规格和组价依据，并由监理复核，经项目管理单位、发包人审核后确认。</w:t>
      </w:r>
    </w:p>
    <w:p>
      <w:pPr>
        <w:pStyle w:val="286"/>
        <w:spacing w:line="360" w:lineRule="auto"/>
        <w:ind w:firstLine="422" w:firstLineChars="200"/>
        <w:rPr>
          <w:rFonts w:ascii="宋体" w:hAnsi="宋体"/>
          <w:b/>
          <w:highlight w:val="none"/>
        </w:rPr>
      </w:pPr>
      <w:r>
        <w:rPr>
          <w:rFonts w:hint="eastAsia" w:ascii="宋体" w:hAnsi="宋体"/>
          <w:b/>
          <w:highlight w:val="none"/>
        </w:rPr>
        <w:t>15.3 变更指示</w:t>
      </w:r>
    </w:p>
    <w:p>
      <w:pPr>
        <w:pStyle w:val="286"/>
        <w:spacing w:line="360" w:lineRule="auto"/>
        <w:ind w:firstLineChars="200"/>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）监理人应在发包人授权范围内，按第15</w:t>
      </w:r>
      <w:r>
        <w:rPr>
          <w:rFonts w:ascii="宋体" w:hAnsi="宋体"/>
          <w:highlight w:val="none"/>
        </w:rPr>
        <w:t>.1</w:t>
      </w:r>
      <w:r>
        <w:rPr>
          <w:rFonts w:hint="eastAsia" w:ascii="宋体" w:hAnsi="宋体"/>
          <w:highlight w:val="none"/>
        </w:rPr>
        <w:t>款的规定及时向承包人发出变更指示。变更指示的内容应包括变更项目的详细变更内容、变更工程量、变更项目的施工技术要求和有关文件图纸以及监理人按第15</w:t>
      </w:r>
      <w:r>
        <w:rPr>
          <w:rFonts w:ascii="宋体" w:hAnsi="宋体"/>
          <w:highlight w:val="none"/>
        </w:rPr>
        <w:t>.2</w:t>
      </w:r>
      <w:r>
        <w:rPr>
          <w:rFonts w:hint="eastAsia" w:ascii="宋体" w:hAnsi="宋体"/>
          <w:highlight w:val="none"/>
        </w:rPr>
        <w:t>款规定指明的变更处理原则。</w:t>
      </w:r>
    </w:p>
    <w:p>
      <w:pPr>
        <w:pStyle w:val="286"/>
        <w:spacing w:line="360" w:lineRule="auto"/>
        <w:ind w:firstLineChars="200"/>
        <w:rPr>
          <w:rFonts w:ascii="宋体" w:hAnsi="宋体"/>
          <w:highlight w:val="none"/>
        </w:rPr>
      </w:pPr>
      <w:r>
        <w:rPr>
          <w:rFonts w:hint="eastAsia" w:ascii="宋体" w:hAnsi="宋体"/>
          <w:highlight w:val="none"/>
        </w:rPr>
        <w:t>（2）监理人在向承包人发出任何图纸和文件前，应仔细检查其中是否存在第15</w:t>
      </w:r>
      <w:r>
        <w:rPr>
          <w:rFonts w:ascii="宋体" w:hAnsi="宋体"/>
          <w:highlight w:val="none"/>
        </w:rPr>
        <w:t>.1</w:t>
      </w:r>
      <w:r>
        <w:rPr>
          <w:rFonts w:hint="eastAsia" w:ascii="宋体" w:hAnsi="宋体"/>
          <w:highlight w:val="none"/>
        </w:rPr>
        <w:t>款所述的变更。若存在变更，监理人应按本款</w:t>
      </w:r>
      <w:r>
        <w:rPr>
          <w:rFonts w:ascii="宋体" w:hAnsi="宋体"/>
          <w:highlight w:val="none"/>
        </w:rPr>
        <w:t>（1）</w:t>
      </w:r>
      <w:r>
        <w:rPr>
          <w:rFonts w:hint="eastAsia" w:ascii="宋体" w:hAnsi="宋体"/>
          <w:highlight w:val="none"/>
        </w:rPr>
        <w:t>项的规定发出变更指示。</w:t>
      </w:r>
    </w:p>
    <w:p>
      <w:pPr>
        <w:pStyle w:val="286"/>
        <w:spacing w:line="360" w:lineRule="auto"/>
        <w:ind w:firstLineChars="200"/>
        <w:rPr>
          <w:rFonts w:ascii="宋体" w:hAnsi="宋体"/>
          <w:highlight w:val="none"/>
        </w:rPr>
      </w:pPr>
      <w:r>
        <w:rPr>
          <w:rFonts w:hint="eastAsia" w:ascii="宋体" w:hAnsi="宋体"/>
          <w:highlight w:val="none"/>
        </w:rPr>
        <w:t>（3）承包人收到监理人发出的图纸和文件后，经检查后认为其中存在第15</w:t>
      </w:r>
      <w:r>
        <w:rPr>
          <w:rFonts w:ascii="宋体" w:hAnsi="宋体"/>
          <w:highlight w:val="none"/>
        </w:rPr>
        <w:t>.1</w:t>
      </w:r>
      <w:r>
        <w:rPr>
          <w:rFonts w:hint="eastAsia" w:ascii="宋体" w:hAnsi="宋体"/>
          <w:highlight w:val="none"/>
        </w:rPr>
        <w:t>款所述的变更而监理人未按本款</w:t>
      </w:r>
      <w:r>
        <w:rPr>
          <w:rFonts w:ascii="宋体" w:hAnsi="宋体"/>
          <w:highlight w:val="none"/>
        </w:rPr>
        <w:t>（l）</w:t>
      </w:r>
      <w:r>
        <w:rPr>
          <w:rFonts w:hint="eastAsia" w:ascii="宋体" w:hAnsi="宋体"/>
          <w:highlight w:val="none"/>
        </w:rPr>
        <w:t>项规定发出变更指示，则应在收到上述图纸和文件后7天内或在开始执行前</w:t>
      </w:r>
      <w:r>
        <w:rPr>
          <w:rFonts w:ascii="宋体" w:hAnsi="宋体"/>
          <w:highlight w:val="none"/>
        </w:rPr>
        <w:t>（</w:t>
      </w:r>
      <w:r>
        <w:rPr>
          <w:rFonts w:hint="eastAsia" w:ascii="宋体" w:hAnsi="宋体"/>
          <w:highlight w:val="none"/>
        </w:rPr>
        <w:t>以日期早者为准</w:t>
      </w:r>
      <w:r>
        <w:rPr>
          <w:rFonts w:ascii="宋体" w:hAnsi="宋体"/>
          <w:highlight w:val="none"/>
        </w:rPr>
        <w:t>）</w:t>
      </w:r>
      <w:r>
        <w:rPr>
          <w:rFonts w:hint="eastAsia" w:ascii="宋体" w:hAnsi="宋体"/>
          <w:highlight w:val="none"/>
        </w:rPr>
        <w:t>通知监理人，并提供必要的依据。监理人应在收到承包人通知后7天内答复承包人：若同意作为变更。应按本款</w:t>
      </w:r>
      <w:r>
        <w:rPr>
          <w:rFonts w:ascii="宋体" w:hAnsi="宋体"/>
          <w:highlight w:val="none"/>
        </w:rPr>
        <w:t>（1）</w:t>
      </w:r>
      <w:r>
        <w:rPr>
          <w:rFonts w:hint="eastAsia" w:ascii="宋体" w:hAnsi="宋体"/>
          <w:highlight w:val="none"/>
        </w:rPr>
        <w:t>项规定补发变更指示；若不同意作为变更，亦应在上述期限内答复承包人。</w:t>
      </w:r>
    </w:p>
    <w:p>
      <w:pPr>
        <w:pStyle w:val="286"/>
        <w:spacing w:line="360" w:lineRule="auto"/>
        <w:ind w:firstLineChars="200"/>
        <w:rPr>
          <w:rFonts w:ascii="宋体" w:hAnsi="宋体"/>
          <w:highlight w:val="none"/>
        </w:rPr>
      </w:pPr>
      <w:r>
        <w:rPr>
          <w:rFonts w:hint="eastAsia" w:ascii="宋体" w:hAnsi="宋体"/>
          <w:highlight w:val="none"/>
        </w:rPr>
        <w:t>（4）承包人在投标时已充分考察了施工现场情况，报价中已包括了施工范围内的场地平整、地上附着物拆卸（除）、鱼（虾）塘处理、清淤、排水及其他相关临时工程等费用，在合同实施时，不得以任何原因增加该部分费用。</w:t>
      </w:r>
    </w:p>
    <w:p>
      <w:pPr>
        <w:pStyle w:val="286"/>
        <w:spacing w:line="360" w:lineRule="auto"/>
        <w:ind w:firstLineChars="200"/>
        <w:rPr>
          <w:rFonts w:ascii="宋体" w:hAnsi="宋体"/>
          <w:highlight w:val="none"/>
        </w:rPr>
      </w:pPr>
      <w:r>
        <w:rPr>
          <w:rFonts w:hint="eastAsia" w:ascii="宋体" w:hAnsi="宋体"/>
          <w:highlight w:val="none"/>
        </w:rPr>
        <w:t>（5）发现设计有错误或严重不合理的地方，承包人应以书面形式通知发包人及监理工程师，经监理工程师审查并报发包人同意后，由发包人在七天内与原设计单位商定提出修改或变更设计方案进行实施。如因投资或材料供应有变化，或因发包人使用需要，提出变更设计要求，除变更设计图纸及审批手续由发包人负责外，承包人应积极配合，按照变更设计图纸施工。</w:t>
      </w:r>
    </w:p>
    <w:p>
      <w:pPr>
        <w:pStyle w:val="286"/>
        <w:spacing w:line="360" w:lineRule="auto"/>
        <w:ind w:firstLineChars="200"/>
        <w:rPr>
          <w:rFonts w:ascii="宋体" w:hAnsi="宋体"/>
          <w:highlight w:val="none"/>
        </w:rPr>
      </w:pPr>
      <w:r>
        <w:rPr>
          <w:rFonts w:hint="eastAsia" w:ascii="宋体" w:hAnsi="宋体"/>
          <w:highlight w:val="none"/>
        </w:rPr>
        <w:t>（6）合同签定后，承包人进场施工，中途如遇国家宏观计划决策调控，或因不可抗力以及甲、乙双方之外的原因，导致工程必须执行停建、缓建命令时，双方对在建工程应商定建至安全部位，避免更大损失。此时，发包人应按合同规定支付已完工的价款，并向承包人作价接收已为本工程所储备的材料；承包人应妥善做好已购材料、设备的保护和移交工作，并按发包人要求将自有设备和人员尽快撤离施工场地。发包人应为承包人撤离工作提供必要条件。已经订货的材料、设备由订方负责退货，未及时退货造成的损失由责任方承担。</w:t>
      </w:r>
    </w:p>
    <w:p>
      <w:pPr>
        <w:pStyle w:val="290"/>
        <w:spacing w:line="360" w:lineRule="auto"/>
        <w:ind w:firstLine="422" w:firstLineChars="200"/>
        <w:rPr>
          <w:b/>
          <w:highlight w:val="none"/>
        </w:rPr>
      </w:pPr>
      <w:r>
        <w:rPr>
          <w:rFonts w:hint="eastAsia"/>
          <w:b/>
          <w:highlight w:val="none"/>
        </w:rPr>
        <w:t>15.4 变更的报价</w:t>
      </w:r>
    </w:p>
    <w:p>
      <w:pPr>
        <w:pStyle w:val="290"/>
        <w:spacing w:line="360" w:lineRule="auto"/>
        <w:ind w:firstLine="420" w:firstLineChars="200"/>
        <w:rPr>
          <w:highlight w:val="none"/>
        </w:rPr>
      </w:pPr>
      <w:r>
        <w:rPr>
          <w:rFonts w:hint="eastAsia"/>
          <w:highlight w:val="none"/>
        </w:rPr>
        <w:t>（</w:t>
      </w:r>
      <w:r>
        <w:rPr>
          <w:highlight w:val="none"/>
        </w:rPr>
        <w:t>l</w:t>
      </w:r>
      <w:r>
        <w:rPr>
          <w:rFonts w:hint="eastAsia"/>
          <w:highlight w:val="none"/>
        </w:rPr>
        <w:t>）承包人收到监理人发出的变更指示后7天内，应向监理人提交一份变更报价书，其内容应包括承包人确认的变更处理原则和变更工程量及其变更项目的报价单。并要求承包人提交重大变更项目的施工措施、进度计划和单价分析等。</w:t>
      </w:r>
    </w:p>
    <w:p>
      <w:pPr>
        <w:pStyle w:val="290"/>
        <w:spacing w:line="360" w:lineRule="auto"/>
        <w:ind w:firstLine="420" w:firstLineChars="200"/>
        <w:rPr>
          <w:highlight w:val="none"/>
        </w:rPr>
      </w:pPr>
      <w:r>
        <w:rPr>
          <w:rFonts w:hint="eastAsia"/>
          <w:highlight w:val="none"/>
        </w:rPr>
        <w:t>（</w:t>
      </w:r>
      <w:r>
        <w:rPr>
          <w:highlight w:val="none"/>
        </w:rPr>
        <w:t>2</w:t>
      </w:r>
      <w:r>
        <w:rPr>
          <w:rFonts w:hint="eastAsia"/>
          <w:highlight w:val="none"/>
        </w:rPr>
        <w:t>）承包人对监理人提出的变更处理原则持有异议时，可在收到变更指示后</w:t>
      </w:r>
      <w:r>
        <w:rPr>
          <w:highlight w:val="none"/>
        </w:rPr>
        <w:t>7</w:t>
      </w:r>
      <w:r>
        <w:rPr>
          <w:rFonts w:hint="eastAsia"/>
          <w:highlight w:val="none"/>
        </w:rPr>
        <w:t>天内通知监理人，监理人则应在收到通知后</w:t>
      </w:r>
      <w:r>
        <w:rPr>
          <w:highlight w:val="none"/>
        </w:rPr>
        <w:t>7</w:t>
      </w:r>
      <w:r>
        <w:rPr>
          <w:rFonts w:hint="eastAsia"/>
          <w:highlight w:val="none"/>
        </w:rPr>
        <w:t>天内答复承包人。</w:t>
      </w:r>
    </w:p>
    <w:p>
      <w:pPr>
        <w:pStyle w:val="290"/>
        <w:spacing w:line="360" w:lineRule="auto"/>
        <w:ind w:firstLine="420" w:firstLineChars="200"/>
        <w:rPr>
          <w:b/>
          <w:highlight w:val="none"/>
        </w:rPr>
      </w:pPr>
      <w:r>
        <w:rPr>
          <w:rFonts w:hint="eastAsia"/>
          <w:highlight w:val="none"/>
        </w:rPr>
        <w:t>15</w:t>
      </w:r>
      <w:r>
        <w:rPr>
          <w:rFonts w:hint="eastAsia"/>
          <w:b/>
          <w:highlight w:val="none"/>
        </w:rPr>
        <w:t>.5 变更决定</w:t>
      </w:r>
    </w:p>
    <w:p>
      <w:pPr>
        <w:pStyle w:val="290"/>
        <w:spacing w:line="360" w:lineRule="auto"/>
        <w:ind w:firstLine="420" w:firstLineChars="200"/>
        <w:rPr>
          <w:highlight w:val="none"/>
        </w:rPr>
      </w:pPr>
      <w:r>
        <w:rPr>
          <w:rFonts w:hint="eastAsia"/>
          <w:highlight w:val="none"/>
        </w:rPr>
        <w:t>（</w:t>
      </w:r>
      <w:r>
        <w:rPr>
          <w:highlight w:val="none"/>
        </w:rPr>
        <w:t>l</w:t>
      </w:r>
      <w:r>
        <w:rPr>
          <w:rFonts w:hint="eastAsia"/>
          <w:highlight w:val="none"/>
        </w:rPr>
        <w:t>）监理人应在收到承包人变更报价书后7天内对变更报价书进行审核后作出变更决定，并通知承包人。</w:t>
      </w:r>
    </w:p>
    <w:p>
      <w:pPr>
        <w:pStyle w:val="290"/>
        <w:spacing w:line="360" w:lineRule="auto"/>
        <w:ind w:firstLine="420" w:firstLineChars="200"/>
        <w:rPr>
          <w:highlight w:val="none"/>
        </w:rPr>
      </w:pPr>
      <w:r>
        <w:rPr>
          <w:rFonts w:hint="eastAsia"/>
          <w:highlight w:val="none"/>
        </w:rPr>
        <w:t>（2）在紧急情况下，监理人向承包人发出的变更指示，可要求立即进行变更工作。承包人收到监理人的变更指示后</w:t>
      </w:r>
      <w:r>
        <w:rPr>
          <w:highlight w:val="none"/>
        </w:rPr>
        <w:t>,</w:t>
      </w:r>
      <w:r>
        <w:rPr>
          <w:rFonts w:hint="eastAsia"/>
          <w:highlight w:val="none"/>
        </w:rPr>
        <w:t>应先按指示执行</w:t>
      </w:r>
      <w:r>
        <w:rPr>
          <w:highlight w:val="none"/>
        </w:rPr>
        <w:t>,</w:t>
      </w:r>
      <w:r>
        <w:rPr>
          <w:rFonts w:hint="eastAsia"/>
          <w:highlight w:val="none"/>
        </w:rPr>
        <w:t>再按第15</w:t>
      </w:r>
      <w:r>
        <w:rPr>
          <w:highlight w:val="none"/>
        </w:rPr>
        <w:t>.4</w:t>
      </w:r>
      <w:r>
        <w:rPr>
          <w:rFonts w:hint="eastAsia"/>
          <w:highlight w:val="none"/>
        </w:rPr>
        <w:t>款的规定监理人提交变更报价书，监理人则仍应按本款</w:t>
      </w:r>
      <w:r>
        <w:rPr>
          <w:highlight w:val="none"/>
        </w:rPr>
        <w:t>（l）</w:t>
      </w:r>
      <w:r>
        <w:rPr>
          <w:rFonts w:hint="eastAsia"/>
          <w:highlight w:val="none"/>
        </w:rPr>
        <w:t>、</w:t>
      </w:r>
      <w:r>
        <w:rPr>
          <w:highlight w:val="none"/>
        </w:rPr>
        <w:t>（2）</w:t>
      </w:r>
      <w:r>
        <w:rPr>
          <w:rFonts w:hint="eastAsia"/>
          <w:highlight w:val="none"/>
        </w:rPr>
        <w:t>项的规定补发变更决定通知。</w:t>
      </w:r>
    </w:p>
    <w:p>
      <w:pPr>
        <w:pStyle w:val="290"/>
        <w:spacing w:line="360" w:lineRule="auto"/>
        <w:ind w:firstLine="420" w:firstLineChars="200"/>
        <w:rPr>
          <w:highlight w:val="none"/>
        </w:rPr>
      </w:pPr>
      <w:r>
        <w:rPr>
          <w:rFonts w:hint="eastAsia"/>
          <w:highlight w:val="none"/>
        </w:rPr>
        <w:t>（3）监理人签署的变更指示是合同文件的补充，承包人必须按要求执行，不得拒绝。</w:t>
      </w:r>
    </w:p>
    <w:p>
      <w:pPr>
        <w:pStyle w:val="290"/>
        <w:spacing w:line="360" w:lineRule="auto"/>
        <w:ind w:firstLine="422" w:firstLineChars="200"/>
        <w:rPr>
          <w:b/>
          <w:highlight w:val="none"/>
        </w:rPr>
      </w:pPr>
      <w:r>
        <w:rPr>
          <w:rFonts w:hint="eastAsia"/>
          <w:b/>
          <w:highlight w:val="none"/>
        </w:rPr>
        <w:t>15.6 承包人原因引起的变更</w:t>
      </w:r>
    </w:p>
    <w:p>
      <w:pPr>
        <w:pStyle w:val="360"/>
        <w:spacing w:line="360" w:lineRule="auto"/>
        <w:ind w:firstLine="420" w:firstLineChars="200"/>
        <w:rPr>
          <w:rFonts w:ascii="宋体" w:hAnsi="宋体"/>
          <w:highlight w:val="none"/>
        </w:rPr>
      </w:pPr>
      <w:r>
        <w:rPr>
          <w:rFonts w:hint="eastAsia" w:ascii="宋体" w:hAnsi="宋体"/>
          <w:highlight w:val="none"/>
        </w:rPr>
        <w:t>（1）承包人违约或其它由于承包人原因引起的变更，其增加的费用和工期延误责任由承包人承担。</w:t>
      </w:r>
    </w:p>
    <w:p>
      <w:pPr>
        <w:pStyle w:val="360"/>
        <w:spacing w:line="360" w:lineRule="auto"/>
        <w:ind w:firstLine="420" w:firstLineChars="200"/>
        <w:rPr>
          <w:rFonts w:ascii="宋体" w:hAnsi="宋体"/>
          <w:highlight w:val="none"/>
        </w:rPr>
      </w:pPr>
      <w:r>
        <w:rPr>
          <w:rFonts w:hint="eastAsia" w:ascii="宋体" w:hAnsi="宋体"/>
          <w:highlight w:val="none"/>
        </w:rPr>
        <w:t>（2）承包人不得擅自变更设计。倘如承包人有合理化建议措施，必须事先提出变更设计图纸，计算书和施工方案，经发包人、设计单位与监理工程师审查签认后，方可实施。凡未经设计、审核、技术负责人签字及设计单位盖章的图纸和未经发包人及监理工程师审查签认的，均属手续不全，一概无效。由于承包人按无效图纸施工造成的一切损失，均由承包人承担。”</w:t>
      </w:r>
    </w:p>
    <w:p>
      <w:pPr>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16．价格调整</w:t>
      </w:r>
    </w:p>
    <w:p>
      <w:pPr>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本条不采用。</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17．合同价格与支付</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17.1 合同价格</w:t>
      </w:r>
    </w:p>
    <w:p>
      <w:pPr>
        <w:pStyle w:val="360"/>
        <w:spacing w:line="360" w:lineRule="auto"/>
        <w:ind w:firstLine="422" w:firstLineChars="200"/>
        <w:rPr>
          <w:rFonts w:ascii="宋体" w:hAnsi="宋体"/>
          <w:b/>
          <w:highlight w:val="none"/>
        </w:rPr>
      </w:pPr>
      <w:r>
        <w:rPr>
          <w:rFonts w:hint="eastAsia" w:ascii="宋体" w:hAnsi="宋体" w:cs="宋体"/>
          <w:b/>
          <w:highlight w:val="none"/>
        </w:rPr>
        <w:t>17.1.1</w:t>
      </w:r>
      <w:r>
        <w:rPr>
          <w:rFonts w:hint="eastAsia" w:ascii="宋体" w:hAnsi="宋体"/>
          <w:b/>
          <w:highlight w:val="none"/>
        </w:rPr>
        <w:t>设计服务费结算方式。</w:t>
      </w:r>
    </w:p>
    <w:p>
      <w:pPr>
        <w:pStyle w:val="360"/>
        <w:spacing w:line="360" w:lineRule="auto"/>
        <w:ind w:firstLine="420" w:firstLineChars="200"/>
        <w:rPr>
          <w:rFonts w:ascii="宋体" w:hAnsi="宋体"/>
          <w:highlight w:val="none"/>
        </w:rPr>
      </w:pPr>
      <w:r>
        <w:rPr>
          <w:rFonts w:hint="eastAsia" w:ascii="宋体" w:hAnsi="宋体"/>
          <w:highlight w:val="none"/>
        </w:rPr>
        <w:t>设计服务费用以批复的概算中的施工图设计费乘以（1-中标下浮率）。最终结算价以财政部门或经招标人确定的第三方造价咨询机构的审核结果为准。</w:t>
      </w:r>
    </w:p>
    <w:p>
      <w:pPr>
        <w:pStyle w:val="360"/>
        <w:spacing w:line="360" w:lineRule="auto"/>
        <w:ind w:firstLine="420" w:firstLineChars="200"/>
        <w:rPr>
          <w:rFonts w:ascii="宋体" w:hAnsi="宋体"/>
          <w:highlight w:val="none"/>
        </w:rPr>
      </w:pPr>
      <w:r>
        <w:rPr>
          <w:rFonts w:hint="eastAsia" w:ascii="宋体" w:hAnsi="宋体"/>
          <w:highlight w:val="none"/>
        </w:rPr>
        <w:t>基本设计收费包括出具施工图设计文件，提供施工阶段设计服务、设计技术交底、解决施工中的设计技术问题、设计修改、派驻现场设计代表、结算工程量复核、参加考核和竣工验收等工作所需的费用。</w:t>
      </w:r>
    </w:p>
    <w:p>
      <w:pPr>
        <w:pStyle w:val="360"/>
        <w:spacing w:line="360" w:lineRule="auto"/>
        <w:ind w:firstLine="420" w:firstLineChars="200"/>
        <w:rPr>
          <w:rFonts w:ascii="宋体" w:hAnsi="宋体"/>
          <w:highlight w:val="none"/>
        </w:rPr>
      </w:pPr>
      <w:r>
        <w:rPr>
          <w:rFonts w:hint="eastAsia" w:ascii="宋体" w:hAnsi="宋体"/>
          <w:highlight w:val="none"/>
        </w:rPr>
        <w:t>设计服务费按《工程勘察设计收费标准》（国家发展计划委员会、建设部2002年版）的收费标准计算。最终结算时，分档计算的计费额以工程评审概算中第一至第四部分之和（建安费）为准。设计收费调整系数（专业调整系数、工程复杂程度调整系数、附加调整系数）按行政主管部门核定值为准。</w:t>
      </w:r>
    </w:p>
    <w:p>
      <w:pPr>
        <w:pStyle w:val="360"/>
        <w:spacing w:line="360" w:lineRule="auto"/>
        <w:ind w:firstLine="420" w:firstLineChars="200"/>
        <w:rPr>
          <w:rFonts w:ascii="宋体" w:hAnsi="宋体"/>
          <w:highlight w:val="none"/>
        </w:rPr>
      </w:pPr>
      <w:r>
        <w:rPr>
          <w:rFonts w:hint="eastAsia" w:ascii="宋体" w:hAnsi="宋体"/>
          <w:highlight w:val="none"/>
        </w:rPr>
        <w:t>（1）设计单位须承担本工程设计方案修改任务，招标人不再另行支付方案修改的费用，设计单位配合办理工程报建等手续，直到办理建设用地手续为止，各个阶段设计内容及完成时间以发包人通知为准。</w:t>
      </w:r>
    </w:p>
    <w:p>
      <w:pPr>
        <w:pStyle w:val="360"/>
        <w:spacing w:line="360" w:lineRule="auto"/>
        <w:ind w:firstLine="420" w:firstLineChars="200"/>
        <w:rPr>
          <w:rFonts w:ascii="宋体" w:hAnsi="宋体"/>
          <w:highlight w:val="none"/>
        </w:rPr>
      </w:pPr>
      <w:r>
        <w:rPr>
          <w:rFonts w:hint="eastAsia" w:ascii="宋体" w:hAnsi="宋体"/>
          <w:highlight w:val="none"/>
        </w:rPr>
        <w:t>（2）如果设计单位出具的施工图预算超出经确认的初步设计概算，设计单位须保证无偿在初步设计的基础上对施工图进行修改，项目立项投资调整而引起的设计概算修改除外。</w:t>
      </w:r>
    </w:p>
    <w:p>
      <w:pPr>
        <w:pStyle w:val="360"/>
        <w:spacing w:line="360" w:lineRule="auto"/>
        <w:ind w:firstLine="420" w:firstLineChars="200"/>
        <w:rPr>
          <w:rFonts w:ascii="宋体" w:hAnsi="宋体"/>
          <w:highlight w:val="none"/>
        </w:rPr>
      </w:pPr>
      <w:r>
        <w:rPr>
          <w:rFonts w:hint="eastAsia" w:ascii="宋体" w:hAnsi="宋体"/>
          <w:highlight w:val="none"/>
        </w:rPr>
        <w:t>（3）发包人所提供的设计依据仅为参考，最终以政府规划部门批复的相关文件为准，如政府批复的规划设计依据与发包人提供的设计依据不符，由此而产生的设计修改费用已包含在设计服务费总额内，发包人不再另行支付，项目立项投资调整引起的设计修改除外。</w:t>
      </w:r>
    </w:p>
    <w:p>
      <w:pPr>
        <w:pStyle w:val="360"/>
        <w:spacing w:line="360" w:lineRule="auto"/>
        <w:ind w:firstLine="422" w:firstLineChars="200"/>
        <w:rPr>
          <w:rFonts w:ascii="宋体" w:hAnsi="宋体" w:cs="宋体"/>
          <w:b/>
          <w:highlight w:val="none"/>
        </w:rPr>
      </w:pPr>
      <w:r>
        <w:rPr>
          <w:rFonts w:hint="eastAsia" w:ascii="宋体" w:hAnsi="宋体" w:cs="宋体"/>
          <w:b/>
          <w:highlight w:val="none"/>
        </w:rPr>
        <w:t>17.1.2建安工程费结算方式。</w:t>
      </w:r>
    </w:p>
    <w:p>
      <w:pPr>
        <w:pStyle w:val="360"/>
        <w:spacing w:line="360" w:lineRule="auto"/>
        <w:ind w:firstLine="420" w:firstLineChars="200"/>
        <w:rPr>
          <w:rFonts w:ascii="宋体" w:hAnsi="宋体"/>
          <w:highlight w:val="none"/>
        </w:rPr>
      </w:pPr>
      <w:r>
        <w:rPr>
          <w:rFonts w:hint="eastAsia" w:ascii="宋体" w:hAnsi="宋体"/>
          <w:highlight w:val="none"/>
        </w:rPr>
        <w:t>建安工程费结算价＝合同价+调整费用。</w:t>
      </w:r>
    </w:p>
    <w:p>
      <w:pPr>
        <w:pStyle w:val="360"/>
        <w:spacing w:line="360" w:lineRule="auto"/>
        <w:ind w:firstLine="420" w:firstLineChars="200"/>
        <w:rPr>
          <w:rFonts w:ascii="宋体" w:hAnsi="宋体"/>
          <w:highlight w:val="none"/>
        </w:rPr>
      </w:pPr>
      <w:r>
        <w:rPr>
          <w:rFonts w:hint="eastAsia" w:ascii="宋体" w:hAnsi="宋体"/>
          <w:highlight w:val="none"/>
        </w:rPr>
        <w:t>合同价按承包人投标单价乘以工程量计算。</w:t>
      </w:r>
    </w:p>
    <w:p>
      <w:pPr>
        <w:pStyle w:val="360"/>
        <w:spacing w:line="360" w:lineRule="auto"/>
        <w:ind w:firstLine="420" w:firstLineChars="200"/>
        <w:rPr>
          <w:rFonts w:ascii="宋体" w:hAnsi="宋体"/>
          <w:highlight w:val="none"/>
        </w:rPr>
      </w:pPr>
      <w:r>
        <w:rPr>
          <w:rFonts w:hint="eastAsia" w:ascii="宋体" w:hAnsi="宋体"/>
          <w:highlight w:val="none"/>
        </w:rPr>
        <w:t>调整费用：当设计变更引起的增加或减少的累计费用不超过合同价1%的，调整费用为零；当设计变更引起的累计费用增加大于合同价1%的，调整费用＝累计费用－合同价*1%；当设计变更引起的累计费用减少合同价1%以上的，调整费用＝-｜累计费用｜+合同价*1%；堤岸建设长度变化引起的调整费用增减按实结算。</w:t>
      </w:r>
    </w:p>
    <w:p>
      <w:pPr>
        <w:pStyle w:val="360"/>
        <w:tabs>
          <w:tab w:val="center" w:pos="4724"/>
        </w:tabs>
        <w:spacing w:line="360" w:lineRule="auto"/>
        <w:ind w:firstLine="420" w:firstLineChars="200"/>
        <w:rPr>
          <w:rFonts w:ascii="宋体" w:hAnsi="宋体"/>
          <w:highlight w:val="none"/>
        </w:rPr>
      </w:pPr>
      <w:r>
        <w:rPr>
          <w:rFonts w:hint="eastAsia" w:ascii="宋体" w:hAnsi="宋体"/>
          <w:highlight w:val="none"/>
        </w:rPr>
        <w:t>最终结算价以财政部门或经招标人确定的第三方造价咨询机构的审核结果为准。</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17.2 预付款</w:t>
      </w:r>
    </w:p>
    <w:p>
      <w:pPr>
        <w:spacing w:line="360" w:lineRule="auto"/>
        <w:ind w:firstLine="420" w:firstLineChars="200"/>
        <w:rPr>
          <w:rFonts w:ascii="宋体" w:hAnsi="宋体"/>
          <w:bCs/>
          <w:szCs w:val="21"/>
          <w:highlight w:val="none"/>
        </w:rPr>
      </w:pPr>
      <w:r>
        <w:rPr>
          <w:rFonts w:hint="eastAsia" w:ascii="宋体" w:hAnsi="宋体"/>
          <w:bCs/>
          <w:szCs w:val="21"/>
          <w:highlight w:val="none"/>
        </w:rPr>
        <w:t>双方协商一致，本条款补充如下：</w:t>
      </w:r>
    </w:p>
    <w:p>
      <w:pPr>
        <w:spacing w:line="360" w:lineRule="auto"/>
        <w:ind w:firstLine="420" w:firstLineChars="200"/>
        <w:rPr>
          <w:rFonts w:ascii="宋体" w:hAnsi="宋体"/>
          <w:snapToGrid w:val="0"/>
          <w:szCs w:val="21"/>
          <w:highlight w:val="none"/>
        </w:rPr>
      </w:pPr>
      <w:r>
        <w:rPr>
          <w:rFonts w:hint="eastAsia" w:ascii="宋体" w:hAnsi="宋体"/>
          <w:szCs w:val="21"/>
          <w:highlight w:val="none"/>
        </w:rPr>
        <w:t>（1）</w:t>
      </w:r>
      <w:r>
        <w:rPr>
          <w:rFonts w:hint="eastAsia" w:ascii="宋体" w:hAnsi="宋体"/>
          <w:snapToGrid w:val="0"/>
          <w:szCs w:val="21"/>
          <w:highlight w:val="none"/>
        </w:rPr>
        <w:t>承包人按招标文件及合同专用条款的要求提交履约担保且具备开工条件后，承包人提交工程预付款申请书，发包人收到后14天内向承包人支付工程费中标价的（</w:t>
      </w:r>
      <w:r>
        <w:rPr>
          <w:rFonts w:hint="eastAsia" w:ascii="宋体" w:hAnsi="宋体"/>
          <w:b/>
          <w:snapToGrid w:val="0"/>
          <w:szCs w:val="21"/>
          <w:highlight w:val="none"/>
        </w:rPr>
        <w:t>□</w:t>
      </w:r>
      <w:r>
        <w:rPr>
          <w:rFonts w:hint="eastAsia" w:ascii="宋体" w:hAnsi="宋体"/>
          <w:snapToGrid w:val="0"/>
          <w:szCs w:val="21"/>
          <w:highlight w:val="none"/>
        </w:rPr>
        <w:t xml:space="preserve"> 0%；</w:t>
      </w:r>
      <w:r>
        <w:rPr>
          <w:rFonts w:hint="eastAsia" w:ascii="宋体" w:hAnsi="宋体"/>
          <w:b/>
          <w:snapToGrid w:val="0"/>
          <w:szCs w:val="21"/>
          <w:highlight w:val="none"/>
        </w:rPr>
        <w:t>□</w:t>
      </w:r>
      <w:r>
        <w:rPr>
          <w:rFonts w:hint="eastAsia" w:ascii="宋体" w:hAnsi="宋体"/>
          <w:snapToGrid w:val="0"/>
          <w:szCs w:val="21"/>
          <w:highlight w:val="none"/>
        </w:rPr>
        <w:t xml:space="preserve"> 5%；</w:t>
      </w:r>
      <w:r>
        <w:rPr>
          <w:rFonts w:hint="eastAsia" w:ascii="宋体" w:hAnsi="宋体"/>
          <w:b/>
          <w:snapToGrid w:val="0"/>
          <w:szCs w:val="21"/>
          <w:highlight w:val="none"/>
          <w:lang w:eastAsia="zh-CN"/>
        </w:rPr>
        <w:t>□</w:t>
      </w:r>
      <w:r>
        <w:rPr>
          <w:rFonts w:hint="eastAsia" w:ascii="宋体" w:hAnsi="宋体"/>
          <w:snapToGrid w:val="0"/>
          <w:szCs w:val="21"/>
          <w:highlight w:val="none"/>
        </w:rPr>
        <w:t xml:space="preserve">  10%；</w:t>
      </w:r>
      <w:r>
        <w:rPr>
          <w:rFonts w:hint="eastAsia" w:ascii="宋体" w:hAnsi="宋体"/>
          <w:b/>
          <w:snapToGrid w:val="0"/>
          <w:szCs w:val="21"/>
          <w:highlight w:val="none"/>
        </w:rPr>
        <w:t>□</w:t>
      </w:r>
      <w:r>
        <w:rPr>
          <w:rFonts w:hint="eastAsia" w:ascii="宋体" w:hAnsi="宋体"/>
          <w:snapToGrid w:val="0"/>
          <w:szCs w:val="21"/>
          <w:highlight w:val="none"/>
        </w:rPr>
        <w:t xml:space="preserve">  15%；</w:t>
      </w:r>
      <w:r>
        <w:rPr>
          <w:rFonts w:hint="eastAsia" w:ascii="宋体" w:hAnsi="宋体" w:cs="MS Gothic"/>
          <w:kern w:val="0"/>
          <w:sz w:val="24"/>
          <w:szCs w:val="24"/>
          <w:highlight w:val="none"/>
        </w:rPr>
        <w:t>□</w:t>
      </w:r>
      <w:r>
        <w:rPr>
          <w:rFonts w:hint="eastAsia" w:ascii="宋体" w:hAnsi="宋体"/>
          <w:snapToGrid w:val="0"/>
          <w:szCs w:val="21"/>
          <w:highlight w:val="none"/>
        </w:rPr>
        <w:t xml:space="preserve"> 20%；</w:t>
      </w:r>
      <w:r>
        <w:rPr>
          <w:rFonts w:hint="eastAsia" w:ascii="宋体" w:hAnsi="宋体"/>
          <w:b/>
          <w:snapToGrid w:val="0"/>
          <w:szCs w:val="21"/>
          <w:highlight w:val="none"/>
        </w:rPr>
        <w:t>□</w:t>
      </w:r>
      <w:r>
        <w:rPr>
          <w:rFonts w:hint="eastAsia" w:ascii="宋体" w:hAnsi="宋体"/>
          <w:snapToGrid w:val="0"/>
          <w:szCs w:val="21"/>
          <w:highlight w:val="none"/>
        </w:rPr>
        <w:t xml:space="preserve"> 25%；</w:t>
      </w:r>
      <w:r>
        <w:rPr>
          <w:rFonts w:hint="eastAsia" w:ascii="宋体" w:hAnsi="宋体"/>
          <w:b/>
          <w:snapToGrid w:val="0"/>
          <w:szCs w:val="21"/>
          <w:highlight w:val="none"/>
        </w:rPr>
        <w:sym w:font="Wingdings 2" w:char="0052"/>
      </w:r>
      <w:r>
        <w:rPr>
          <w:rFonts w:hint="eastAsia" w:ascii="宋体" w:hAnsi="宋体"/>
          <w:snapToGrid w:val="0"/>
          <w:szCs w:val="21"/>
          <w:highlight w:val="none"/>
        </w:rPr>
        <w:t xml:space="preserve"> 30%）作为工程预付款。</w:t>
      </w:r>
      <w:r>
        <w:rPr>
          <w:rFonts w:hint="eastAsia" w:ascii="宋体" w:hAnsi="宋体"/>
          <w:szCs w:val="21"/>
          <w:highlight w:val="none"/>
        </w:rPr>
        <w:t>承包人须在申请第一笔工程进度款前完成预付款的申领手续，否则视为放弃。</w:t>
      </w:r>
    </w:p>
    <w:p>
      <w:pPr>
        <w:spacing w:line="360" w:lineRule="auto"/>
        <w:ind w:firstLine="420" w:firstLineChars="200"/>
        <w:rPr>
          <w:rFonts w:ascii="宋体" w:hAnsi="宋体"/>
          <w:szCs w:val="21"/>
          <w:highlight w:val="none"/>
        </w:rPr>
      </w:pPr>
      <w:r>
        <w:rPr>
          <w:rFonts w:hint="eastAsia" w:ascii="宋体" w:hAnsi="宋体"/>
          <w:szCs w:val="21"/>
          <w:highlight w:val="none"/>
        </w:rPr>
        <w:t>（2）扣回工程预付款的时间、比例：每一次拨付工程进度款时，扣除工程进度款的</w:t>
      </w:r>
      <w:r>
        <w:rPr>
          <w:rFonts w:ascii="宋体" w:hAnsi="宋体"/>
          <w:szCs w:val="21"/>
          <w:highlight w:val="none"/>
        </w:rPr>
        <w:t>40%</w:t>
      </w:r>
      <w:r>
        <w:rPr>
          <w:rFonts w:hint="eastAsia" w:ascii="宋体" w:hAnsi="宋体"/>
          <w:szCs w:val="21"/>
          <w:highlight w:val="none"/>
        </w:rPr>
        <w:t>作为抵扣工程预付款，直至工程预付款抵扣清为止。</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17.3 工程进度付款</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17.3.1 付款时间</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17.3.1.1设计服务费支付方式。</w:t>
      </w:r>
    </w:p>
    <w:p>
      <w:pPr>
        <w:pStyle w:val="360"/>
        <w:spacing w:line="360" w:lineRule="auto"/>
        <w:ind w:firstLine="420" w:firstLineChars="200"/>
        <w:rPr>
          <w:rFonts w:ascii="宋体" w:hAnsi="宋体"/>
          <w:highlight w:val="none"/>
        </w:rPr>
      </w:pPr>
      <w:r>
        <w:rPr>
          <w:rFonts w:ascii="宋体" w:hAnsi="宋体"/>
          <w:highlight w:val="none"/>
        </w:rPr>
        <w:t>由</w:t>
      </w:r>
      <w:r>
        <w:rPr>
          <w:rFonts w:hint="eastAsia" w:ascii="宋体" w:hAnsi="宋体"/>
          <w:highlight w:val="none"/>
        </w:rPr>
        <w:t>发包人根据工作进度</w:t>
      </w:r>
      <w:r>
        <w:rPr>
          <w:rFonts w:ascii="宋体" w:hAnsi="宋体"/>
          <w:highlight w:val="none"/>
        </w:rPr>
        <w:t>向</w:t>
      </w:r>
      <w:r>
        <w:rPr>
          <w:rFonts w:hint="eastAsia" w:ascii="宋体" w:hAnsi="宋体"/>
          <w:highlight w:val="none"/>
        </w:rPr>
        <w:t>设计单位分期</w:t>
      </w:r>
      <w:r>
        <w:rPr>
          <w:rFonts w:ascii="宋体" w:hAnsi="宋体"/>
          <w:highlight w:val="none"/>
        </w:rPr>
        <w:t>支付</w:t>
      </w:r>
      <w:r>
        <w:rPr>
          <w:rFonts w:hint="eastAsia" w:ascii="宋体" w:hAnsi="宋体"/>
          <w:highlight w:val="none"/>
        </w:rPr>
        <w:t>，支付进度如下：</w:t>
      </w:r>
    </w:p>
    <w:p>
      <w:pPr>
        <w:pStyle w:val="360"/>
        <w:spacing w:line="360" w:lineRule="auto"/>
        <w:ind w:firstLine="420" w:firstLineChars="200"/>
        <w:rPr>
          <w:rFonts w:ascii="宋体" w:hAnsi="宋体"/>
          <w:highlight w:val="none"/>
        </w:rPr>
      </w:pPr>
      <w:r>
        <w:rPr>
          <w:rFonts w:hint="eastAsia" w:ascii="宋体" w:hAnsi="宋体"/>
          <w:highlight w:val="none"/>
        </w:rPr>
        <w:t>设计工作完成以提交的工程施工图审批完成或被确认合格满足合同条件为准。对应的设计费按比例分阶段付款，如下：</w:t>
      </w:r>
    </w:p>
    <w:p>
      <w:pPr>
        <w:pStyle w:val="360"/>
        <w:spacing w:line="360" w:lineRule="auto"/>
        <w:ind w:firstLine="420" w:firstLineChars="200"/>
        <w:rPr>
          <w:rFonts w:ascii="宋体" w:hAnsi="宋体"/>
          <w:highlight w:val="none"/>
        </w:rPr>
      </w:pPr>
      <w:r>
        <w:rPr>
          <w:rFonts w:hint="eastAsia" w:ascii="宋体" w:hAnsi="宋体"/>
          <w:highlight w:val="none"/>
        </w:rPr>
        <w:t>（1）</w:t>
      </w:r>
      <w:r>
        <w:rPr>
          <w:rFonts w:ascii="宋体" w:hAnsi="宋体"/>
          <w:highlight w:val="none"/>
        </w:rPr>
        <w:t>设计</w:t>
      </w:r>
      <w:r>
        <w:rPr>
          <w:rFonts w:hint="eastAsia" w:ascii="宋体" w:hAnsi="宋体"/>
          <w:highlight w:val="none"/>
        </w:rPr>
        <w:t>服务</w:t>
      </w:r>
      <w:r>
        <w:rPr>
          <w:rFonts w:ascii="宋体" w:hAnsi="宋体"/>
          <w:highlight w:val="none"/>
        </w:rPr>
        <w:t>费</w:t>
      </w:r>
      <w:r>
        <w:rPr>
          <w:rFonts w:hint="eastAsia" w:ascii="宋体" w:hAnsi="宋体"/>
          <w:highlight w:val="none"/>
        </w:rPr>
        <w:t>支付方式</w:t>
      </w:r>
      <w:r>
        <w:rPr>
          <w:rFonts w:ascii="宋体" w:hAnsi="宋体"/>
          <w:highlight w:val="none"/>
        </w:rPr>
        <w:t>：</w:t>
      </w:r>
      <w:r>
        <w:rPr>
          <w:rFonts w:hint="eastAsia" w:ascii="宋体" w:hAnsi="宋体"/>
          <w:highlight w:val="none"/>
        </w:rPr>
        <w:t>施工图完成审核后支付至暂定的设计服务费用（以专用合同17.1.2款规定的计算费用）的40%，后续设计服务费随工程进度支付，施工完工前最多支付至70%</w:t>
      </w:r>
      <w:r>
        <w:rPr>
          <w:rFonts w:ascii="宋体" w:hAnsi="宋体"/>
          <w:highlight w:val="none"/>
        </w:rPr>
        <w:t>。</w:t>
      </w:r>
    </w:p>
    <w:p>
      <w:pPr>
        <w:pStyle w:val="360"/>
        <w:spacing w:line="360" w:lineRule="auto"/>
        <w:ind w:firstLine="420" w:firstLineChars="200"/>
        <w:rPr>
          <w:rFonts w:ascii="宋体" w:hAnsi="宋体"/>
          <w:highlight w:val="none"/>
        </w:rPr>
      </w:pPr>
      <w:r>
        <w:rPr>
          <w:rFonts w:hint="eastAsia" w:ascii="宋体" w:hAnsi="宋体"/>
          <w:highlight w:val="none"/>
        </w:rPr>
        <w:t>（3）</w:t>
      </w:r>
      <w:r>
        <w:rPr>
          <w:rFonts w:ascii="宋体" w:hAnsi="宋体"/>
          <w:highlight w:val="none"/>
        </w:rPr>
        <w:t>工程单位工程验收通过后，</w:t>
      </w:r>
      <w:r>
        <w:rPr>
          <w:rFonts w:hint="eastAsia" w:ascii="宋体" w:hAnsi="宋体"/>
          <w:highlight w:val="none"/>
        </w:rPr>
        <w:t>且财政部门出具结算评审报告后，</w:t>
      </w:r>
      <w:r>
        <w:rPr>
          <w:rFonts w:ascii="宋体" w:hAnsi="宋体"/>
          <w:highlight w:val="none"/>
        </w:rPr>
        <w:t>支付至工程</w:t>
      </w:r>
      <w:r>
        <w:rPr>
          <w:rFonts w:hint="eastAsia" w:ascii="宋体" w:hAnsi="宋体"/>
          <w:highlight w:val="none"/>
        </w:rPr>
        <w:t>结算评审报告设计服务</w:t>
      </w:r>
      <w:r>
        <w:rPr>
          <w:rFonts w:ascii="宋体" w:hAnsi="宋体"/>
          <w:highlight w:val="none"/>
        </w:rPr>
        <w:t>费的</w:t>
      </w:r>
      <w:r>
        <w:rPr>
          <w:rFonts w:hint="eastAsia" w:ascii="宋体" w:hAnsi="宋体"/>
          <w:highlight w:val="none"/>
          <w:lang w:val="en-US" w:eastAsia="zh-CN"/>
        </w:rPr>
        <w:t>97</w:t>
      </w:r>
      <w:r>
        <w:rPr>
          <w:rFonts w:ascii="宋体" w:hAnsi="宋体"/>
          <w:highlight w:val="none"/>
        </w:rPr>
        <w:t>%。</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highlight w:val="none"/>
        </w:rPr>
        <w:t>（4）</w:t>
      </w:r>
      <w:r>
        <w:rPr>
          <w:rFonts w:ascii="宋体" w:hAnsi="宋体"/>
          <w:highlight w:val="none"/>
        </w:rPr>
        <w:t>工程</w:t>
      </w:r>
      <w:r>
        <w:rPr>
          <w:rFonts w:hint="eastAsia" w:ascii="宋体" w:hAnsi="宋体"/>
          <w:highlight w:val="none"/>
        </w:rPr>
        <w:t>竣工</w:t>
      </w:r>
      <w:r>
        <w:rPr>
          <w:rFonts w:ascii="宋体" w:hAnsi="宋体"/>
          <w:highlight w:val="none"/>
        </w:rPr>
        <w:t>验收通过</w:t>
      </w:r>
      <w:r>
        <w:rPr>
          <w:rFonts w:hint="eastAsia" w:ascii="宋体" w:hAnsi="宋体"/>
          <w:highlight w:val="none"/>
        </w:rPr>
        <w:t>且工程保修责任终止证书颁发后</w:t>
      </w:r>
      <w:r>
        <w:rPr>
          <w:rFonts w:ascii="宋体" w:hAnsi="宋体"/>
          <w:highlight w:val="none"/>
        </w:rPr>
        <w:t>后</w:t>
      </w:r>
      <w:r>
        <w:rPr>
          <w:rFonts w:hint="eastAsia" w:ascii="宋体" w:hAnsi="宋体"/>
          <w:highlight w:val="none"/>
        </w:rPr>
        <w:t>28</w:t>
      </w:r>
      <w:r>
        <w:rPr>
          <w:rFonts w:ascii="宋体" w:hAnsi="宋体"/>
          <w:highlight w:val="none"/>
        </w:rPr>
        <w:t>天内，</w:t>
      </w:r>
      <w:r>
        <w:rPr>
          <w:rFonts w:hint="eastAsia" w:ascii="宋体" w:hAnsi="宋体"/>
          <w:highlight w:val="none"/>
        </w:rPr>
        <w:t>发包人</w:t>
      </w:r>
      <w:r>
        <w:rPr>
          <w:rFonts w:ascii="宋体" w:hAnsi="宋体"/>
          <w:highlight w:val="none"/>
        </w:rPr>
        <w:t>支付项目应支付的设计服务</w:t>
      </w:r>
      <w:r>
        <w:rPr>
          <w:rFonts w:hint="eastAsia" w:ascii="宋体" w:hAnsi="宋体"/>
          <w:highlight w:val="none"/>
        </w:rPr>
        <w:t>费余款</w:t>
      </w:r>
      <w:r>
        <w:rPr>
          <w:rFonts w:ascii="宋体" w:hAnsi="宋体"/>
          <w:highlight w:val="none"/>
        </w:rPr>
        <w:t>。</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17.3.1.2 本合同工程费按进度支付，支付比例如下：</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1）工程预付款按第17.2条规定支付。</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2）付款时间：按月支付。</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3）工程进度款按实际完成工程量每个月结算一次，承包人应在每月</w:t>
      </w:r>
      <w:r>
        <w:rPr>
          <w:rFonts w:ascii="宋体" w:hAnsi="宋体" w:cs="宋体"/>
          <w:kern w:val="0"/>
          <w:szCs w:val="21"/>
          <w:highlight w:val="none"/>
        </w:rPr>
        <w:t>20</w:t>
      </w:r>
      <w:r>
        <w:rPr>
          <w:rFonts w:hint="eastAsia" w:ascii="宋体" w:hAnsi="宋体" w:cs="宋体"/>
          <w:kern w:val="0"/>
          <w:szCs w:val="21"/>
          <w:highlight w:val="none"/>
        </w:rPr>
        <w:t>日前按规定的申请书格式填写支付申请书并备齐有关资料送监理人审核，资料包括：经验收合格的工程（作）量完成清单，工程（作）量签证单，工程验收汇总表、合同（含补充合同或协议）、履约保函、违约处罚通知单、工程结算评审通知书、保修责任终止证书、上次支付凭证复印件等。监理人在收到承包人支付申请书后</w:t>
      </w:r>
      <w:r>
        <w:rPr>
          <w:rFonts w:ascii="宋体" w:hAnsi="宋体" w:cs="宋体"/>
          <w:kern w:val="0"/>
          <w:szCs w:val="21"/>
          <w:highlight w:val="none"/>
        </w:rPr>
        <w:t>14</w:t>
      </w:r>
      <w:r>
        <w:rPr>
          <w:rFonts w:hint="eastAsia" w:ascii="宋体" w:hAnsi="宋体" w:cs="宋体"/>
          <w:kern w:val="0"/>
          <w:szCs w:val="21"/>
          <w:highlight w:val="none"/>
        </w:rPr>
        <w:t>天内完成审核。</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4）每月进度款只付应付款（扣除预付款、违约金等后）的</w:t>
      </w:r>
      <w:bookmarkStart w:id="1352" w:name="_GoBack"/>
      <w:r>
        <w:rPr>
          <w:rFonts w:hint="eastAsia" w:ascii="宋体" w:hAnsi="宋体" w:cs="宋体"/>
          <w:kern w:val="0"/>
          <w:szCs w:val="21"/>
          <w:highlight w:val="none"/>
          <w:lang w:val="en-US" w:eastAsia="zh-CN"/>
        </w:rPr>
        <w:t>8</w:t>
      </w:r>
      <w:r>
        <w:rPr>
          <w:rFonts w:hint="eastAsia" w:ascii="宋体" w:hAnsi="宋体" w:cs="宋体"/>
          <w:kern w:val="0"/>
          <w:szCs w:val="21"/>
          <w:highlight w:val="none"/>
        </w:rPr>
        <w:t>0</w:t>
      </w:r>
      <w:bookmarkEnd w:id="1352"/>
      <w:r>
        <w:rPr>
          <w:rFonts w:hint="eastAsia" w:ascii="宋体" w:hAnsi="宋体" w:cs="宋体"/>
          <w:kern w:val="0"/>
          <w:szCs w:val="21"/>
          <w:highlight w:val="none"/>
        </w:rPr>
        <w:t>.0</w:t>
      </w:r>
      <w:r>
        <w:rPr>
          <w:rFonts w:ascii="宋体" w:hAnsi="宋体" w:cs="宋体"/>
          <w:kern w:val="0"/>
          <w:szCs w:val="21"/>
          <w:highlight w:val="none"/>
        </w:rPr>
        <w:t>%</w:t>
      </w:r>
      <w:r>
        <w:rPr>
          <w:rFonts w:hint="eastAsia" w:ascii="宋体" w:hAnsi="宋体" w:cs="宋体"/>
          <w:kern w:val="0"/>
          <w:szCs w:val="21"/>
          <w:highlight w:val="none"/>
        </w:rPr>
        <w:t>。另</w:t>
      </w:r>
      <w:r>
        <w:rPr>
          <w:rFonts w:hint="eastAsia" w:ascii="宋体" w:hAnsi="宋体" w:cs="宋体"/>
          <w:kern w:val="0"/>
          <w:szCs w:val="21"/>
          <w:highlight w:val="none"/>
          <w:lang w:val="en-US" w:eastAsia="zh-CN"/>
        </w:rPr>
        <w:t>2</w:t>
      </w:r>
      <w:r>
        <w:rPr>
          <w:rFonts w:hint="eastAsia" w:ascii="宋体" w:hAnsi="宋体" w:cs="宋体"/>
          <w:kern w:val="0"/>
          <w:szCs w:val="21"/>
          <w:highlight w:val="none"/>
        </w:rPr>
        <w:t>0.0</w:t>
      </w:r>
      <w:r>
        <w:rPr>
          <w:rFonts w:ascii="宋体" w:hAnsi="宋体" w:cs="宋体"/>
          <w:kern w:val="0"/>
          <w:szCs w:val="21"/>
          <w:highlight w:val="none"/>
        </w:rPr>
        <w:t>%</w:t>
      </w:r>
      <w:r>
        <w:rPr>
          <w:rFonts w:hint="eastAsia" w:ascii="宋体" w:hAnsi="宋体" w:cs="宋体"/>
          <w:kern w:val="0"/>
          <w:szCs w:val="21"/>
          <w:highlight w:val="none"/>
        </w:rPr>
        <w:t>分为两部分，第一部分</w:t>
      </w:r>
      <w:r>
        <w:rPr>
          <w:rFonts w:hint="eastAsia" w:ascii="宋体" w:hAnsi="宋体" w:cs="宋体"/>
          <w:kern w:val="0"/>
          <w:szCs w:val="21"/>
          <w:highlight w:val="none"/>
          <w:lang w:val="en-US" w:eastAsia="zh-CN"/>
        </w:rPr>
        <w:t>17</w:t>
      </w:r>
      <w:r>
        <w:rPr>
          <w:rFonts w:ascii="宋体" w:hAnsi="宋体" w:cs="宋体"/>
          <w:kern w:val="0"/>
          <w:szCs w:val="21"/>
          <w:highlight w:val="none"/>
        </w:rPr>
        <w:t>%</w:t>
      </w:r>
      <w:r>
        <w:rPr>
          <w:rFonts w:hint="eastAsia" w:ascii="宋体" w:hAnsi="宋体" w:cs="宋体"/>
          <w:kern w:val="0"/>
          <w:szCs w:val="21"/>
          <w:highlight w:val="none"/>
        </w:rPr>
        <w:t>为暂定结算金，待工程完工验收合格，并审定结算造价，再按财政评审结算价的</w:t>
      </w:r>
      <w:r>
        <w:rPr>
          <w:rFonts w:ascii="宋体" w:hAnsi="宋体" w:cs="宋体"/>
          <w:kern w:val="0"/>
          <w:szCs w:val="21"/>
          <w:highlight w:val="none"/>
        </w:rPr>
        <w:t>9</w:t>
      </w:r>
      <w:r>
        <w:rPr>
          <w:rFonts w:hint="eastAsia" w:ascii="宋体" w:hAnsi="宋体" w:cs="宋体"/>
          <w:kern w:val="0"/>
          <w:szCs w:val="21"/>
          <w:highlight w:val="none"/>
          <w:lang w:val="en-US" w:eastAsia="zh-CN"/>
        </w:rPr>
        <w:t>7</w:t>
      </w:r>
      <w:r>
        <w:rPr>
          <w:rFonts w:ascii="宋体" w:hAnsi="宋体" w:cs="宋体"/>
          <w:kern w:val="0"/>
          <w:szCs w:val="21"/>
          <w:highlight w:val="none"/>
        </w:rPr>
        <w:t xml:space="preserve">% </w:t>
      </w:r>
      <w:r>
        <w:rPr>
          <w:rFonts w:hint="eastAsia" w:ascii="宋体" w:hAnsi="宋体" w:cs="宋体"/>
          <w:kern w:val="0"/>
          <w:szCs w:val="21"/>
          <w:highlight w:val="none"/>
        </w:rPr>
        <w:t>减去已付工程款得出的结算金金额支付；第二部分</w:t>
      </w:r>
      <w:r>
        <w:rPr>
          <w:rFonts w:hint="eastAsia" w:ascii="宋体" w:hAnsi="宋体" w:cs="宋体"/>
          <w:kern w:val="0"/>
          <w:szCs w:val="21"/>
          <w:highlight w:val="none"/>
          <w:lang w:val="en-US" w:eastAsia="zh-CN"/>
        </w:rPr>
        <w:t>3</w:t>
      </w:r>
      <w:r>
        <w:rPr>
          <w:rFonts w:ascii="宋体" w:hAnsi="宋体" w:cs="宋体"/>
          <w:kern w:val="0"/>
          <w:szCs w:val="21"/>
          <w:highlight w:val="none"/>
        </w:rPr>
        <w:t>%</w:t>
      </w:r>
      <w:r>
        <w:rPr>
          <w:rFonts w:hint="eastAsia" w:ascii="宋体" w:hAnsi="宋体" w:cs="宋体"/>
          <w:kern w:val="0"/>
          <w:szCs w:val="21"/>
          <w:highlight w:val="none"/>
        </w:rPr>
        <w:t>为工程质量保证金。</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5）发包人收到监理人出具的月进度付款证书后</w:t>
      </w:r>
      <w:r>
        <w:rPr>
          <w:rFonts w:ascii="宋体" w:hAnsi="宋体" w:cs="宋体"/>
          <w:kern w:val="0"/>
          <w:szCs w:val="21"/>
          <w:highlight w:val="none"/>
        </w:rPr>
        <w:t>14</w:t>
      </w:r>
      <w:r>
        <w:rPr>
          <w:rFonts w:hint="eastAsia" w:ascii="宋体" w:hAnsi="宋体" w:cs="宋体"/>
          <w:kern w:val="0"/>
          <w:szCs w:val="21"/>
          <w:highlight w:val="none"/>
        </w:rPr>
        <w:t>天内完成付款证书审批，完成付款证书审批后</w:t>
      </w:r>
      <w:r>
        <w:rPr>
          <w:rFonts w:ascii="宋体" w:hAnsi="宋体" w:cs="宋体"/>
          <w:kern w:val="0"/>
          <w:szCs w:val="21"/>
          <w:highlight w:val="none"/>
        </w:rPr>
        <w:t>14</w:t>
      </w:r>
      <w:r>
        <w:rPr>
          <w:rFonts w:hint="eastAsia" w:ascii="宋体" w:hAnsi="宋体" w:cs="宋体"/>
          <w:kern w:val="0"/>
          <w:szCs w:val="21"/>
          <w:highlight w:val="none"/>
        </w:rPr>
        <w:t>天内发包人应完成财政付款申请上报工作（以水务局向财政部门发出的申请支付申请函发文日期为截止计算日期），发包人不对由于财政性资金集中支付原因引起的支付延误承担责任。因承包人支付申请书和有关资料不齐或错误引起的支付延误，责任由承包人承担。</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6）当承包人提供的履约担保足以承担因承包人违约所造成的后果时，发包人可对动用暂扣的结算金和质量保证金，以保证工程的顺利实施，对此承包人不得提出异议。</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7）若承包人拒签违约处理单，发包人有权暂停支付工程进度款。</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17.4 质量保证金</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17.4.1 质量保证金金额及扣留：</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（1）质量保证金的金额：为工程费结算价款的3%。 </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（2）质量保证金的扣留：直接从结算款中扣留。 </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cs="宋体"/>
          <w:kern w:val="0"/>
          <w:szCs w:val="21"/>
          <w:highlight w:val="none"/>
        </w:rPr>
        <w:t xml:space="preserve">17.4.2 </w:t>
      </w:r>
      <w:r>
        <w:rPr>
          <w:rFonts w:hint="eastAsia" w:ascii="宋体" w:hAnsi="宋体"/>
          <w:szCs w:val="21"/>
          <w:highlight w:val="none"/>
        </w:rPr>
        <w:t>本款修改为：工程缺陷责任期满后，承包人在保修期内履行了保修责任，监理人出具支付质量保证金的付款证书。发包人应在收到上述付款证书后，按合同条款第17.3.4款将质量保证金支付给承包。</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17.5 竣工结算</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本款“竣工结算”修改为“完工结算”并按下列约定执行：</w:t>
      </w:r>
    </w:p>
    <w:p>
      <w:pPr>
        <w:suppressAutoHyphens/>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删去本款条文，代之以：</w:t>
      </w:r>
    </w:p>
    <w:p>
      <w:pPr>
        <w:suppressAutoHyphens/>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17.5.1设计服务费：</w:t>
      </w:r>
    </w:p>
    <w:p>
      <w:pPr>
        <w:suppressAutoHyphens/>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按本合同17.3.1.1款约定执行；</w:t>
      </w:r>
    </w:p>
    <w:p>
      <w:pPr>
        <w:suppressAutoHyphens/>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17.5.2工程费：</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17.5.2．1承包人提交完工结算书(含竣工图)的份数： 6份  。</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承包人提交完工结算书(含竣工图)的期限：颁发（出具）工程完工证书后10天内，每延期 1 天应向发包人支付违约金 10000 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完工结算书的编制要求：符合广州市财政投资评审项目送审资料要求。</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承包人未按本项约定的期限和内容提交完工结算书，经监理人催促后14天内仍未提交或者没有明确答复的，监理人和发包人有权根据已有资料进行审查，审查确定的竣工结算合同总价视同是经承包人认可的工程竣工结算合同总价,该结算总价作为送财政评审的结算合同总价。</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17.5.2．2完工付款证书及支付时间</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（4）完工付款涉及政府投资资金的，按照国库集中支付等国家相关规定以及部门预算资金计划安排进行办理。如果是因为国库安排或者财政资金安排的原因不能按时支付，发包方不承担违约责任。</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增加17.5.3条：</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17.5.3本工程为总价承包合同，承包人所取得的全部报酬包括以下各项累计之和：</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1）投标人投标总报价；</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2）符合合同条款第15条有关变更规定所引起的各类费用增减；</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3）招标文件规定的各类违约金扣除。</w:t>
      </w:r>
    </w:p>
    <w:p>
      <w:pPr>
        <w:suppressAutoHyphens/>
        <w:adjustRightInd w:val="0"/>
        <w:snapToGrid w:val="0"/>
        <w:spacing w:line="360" w:lineRule="auto"/>
        <w:rPr>
          <w:rFonts w:ascii="宋体" w:hAnsi="宋体" w:cs="宋体"/>
          <w:b/>
          <w:kern w:val="0"/>
          <w:szCs w:val="21"/>
          <w:highlight w:val="none"/>
        </w:rPr>
      </w:pPr>
      <w:r>
        <w:rPr>
          <w:rFonts w:hint="eastAsia" w:ascii="宋体" w:hAnsi="宋体" w:cs="宋体"/>
          <w:b/>
          <w:kern w:val="0"/>
          <w:szCs w:val="21"/>
          <w:highlight w:val="none"/>
        </w:rPr>
        <w:t>17.6 最终结清</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删去本款条文，代之以：</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17.6</w:t>
      </w:r>
      <w:r>
        <w:rPr>
          <w:rFonts w:ascii="宋体" w:hAnsi="宋体" w:cs="宋体"/>
          <w:kern w:val="0"/>
          <w:szCs w:val="21"/>
          <w:highlight w:val="none"/>
        </w:rPr>
        <w:t>.1</w:t>
      </w:r>
      <w:r>
        <w:rPr>
          <w:rFonts w:hint="eastAsia" w:ascii="宋体" w:hAnsi="宋体" w:cs="宋体"/>
          <w:kern w:val="0"/>
          <w:szCs w:val="21"/>
          <w:highlight w:val="none"/>
        </w:rPr>
        <w:t>最终付款申请单</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对属于《广州市人民政府办公厅关于印发广州市财政投资评审监督管理办法的通知》(穗府办[2015]5号)评审范围的财政性资金投资项目，财政投资评审结果作为该项目价款结算的依据。</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17.6.1 最终结清申请单</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（1）承包人在收到按第19.6款规定颁发的保修责任终止证书后的28天内，按监理人批准的格式向监理人提交一份最终付款申请单（一式4份），该申请单应包括以下内容，并附有关的证明文件。</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 按合同规定已经完成的全部工程价款金额；</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 按合同规定应付给承包人的追加金额；</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3) 承包人认为应付给他的其它金额。</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4)完工报告</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5)财政评审结算的批复</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6)发包人要求的其他资料</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17.6.2竣工财务决算</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承包人应为竣工财务决算编制提供的资料：承包合同对账清单一份。</w:t>
      </w:r>
    </w:p>
    <w:p>
      <w:pPr>
        <w:spacing w:line="360" w:lineRule="auto"/>
        <w:ind w:firstLine="422" w:firstLineChars="200"/>
        <w:rPr>
          <w:rFonts w:ascii="宋体" w:hAnsi="宋体"/>
          <w:b/>
          <w:kern w:val="0"/>
          <w:szCs w:val="21"/>
          <w:highlight w:val="none"/>
        </w:rPr>
      </w:pPr>
      <w:r>
        <w:rPr>
          <w:rFonts w:hint="eastAsia" w:ascii="宋体" w:hAnsi="宋体"/>
          <w:b/>
          <w:kern w:val="0"/>
          <w:szCs w:val="21"/>
          <w:highlight w:val="none"/>
        </w:rPr>
        <w:t>17.7支付管理</w:t>
      </w:r>
    </w:p>
    <w:p>
      <w:pPr>
        <w:spacing w:line="360" w:lineRule="auto"/>
        <w:ind w:firstLine="420" w:firstLineChars="200"/>
        <w:rPr>
          <w:rFonts w:ascii="宋体" w:hAnsi="宋体"/>
          <w:kern w:val="0"/>
          <w:szCs w:val="21"/>
          <w:highlight w:val="none"/>
        </w:rPr>
      </w:pPr>
      <w:r>
        <w:rPr>
          <w:rFonts w:hint="eastAsia" w:ascii="宋体" w:hAnsi="宋体"/>
          <w:kern w:val="0"/>
          <w:szCs w:val="21"/>
          <w:highlight w:val="none"/>
        </w:rPr>
        <w:t>17.7.1承包人工程资金的管理。未经发包人同意，承包人在投标过程中使用的银行名称及帐号至完成竣工结算不得变更，若承包人违反上述约定的，发包人有权停止工程款项的拔付及至解除合同，由此造成的一切责任由承包人承担。</w:t>
      </w:r>
    </w:p>
    <w:p>
      <w:pPr>
        <w:spacing w:line="360" w:lineRule="auto"/>
        <w:ind w:firstLine="420" w:firstLineChars="200"/>
        <w:rPr>
          <w:rFonts w:ascii="宋体" w:hAnsi="宋体"/>
          <w:kern w:val="0"/>
          <w:szCs w:val="21"/>
          <w:highlight w:val="none"/>
        </w:rPr>
      </w:pPr>
      <w:r>
        <w:rPr>
          <w:rFonts w:hint="eastAsia" w:ascii="宋体" w:hAnsi="宋体"/>
          <w:kern w:val="0"/>
          <w:szCs w:val="21"/>
          <w:highlight w:val="none"/>
        </w:rPr>
        <w:t>17.7.2承包人的所有建设资金（包含但不限于进度款、预付款等），发包人均采用直接转入承包人项目专用账户的拨款方式。承包人须保证实行专款专用，不得转移或用于其他工程。</w:t>
      </w:r>
    </w:p>
    <w:p>
      <w:pPr>
        <w:spacing w:line="360" w:lineRule="auto"/>
        <w:ind w:firstLine="420" w:firstLineChars="200"/>
        <w:rPr>
          <w:rFonts w:ascii="宋体" w:hAnsi="宋体"/>
          <w:kern w:val="0"/>
          <w:szCs w:val="21"/>
          <w:highlight w:val="none"/>
        </w:rPr>
      </w:pPr>
      <w:r>
        <w:rPr>
          <w:rFonts w:hint="eastAsia" w:ascii="宋体" w:hAnsi="宋体"/>
          <w:kern w:val="0"/>
          <w:szCs w:val="21"/>
          <w:highlight w:val="none"/>
        </w:rPr>
        <w:t>17.7.3承包人须按发包人要求上报项目资金使用情况等有利于发包人了解和监控项目资金的财务资料。如经发包人发现承包人的资金未使用于本项目的建设，发包人可暂停对该承包人的支付，直至承包人改正上述行为。</w:t>
      </w:r>
    </w:p>
    <w:p>
      <w:pPr>
        <w:spacing w:line="360" w:lineRule="auto"/>
        <w:ind w:firstLine="315" w:firstLineChars="150"/>
        <w:rPr>
          <w:rFonts w:ascii="宋体" w:hAnsi="宋体"/>
          <w:kern w:val="0"/>
          <w:szCs w:val="21"/>
          <w:highlight w:val="none"/>
        </w:rPr>
      </w:pPr>
      <w:r>
        <w:rPr>
          <w:rFonts w:hint="eastAsia" w:ascii="宋体" w:hAnsi="宋体"/>
          <w:kern w:val="0"/>
          <w:szCs w:val="21"/>
          <w:highlight w:val="none"/>
        </w:rPr>
        <w:t>17.7.4本合同中涉及的所有应由发包人支付的款项，包括但不限于工程预付款、安全文明施工费、进度款、合同实施过程中发生的工程变更、调整、竣工验收进行的结算、质量保证金、最终清算款等，除按照上述条款执行以外还应按照发包人《施工合同计量支付管理办法》、《资金支付管理办法》等管理制度执行，最终以财政局审定的结果为准。</w:t>
      </w:r>
    </w:p>
    <w:p>
      <w:pPr>
        <w:spacing w:line="360" w:lineRule="auto"/>
        <w:ind w:firstLine="420" w:firstLineChars="200"/>
        <w:rPr>
          <w:rFonts w:ascii="宋体" w:hAnsi="宋体"/>
          <w:kern w:val="0"/>
          <w:szCs w:val="21"/>
          <w:highlight w:val="none"/>
        </w:rPr>
      </w:pPr>
      <w:r>
        <w:rPr>
          <w:rFonts w:hint="eastAsia" w:ascii="宋体" w:hAnsi="宋体"/>
          <w:bCs/>
          <w:snapToGrid w:val="0"/>
          <w:kern w:val="0"/>
          <w:szCs w:val="21"/>
          <w:highlight w:val="none"/>
        </w:rPr>
        <w:t>17.7.5</w:t>
      </w:r>
      <w:r>
        <w:rPr>
          <w:rFonts w:hint="eastAsia" w:ascii="宋体" w:hAnsi="宋体"/>
          <w:b/>
          <w:kern w:val="0"/>
          <w:szCs w:val="21"/>
          <w:highlight w:val="none"/>
        </w:rPr>
        <w:t>发包人按合同规定向承包人开出任何违约惩罚金，除合同另有规定外，均从发包人向承包人支付的工程款中直接扣除。</w:t>
      </w:r>
      <w:r>
        <w:rPr>
          <w:rFonts w:hint="eastAsia" w:ascii="宋体" w:hAnsi="宋体"/>
          <w:kern w:val="0"/>
          <w:szCs w:val="21"/>
          <w:highlight w:val="none"/>
        </w:rPr>
        <w:t>除非合同另有规定，发包人向承包人开出的任何违约金将导致承包人最终的应得结算价款相应地减少。承包人必须完全接受此条款。</w:t>
      </w:r>
    </w:p>
    <w:p>
      <w:pPr>
        <w:spacing w:line="360" w:lineRule="auto"/>
        <w:ind w:firstLine="420" w:firstLineChars="200"/>
        <w:rPr>
          <w:rFonts w:ascii="宋体" w:hAnsi="宋体"/>
          <w:kern w:val="0"/>
          <w:szCs w:val="21"/>
          <w:highlight w:val="none"/>
        </w:rPr>
      </w:pPr>
      <w:r>
        <w:rPr>
          <w:rFonts w:hint="eastAsia" w:ascii="宋体" w:hAnsi="宋体"/>
          <w:kern w:val="0"/>
          <w:szCs w:val="21"/>
          <w:highlight w:val="none"/>
        </w:rPr>
        <w:t>发包人按合同规定向承包人开出的任何和违约金的扣除时间会在发包人任何合适的任何计量月中扣除。发包人扣除违约金时间的延迟或滞后并不代表对承包人当时各种行为的认可。</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19. 缺陷责任与保修责任</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19.1 缺陷责任期的起算时间</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缺陷责任期自工程</w:t>
      </w:r>
      <w:r>
        <w:rPr>
          <w:rFonts w:hint="eastAsia" w:ascii="宋体" w:hAnsi="宋体" w:cs="宋体"/>
          <w:kern w:val="0"/>
          <w:szCs w:val="21"/>
          <w:highlight w:val="none"/>
          <w:lang w:eastAsia="zh-CN"/>
        </w:rPr>
        <w:t>合同完工</w:t>
      </w:r>
      <w:r>
        <w:rPr>
          <w:rFonts w:hint="eastAsia" w:ascii="宋体" w:hAnsi="宋体" w:cs="宋体"/>
          <w:kern w:val="0"/>
          <w:szCs w:val="21"/>
          <w:highlight w:val="none"/>
        </w:rPr>
        <w:t>日期起计算，</w:t>
      </w:r>
      <w:r>
        <w:rPr>
          <w:rFonts w:hint="eastAsia" w:ascii="宋体" w:hAnsi="宋体"/>
          <w:szCs w:val="21"/>
          <w:highlight w:val="none"/>
        </w:rPr>
        <w:t>保修期按《建设工程质量管理条例》规定执行</w:t>
      </w:r>
      <w:r>
        <w:rPr>
          <w:rFonts w:hint="eastAsia" w:ascii="宋体" w:hAnsi="宋体" w:cs="宋体"/>
          <w:kern w:val="0"/>
          <w:szCs w:val="21"/>
          <w:highlight w:val="none"/>
        </w:rPr>
        <w:t>。</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补充以下内容：</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szCs w:val="21"/>
          <w:highlight w:val="none"/>
        </w:rPr>
        <w:t>在</w:t>
      </w:r>
      <w:r>
        <w:rPr>
          <w:rFonts w:hint="eastAsia" w:ascii="宋体" w:hAnsi="宋体" w:cs="宋体"/>
          <w:kern w:val="0"/>
          <w:szCs w:val="21"/>
          <w:highlight w:val="none"/>
        </w:rPr>
        <w:t>缺陷责任</w:t>
      </w:r>
      <w:r>
        <w:rPr>
          <w:rFonts w:hint="eastAsia" w:ascii="宋体" w:hAnsi="宋体"/>
          <w:szCs w:val="21"/>
          <w:highlight w:val="none"/>
        </w:rPr>
        <w:t>期内，因承包人责任造成的工程缺陷或损坏，承包人应按发包人或监理人的保修通知的要求履行保修责任。</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19.7 保修责任</w:t>
      </w:r>
    </w:p>
    <w:p>
      <w:pPr>
        <w:autoSpaceDE w:val="0"/>
        <w:autoSpaceDN w:val="0"/>
        <w:adjustRightInd w:val="0"/>
        <w:spacing w:line="360" w:lineRule="auto"/>
        <w:ind w:firstLine="420" w:firstLineChars="200"/>
        <w:jc w:val="left"/>
        <w:rPr>
          <w:rFonts w:ascii="宋体" w:hAnsi="宋体"/>
          <w:szCs w:val="21"/>
          <w:highlight w:val="none"/>
        </w:rPr>
      </w:pPr>
      <w:r>
        <w:rPr>
          <w:rFonts w:hint="eastAsia" w:ascii="宋体" w:hAnsi="宋体"/>
          <w:szCs w:val="21"/>
          <w:highlight w:val="none"/>
        </w:rPr>
        <w:t>按《建设工程质量管理条例》规定执行。</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20. 保险</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20.1 设计和工程保险</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删除本款全文，代之以：</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21.1.1工程保险</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l</w:t>
      </w:r>
      <w:r>
        <w:rPr>
          <w:rFonts w:hint="eastAsia" w:ascii="宋体" w:hAnsi="宋体" w:cs="宋体"/>
          <w:kern w:val="0"/>
          <w:szCs w:val="21"/>
          <w:highlight w:val="none"/>
        </w:rPr>
        <w:t>）工程险（包括材料和工程设备）的投保由承包人自行确定。</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承包人应以承包人的名义投保施工设备险，投保项目及其保险金额由承包人根据其配备的施工设备状况自行确定，但承包人应充分估计主要施工设备可能发生的重大事故以及自然灾害造成施工设备的损失和损坏对工程的影响。</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）工程和施工设备的保险期限及其保险责任范围为；</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①从承包人进点至颁发工程移交证书期间，除保险公司规定的除外责任以外的工程</w:t>
      </w:r>
      <w:r>
        <w:rPr>
          <w:rFonts w:ascii="宋体" w:hAnsi="宋体" w:cs="宋体"/>
          <w:kern w:val="0"/>
          <w:szCs w:val="21"/>
          <w:highlight w:val="none"/>
        </w:rPr>
        <w:t>（</w:t>
      </w:r>
      <w:r>
        <w:rPr>
          <w:rFonts w:hint="eastAsia" w:ascii="宋体" w:hAnsi="宋体" w:cs="宋体"/>
          <w:kern w:val="0"/>
          <w:szCs w:val="21"/>
          <w:highlight w:val="none"/>
        </w:rPr>
        <w:t>包括材料和工程设备</w:t>
      </w:r>
      <w:r>
        <w:rPr>
          <w:rFonts w:ascii="宋体" w:hAnsi="宋体" w:cs="宋体"/>
          <w:kern w:val="0"/>
          <w:szCs w:val="21"/>
          <w:highlight w:val="none"/>
        </w:rPr>
        <w:t>）</w:t>
      </w:r>
      <w:r>
        <w:rPr>
          <w:rFonts w:hint="eastAsia" w:ascii="宋体" w:hAnsi="宋体" w:cs="宋体"/>
          <w:kern w:val="0"/>
          <w:szCs w:val="21"/>
          <w:highlight w:val="none"/>
        </w:rPr>
        <w:t>和施工设备的损失和损坏。</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②在保修期内，由于保修期以前的原因造成上述工程和施工设备的损失和损坏。</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③承包人在履行保修责任的施工中造成上述工程和施工设备的损失和损坏。</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20</w:t>
      </w:r>
      <w:r>
        <w:rPr>
          <w:rFonts w:ascii="宋体" w:hAnsi="宋体" w:cs="宋体"/>
          <w:kern w:val="0"/>
          <w:szCs w:val="21"/>
          <w:highlight w:val="none"/>
        </w:rPr>
        <w:t>.</w:t>
      </w:r>
      <w:r>
        <w:rPr>
          <w:rFonts w:hint="eastAsia" w:ascii="宋体" w:hAnsi="宋体" w:cs="宋体"/>
          <w:kern w:val="0"/>
          <w:szCs w:val="21"/>
          <w:highlight w:val="none"/>
        </w:rPr>
        <w:t>1.</w:t>
      </w:r>
      <w:r>
        <w:rPr>
          <w:rFonts w:ascii="宋体" w:hAnsi="宋体" w:cs="宋体"/>
          <w:kern w:val="0"/>
          <w:szCs w:val="21"/>
          <w:highlight w:val="none"/>
        </w:rPr>
        <w:t>2</w:t>
      </w:r>
      <w:r>
        <w:rPr>
          <w:rFonts w:hint="eastAsia" w:ascii="宋体" w:hAnsi="宋体" w:cs="宋体"/>
          <w:kern w:val="0"/>
          <w:szCs w:val="21"/>
          <w:highlight w:val="none"/>
        </w:rPr>
        <w:t>损失和损坏的费用补偿</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）自工程开工至完工移交期间，任何未保险的或从保险部门得到的赔偿费尚不能弥补工程损失和修复损坏所需的费用时，应由发包人或承包人根据第25</w:t>
      </w:r>
      <w:r>
        <w:rPr>
          <w:rFonts w:ascii="宋体" w:hAnsi="宋体" w:cs="宋体"/>
          <w:kern w:val="0"/>
          <w:szCs w:val="21"/>
          <w:highlight w:val="none"/>
        </w:rPr>
        <w:t>.</w:t>
      </w:r>
      <w:r>
        <w:rPr>
          <w:rFonts w:hint="eastAsia" w:ascii="宋体" w:hAnsi="宋体" w:cs="宋体"/>
          <w:kern w:val="0"/>
          <w:szCs w:val="21"/>
          <w:highlight w:val="none"/>
        </w:rPr>
        <w:t>1款规定的风险责任承担所需的费用，包括由于修复风险损坏过程中造成的工程损失和损坏所需的全部费用。</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）若发生的工程风险包含第25</w:t>
      </w:r>
      <w:r>
        <w:rPr>
          <w:rFonts w:ascii="宋体" w:hAnsi="宋体" w:cs="宋体"/>
          <w:kern w:val="0"/>
          <w:szCs w:val="21"/>
          <w:highlight w:val="none"/>
        </w:rPr>
        <w:t>.l</w:t>
      </w:r>
      <w:r>
        <w:rPr>
          <w:rFonts w:hint="eastAsia" w:ascii="宋体" w:hAnsi="宋体" w:cs="宋体"/>
          <w:kern w:val="0"/>
          <w:szCs w:val="21"/>
          <w:highlight w:val="none"/>
        </w:rPr>
        <w:t>款所述的发包人和承包人的共同风险，则应由监理人与发包人和承包人通过友好协商，按各自的风险责任分担工程的损失和修复损坏所需的全部费用。</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）若发生承包人设备（包括其租用的施工设备）的损失或损坏，其所得到的保险金尚不能弥补其损失或损坏的费用时,应由承包人自行承担其所需的全部费用。</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）在工程完工移交给发包人后，除了在保修期内发现的由于保修期前承包人原因造成的损失或损坏外，应由发包人承担任何风险造成工程</w:t>
      </w:r>
      <w:r>
        <w:rPr>
          <w:rFonts w:ascii="宋体" w:hAnsi="宋体" w:cs="宋体"/>
          <w:kern w:val="0"/>
          <w:szCs w:val="21"/>
          <w:highlight w:val="none"/>
        </w:rPr>
        <w:t>（</w:t>
      </w:r>
      <w:r>
        <w:rPr>
          <w:rFonts w:hint="eastAsia" w:ascii="宋体" w:hAnsi="宋体" w:cs="宋体"/>
          <w:kern w:val="0"/>
          <w:szCs w:val="21"/>
          <w:highlight w:val="none"/>
        </w:rPr>
        <w:t>包括工程设备）的损失和修复损坏所需的全部费用。</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20.5 对各项保险的一般要求</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20.5.1 保险凭证</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承包人提供保险凭证的时间：项目正式开工前。</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20.5.4 保险金不足的补偿</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由承包人负责办理的保险，如保险金不足以补偿损失的，应由承包人自行负责补偿。</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22. 违约</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22.1.2责任的期限</w:t>
      </w:r>
    </w:p>
    <w:p>
      <w:pPr>
        <w:spacing w:line="360" w:lineRule="auto"/>
        <w:ind w:firstLine="420" w:firstLineChars="200"/>
        <w:rPr>
          <w:rFonts w:ascii="宋体" w:hAnsi="宋体" w:cs="宋体"/>
          <w:b/>
          <w:kern w:val="0"/>
          <w:szCs w:val="21"/>
          <w:highlight w:val="none"/>
        </w:rPr>
      </w:pPr>
      <w:r>
        <w:rPr>
          <w:rFonts w:hint="eastAsia" w:ascii="宋体" w:hAnsi="宋体"/>
          <w:szCs w:val="21"/>
          <w:highlight w:val="none"/>
        </w:rPr>
        <w:t>设计单位与发包人双方的责任与义务期限为合同书中规定的时间范围。但设计单位对本合同工程设计质量的责任则是设计使用年限内的终身责任。</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22.2 施工单位违约</w:t>
      </w:r>
    </w:p>
    <w:p>
      <w:pPr>
        <w:spacing w:line="360" w:lineRule="auto"/>
        <w:ind w:firstLine="480"/>
        <w:rPr>
          <w:rFonts w:ascii="宋体" w:hAnsi="宋体"/>
          <w:szCs w:val="21"/>
          <w:highlight w:val="none"/>
        </w:rPr>
      </w:pPr>
      <w:r>
        <w:rPr>
          <w:rFonts w:hint="eastAsia" w:ascii="宋体" w:hAnsi="宋体"/>
          <w:szCs w:val="21"/>
          <w:highlight w:val="none"/>
        </w:rPr>
        <w:t>施工单位</w:t>
      </w:r>
      <w:r>
        <w:rPr>
          <w:rFonts w:ascii="宋体" w:hAnsi="宋体"/>
          <w:szCs w:val="21"/>
          <w:highlight w:val="none"/>
        </w:rPr>
        <w:t>违约，应支付给发包人违约金。违约金的支付采取扣减</w:t>
      </w:r>
      <w:r>
        <w:rPr>
          <w:rFonts w:hint="eastAsia" w:ascii="宋体" w:hAnsi="宋体"/>
          <w:szCs w:val="21"/>
          <w:highlight w:val="none"/>
        </w:rPr>
        <w:t>工程进度款</w:t>
      </w:r>
      <w:r>
        <w:rPr>
          <w:rFonts w:ascii="宋体" w:hAnsi="宋体"/>
          <w:szCs w:val="21"/>
          <w:highlight w:val="none"/>
        </w:rPr>
        <w:t>的方式，同时给发包人带来经济损失，</w:t>
      </w:r>
      <w:r>
        <w:rPr>
          <w:rFonts w:hint="eastAsia" w:ascii="宋体" w:hAnsi="宋体"/>
          <w:szCs w:val="21"/>
          <w:highlight w:val="none"/>
        </w:rPr>
        <w:t>施工单位</w:t>
      </w:r>
      <w:r>
        <w:rPr>
          <w:rFonts w:ascii="宋体" w:hAnsi="宋体"/>
          <w:szCs w:val="21"/>
          <w:highlight w:val="none"/>
        </w:rPr>
        <w:t>负责赔偿，赔偿金为直接经济损失×10%。</w:t>
      </w:r>
    </w:p>
    <w:p>
      <w:pPr>
        <w:spacing w:line="360" w:lineRule="auto"/>
        <w:ind w:firstLine="480"/>
        <w:rPr>
          <w:rFonts w:ascii="宋体" w:hAnsi="宋体"/>
          <w:szCs w:val="21"/>
          <w:highlight w:val="none"/>
        </w:rPr>
      </w:pPr>
      <w:r>
        <w:rPr>
          <w:rFonts w:hint="eastAsia" w:ascii="宋体" w:hAnsi="宋体"/>
          <w:szCs w:val="21"/>
          <w:highlight w:val="none"/>
        </w:rPr>
        <w:t>具体的规定及执行标准，见本合同附件十六。</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24. 争议的解决</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24.1 争议的解决方式</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发包人和承包人在履行合同中发生争议的，可以友好协商解决或者提请争议评审组评审。合同当事人友好协商解决不成、不愿提请争议评审或者不接受争议评审组意见的，选择以下方式</w:t>
      </w:r>
      <w:r>
        <w:rPr>
          <w:rFonts w:hint="eastAsia" w:ascii="宋体" w:hAnsi="宋体" w:cs="宋体"/>
          <w:kern w:val="0"/>
          <w:szCs w:val="21"/>
          <w:highlight w:val="none"/>
          <w:u w:val="single"/>
        </w:rPr>
        <w:t>（2）</w:t>
      </w:r>
      <w:r>
        <w:rPr>
          <w:rFonts w:hint="eastAsia" w:ascii="宋体" w:hAnsi="宋体" w:cs="宋体"/>
          <w:kern w:val="0"/>
          <w:szCs w:val="21"/>
          <w:highlight w:val="none"/>
        </w:rPr>
        <w:t>解决。</w:t>
      </w:r>
    </w:p>
    <w:p>
      <w:pPr>
        <w:spacing w:line="360" w:lineRule="auto"/>
        <w:ind w:firstLine="420" w:firstLineChars="200"/>
        <w:jc w:val="left"/>
        <w:rPr>
          <w:rFonts w:ascii="宋体" w:hAnsi="宋体"/>
          <w:szCs w:val="21"/>
          <w:highlight w:val="none"/>
        </w:rPr>
      </w:pPr>
      <w:bookmarkStart w:id="1330" w:name="_Toc184635123"/>
      <w:bookmarkStart w:id="1331" w:name="_Toc247527799"/>
      <w:bookmarkStart w:id="1332" w:name="_Toc247514198"/>
      <w:r>
        <w:rPr>
          <w:rFonts w:hint="eastAsia" w:ascii="宋体" w:hAnsi="宋体"/>
          <w:szCs w:val="21"/>
          <w:highlight w:val="none"/>
        </w:rPr>
        <w:t>（1）向</w:t>
      </w:r>
      <w:r>
        <w:rPr>
          <w:rFonts w:hint="eastAsia" w:ascii="宋体" w:hAnsi="宋体"/>
          <w:szCs w:val="21"/>
          <w:highlight w:val="none"/>
          <w:u w:val="single"/>
        </w:rPr>
        <w:t>中国广州仲裁委员会</w:t>
      </w:r>
      <w:r>
        <w:rPr>
          <w:rFonts w:hint="eastAsia" w:ascii="宋体" w:hAnsi="宋体"/>
          <w:szCs w:val="21"/>
          <w:highlight w:val="none"/>
        </w:rPr>
        <w:t>申请仲裁；</w:t>
      </w:r>
    </w:p>
    <w:p>
      <w:pPr>
        <w:spacing w:line="360" w:lineRule="auto"/>
        <w:ind w:firstLine="420" w:firstLineChars="200"/>
        <w:jc w:val="left"/>
        <w:rPr>
          <w:rFonts w:ascii="宋体" w:hAnsi="宋体"/>
          <w:szCs w:val="21"/>
          <w:highlight w:val="none"/>
        </w:rPr>
      </w:pPr>
      <w:r>
        <w:rPr>
          <w:rFonts w:hint="eastAsia" w:ascii="宋体" w:hAnsi="宋体"/>
          <w:szCs w:val="21"/>
          <w:highlight w:val="none"/>
        </w:rPr>
        <w:t>（2）向</w:t>
      </w:r>
      <w:r>
        <w:rPr>
          <w:rFonts w:hint="eastAsia" w:ascii="宋体" w:hAnsi="宋体"/>
          <w:szCs w:val="21"/>
          <w:highlight w:val="none"/>
          <w:u w:val="single"/>
        </w:rPr>
        <w:t>发包人所在地</w:t>
      </w:r>
      <w:r>
        <w:rPr>
          <w:rFonts w:hint="eastAsia" w:ascii="宋体" w:hAnsi="宋体"/>
          <w:szCs w:val="21"/>
          <w:highlight w:val="none"/>
        </w:rPr>
        <w:t>人民法院起诉。</w:t>
      </w:r>
    </w:p>
    <w:p>
      <w:pPr>
        <w:spacing w:line="360" w:lineRule="auto"/>
        <w:ind w:firstLine="495" w:firstLineChars="236"/>
        <w:rPr>
          <w:rFonts w:ascii="宋体" w:hAnsi="宋体"/>
          <w:szCs w:val="21"/>
          <w:highlight w:val="none"/>
        </w:rPr>
      </w:pPr>
      <w:r>
        <w:rPr>
          <w:rFonts w:hint="eastAsia" w:ascii="宋体" w:hAnsi="宋体"/>
          <w:szCs w:val="21"/>
          <w:highlight w:val="none"/>
        </w:rPr>
        <w:t>24.4 当事人任一方就本合同相关纠纷提起诉讼的，若最终以双方和解或法院调解形式解决的，因该纠纷产生的一切费用（包括但不限于双方因该纠纷支出的律师费、诉讼费、鉴定费、评估费、差旅费等合理费用），由承包人承担。</w:t>
      </w:r>
    </w:p>
    <w:p>
      <w:pPr>
        <w:spacing w:line="360" w:lineRule="auto"/>
        <w:ind w:firstLine="498" w:firstLineChars="236"/>
        <w:rPr>
          <w:rFonts w:ascii="宋体" w:hAnsi="宋体"/>
          <w:b/>
          <w:szCs w:val="21"/>
          <w:highlight w:val="none"/>
        </w:rPr>
      </w:pPr>
      <w:r>
        <w:rPr>
          <w:rFonts w:hint="eastAsia" w:ascii="宋体" w:hAnsi="宋体"/>
          <w:b/>
          <w:szCs w:val="21"/>
          <w:highlight w:val="none"/>
        </w:rPr>
        <w:t>本合同增加以下内容：</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25 承包人风险</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25</w:t>
      </w:r>
      <w:r>
        <w:rPr>
          <w:rFonts w:ascii="宋体" w:hAnsi="宋体" w:cs="宋体"/>
          <w:b/>
          <w:kern w:val="0"/>
          <w:szCs w:val="21"/>
          <w:highlight w:val="none"/>
        </w:rPr>
        <w:t>.</w:t>
      </w:r>
      <w:r>
        <w:rPr>
          <w:rFonts w:hint="eastAsia" w:ascii="宋体" w:hAnsi="宋体" w:cs="宋体"/>
          <w:b/>
          <w:kern w:val="0"/>
          <w:szCs w:val="21"/>
          <w:highlight w:val="none"/>
        </w:rPr>
        <w:t>1承包人的风险</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25.1.1工程</w:t>
      </w:r>
      <w:r>
        <w:rPr>
          <w:rFonts w:ascii="宋体" w:hAnsi="宋体" w:cs="宋体"/>
          <w:kern w:val="0"/>
          <w:szCs w:val="21"/>
          <w:highlight w:val="none"/>
        </w:rPr>
        <w:t>（</w:t>
      </w:r>
      <w:r>
        <w:rPr>
          <w:rFonts w:hint="eastAsia" w:ascii="宋体" w:hAnsi="宋体" w:cs="宋体"/>
          <w:kern w:val="0"/>
          <w:szCs w:val="21"/>
          <w:highlight w:val="none"/>
        </w:rPr>
        <w:t>包括材料和工程设备</w:t>
      </w:r>
      <w:r>
        <w:rPr>
          <w:rFonts w:ascii="宋体" w:hAnsi="宋体" w:cs="宋体"/>
          <w:kern w:val="0"/>
          <w:szCs w:val="21"/>
          <w:highlight w:val="none"/>
        </w:rPr>
        <w:t>）</w:t>
      </w:r>
      <w:r>
        <w:rPr>
          <w:rFonts w:hint="eastAsia" w:ascii="宋体" w:hAnsi="宋体" w:cs="宋体"/>
          <w:kern w:val="0"/>
          <w:szCs w:val="21"/>
          <w:highlight w:val="none"/>
        </w:rPr>
        <w:t>发生以下各种风险造成的损失和损坏，均应由承包人承担风险责任。</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l</w:t>
      </w:r>
      <w:r>
        <w:rPr>
          <w:rFonts w:hint="eastAsia" w:ascii="宋体" w:hAnsi="宋体" w:cs="宋体"/>
          <w:kern w:val="0"/>
          <w:szCs w:val="21"/>
          <w:highlight w:val="none"/>
        </w:rPr>
        <w:t>）由于承包人对工程</w:t>
      </w:r>
      <w:r>
        <w:rPr>
          <w:rFonts w:ascii="宋体" w:hAnsi="宋体" w:cs="宋体"/>
          <w:kern w:val="0"/>
          <w:szCs w:val="21"/>
          <w:highlight w:val="none"/>
        </w:rPr>
        <w:t>（</w:t>
      </w:r>
      <w:r>
        <w:rPr>
          <w:rFonts w:hint="eastAsia" w:ascii="宋体" w:hAnsi="宋体" w:cs="宋体"/>
          <w:kern w:val="0"/>
          <w:szCs w:val="21"/>
          <w:highlight w:val="none"/>
        </w:rPr>
        <w:t>包括材料和工程设备</w:t>
      </w:r>
      <w:r>
        <w:rPr>
          <w:rFonts w:ascii="宋体" w:hAnsi="宋体" w:cs="宋体"/>
          <w:kern w:val="0"/>
          <w:szCs w:val="21"/>
          <w:highlight w:val="none"/>
        </w:rPr>
        <w:t>）</w:t>
      </w:r>
      <w:r>
        <w:rPr>
          <w:rFonts w:hint="eastAsia" w:ascii="宋体" w:hAnsi="宋体" w:cs="宋体"/>
          <w:kern w:val="0"/>
          <w:szCs w:val="21"/>
          <w:highlight w:val="none"/>
        </w:rPr>
        <w:t>照管不周造成的损失和损坏。</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）由于承包人的施工组织措施失误造成的损失和损坏。</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）其它由于承包人原因造成的损失和损坏。</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25.1.2承包人投标总报价中应包含风险金，发包人不再另行支付风险金。风险金是工程实施过程中因不利因素对工程影响所造成承包人增加的费用，风险金额度由承包人在仔细审阅招标文件、招标图纸和现场调查分析的基础上自行测算确定。风险金包含以下因素：</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）工程量清单中所列工程量漏项或计算误差给承包人造成的损失；</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）施工图纸中地面线与实际地形不符给承包人造成的损失；</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）设计变更给投标人造成的损失，以及变更引起的施工组织和进度计划变动给投标人造成的损失；</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）人工工资及费用标准、施工方案、地形、一般地质变化给承包人带来的风险，主要材料单项价格变化幅度在</w:t>
      </w:r>
      <w:r>
        <w:rPr>
          <w:rFonts w:ascii="宋体" w:hAnsi="宋体" w:cs="宋体"/>
          <w:kern w:val="0"/>
          <w:szCs w:val="21"/>
          <w:highlight w:val="none"/>
        </w:rPr>
        <w:t>30%</w:t>
      </w:r>
      <w:r>
        <w:rPr>
          <w:rFonts w:hint="eastAsia" w:ascii="宋体" w:hAnsi="宋体" w:cs="宋体"/>
          <w:kern w:val="0"/>
          <w:szCs w:val="21"/>
          <w:highlight w:val="none"/>
        </w:rPr>
        <w:t>以内及其他材料价格变化所带来的风险；</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5</w:t>
      </w:r>
      <w:r>
        <w:rPr>
          <w:rFonts w:hint="eastAsia" w:ascii="宋体" w:hAnsi="宋体" w:cs="宋体"/>
          <w:kern w:val="0"/>
          <w:szCs w:val="21"/>
          <w:highlight w:val="none"/>
        </w:rPr>
        <w:t>）征地拆迁、当地群众对工程施工的干扰给承包人造成的损失；</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6</w:t>
      </w:r>
      <w:r>
        <w:rPr>
          <w:rFonts w:hint="eastAsia" w:ascii="宋体" w:hAnsi="宋体" w:cs="宋体"/>
          <w:kern w:val="0"/>
          <w:szCs w:val="21"/>
          <w:highlight w:val="none"/>
        </w:rPr>
        <w:t>）因施工对现场地下管线和邻近建筑物、构造物造成损害的赔偿，或设计未考虑但现场必须采取的对相邻建筑物、构造物的应急防护措施所涉及的费用；</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7</w:t>
      </w:r>
      <w:r>
        <w:rPr>
          <w:rFonts w:hint="eastAsia" w:ascii="宋体" w:hAnsi="宋体" w:cs="宋体"/>
          <w:kern w:val="0"/>
          <w:szCs w:val="21"/>
          <w:highlight w:val="none"/>
        </w:rPr>
        <w:t>）由于施工图不清晰造成的工程量计算误差，以设计单位补充出具的施工详图为准，视为招标图纸不变，不予调整施工合同价。</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8</w:t>
      </w:r>
      <w:r>
        <w:rPr>
          <w:rFonts w:hint="eastAsia" w:ascii="宋体" w:hAnsi="宋体" w:cs="宋体"/>
          <w:kern w:val="0"/>
          <w:szCs w:val="21"/>
          <w:highlight w:val="none"/>
        </w:rPr>
        <w:t>）对于搅拌桩工程量，因在设计阶段难以准确设计桩长，因此，以搅拌桩施工达到设计技术要求和质量验收标准为准，视为招标图纸不变，不予调整施工合同价。本合同项目其他桩基础处理工程参照该原则执行。</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9</w:t>
      </w:r>
      <w:r>
        <w:rPr>
          <w:rFonts w:hint="eastAsia" w:ascii="宋体" w:hAnsi="宋体" w:cs="宋体"/>
          <w:kern w:val="0"/>
          <w:szCs w:val="21"/>
          <w:highlight w:val="none"/>
        </w:rPr>
        <w:t>）其他本合同没有约定的不可预见的因素给承包人造成的损失。</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25</w:t>
      </w:r>
      <w:r>
        <w:rPr>
          <w:rFonts w:ascii="宋体" w:hAnsi="宋体" w:cs="宋体"/>
          <w:b/>
          <w:kern w:val="0"/>
          <w:szCs w:val="21"/>
          <w:highlight w:val="none"/>
        </w:rPr>
        <w:t>.</w:t>
      </w:r>
      <w:r>
        <w:rPr>
          <w:rFonts w:hint="eastAsia" w:ascii="宋体" w:hAnsi="宋体" w:cs="宋体"/>
          <w:b/>
          <w:kern w:val="0"/>
          <w:szCs w:val="21"/>
          <w:highlight w:val="none"/>
        </w:rPr>
        <w:t>2 风险责任的转移</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工程通过完工验收并移交给发包人后，原由承包人按上述第25</w:t>
      </w:r>
      <w:r>
        <w:rPr>
          <w:rFonts w:ascii="宋体" w:hAnsi="宋体" w:cs="宋体"/>
          <w:kern w:val="0"/>
          <w:szCs w:val="21"/>
          <w:highlight w:val="none"/>
        </w:rPr>
        <w:t>.</w:t>
      </w:r>
      <w:r>
        <w:rPr>
          <w:rFonts w:hint="eastAsia" w:ascii="宋体" w:hAnsi="宋体" w:cs="宋体"/>
          <w:kern w:val="0"/>
          <w:szCs w:val="21"/>
          <w:highlight w:val="none"/>
        </w:rPr>
        <w:t>1款规定承担的风险责任同时转移给发包人</w:t>
      </w:r>
      <w:r>
        <w:rPr>
          <w:rFonts w:ascii="宋体" w:hAnsi="宋体" w:cs="宋体"/>
          <w:kern w:val="0"/>
          <w:szCs w:val="21"/>
          <w:highlight w:val="none"/>
        </w:rPr>
        <w:t>（</w:t>
      </w:r>
      <w:r>
        <w:rPr>
          <w:rFonts w:hint="eastAsia" w:ascii="宋体" w:hAnsi="宋体" w:cs="宋体"/>
          <w:kern w:val="0"/>
          <w:szCs w:val="21"/>
          <w:highlight w:val="none"/>
        </w:rPr>
        <w:t>在保修期发生的在保修期前因承包人原因造成的损失和损坏除外</w:t>
      </w:r>
      <w:r>
        <w:rPr>
          <w:rFonts w:ascii="宋体" w:hAnsi="宋体" w:cs="宋体"/>
          <w:kern w:val="0"/>
          <w:szCs w:val="21"/>
          <w:highlight w:val="none"/>
        </w:rPr>
        <w:t>）</w:t>
      </w:r>
      <w:r>
        <w:rPr>
          <w:rFonts w:hint="eastAsia" w:ascii="宋体" w:hAnsi="宋体" w:cs="宋体"/>
          <w:kern w:val="0"/>
          <w:szCs w:val="21"/>
          <w:highlight w:val="none"/>
        </w:rPr>
        <w:t>。</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25</w:t>
      </w:r>
      <w:r>
        <w:rPr>
          <w:rFonts w:ascii="宋体" w:hAnsi="宋体" w:cs="宋体"/>
          <w:b/>
          <w:kern w:val="0"/>
          <w:szCs w:val="21"/>
          <w:highlight w:val="none"/>
        </w:rPr>
        <w:t>.</w:t>
      </w:r>
      <w:r>
        <w:rPr>
          <w:rFonts w:hint="eastAsia" w:ascii="宋体" w:hAnsi="宋体" w:cs="宋体"/>
          <w:b/>
          <w:kern w:val="0"/>
          <w:szCs w:val="21"/>
          <w:highlight w:val="none"/>
        </w:rPr>
        <w:t>3不可抗力解除合同</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合同签定后发生第25</w:t>
      </w:r>
      <w:r>
        <w:rPr>
          <w:rFonts w:ascii="宋体" w:hAnsi="宋体" w:cs="宋体"/>
          <w:kern w:val="0"/>
          <w:szCs w:val="21"/>
          <w:highlight w:val="none"/>
        </w:rPr>
        <w:t>.1</w:t>
      </w:r>
      <w:r>
        <w:rPr>
          <w:rFonts w:hint="eastAsia" w:ascii="宋体" w:hAnsi="宋体" w:cs="宋体"/>
          <w:kern w:val="0"/>
          <w:szCs w:val="21"/>
          <w:highlight w:val="none"/>
        </w:rPr>
        <w:t>.2款</w:t>
      </w:r>
      <w:r>
        <w:rPr>
          <w:rFonts w:ascii="宋体" w:hAnsi="宋体" w:cs="宋体"/>
          <w:kern w:val="0"/>
          <w:szCs w:val="21"/>
          <w:highlight w:val="none"/>
        </w:rPr>
        <w:t>（3）</w:t>
      </w:r>
      <w:r>
        <w:rPr>
          <w:rFonts w:hint="eastAsia" w:ascii="宋体" w:hAnsi="宋体" w:cs="宋体"/>
          <w:kern w:val="0"/>
          <w:szCs w:val="21"/>
          <w:highlight w:val="none"/>
        </w:rPr>
        <w:t>和</w:t>
      </w:r>
      <w:r>
        <w:rPr>
          <w:rFonts w:ascii="宋体" w:hAnsi="宋体" w:cs="宋体"/>
          <w:kern w:val="0"/>
          <w:szCs w:val="21"/>
          <w:highlight w:val="none"/>
        </w:rPr>
        <w:t>（4）</w:t>
      </w:r>
      <w:r>
        <w:rPr>
          <w:rFonts w:hint="eastAsia" w:ascii="宋体" w:hAnsi="宋体" w:cs="宋体"/>
          <w:kern w:val="0"/>
          <w:szCs w:val="21"/>
          <w:highlight w:val="none"/>
        </w:rPr>
        <w:t>项的风险造成工程的巨大损失和严重损坏，使双方或任何一方无法继续履行合同时，经双方协商后可解除合同、解除合同后的付款由双方协商处理。</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26 完工验收</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26</w:t>
      </w:r>
      <w:r>
        <w:rPr>
          <w:rFonts w:ascii="宋体" w:hAnsi="宋体" w:cs="宋体"/>
          <w:b/>
          <w:kern w:val="0"/>
          <w:szCs w:val="21"/>
          <w:highlight w:val="none"/>
        </w:rPr>
        <w:t>.1</w:t>
      </w:r>
      <w:r>
        <w:rPr>
          <w:rFonts w:hint="eastAsia" w:ascii="宋体" w:hAnsi="宋体" w:cs="宋体"/>
          <w:b/>
          <w:kern w:val="0"/>
          <w:szCs w:val="21"/>
          <w:highlight w:val="none"/>
        </w:rPr>
        <w:t>完工验收申请报告</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当工程具备以下条件时，承包人即可向发包人和监理人提交完工验收申请报告（附完工资料）。</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已完成了合同范围内的全部单位工程以及有关的工作项目，但经监理人同意列入保修期内完成的尾工项目除外。</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）已按第26</w:t>
      </w:r>
      <w:r>
        <w:rPr>
          <w:rFonts w:ascii="宋体" w:hAnsi="宋体" w:cs="宋体"/>
          <w:kern w:val="0"/>
          <w:szCs w:val="21"/>
          <w:highlight w:val="none"/>
        </w:rPr>
        <w:t>.2</w:t>
      </w:r>
      <w:r>
        <w:rPr>
          <w:rFonts w:hint="eastAsia" w:ascii="宋体" w:hAnsi="宋体" w:cs="宋体"/>
          <w:kern w:val="0"/>
          <w:szCs w:val="21"/>
          <w:highlight w:val="none"/>
        </w:rPr>
        <w:t>款的规定备齐了符合合同要求的完工资料。</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已按监理人的要求编制了在保修期内实施的尾工工程项目清单和未修补的缺陷项目清单以及相应的施工措施计划。</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26</w:t>
      </w:r>
      <w:r>
        <w:rPr>
          <w:rFonts w:ascii="宋体" w:hAnsi="宋体" w:cs="宋体"/>
          <w:b/>
          <w:kern w:val="0"/>
          <w:szCs w:val="21"/>
          <w:highlight w:val="none"/>
        </w:rPr>
        <w:t>.2</w:t>
      </w:r>
      <w:r>
        <w:rPr>
          <w:rFonts w:hint="eastAsia" w:ascii="宋体" w:hAnsi="宋体" w:cs="宋体"/>
          <w:b/>
          <w:kern w:val="0"/>
          <w:szCs w:val="21"/>
          <w:highlight w:val="none"/>
        </w:rPr>
        <w:t>完工资料</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完工资料（一式</w:t>
      </w:r>
      <w:r>
        <w:rPr>
          <w:rFonts w:ascii="宋体" w:hAnsi="宋体" w:cs="宋体"/>
          <w:kern w:val="0"/>
          <w:szCs w:val="21"/>
          <w:highlight w:val="none"/>
        </w:rPr>
        <w:t>6</w:t>
      </w:r>
      <w:r>
        <w:rPr>
          <w:rFonts w:hint="eastAsia" w:ascii="宋体" w:hAnsi="宋体" w:cs="宋体"/>
          <w:kern w:val="0"/>
          <w:szCs w:val="21"/>
          <w:highlight w:val="none"/>
        </w:rPr>
        <w:t>份）应包括：</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工程实施概况和大事记。</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已完工程移交清单（包括工程设备）。</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永久工程竣工图。</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列入保修期继续施工的尾工工程项目清单。</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（5）</w:t>
      </w:r>
      <w:r>
        <w:rPr>
          <w:rFonts w:hint="eastAsia" w:ascii="宋体" w:hAnsi="宋体" w:cs="宋体"/>
          <w:kern w:val="0"/>
          <w:szCs w:val="21"/>
          <w:highlight w:val="none"/>
        </w:rPr>
        <w:t>未完成的缺陷修复清单。</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（6）</w:t>
      </w:r>
      <w:r>
        <w:rPr>
          <w:rFonts w:hint="eastAsia" w:ascii="宋体" w:hAnsi="宋体" w:cs="宋体"/>
          <w:kern w:val="0"/>
          <w:szCs w:val="21"/>
          <w:highlight w:val="none"/>
        </w:rPr>
        <w:t>施工期的观测资料。</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（7）</w:t>
      </w:r>
      <w:r>
        <w:rPr>
          <w:rFonts w:hint="eastAsia" w:ascii="宋体" w:hAnsi="宋体" w:cs="宋体"/>
          <w:kern w:val="0"/>
          <w:szCs w:val="21"/>
          <w:highlight w:val="none"/>
        </w:rPr>
        <w:t>监理人指示应列入完工报告的各类施工文件、施工原始记录（含图片和录相资料）以及其它应补充的完工资料。</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（8）</w:t>
      </w:r>
      <w:r>
        <w:rPr>
          <w:rFonts w:hint="eastAsia" w:ascii="宋体" w:hAnsi="宋体" w:cs="宋体"/>
          <w:kern w:val="0"/>
          <w:szCs w:val="21"/>
          <w:highlight w:val="none"/>
        </w:rPr>
        <w:t>其他发包人要求的资料。</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（9）</w:t>
      </w:r>
      <w:r>
        <w:rPr>
          <w:rFonts w:hint="eastAsia" w:ascii="宋体" w:hAnsi="宋体" w:cs="宋体"/>
          <w:kern w:val="0"/>
          <w:szCs w:val="21"/>
          <w:highlight w:val="none"/>
        </w:rPr>
        <w:t>以上资料电子资料（四份）。</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26</w:t>
      </w:r>
      <w:r>
        <w:rPr>
          <w:rFonts w:ascii="宋体" w:hAnsi="宋体" w:cs="宋体"/>
          <w:b/>
          <w:kern w:val="0"/>
          <w:szCs w:val="21"/>
          <w:highlight w:val="none"/>
        </w:rPr>
        <w:t>.3</w:t>
      </w:r>
      <w:r>
        <w:rPr>
          <w:rFonts w:hint="eastAsia" w:ascii="宋体" w:hAnsi="宋体" w:cs="宋体"/>
          <w:b/>
          <w:kern w:val="0"/>
          <w:szCs w:val="21"/>
          <w:highlight w:val="none"/>
        </w:rPr>
        <w:t>工程完工的验收</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监理人收到承包人按第26</w:t>
      </w:r>
      <w:r>
        <w:rPr>
          <w:rFonts w:ascii="宋体" w:hAnsi="宋体" w:cs="宋体"/>
          <w:kern w:val="0"/>
          <w:szCs w:val="21"/>
          <w:highlight w:val="none"/>
        </w:rPr>
        <w:t>.1</w:t>
      </w:r>
      <w:r>
        <w:rPr>
          <w:rFonts w:hint="eastAsia" w:ascii="宋体" w:hAnsi="宋体" w:cs="宋体"/>
          <w:kern w:val="0"/>
          <w:szCs w:val="21"/>
          <w:highlight w:val="none"/>
        </w:rPr>
        <w:t>款规定提交的完工验收申请报告后，应审核其报告的各项内容，并按以下不同情况进行处理。</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（l）</w:t>
      </w:r>
      <w:r>
        <w:rPr>
          <w:rFonts w:hint="eastAsia" w:ascii="宋体" w:hAnsi="宋体" w:cs="宋体"/>
          <w:kern w:val="0"/>
          <w:szCs w:val="21"/>
          <w:highlight w:val="none"/>
        </w:rPr>
        <w:t>监理人审核后发现工程尚有重大缺陷时，可拒绝或推迟进行完工验收，但监理人应在收到完工验收申请报告后的7天内通知承包人，指出完工验收前应完成的工程缺陷修复和其它的工作内容和要求，并将完工验收申请报告同时退还给承包人。承包人应在具备完工验收条件后重新申报。</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监理人审核后对上述报告及报告中所列的工作项目和工作内容持有异议时，应在收到报告后的7天内将意见通知承包人，承包人应在收到上述通知后的7天内重新提交修改后的完工验收申请报告，直至监理人同意为止。</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监理人审核后认为工程已具备完工验收条件，应在收到完工验收申请报告后的7天内提请发包人进行工程验收。发包人在收到完工验收申请报告后的7天内签署工程移交证书，颁发给承包人。</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在签署移交证书前，应由监理人与发包人和承包人协商核定工程的实际完工日期，并在移交证书中写明。</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26</w:t>
      </w:r>
      <w:r>
        <w:rPr>
          <w:rFonts w:ascii="宋体" w:hAnsi="宋体" w:cs="宋体"/>
          <w:b/>
          <w:kern w:val="0"/>
          <w:szCs w:val="21"/>
          <w:highlight w:val="none"/>
        </w:rPr>
        <w:t>.4</w:t>
      </w:r>
      <w:r>
        <w:rPr>
          <w:rFonts w:hint="eastAsia" w:ascii="宋体" w:hAnsi="宋体" w:cs="宋体"/>
          <w:b/>
          <w:kern w:val="0"/>
          <w:szCs w:val="21"/>
          <w:highlight w:val="none"/>
        </w:rPr>
        <w:t>单位工程验收</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在单位工程完工后，经发包人同意，承包人可申请对单位工程项目中某些需要进行验收的项目进行验收，其验收的内容和程序应按第26</w:t>
      </w:r>
      <w:r>
        <w:rPr>
          <w:rFonts w:ascii="宋体" w:hAnsi="宋体" w:cs="宋体"/>
          <w:kern w:val="0"/>
          <w:szCs w:val="21"/>
          <w:highlight w:val="none"/>
        </w:rPr>
        <w:t>.1</w:t>
      </w:r>
      <w:r>
        <w:rPr>
          <w:rFonts w:hint="eastAsia" w:ascii="宋体" w:hAnsi="宋体" w:cs="宋体"/>
          <w:kern w:val="0"/>
          <w:szCs w:val="21"/>
          <w:highlight w:val="none"/>
        </w:rPr>
        <w:t>款至第26</w:t>
      </w:r>
      <w:r>
        <w:rPr>
          <w:rFonts w:ascii="宋体" w:hAnsi="宋体" w:cs="宋体"/>
          <w:kern w:val="0"/>
          <w:szCs w:val="21"/>
          <w:highlight w:val="none"/>
        </w:rPr>
        <w:t>.3</w:t>
      </w:r>
      <w:r>
        <w:rPr>
          <w:rFonts w:hint="eastAsia" w:ascii="宋体" w:hAnsi="宋体" w:cs="宋体"/>
          <w:kern w:val="0"/>
          <w:szCs w:val="21"/>
          <w:highlight w:val="none"/>
        </w:rPr>
        <w:t>款的规定进行。单位工程的验收成果和结论可作为本合同工程完工验收申请报告的附件，验收后应由发包人或授权监理人按第26</w:t>
      </w:r>
      <w:r>
        <w:rPr>
          <w:rFonts w:ascii="宋体" w:hAnsi="宋体" w:cs="宋体"/>
          <w:kern w:val="0"/>
          <w:szCs w:val="21"/>
          <w:highlight w:val="none"/>
        </w:rPr>
        <w:t>.3</w:t>
      </w:r>
      <w:r>
        <w:rPr>
          <w:rFonts w:hint="eastAsia" w:ascii="宋体" w:hAnsi="宋体" w:cs="宋体"/>
          <w:kern w:val="0"/>
          <w:szCs w:val="21"/>
          <w:highlight w:val="none"/>
        </w:rPr>
        <w:t>款的规定签发该单位工程的移交证书。</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）承包人应在分部工程所有单元工程验收合格后</w:t>
      </w:r>
      <w:r>
        <w:rPr>
          <w:rFonts w:ascii="宋体" w:hAnsi="宋体" w:cs="宋体"/>
          <w:kern w:val="0"/>
          <w:szCs w:val="21"/>
          <w:highlight w:val="none"/>
        </w:rPr>
        <w:t>15</w:t>
      </w:r>
      <w:r>
        <w:rPr>
          <w:rFonts w:hint="eastAsia" w:ascii="宋体" w:hAnsi="宋体" w:cs="宋体"/>
          <w:kern w:val="0"/>
          <w:szCs w:val="21"/>
          <w:highlight w:val="none"/>
        </w:rPr>
        <w:t>天之内提交合格的分部工程验收资料。如承包人未能按标准在规定时间内提交的，每拖延一天，扣除工程款</w:t>
      </w:r>
      <w:r>
        <w:rPr>
          <w:rFonts w:ascii="宋体" w:hAnsi="宋体" w:cs="宋体"/>
          <w:kern w:val="0"/>
          <w:szCs w:val="21"/>
          <w:highlight w:val="none"/>
        </w:rPr>
        <w:t>500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）承包人应在所有分部工程验收合格后</w:t>
      </w:r>
      <w:r>
        <w:rPr>
          <w:rFonts w:ascii="宋体" w:hAnsi="宋体" w:cs="宋体"/>
          <w:kern w:val="0"/>
          <w:szCs w:val="21"/>
          <w:highlight w:val="none"/>
        </w:rPr>
        <w:t>15</w:t>
      </w:r>
      <w:r>
        <w:rPr>
          <w:rFonts w:hint="eastAsia" w:ascii="宋体" w:hAnsi="宋体" w:cs="宋体"/>
          <w:kern w:val="0"/>
          <w:szCs w:val="21"/>
          <w:highlight w:val="none"/>
        </w:rPr>
        <w:t>天内提交合格的单位工程验收资料。承包人未能按标准在规定的时间内提交的，每拖延一天，扣除工程款</w:t>
      </w:r>
      <w:r>
        <w:rPr>
          <w:rFonts w:ascii="宋体" w:hAnsi="宋体" w:cs="宋体"/>
          <w:kern w:val="0"/>
          <w:szCs w:val="21"/>
          <w:highlight w:val="none"/>
        </w:rPr>
        <w:t>1000</w:t>
      </w:r>
      <w:r>
        <w:rPr>
          <w:rFonts w:hint="eastAsia" w:ascii="宋体" w:hAnsi="宋体" w:cs="宋体"/>
          <w:kern w:val="0"/>
          <w:szCs w:val="21"/>
          <w:highlight w:val="none"/>
        </w:rPr>
        <w:t>元。</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）根据工程需要，承包人应按照设计要求或监理人的指示在指定的位置设置变形观测基点进行观测，并按规定的时间定期向监理人报告观测成果。承包人未在规定的时限内完成的，扣除工程款</w:t>
      </w:r>
      <w:r>
        <w:rPr>
          <w:rFonts w:ascii="宋体" w:hAnsi="宋体" w:cs="宋体"/>
          <w:kern w:val="0"/>
          <w:szCs w:val="21"/>
          <w:highlight w:val="none"/>
        </w:rPr>
        <w:t>500</w:t>
      </w:r>
      <w:r>
        <w:rPr>
          <w:rFonts w:hint="eastAsia" w:ascii="宋体" w:hAnsi="宋体" w:cs="宋体"/>
          <w:kern w:val="0"/>
          <w:szCs w:val="21"/>
          <w:highlight w:val="none"/>
        </w:rPr>
        <w:t>元</w:t>
      </w:r>
      <w:r>
        <w:rPr>
          <w:rFonts w:ascii="宋体" w:hAnsi="宋体" w:cs="宋体"/>
          <w:kern w:val="0"/>
          <w:szCs w:val="21"/>
          <w:highlight w:val="none"/>
        </w:rPr>
        <w:t>/</w:t>
      </w:r>
      <w:r>
        <w:rPr>
          <w:rFonts w:hint="eastAsia" w:ascii="宋体" w:hAnsi="宋体" w:cs="宋体"/>
          <w:kern w:val="0"/>
          <w:szCs w:val="21"/>
          <w:highlight w:val="none"/>
        </w:rPr>
        <w:t>日。</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4</w:t>
      </w:r>
      <w:r>
        <w:rPr>
          <w:rFonts w:hint="eastAsia" w:ascii="宋体" w:hAnsi="宋体" w:cs="宋体"/>
          <w:kern w:val="0"/>
          <w:szCs w:val="21"/>
          <w:highlight w:val="none"/>
        </w:rPr>
        <w:t>）承包人应在单位工程验收后</w:t>
      </w:r>
      <w:r>
        <w:rPr>
          <w:rFonts w:ascii="宋体" w:hAnsi="宋体" w:cs="宋体"/>
          <w:kern w:val="0"/>
          <w:szCs w:val="21"/>
          <w:highlight w:val="none"/>
        </w:rPr>
        <w:t>30</w:t>
      </w:r>
      <w:r>
        <w:rPr>
          <w:rFonts w:hint="eastAsia" w:ascii="宋体" w:hAnsi="宋体" w:cs="宋体"/>
          <w:kern w:val="0"/>
          <w:szCs w:val="21"/>
          <w:highlight w:val="none"/>
        </w:rPr>
        <w:t>天内提交合格的工程结算资料，否则每拖延一天，扣除工程款</w:t>
      </w:r>
      <w:r>
        <w:rPr>
          <w:rFonts w:ascii="宋体" w:hAnsi="宋体" w:cs="宋体"/>
          <w:kern w:val="0"/>
          <w:szCs w:val="21"/>
          <w:highlight w:val="none"/>
        </w:rPr>
        <w:t>3000</w:t>
      </w:r>
      <w:r>
        <w:rPr>
          <w:rFonts w:hint="eastAsia" w:ascii="宋体" w:hAnsi="宋体" w:cs="宋体"/>
          <w:kern w:val="0"/>
          <w:szCs w:val="21"/>
          <w:highlight w:val="none"/>
        </w:rPr>
        <w:t>元。</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26</w:t>
      </w:r>
      <w:r>
        <w:rPr>
          <w:rFonts w:ascii="宋体" w:hAnsi="宋体" w:cs="宋体"/>
          <w:b/>
          <w:kern w:val="0"/>
          <w:szCs w:val="21"/>
          <w:highlight w:val="none"/>
        </w:rPr>
        <w:t>.5</w:t>
      </w:r>
      <w:r>
        <w:rPr>
          <w:rFonts w:hint="eastAsia" w:ascii="宋体" w:hAnsi="宋体" w:cs="宋体"/>
          <w:b/>
          <w:kern w:val="0"/>
          <w:szCs w:val="21"/>
          <w:highlight w:val="none"/>
        </w:rPr>
        <w:t>部分工程验收</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在全部工程完工验收前，发包人根据合同进度计划的安排，需要提前使用尚未全部完工的某项工程时，可以对已完成的部分工程进行验收，其验收的内容和程序可参照第26</w:t>
      </w:r>
      <w:r>
        <w:rPr>
          <w:rFonts w:ascii="宋体" w:hAnsi="宋体" w:cs="宋体"/>
          <w:kern w:val="0"/>
          <w:szCs w:val="21"/>
          <w:highlight w:val="none"/>
        </w:rPr>
        <w:t>.l</w:t>
      </w:r>
      <w:r>
        <w:rPr>
          <w:rFonts w:hint="eastAsia" w:ascii="宋体" w:hAnsi="宋体" w:cs="宋体"/>
          <w:kern w:val="0"/>
          <w:szCs w:val="21"/>
          <w:highlight w:val="none"/>
        </w:rPr>
        <w:t>款至第26</w:t>
      </w:r>
      <w:r>
        <w:rPr>
          <w:rFonts w:ascii="宋体" w:hAnsi="宋体" w:cs="宋体"/>
          <w:kern w:val="0"/>
          <w:szCs w:val="21"/>
          <w:highlight w:val="none"/>
        </w:rPr>
        <w:t>.3</w:t>
      </w:r>
      <w:r>
        <w:rPr>
          <w:rFonts w:hint="eastAsia" w:ascii="宋体" w:hAnsi="宋体" w:cs="宋体"/>
          <w:kern w:val="0"/>
          <w:szCs w:val="21"/>
          <w:highlight w:val="none"/>
        </w:rPr>
        <w:t>款的规定进行，并应由发包人或授权监理人签发临时移交证书，其完工验收申请报告应说明已验收的该部分工程的项目或部位，还需列出应由承包人负责修复的未完成缺陷修复项目清单。</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26</w:t>
      </w:r>
      <w:r>
        <w:rPr>
          <w:rFonts w:ascii="宋体" w:hAnsi="宋体" w:cs="宋体"/>
          <w:b/>
          <w:kern w:val="0"/>
          <w:szCs w:val="21"/>
          <w:highlight w:val="none"/>
        </w:rPr>
        <w:t>.6</w:t>
      </w:r>
      <w:r>
        <w:rPr>
          <w:rFonts w:hint="eastAsia" w:ascii="宋体" w:hAnsi="宋体" w:cs="宋体"/>
          <w:b/>
          <w:kern w:val="0"/>
          <w:szCs w:val="21"/>
          <w:highlight w:val="none"/>
        </w:rPr>
        <w:t>施工期运行</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按第26</w:t>
      </w:r>
      <w:r>
        <w:rPr>
          <w:rFonts w:ascii="宋体" w:hAnsi="宋体" w:cs="宋体"/>
          <w:kern w:val="0"/>
          <w:szCs w:val="21"/>
          <w:highlight w:val="none"/>
        </w:rPr>
        <w:t>.4</w:t>
      </w:r>
      <w:r>
        <w:rPr>
          <w:rFonts w:hint="eastAsia" w:ascii="宋体" w:hAnsi="宋体" w:cs="宋体"/>
          <w:kern w:val="0"/>
          <w:szCs w:val="21"/>
          <w:highlight w:val="none"/>
        </w:rPr>
        <w:t>款、第26</w:t>
      </w:r>
      <w:r>
        <w:rPr>
          <w:rFonts w:ascii="宋体" w:hAnsi="宋体" w:cs="宋体"/>
          <w:kern w:val="0"/>
          <w:szCs w:val="21"/>
          <w:highlight w:val="none"/>
        </w:rPr>
        <w:t>.5</w:t>
      </w:r>
      <w:r>
        <w:rPr>
          <w:rFonts w:hint="eastAsia" w:ascii="宋体" w:hAnsi="宋体" w:cs="宋体"/>
          <w:kern w:val="0"/>
          <w:szCs w:val="21"/>
          <w:highlight w:val="none"/>
        </w:rPr>
        <w:t>款进行验收的单位工程或部分工程，发包人需要在施工期投入运行时，应对其局部建筑物承受施工运行荷载的安全性进行复核，在证明其能确保安全时才能投入施工期运行。</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在施工期运行中新发现的工程缺陷和损坏，应按第26</w:t>
      </w:r>
      <w:r>
        <w:rPr>
          <w:rFonts w:ascii="宋体" w:hAnsi="宋体" w:cs="宋体"/>
          <w:kern w:val="0"/>
          <w:szCs w:val="21"/>
          <w:highlight w:val="none"/>
        </w:rPr>
        <w:t>.</w:t>
      </w:r>
      <w:r>
        <w:rPr>
          <w:rFonts w:hint="eastAsia" w:ascii="宋体" w:hAnsi="宋体" w:cs="宋体"/>
          <w:kern w:val="0"/>
          <w:szCs w:val="21"/>
          <w:highlight w:val="none"/>
        </w:rPr>
        <w:t>3款</w:t>
      </w:r>
      <w:r>
        <w:rPr>
          <w:rFonts w:ascii="宋体" w:hAnsi="宋体" w:cs="宋体"/>
          <w:kern w:val="0"/>
          <w:szCs w:val="21"/>
          <w:highlight w:val="none"/>
        </w:rPr>
        <w:t>（</w:t>
      </w:r>
      <w:r>
        <w:rPr>
          <w:rFonts w:hint="eastAsia" w:ascii="宋体" w:hAnsi="宋体" w:cs="宋体"/>
          <w:kern w:val="0"/>
          <w:szCs w:val="21"/>
          <w:highlight w:val="none"/>
        </w:rPr>
        <w:t>1</w:t>
      </w:r>
      <w:r>
        <w:rPr>
          <w:rFonts w:ascii="宋体" w:hAnsi="宋体" w:cs="宋体"/>
          <w:kern w:val="0"/>
          <w:szCs w:val="21"/>
          <w:highlight w:val="none"/>
        </w:rPr>
        <w:t>）</w:t>
      </w:r>
      <w:r>
        <w:rPr>
          <w:rFonts w:hint="eastAsia" w:ascii="宋体" w:hAnsi="宋体" w:cs="宋体"/>
          <w:kern w:val="0"/>
          <w:szCs w:val="21"/>
          <w:highlight w:val="none"/>
        </w:rPr>
        <w:t>项的规定办理。</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因施工期运行增加了承包人修复缺陷和损坏工作的困难而导致费用增加时，应由监理人与承包人和发包人协商确定需由发包人合理分担的费用。</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26</w:t>
      </w:r>
      <w:r>
        <w:rPr>
          <w:rFonts w:ascii="宋体" w:hAnsi="宋体" w:cs="宋体"/>
          <w:b/>
          <w:kern w:val="0"/>
          <w:szCs w:val="21"/>
          <w:highlight w:val="none"/>
        </w:rPr>
        <w:t>.7</w:t>
      </w:r>
      <w:r>
        <w:rPr>
          <w:rFonts w:hint="eastAsia" w:ascii="宋体" w:hAnsi="宋体" w:cs="宋体"/>
          <w:b/>
          <w:kern w:val="0"/>
          <w:szCs w:val="21"/>
          <w:highlight w:val="none"/>
        </w:rPr>
        <w:t>发包人不及时验收</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若监理人确认承包人已完成或基本完成合同规定的工程，并具备了完工验收条件，但由于非承包人原因使完工验收不能进行时，应由发包人或授权监理人进行初步验收，并签发临时移交证书。但承包人仍应执行监理人在此后进行正式完工验收所发出的指示，由此增加的费用由发包人承担。当正式完工验收发现工程未符合合同要求时，承包人应有责任按监理人指示完成其缺陷修复工作，并承担缺陷修复的费用。</w:t>
      </w:r>
    </w:p>
    <w:p>
      <w:pPr>
        <w:spacing w:line="360" w:lineRule="auto"/>
        <w:ind w:firstLine="495" w:firstLineChars="236"/>
        <w:rPr>
          <w:rFonts w:ascii="宋体" w:hAns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若发包人或监理人在收到承包人的完工申请报告后不及时进行验收，或在验收后不颁发工程移交证书（即不接收工程），则发包人应从承包人发出完工申请报告</w:t>
      </w:r>
      <w:r>
        <w:rPr>
          <w:rFonts w:ascii="宋体" w:hAnsi="宋体" w:cs="宋体"/>
          <w:kern w:val="0"/>
          <w:szCs w:val="21"/>
          <w:highlight w:val="none"/>
        </w:rPr>
        <w:t>56</w:t>
      </w:r>
      <w:r>
        <w:rPr>
          <w:rFonts w:hint="eastAsia" w:ascii="宋体" w:hAnsi="宋体" w:cs="宋体"/>
          <w:kern w:val="0"/>
          <w:szCs w:val="21"/>
          <w:highlight w:val="none"/>
        </w:rPr>
        <w:t>天后的次日起承担工程保管费用。</w:t>
      </w:r>
    </w:p>
    <w:p>
      <w:pPr>
        <w:autoSpaceDE w:val="0"/>
        <w:autoSpaceDN w:val="0"/>
        <w:adjustRightIn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26</w:t>
      </w:r>
      <w:r>
        <w:rPr>
          <w:rFonts w:ascii="宋体" w:hAnsi="宋体" w:cs="宋体"/>
          <w:b/>
          <w:kern w:val="0"/>
          <w:szCs w:val="21"/>
          <w:highlight w:val="none"/>
        </w:rPr>
        <w:t xml:space="preserve">.8 </w:t>
      </w:r>
      <w:r>
        <w:rPr>
          <w:rFonts w:hint="eastAsia" w:ascii="宋体" w:hAnsi="宋体" w:cs="宋体"/>
          <w:b/>
          <w:kern w:val="0"/>
          <w:szCs w:val="21"/>
          <w:highlight w:val="none"/>
        </w:rPr>
        <w:t>完工验收还应执行以下规定</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1</w:t>
      </w:r>
      <w:r>
        <w:rPr>
          <w:rFonts w:hint="eastAsia" w:ascii="宋体" w:hAnsi="宋体" w:cs="宋体"/>
          <w:kern w:val="0"/>
          <w:szCs w:val="21"/>
          <w:highlight w:val="none"/>
        </w:rPr>
        <w:t>）《水利水电建设工程验收规程》（</w:t>
      </w:r>
      <w:r>
        <w:rPr>
          <w:rFonts w:ascii="宋体" w:hAnsi="宋体" w:cs="宋体"/>
          <w:kern w:val="0"/>
          <w:szCs w:val="21"/>
          <w:highlight w:val="none"/>
        </w:rPr>
        <w:t>SL223-2008</w:t>
      </w:r>
      <w:r>
        <w:rPr>
          <w:rFonts w:hint="eastAsia" w:ascii="宋体" w:hAnsi="宋体" w:cs="宋体"/>
          <w:kern w:val="0"/>
          <w:szCs w:val="21"/>
          <w:highlight w:val="none"/>
        </w:rPr>
        <w:t>）。</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）水利工程建设项目档案资料管理相关规定。</w:t>
      </w:r>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）水利工程验收的其他管理规定。</w:t>
      </w:r>
    </w:p>
    <w:p>
      <w:pPr>
        <w:rPr>
          <w:rFonts w:ascii="宋体" w:hAnsi="宋体"/>
          <w:szCs w:val="21"/>
          <w:highlight w:val="none"/>
        </w:rPr>
      </w:pPr>
      <w:r>
        <w:rPr>
          <w:rFonts w:ascii="宋体" w:hAnsi="宋体"/>
          <w:szCs w:val="21"/>
          <w:highlight w:val="none"/>
        </w:rPr>
        <w:br w:type="page"/>
      </w:r>
    </w:p>
    <w:p>
      <w:pPr>
        <w:pStyle w:val="4"/>
        <w:spacing w:line="360" w:lineRule="auto"/>
        <w:jc w:val="center"/>
        <w:rPr>
          <w:rFonts w:ascii="宋体" w:hAnsi="宋体" w:eastAsia="宋体"/>
          <w:highlight w:val="none"/>
        </w:rPr>
      </w:pPr>
      <w:bookmarkStart w:id="1333" w:name="_Toc486160131"/>
      <w:r>
        <w:rPr>
          <w:rFonts w:hint="eastAsia" w:ascii="宋体" w:hAnsi="宋体" w:eastAsia="宋体"/>
          <w:b w:val="0"/>
          <w:bCs w:val="0"/>
          <w:highlight w:val="none"/>
        </w:rPr>
        <w:t>第四部分  合同附件格式</w:t>
      </w:r>
      <w:bookmarkEnd w:id="1330"/>
      <w:bookmarkEnd w:id="1331"/>
      <w:bookmarkEnd w:id="1332"/>
      <w:bookmarkStart w:id="1334" w:name="_Toc486160132"/>
      <w:bookmarkStart w:id="1335" w:name="_Toc144974831"/>
    </w:p>
    <w:bookmarkEnd w:id="1333"/>
    <w:bookmarkEnd w:id="1334"/>
    <w:bookmarkEnd w:id="1335"/>
    <w:p>
      <w:pPr>
        <w:spacing w:beforeLines="50" w:line="580" w:lineRule="exact"/>
        <w:outlineLvl w:val="1"/>
        <w:rPr>
          <w:rFonts w:ascii="宋体" w:hAnsi="宋体"/>
          <w:b/>
          <w:sz w:val="24"/>
          <w:highlight w:val="none"/>
        </w:rPr>
      </w:pPr>
      <w:bookmarkStart w:id="1336" w:name="_Toc354042311"/>
      <w:bookmarkStart w:id="1337" w:name="_Toc354050788"/>
      <w:r>
        <w:rPr>
          <w:rFonts w:hint="eastAsia" w:ascii="宋体" w:hAnsi="宋体"/>
          <w:b/>
          <w:sz w:val="24"/>
          <w:highlight w:val="none"/>
        </w:rPr>
        <w:t>附件一：承包人提供的材料和工程设备一览表</w:t>
      </w:r>
      <w:bookmarkEnd w:id="1336"/>
      <w:bookmarkEnd w:id="1337"/>
    </w:p>
    <w:tbl>
      <w:tblPr>
        <w:tblStyle w:val="63"/>
        <w:tblW w:w="8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68"/>
        <w:gridCol w:w="1027"/>
        <w:gridCol w:w="612"/>
        <w:gridCol w:w="612"/>
        <w:gridCol w:w="612"/>
        <w:gridCol w:w="896"/>
        <w:gridCol w:w="896"/>
        <w:gridCol w:w="896"/>
        <w:gridCol w:w="8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6" w:type="dxa"/>
            <w:vAlign w:val="center"/>
          </w:tcPr>
          <w:p>
            <w:pPr>
              <w:keepNext/>
              <w:keepLines/>
              <w:jc w:val="center"/>
              <w:rPr>
                <w:rFonts w:ascii="宋体" w:hAnsi="宋体" w:cs="宋体"/>
                <w:b/>
                <w:sz w:val="24"/>
                <w:highlight w:val="none"/>
              </w:rPr>
            </w:pPr>
            <w:r>
              <w:rPr>
                <w:rFonts w:ascii="宋体" w:hAnsi="宋体" w:cs="宋体"/>
                <w:b/>
                <w:sz w:val="24"/>
                <w:highlight w:val="none"/>
              </w:rPr>
              <w:t>序号</w:t>
            </w:r>
          </w:p>
        </w:tc>
        <w:tc>
          <w:tcPr>
            <w:tcW w:w="1175" w:type="dxa"/>
            <w:vAlign w:val="center"/>
          </w:tcPr>
          <w:p>
            <w:pPr>
              <w:keepNext/>
              <w:keepLines/>
              <w:jc w:val="center"/>
              <w:rPr>
                <w:rFonts w:ascii="宋体" w:hAnsi="宋体" w:cs="宋体"/>
                <w:b/>
                <w:sz w:val="24"/>
                <w:highlight w:val="none"/>
              </w:rPr>
            </w:pPr>
            <w:r>
              <w:rPr>
                <w:rFonts w:ascii="宋体" w:hAnsi="宋体" w:cs="宋体"/>
                <w:b/>
                <w:sz w:val="24"/>
                <w:highlight w:val="none"/>
              </w:rPr>
              <w:t>材料</w:t>
            </w:r>
          </w:p>
          <w:p>
            <w:pPr>
              <w:keepNext/>
              <w:keepLines/>
              <w:jc w:val="center"/>
              <w:rPr>
                <w:rFonts w:ascii="宋体" w:hAnsi="宋体" w:cs="宋体"/>
                <w:b/>
                <w:sz w:val="24"/>
                <w:highlight w:val="none"/>
              </w:rPr>
            </w:pPr>
            <w:r>
              <w:rPr>
                <w:rFonts w:ascii="宋体" w:hAnsi="宋体" w:cs="宋体"/>
                <w:b/>
                <w:sz w:val="24"/>
                <w:highlight w:val="none"/>
              </w:rPr>
              <w:t>设备</w:t>
            </w:r>
          </w:p>
          <w:p>
            <w:pPr>
              <w:keepNext/>
              <w:keepLines/>
              <w:jc w:val="center"/>
              <w:rPr>
                <w:rFonts w:ascii="宋体" w:hAnsi="宋体" w:cs="宋体"/>
                <w:b/>
                <w:sz w:val="24"/>
                <w:highlight w:val="none"/>
              </w:rPr>
            </w:pPr>
            <w:r>
              <w:rPr>
                <w:rFonts w:ascii="宋体" w:hAnsi="宋体" w:cs="宋体"/>
                <w:b/>
                <w:sz w:val="24"/>
                <w:highlight w:val="none"/>
              </w:rPr>
              <w:t>名称</w:t>
            </w:r>
          </w:p>
        </w:tc>
        <w:tc>
          <w:tcPr>
            <w:tcW w:w="1032" w:type="dxa"/>
            <w:vAlign w:val="center"/>
          </w:tcPr>
          <w:p>
            <w:pPr>
              <w:keepNext/>
              <w:keepLines/>
              <w:jc w:val="center"/>
              <w:rPr>
                <w:rFonts w:ascii="宋体" w:hAnsi="宋体" w:cs="宋体"/>
                <w:b/>
                <w:sz w:val="24"/>
                <w:highlight w:val="none"/>
              </w:rPr>
            </w:pPr>
            <w:r>
              <w:rPr>
                <w:rFonts w:ascii="宋体" w:hAnsi="宋体" w:cs="宋体"/>
                <w:b/>
                <w:sz w:val="24"/>
                <w:highlight w:val="none"/>
              </w:rPr>
              <w:t>规格</w:t>
            </w:r>
          </w:p>
          <w:p>
            <w:pPr>
              <w:keepNext/>
              <w:keepLines/>
              <w:jc w:val="center"/>
              <w:rPr>
                <w:rFonts w:ascii="宋体" w:hAnsi="宋体" w:cs="宋体"/>
                <w:b/>
                <w:sz w:val="24"/>
                <w:highlight w:val="none"/>
              </w:rPr>
            </w:pPr>
            <w:r>
              <w:rPr>
                <w:rFonts w:ascii="宋体" w:hAnsi="宋体" w:cs="宋体"/>
                <w:b/>
                <w:sz w:val="24"/>
                <w:highlight w:val="none"/>
              </w:rPr>
              <w:t>型号</w:t>
            </w:r>
          </w:p>
        </w:tc>
        <w:tc>
          <w:tcPr>
            <w:tcW w:w="613" w:type="dxa"/>
            <w:vAlign w:val="center"/>
          </w:tcPr>
          <w:p>
            <w:pPr>
              <w:keepNext/>
              <w:keepLines/>
              <w:jc w:val="center"/>
              <w:rPr>
                <w:rFonts w:ascii="宋体" w:hAnsi="宋体" w:cs="宋体"/>
                <w:b/>
                <w:sz w:val="24"/>
                <w:highlight w:val="none"/>
              </w:rPr>
            </w:pPr>
            <w:r>
              <w:rPr>
                <w:rFonts w:ascii="宋体" w:hAnsi="宋体" w:cs="宋体"/>
                <w:b/>
                <w:sz w:val="24"/>
                <w:highlight w:val="none"/>
              </w:rPr>
              <w:t>单位</w:t>
            </w:r>
          </w:p>
        </w:tc>
        <w:tc>
          <w:tcPr>
            <w:tcW w:w="613" w:type="dxa"/>
            <w:vAlign w:val="center"/>
          </w:tcPr>
          <w:p>
            <w:pPr>
              <w:keepNext/>
              <w:keepLines/>
              <w:jc w:val="center"/>
              <w:rPr>
                <w:rFonts w:ascii="宋体" w:hAnsi="宋体" w:cs="宋体"/>
                <w:b/>
                <w:sz w:val="24"/>
                <w:highlight w:val="none"/>
              </w:rPr>
            </w:pPr>
            <w:r>
              <w:rPr>
                <w:rFonts w:ascii="宋体" w:hAnsi="宋体" w:cs="宋体"/>
                <w:b/>
                <w:sz w:val="24"/>
                <w:highlight w:val="none"/>
              </w:rPr>
              <w:t>数量</w:t>
            </w:r>
          </w:p>
        </w:tc>
        <w:tc>
          <w:tcPr>
            <w:tcW w:w="613" w:type="dxa"/>
            <w:vAlign w:val="center"/>
          </w:tcPr>
          <w:p>
            <w:pPr>
              <w:keepNext/>
              <w:keepLines/>
              <w:jc w:val="center"/>
              <w:rPr>
                <w:rFonts w:ascii="宋体" w:hAnsi="宋体" w:cs="宋体"/>
                <w:b/>
                <w:sz w:val="24"/>
                <w:highlight w:val="none"/>
              </w:rPr>
            </w:pPr>
            <w:r>
              <w:rPr>
                <w:rFonts w:ascii="宋体" w:hAnsi="宋体" w:cs="宋体"/>
                <w:b/>
                <w:sz w:val="24"/>
                <w:highlight w:val="none"/>
              </w:rPr>
              <w:t>单价</w:t>
            </w:r>
          </w:p>
        </w:tc>
        <w:tc>
          <w:tcPr>
            <w:tcW w:w="900" w:type="dxa"/>
            <w:vAlign w:val="center"/>
          </w:tcPr>
          <w:p>
            <w:pPr>
              <w:keepNext/>
              <w:keepLines/>
              <w:jc w:val="center"/>
              <w:rPr>
                <w:rFonts w:ascii="宋体" w:hAnsi="宋体" w:cs="宋体"/>
                <w:b/>
                <w:sz w:val="24"/>
                <w:highlight w:val="none"/>
              </w:rPr>
            </w:pPr>
            <w:r>
              <w:rPr>
                <w:rFonts w:ascii="宋体" w:hAnsi="宋体" w:cs="宋体"/>
                <w:b/>
                <w:sz w:val="24"/>
                <w:highlight w:val="none"/>
              </w:rPr>
              <w:t>交货</w:t>
            </w:r>
          </w:p>
          <w:p>
            <w:pPr>
              <w:keepNext/>
              <w:keepLines/>
              <w:jc w:val="center"/>
              <w:rPr>
                <w:rFonts w:ascii="宋体" w:hAnsi="宋体" w:cs="宋体"/>
                <w:b/>
                <w:sz w:val="24"/>
                <w:highlight w:val="none"/>
              </w:rPr>
            </w:pPr>
            <w:r>
              <w:rPr>
                <w:rFonts w:ascii="宋体" w:hAnsi="宋体" w:cs="宋体"/>
                <w:b/>
                <w:sz w:val="24"/>
                <w:highlight w:val="none"/>
              </w:rPr>
              <w:t>方式</w:t>
            </w:r>
          </w:p>
        </w:tc>
        <w:tc>
          <w:tcPr>
            <w:tcW w:w="900" w:type="dxa"/>
            <w:vAlign w:val="center"/>
          </w:tcPr>
          <w:p>
            <w:pPr>
              <w:keepNext/>
              <w:keepLines/>
              <w:jc w:val="center"/>
              <w:rPr>
                <w:rFonts w:ascii="宋体" w:hAnsi="宋体" w:cs="宋体"/>
                <w:b/>
                <w:sz w:val="24"/>
                <w:highlight w:val="none"/>
              </w:rPr>
            </w:pPr>
            <w:r>
              <w:rPr>
                <w:rFonts w:ascii="宋体" w:hAnsi="宋体" w:cs="宋体"/>
                <w:b/>
                <w:sz w:val="24"/>
                <w:highlight w:val="none"/>
              </w:rPr>
              <w:t>交货</w:t>
            </w:r>
          </w:p>
          <w:p>
            <w:pPr>
              <w:keepNext/>
              <w:keepLines/>
              <w:jc w:val="center"/>
              <w:rPr>
                <w:rFonts w:ascii="宋体" w:hAnsi="宋体" w:cs="宋体"/>
                <w:b/>
                <w:sz w:val="24"/>
                <w:highlight w:val="none"/>
              </w:rPr>
            </w:pPr>
            <w:r>
              <w:rPr>
                <w:rFonts w:ascii="宋体" w:hAnsi="宋体" w:cs="宋体"/>
                <w:b/>
                <w:sz w:val="24"/>
                <w:highlight w:val="none"/>
              </w:rPr>
              <w:t>地点</w:t>
            </w:r>
          </w:p>
        </w:tc>
        <w:tc>
          <w:tcPr>
            <w:tcW w:w="900" w:type="dxa"/>
            <w:vAlign w:val="center"/>
          </w:tcPr>
          <w:p>
            <w:pPr>
              <w:keepNext/>
              <w:keepLines/>
              <w:jc w:val="center"/>
              <w:rPr>
                <w:rFonts w:ascii="宋体" w:hAnsi="宋体" w:cs="宋体"/>
                <w:b/>
                <w:sz w:val="24"/>
                <w:highlight w:val="none"/>
              </w:rPr>
            </w:pPr>
            <w:r>
              <w:rPr>
                <w:rFonts w:ascii="宋体" w:hAnsi="宋体" w:cs="宋体"/>
                <w:b/>
                <w:sz w:val="24"/>
                <w:highlight w:val="none"/>
              </w:rPr>
              <w:t>计划</w:t>
            </w:r>
          </w:p>
          <w:p>
            <w:pPr>
              <w:keepNext/>
              <w:keepLines/>
              <w:jc w:val="center"/>
              <w:rPr>
                <w:rFonts w:ascii="宋体" w:hAnsi="宋体" w:cs="宋体"/>
                <w:b/>
                <w:sz w:val="24"/>
                <w:highlight w:val="none"/>
              </w:rPr>
            </w:pPr>
            <w:r>
              <w:rPr>
                <w:rFonts w:ascii="宋体" w:hAnsi="宋体" w:cs="宋体"/>
                <w:b/>
                <w:sz w:val="24"/>
                <w:highlight w:val="none"/>
              </w:rPr>
              <w:t>交货</w:t>
            </w:r>
          </w:p>
          <w:p>
            <w:pPr>
              <w:keepNext/>
              <w:keepLines/>
              <w:jc w:val="center"/>
              <w:rPr>
                <w:rFonts w:ascii="宋体" w:hAnsi="宋体" w:cs="宋体"/>
                <w:b/>
                <w:sz w:val="24"/>
                <w:highlight w:val="none"/>
              </w:rPr>
            </w:pPr>
            <w:r>
              <w:rPr>
                <w:rFonts w:ascii="宋体" w:hAnsi="宋体" w:cs="宋体"/>
                <w:b/>
                <w:sz w:val="24"/>
                <w:highlight w:val="none"/>
              </w:rPr>
              <w:t>时间</w:t>
            </w:r>
          </w:p>
        </w:tc>
        <w:tc>
          <w:tcPr>
            <w:tcW w:w="900" w:type="dxa"/>
            <w:vAlign w:val="center"/>
          </w:tcPr>
          <w:p>
            <w:pPr>
              <w:keepNext/>
              <w:keepLines/>
              <w:jc w:val="center"/>
              <w:rPr>
                <w:rFonts w:ascii="宋体" w:hAnsi="宋体" w:cs="宋体"/>
                <w:b/>
                <w:sz w:val="24"/>
                <w:highlight w:val="none"/>
              </w:rPr>
            </w:pPr>
            <w:r>
              <w:rPr>
                <w:rFonts w:ascii="宋体" w:hAnsi="宋体" w:cs="宋体"/>
                <w:b/>
                <w:sz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bl>
    <w:p>
      <w:pPr>
        <w:spacing w:afterLines="30" w:line="400" w:lineRule="exact"/>
        <w:rPr>
          <w:rFonts w:ascii="宋体" w:hAnsi="宋体"/>
          <w:sz w:val="24"/>
          <w:highlight w:val="none"/>
        </w:rPr>
      </w:pPr>
    </w:p>
    <w:p>
      <w:pPr>
        <w:spacing w:beforeLines="50" w:line="580" w:lineRule="exact"/>
        <w:outlineLvl w:val="1"/>
        <w:rPr>
          <w:rFonts w:ascii="宋体" w:hAnsi="宋体"/>
          <w:b/>
          <w:sz w:val="24"/>
          <w:highlight w:val="none"/>
        </w:rPr>
      </w:pPr>
      <w:bookmarkStart w:id="1338" w:name="_Toc354050789"/>
      <w:bookmarkStart w:id="1339" w:name="_Toc354042312"/>
      <w:r>
        <w:rPr>
          <w:rFonts w:hint="eastAsia" w:ascii="宋体" w:hAnsi="宋体"/>
          <w:b/>
          <w:sz w:val="24"/>
          <w:highlight w:val="none"/>
        </w:rPr>
        <w:t>附件二：发包人提供的材料和工程设备一览表</w:t>
      </w:r>
      <w:bookmarkEnd w:id="1338"/>
      <w:bookmarkEnd w:id="1339"/>
    </w:p>
    <w:tbl>
      <w:tblPr>
        <w:tblStyle w:val="63"/>
        <w:tblW w:w="8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74"/>
        <w:gridCol w:w="1032"/>
        <w:gridCol w:w="613"/>
        <w:gridCol w:w="613"/>
        <w:gridCol w:w="613"/>
        <w:gridCol w:w="900"/>
        <w:gridCol w:w="900"/>
        <w:gridCol w:w="900"/>
        <w:gridCol w:w="900"/>
      </w:tblGrid>
      <w:tr>
        <w:tblPrEx>
          <w:tblCellMar>
            <w:top w:w="0" w:type="dxa"/>
            <w:left w:w="108" w:type="dxa"/>
            <w:bottom w:w="0" w:type="dxa"/>
            <w:right w:w="108" w:type="dxa"/>
          </w:tblCellMar>
        </w:tblPrEx>
        <w:trPr>
          <w:trHeight w:val="851" w:hRule="atLeast"/>
          <w:jc w:val="center"/>
        </w:trPr>
        <w:tc>
          <w:tcPr>
            <w:tcW w:w="426" w:type="dxa"/>
            <w:vAlign w:val="center"/>
          </w:tcPr>
          <w:p>
            <w:pPr>
              <w:keepNext/>
              <w:keepLines/>
              <w:jc w:val="center"/>
              <w:rPr>
                <w:rFonts w:ascii="宋体" w:hAnsi="宋体" w:cs="宋体"/>
                <w:b/>
                <w:szCs w:val="21"/>
                <w:highlight w:val="none"/>
              </w:rPr>
            </w:pPr>
            <w:r>
              <w:rPr>
                <w:rFonts w:ascii="宋体" w:hAnsi="宋体" w:cs="宋体"/>
                <w:b/>
                <w:szCs w:val="21"/>
                <w:highlight w:val="none"/>
              </w:rPr>
              <w:t>序号</w:t>
            </w:r>
          </w:p>
        </w:tc>
        <w:tc>
          <w:tcPr>
            <w:tcW w:w="1175" w:type="dxa"/>
            <w:vAlign w:val="center"/>
          </w:tcPr>
          <w:p>
            <w:pPr>
              <w:keepNext/>
              <w:keepLines/>
              <w:jc w:val="center"/>
              <w:rPr>
                <w:rFonts w:ascii="宋体" w:hAnsi="宋体" w:cs="宋体"/>
                <w:b/>
                <w:szCs w:val="21"/>
                <w:highlight w:val="none"/>
              </w:rPr>
            </w:pPr>
            <w:r>
              <w:rPr>
                <w:rFonts w:ascii="宋体" w:hAnsi="宋体" w:cs="宋体"/>
                <w:b/>
                <w:szCs w:val="21"/>
                <w:highlight w:val="none"/>
              </w:rPr>
              <w:t>材料</w:t>
            </w:r>
          </w:p>
          <w:p>
            <w:pPr>
              <w:keepNext/>
              <w:keepLines/>
              <w:jc w:val="center"/>
              <w:rPr>
                <w:rFonts w:ascii="宋体" w:hAnsi="宋体" w:cs="宋体"/>
                <w:b/>
                <w:szCs w:val="21"/>
                <w:highlight w:val="none"/>
              </w:rPr>
            </w:pPr>
            <w:r>
              <w:rPr>
                <w:rFonts w:ascii="宋体" w:hAnsi="宋体" w:cs="宋体"/>
                <w:b/>
                <w:szCs w:val="21"/>
                <w:highlight w:val="none"/>
              </w:rPr>
              <w:t>设备</w:t>
            </w:r>
          </w:p>
          <w:p>
            <w:pPr>
              <w:keepNext/>
              <w:keepLines/>
              <w:jc w:val="center"/>
              <w:rPr>
                <w:rFonts w:ascii="宋体" w:hAnsi="宋体" w:cs="宋体"/>
                <w:b/>
                <w:szCs w:val="21"/>
                <w:highlight w:val="none"/>
              </w:rPr>
            </w:pPr>
            <w:r>
              <w:rPr>
                <w:rFonts w:ascii="宋体" w:hAnsi="宋体" w:cs="宋体"/>
                <w:b/>
                <w:szCs w:val="21"/>
                <w:highlight w:val="none"/>
              </w:rPr>
              <w:t>名称</w:t>
            </w:r>
          </w:p>
        </w:tc>
        <w:tc>
          <w:tcPr>
            <w:tcW w:w="1032" w:type="dxa"/>
            <w:vAlign w:val="center"/>
          </w:tcPr>
          <w:p>
            <w:pPr>
              <w:keepNext/>
              <w:keepLines/>
              <w:jc w:val="center"/>
              <w:rPr>
                <w:rFonts w:ascii="宋体" w:hAnsi="宋体" w:cs="宋体"/>
                <w:b/>
                <w:szCs w:val="21"/>
                <w:highlight w:val="none"/>
              </w:rPr>
            </w:pPr>
            <w:r>
              <w:rPr>
                <w:rFonts w:ascii="宋体" w:hAnsi="宋体" w:cs="宋体"/>
                <w:b/>
                <w:szCs w:val="21"/>
                <w:highlight w:val="none"/>
              </w:rPr>
              <w:t>规格</w:t>
            </w:r>
          </w:p>
          <w:p>
            <w:pPr>
              <w:keepNext/>
              <w:keepLines/>
              <w:jc w:val="center"/>
              <w:rPr>
                <w:rFonts w:ascii="宋体" w:hAnsi="宋体" w:cs="宋体"/>
                <w:b/>
                <w:szCs w:val="21"/>
                <w:highlight w:val="none"/>
              </w:rPr>
            </w:pPr>
            <w:r>
              <w:rPr>
                <w:rFonts w:ascii="宋体" w:hAnsi="宋体" w:cs="宋体"/>
                <w:b/>
                <w:szCs w:val="21"/>
                <w:highlight w:val="none"/>
              </w:rPr>
              <w:t>型号</w:t>
            </w:r>
          </w:p>
        </w:tc>
        <w:tc>
          <w:tcPr>
            <w:tcW w:w="613" w:type="dxa"/>
            <w:vAlign w:val="center"/>
          </w:tcPr>
          <w:p>
            <w:pPr>
              <w:keepNext/>
              <w:keepLines/>
              <w:jc w:val="center"/>
              <w:rPr>
                <w:rFonts w:ascii="宋体" w:hAnsi="宋体" w:cs="宋体"/>
                <w:b/>
                <w:szCs w:val="21"/>
                <w:highlight w:val="none"/>
              </w:rPr>
            </w:pPr>
            <w:r>
              <w:rPr>
                <w:rFonts w:ascii="宋体" w:hAnsi="宋体" w:cs="宋体"/>
                <w:b/>
                <w:szCs w:val="21"/>
                <w:highlight w:val="none"/>
              </w:rPr>
              <w:t>单位</w:t>
            </w:r>
          </w:p>
        </w:tc>
        <w:tc>
          <w:tcPr>
            <w:tcW w:w="613" w:type="dxa"/>
            <w:vAlign w:val="center"/>
          </w:tcPr>
          <w:p>
            <w:pPr>
              <w:keepNext/>
              <w:keepLines/>
              <w:jc w:val="center"/>
              <w:rPr>
                <w:rFonts w:ascii="宋体" w:hAnsi="宋体" w:cs="宋体"/>
                <w:b/>
                <w:szCs w:val="21"/>
                <w:highlight w:val="none"/>
              </w:rPr>
            </w:pPr>
            <w:r>
              <w:rPr>
                <w:rFonts w:ascii="宋体" w:hAnsi="宋体" w:cs="宋体"/>
                <w:b/>
                <w:szCs w:val="21"/>
                <w:highlight w:val="none"/>
              </w:rPr>
              <w:t>数量</w:t>
            </w:r>
          </w:p>
        </w:tc>
        <w:tc>
          <w:tcPr>
            <w:tcW w:w="613" w:type="dxa"/>
            <w:vAlign w:val="center"/>
          </w:tcPr>
          <w:p>
            <w:pPr>
              <w:keepNext/>
              <w:keepLines/>
              <w:jc w:val="center"/>
              <w:rPr>
                <w:rFonts w:ascii="宋体" w:hAnsi="宋体" w:cs="宋体"/>
                <w:b/>
                <w:szCs w:val="21"/>
                <w:highlight w:val="none"/>
              </w:rPr>
            </w:pPr>
            <w:r>
              <w:rPr>
                <w:rFonts w:ascii="宋体" w:hAnsi="宋体" w:cs="宋体"/>
                <w:b/>
                <w:szCs w:val="21"/>
                <w:highlight w:val="none"/>
              </w:rPr>
              <w:t>单价</w:t>
            </w:r>
          </w:p>
        </w:tc>
        <w:tc>
          <w:tcPr>
            <w:tcW w:w="900" w:type="dxa"/>
            <w:vAlign w:val="center"/>
          </w:tcPr>
          <w:p>
            <w:pPr>
              <w:keepNext/>
              <w:keepLines/>
              <w:jc w:val="center"/>
              <w:rPr>
                <w:rFonts w:ascii="宋体" w:hAnsi="宋体" w:cs="宋体"/>
                <w:b/>
                <w:szCs w:val="21"/>
                <w:highlight w:val="none"/>
              </w:rPr>
            </w:pPr>
            <w:r>
              <w:rPr>
                <w:rFonts w:ascii="宋体" w:hAnsi="宋体" w:cs="宋体"/>
                <w:b/>
                <w:szCs w:val="21"/>
                <w:highlight w:val="none"/>
              </w:rPr>
              <w:t>交货</w:t>
            </w:r>
          </w:p>
          <w:p>
            <w:pPr>
              <w:keepNext/>
              <w:keepLines/>
              <w:jc w:val="center"/>
              <w:rPr>
                <w:rFonts w:ascii="宋体" w:hAnsi="宋体" w:cs="宋体"/>
                <w:b/>
                <w:szCs w:val="21"/>
                <w:highlight w:val="none"/>
              </w:rPr>
            </w:pPr>
            <w:r>
              <w:rPr>
                <w:rFonts w:ascii="宋体" w:hAnsi="宋体" w:cs="宋体"/>
                <w:b/>
                <w:szCs w:val="21"/>
                <w:highlight w:val="none"/>
              </w:rPr>
              <w:t>方式</w:t>
            </w:r>
          </w:p>
        </w:tc>
        <w:tc>
          <w:tcPr>
            <w:tcW w:w="900" w:type="dxa"/>
            <w:vAlign w:val="center"/>
          </w:tcPr>
          <w:p>
            <w:pPr>
              <w:keepNext/>
              <w:keepLines/>
              <w:jc w:val="center"/>
              <w:rPr>
                <w:rFonts w:ascii="宋体" w:hAnsi="宋体" w:cs="宋体"/>
                <w:b/>
                <w:szCs w:val="21"/>
                <w:highlight w:val="none"/>
              </w:rPr>
            </w:pPr>
            <w:r>
              <w:rPr>
                <w:rFonts w:ascii="宋体" w:hAnsi="宋体" w:cs="宋体"/>
                <w:b/>
                <w:szCs w:val="21"/>
                <w:highlight w:val="none"/>
              </w:rPr>
              <w:t>交货</w:t>
            </w:r>
          </w:p>
          <w:p>
            <w:pPr>
              <w:keepNext/>
              <w:keepLines/>
              <w:jc w:val="center"/>
              <w:rPr>
                <w:rFonts w:ascii="宋体" w:hAnsi="宋体" w:cs="宋体"/>
                <w:b/>
                <w:szCs w:val="21"/>
                <w:highlight w:val="none"/>
              </w:rPr>
            </w:pPr>
            <w:r>
              <w:rPr>
                <w:rFonts w:ascii="宋体" w:hAnsi="宋体" w:cs="宋体"/>
                <w:b/>
                <w:szCs w:val="21"/>
                <w:highlight w:val="none"/>
              </w:rPr>
              <w:t>地点</w:t>
            </w:r>
          </w:p>
        </w:tc>
        <w:tc>
          <w:tcPr>
            <w:tcW w:w="900" w:type="dxa"/>
            <w:vAlign w:val="center"/>
          </w:tcPr>
          <w:p>
            <w:pPr>
              <w:keepNext/>
              <w:keepLines/>
              <w:jc w:val="center"/>
              <w:rPr>
                <w:rFonts w:ascii="宋体" w:hAnsi="宋体" w:cs="宋体"/>
                <w:b/>
                <w:szCs w:val="21"/>
                <w:highlight w:val="none"/>
              </w:rPr>
            </w:pPr>
            <w:r>
              <w:rPr>
                <w:rFonts w:ascii="宋体" w:hAnsi="宋体" w:cs="宋体"/>
                <w:b/>
                <w:szCs w:val="21"/>
                <w:highlight w:val="none"/>
              </w:rPr>
              <w:t>计划</w:t>
            </w:r>
          </w:p>
          <w:p>
            <w:pPr>
              <w:keepNext/>
              <w:keepLines/>
              <w:jc w:val="center"/>
              <w:rPr>
                <w:rFonts w:ascii="宋体" w:hAnsi="宋体" w:cs="宋体"/>
                <w:b/>
                <w:szCs w:val="21"/>
                <w:highlight w:val="none"/>
              </w:rPr>
            </w:pPr>
            <w:r>
              <w:rPr>
                <w:rFonts w:ascii="宋体" w:hAnsi="宋体" w:cs="宋体"/>
                <w:b/>
                <w:szCs w:val="21"/>
                <w:highlight w:val="none"/>
              </w:rPr>
              <w:t>交货</w:t>
            </w:r>
          </w:p>
          <w:p>
            <w:pPr>
              <w:keepNext/>
              <w:keepLines/>
              <w:jc w:val="center"/>
              <w:rPr>
                <w:rFonts w:ascii="宋体" w:hAnsi="宋体" w:cs="宋体"/>
                <w:b/>
                <w:szCs w:val="21"/>
                <w:highlight w:val="none"/>
              </w:rPr>
            </w:pPr>
            <w:r>
              <w:rPr>
                <w:rFonts w:ascii="宋体" w:hAnsi="宋体" w:cs="宋体"/>
                <w:b/>
                <w:szCs w:val="21"/>
                <w:highlight w:val="none"/>
              </w:rPr>
              <w:t>时间</w:t>
            </w:r>
          </w:p>
        </w:tc>
        <w:tc>
          <w:tcPr>
            <w:tcW w:w="900" w:type="dxa"/>
            <w:vAlign w:val="center"/>
          </w:tcPr>
          <w:p>
            <w:pPr>
              <w:keepNext/>
              <w:keepLines/>
              <w:jc w:val="center"/>
              <w:rPr>
                <w:rFonts w:ascii="宋体" w:hAnsi="宋体" w:cs="宋体"/>
                <w:b/>
                <w:szCs w:val="21"/>
                <w:highlight w:val="none"/>
              </w:rPr>
            </w:pPr>
            <w:r>
              <w:rPr>
                <w:rFonts w:ascii="宋体" w:hAnsi="宋体" w:cs="宋体"/>
                <w:b/>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26" w:type="dxa"/>
          </w:tcPr>
          <w:p>
            <w:pPr>
              <w:keepNext/>
              <w:keepLines/>
              <w:jc w:val="center"/>
              <w:rPr>
                <w:rFonts w:ascii="宋体" w:hAnsi="宋体" w:cs="宋体"/>
                <w:sz w:val="24"/>
                <w:highlight w:val="none"/>
              </w:rPr>
            </w:pPr>
          </w:p>
        </w:tc>
        <w:tc>
          <w:tcPr>
            <w:tcW w:w="1175" w:type="dxa"/>
          </w:tcPr>
          <w:p>
            <w:pPr>
              <w:keepNext/>
              <w:keepLines/>
              <w:jc w:val="center"/>
              <w:rPr>
                <w:rFonts w:ascii="宋体" w:hAnsi="宋体" w:cs="宋体"/>
                <w:sz w:val="24"/>
                <w:highlight w:val="none"/>
              </w:rPr>
            </w:pPr>
          </w:p>
        </w:tc>
        <w:tc>
          <w:tcPr>
            <w:tcW w:w="1032"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613"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c>
          <w:tcPr>
            <w:tcW w:w="900" w:type="dxa"/>
          </w:tcPr>
          <w:p>
            <w:pPr>
              <w:keepNext/>
              <w:keepLines/>
              <w:jc w:val="center"/>
              <w:rPr>
                <w:rFonts w:ascii="宋体" w:hAnsi="宋体" w:cs="宋体"/>
                <w:sz w:val="24"/>
                <w:highlight w:val="none"/>
              </w:rPr>
            </w:pPr>
          </w:p>
        </w:tc>
      </w:tr>
    </w:tbl>
    <w:p>
      <w:pPr>
        <w:spacing w:line="380" w:lineRule="exact"/>
        <w:ind w:left="482" w:hanging="482" w:hangingChars="200"/>
        <w:rPr>
          <w:rFonts w:ascii="宋体" w:hAnsi="宋体"/>
          <w:sz w:val="24"/>
          <w:highlight w:val="none"/>
        </w:rPr>
      </w:pPr>
      <w:r>
        <w:rPr>
          <w:rFonts w:hint="eastAsia" w:ascii="宋体" w:hAnsi="宋体"/>
          <w:b/>
          <w:sz w:val="24"/>
          <w:highlight w:val="none"/>
        </w:rPr>
        <w:t>备注：</w:t>
      </w:r>
      <w:r>
        <w:rPr>
          <w:rFonts w:hint="eastAsia" w:ascii="宋体" w:hAnsi="宋体"/>
          <w:sz w:val="24"/>
          <w:highlight w:val="none"/>
        </w:rPr>
        <w:t>除合同另有约定外，本表所列发包人供应材料和工程设备的数量不考虑施工损耗，施工损耗被认为已经包括在承包人的投标价格中。</w:t>
      </w:r>
    </w:p>
    <w:p>
      <w:pPr>
        <w:spacing w:beforeLines="50" w:line="580" w:lineRule="exact"/>
        <w:outlineLvl w:val="1"/>
        <w:rPr>
          <w:rFonts w:ascii="宋体" w:hAnsi="宋体"/>
          <w:b/>
          <w:sz w:val="24"/>
          <w:highlight w:val="none"/>
        </w:rPr>
      </w:pPr>
      <w:bookmarkStart w:id="1340" w:name="_Toc354050791"/>
      <w:bookmarkStart w:id="1341" w:name="_Toc354042314"/>
      <w:r>
        <w:rPr>
          <w:rFonts w:hint="eastAsia" w:ascii="宋体" w:hAnsi="宋体"/>
          <w:b/>
          <w:sz w:val="24"/>
          <w:highlight w:val="none"/>
        </w:rPr>
        <w:t>附件三：履约担保格式</w:t>
      </w:r>
      <w:bookmarkEnd w:id="1340"/>
      <w:bookmarkEnd w:id="1341"/>
    </w:p>
    <w:p>
      <w:pPr>
        <w:spacing w:beforeLines="80" w:afterLines="100" w:line="400" w:lineRule="exact"/>
        <w:jc w:val="center"/>
        <w:rPr>
          <w:rFonts w:ascii="宋体" w:hAnsi="宋体"/>
          <w:b/>
          <w:sz w:val="32"/>
          <w:szCs w:val="32"/>
          <w:highlight w:val="none"/>
        </w:rPr>
      </w:pPr>
      <w:r>
        <w:rPr>
          <w:rFonts w:hint="eastAsia" w:ascii="宋体" w:hAnsi="宋体"/>
          <w:b/>
          <w:sz w:val="32"/>
          <w:szCs w:val="32"/>
          <w:highlight w:val="none"/>
        </w:rPr>
        <w:t>承包人履约</w:t>
      </w:r>
      <w:r>
        <w:rPr>
          <w:rFonts w:ascii="宋体" w:hAnsi="宋体"/>
          <w:b/>
          <w:sz w:val="32"/>
          <w:szCs w:val="32"/>
          <w:highlight w:val="none"/>
        </w:rPr>
        <w:t>担保</w:t>
      </w:r>
    </w:p>
    <w:p>
      <w:pPr>
        <w:spacing w:line="560" w:lineRule="exact"/>
        <w:rPr>
          <w:rFonts w:ascii="宋体" w:hAnsi="宋体"/>
          <w:sz w:val="24"/>
          <w:highlight w:val="none"/>
        </w:rPr>
      </w:pPr>
      <w:r>
        <w:rPr>
          <w:rFonts w:hint="eastAsia" w:ascii="宋体" w:hAnsi="宋体"/>
          <w:sz w:val="24"/>
          <w:highlight w:val="none"/>
        </w:rPr>
        <w:t>广州市海珠区河涌管理所</w:t>
      </w:r>
      <w:r>
        <w:rPr>
          <w:rFonts w:ascii="宋体" w:hAnsi="宋体"/>
          <w:sz w:val="24"/>
          <w:highlight w:val="none"/>
        </w:rPr>
        <w:t>（发包人名称）：</w:t>
      </w:r>
    </w:p>
    <w:p>
      <w:pPr>
        <w:spacing w:line="560" w:lineRule="exact"/>
        <w:ind w:firstLine="480" w:firstLineChars="200"/>
        <w:rPr>
          <w:rFonts w:ascii="宋体" w:hAnsi="宋体"/>
          <w:sz w:val="24"/>
          <w:highlight w:val="none"/>
        </w:rPr>
      </w:pPr>
      <w:r>
        <w:rPr>
          <w:rFonts w:ascii="宋体" w:hAnsi="宋体"/>
          <w:sz w:val="24"/>
          <w:highlight w:val="none"/>
        </w:rPr>
        <w:t>鉴于你方作为发包人已经与    （承包人名称）（以下称“承包人”）于</w:t>
      </w:r>
    </w:p>
    <w:p>
      <w:pPr>
        <w:spacing w:line="560" w:lineRule="exact"/>
        <w:ind w:firstLine="480" w:firstLineChars="200"/>
        <w:rPr>
          <w:rFonts w:ascii="宋体" w:hAnsi="宋体"/>
          <w:sz w:val="24"/>
          <w:highlight w:val="none"/>
        </w:rPr>
      </w:pPr>
      <w:r>
        <w:rPr>
          <w:rFonts w:ascii="宋体" w:hAnsi="宋体"/>
          <w:sz w:val="24"/>
          <w:highlight w:val="none"/>
        </w:rPr>
        <w:t xml:space="preserve">       年    月    日签订了  （工程名称）施工承包合同（以下称“主合同”），应承包人申请，我方愿就承包人履行主合同约定的义务以保证的方式向你方提供如下担保：</w:t>
      </w:r>
    </w:p>
    <w:p>
      <w:pPr>
        <w:spacing w:beforeLines="30" w:line="580" w:lineRule="exact"/>
        <w:rPr>
          <w:rFonts w:ascii="宋体" w:hAnsi="宋体"/>
          <w:b/>
          <w:sz w:val="24"/>
          <w:highlight w:val="none"/>
        </w:rPr>
      </w:pPr>
      <w:r>
        <w:rPr>
          <w:rFonts w:ascii="宋体" w:hAnsi="宋体"/>
          <w:b/>
          <w:sz w:val="24"/>
          <w:highlight w:val="none"/>
        </w:rPr>
        <w:t>一、保证的范围及保证金额</w:t>
      </w:r>
    </w:p>
    <w:p>
      <w:pPr>
        <w:spacing w:line="560" w:lineRule="exact"/>
        <w:ind w:firstLine="480" w:firstLineChars="200"/>
        <w:rPr>
          <w:rFonts w:ascii="宋体" w:hAnsi="宋体"/>
          <w:sz w:val="24"/>
          <w:highlight w:val="none"/>
        </w:rPr>
      </w:pPr>
      <w:r>
        <w:rPr>
          <w:rFonts w:ascii="宋体" w:hAnsi="宋体"/>
          <w:sz w:val="24"/>
          <w:highlight w:val="none"/>
        </w:rPr>
        <w:t>我方的保证范围是承包人未按照主合同的约定履行义务，给你方造成的实际损失。</w:t>
      </w:r>
    </w:p>
    <w:p>
      <w:pPr>
        <w:spacing w:line="560" w:lineRule="exact"/>
        <w:ind w:firstLine="480" w:firstLineChars="200"/>
        <w:rPr>
          <w:rFonts w:ascii="宋体" w:hAnsi="宋体"/>
          <w:sz w:val="24"/>
          <w:highlight w:val="none"/>
        </w:rPr>
      </w:pPr>
      <w:r>
        <w:rPr>
          <w:rFonts w:ascii="宋体" w:hAnsi="宋体"/>
          <w:sz w:val="24"/>
          <w:highlight w:val="none"/>
        </w:rPr>
        <w:t>我方保证的金额是主合同约定的合同总价款      %，数额最高不超过人民币     元（大写）。</w:t>
      </w:r>
    </w:p>
    <w:p>
      <w:pPr>
        <w:spacing w:beforeLines="30" w:line="580" w:lineRule="exact"/>
        <w:rPr>
          <w:rFonts w:ascii="宋体" w:hAnsi="宋体"/>
          <w:b/>
          <w:sz w:val="24"/>
          <w:highlight w:val="none"/>
        </w:rPr>
      </w:pPr>
      <w:r>
        <w:rPr>
          <w:rFonts w:ascii="宋体" w:hAnsi="宋体"/>
          <w:b/>
          <w:sz w:val="24"/>
          <w:highlight w:val="none"/>
        </w:rPr>
        <w:t>二、保证的方式及保证期间</w:t>
      </w:r>
    </w:p>
    <w:p>
      <w:pPr>
        <w:spacing w:line="560" w:lineRule="exact"/>
        <w:ind w:firstLine="480" w:firstLineChars="200"/>
        <w:rPr>
          <w:rFonts w:ascii="宋体" w:hAnsi="宋体"/>
          <w:sz w:val="24"/>
          <w:highlight w:val="none"/>
        </w:rPr>
      </w:pPr>
      <w:r>
        <w:rPr>
          <w:rFonts w:ascii="宋体" w:hAnsi="宋体"/>
          <w:sz w:val="24"/>
          <w:highlight w:val="none"/>
        </w:rPr>
        <w:t>我方保证的方式为：连带责任保证。</w:t>
      </w:r>
    </w:p>
    <w:p>
      <w:pPr>
        <w:spacing w:line="560" w:lineRule="exact"/>
        <w:ind w:firstLine="480" w:firstLineChars="200"/>
        <w:rPr>
          <w:rFonts w:ascii="宋体" w:hAnsi="宋体"/>
          <w:sz w:val="24"/>
          <w:highlight w:val="none"/>
        </w:rPr>
      </w:pPr>
      <w:r>
        <w:rPr>
          <w:rFonts w:ascii="宋体" w:hAnsi="宋体"/>
          <w:sz w:val="24"/>
          <w:highlight w:val="none"/>
        </w:rPr>
        <w:t>我方保证的期间为：自本合同生效之日起至主合同约定的工程竣工日期后      日内。</w:t>
      </w:r>
    </w:p>
    <w:p>
      <w:pPr>
        <w:spacing w:line="560" w:lineRule="exact"/>
        <w:ind w:firstLine="480" w:firstLineChars="200"/>
        <w:rPr>
          <w:rFonts w:ascii="宋体" w:hAnsi="宋体"/>
          <w:sz w:val="24"/>
          <w:highlight w:val="none"/>
        </w:rPr>
      </w:pPr>
      <w:r>
        <w:rPr>
          <w:rFonts w:ascii="宋体" w:hAnsi="宋体"/>
          <w:sz w:val="24"/>
          <w:highlight w:val="none"/>
        </w:rPr>
        <w:t>你方与承包人协议变更工程竣工日期的，经我方书面同意后，保证期间按照变更后的竣工日期做相应调整。</w:t>
      </w:r>
    </w:p>
    <w:p>
      <w:pPr>
        <w:spacing w:beforeLines="30" w:line="580" w:lineRule="exact"/>
        <w:rPr>
          <w:rFonts w:ascii="宋体" w:hAnsi="宋体"/>
          <w:b/>
          <w:sz w:val="24"/>
          <w:highlight w:val="none"/>
        </w:rPr>
      </w:pPr>
      <w:r>
        <w:rPr>
          <w:rFonts w:ascii="宋体" w:hAnsi="宋体"/>
          <w:b/>
          <w:sz w:val="24"/>
          <w:highlight w:val="none"/>
        </w:rPr>
        <w:t>三、承担保证责任的形式</w:t>
      </w:r>
    </w:p>
    <w:p>
      <w:pPr>
        <w:spacing w:line="560" w:lineRule="exact"/>
        <w:ind w:firstLine="480" w:firstLineChars="200"/>
        <w:rPr>
          <w:rFonts w:ascii="宋体" w:hAnsi="宋体"/>
          <w:sz w:val="24"/>
          <w:highlight w:val="none"/>
        </w:rPr>
      </w:pPr>
      <w:r>
        <w:rPr>
          <w:rFonts w:ascii="宋体" w:hAnsi="宋体"/>
          <w:sz w:val="24"/>
          <w:highlight w:val="none"/>
        </w:rPr>
        <w:t>我方按照你方的要求以下列方式之一承担保证责任：</w:t>
      </w:r>
    </w:p>
    <w:p>
      <w:pPr>
        <w:spacing w:line="560" w:lineRule="exact"/>
        <w:ind w:firstLine="480" w:firstLineChars="200"/>
        <w:rPr>
          <w:rFonts w:ascii="宋体" w:hAnsi="宋体"/>
          <w:sz w:val="24"/>
          <w:highlight w:val="none"/>
        </w:rPr>
      </w:pPr>
      <w:r>
        <w:rPr>
          <w:rFonts w:ascii="宋体" w:hAnsi="宋体"/>
          <w:sz w:val="24"/>
          <w:highlight w:val="none"/>
        </w:rPr>
        <w:t>（1）由我方提供资金及技术援助，使承包人继续履行主合同义务，支付金额不超过本担保第一条规定的保证金额。</w:t>
      </w:r>
    </w:p>
    <w:p>
      <w:pPr>
        <w:spacing w:line="560" w:lineRule="exact"/>
        <w:ind w:firstLine="480" w:firstLineChars="200"/>
        <w:rPr>
          <w:rFonts w:ascii="宋体" w:hAnsi="宋体"/>
          <w:sz w:val="24"/>
          <w:highlight w:val="none"/>
        </w:rPr>
      </w:pPr>
      <w:r>
        <w:rPr>
          <w:rFonts w:ascii="宋体" w:hAnsi="宋体"/>
          <w:sz w:val="24"/>
          <w:highlight w:val="none"/>
        </w:rPr>
        <w:t>（2）由我方在本担保第一条规定的保证金额内赔偿你方的损失。</w:t>
      </w:r>
    </w:p>
    <w:p>
      <w:pPr>
        <w:spacing w:beforeLines="30" w:line="580" w:lineRule="exact"/>
        <w:rPr>
          <w:rFonts w:ascii="宋体" w:hAnsi="宋体"/>
          <w:b/>
          <w:sz w:val="24"/>
          <w:highlight w:val="none"/>
        </w:rPr>
      </w:pPr>
      <w:r>
        <w:rPr>
          <w:rFonts w:ascii="宋体" w:hAnsi="宋体"/>
          <w:b/>
          <w:sz w:val="24"/>
          <w:highlight w:val="none"/>
        </w:rPr>
        <w:t>四、代偿的安排</w:t>
      </w:r>
    </w:p>
    <w:p>
      <w:pPr>
        <w:spacing w:line="560" w:lineRule="exact"/>
        <w:ind w:firstLine="480" w:firstLineChars="200"/>
        <w:rPr>
          <w:rFonts w:ascii="宋体" w:hAnsi="宋体"/>
          <w:sz w:val="24"/>
          <w:highlight w:val="none"/>
        </w:rPr>
      </w:pPr>
      <w:r>
        <w:rPr>
          <w:rFonts w:ascii="宋体" w:hAnsi="宋体"/>
          <w:sz w:val="24"/>
          <w:highlight w:val="none"/>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spacing w:line="560" w:lineRule="exact"/>
        <w:ind w:firstLine="480" w:firstLineChars="200"/>
        <w:rPr>
          <w:rFonts w:ascii="宋体" w:hAnsi="宋体"/>
          <w:sz w:val="24"/>
          <w:highlight w:val="none"/>
        </w:rPr>
      </w:pPr>
      <w:r>
        <w:rPr>
          <w:rFonts w:ascii="宋体" w:hAnsi="宋体"/>
          <w:sz w:val="24"/>
          <w:highlight w:val="none"/>
        </w:rPr>
        <w:t>你方以工程质量不符合主合同约定标准为由，向我方提出违约索赔的，还需同时提供符合相应条件要求的工程质量检测部门出具的质量说明材料。</w:t>
      </w:r>
    </w:p>
    <w:p>
      <w:pPr>
        <w:spacing w:line="560" w:lineRule="exact"/>
        <w:ind w:firstLine="480" w:firstLineChars="200"/>
        <w:rPr>
          <w:rFonts w:ascii="宋体" w:hAnsi="宋体"/>
          <w:sz w:val="24"/>
          <w:highlight w:val="none"/>
        </w:rPr>
      </w:pPr>
      <w:r>
        <w:rPr>
          <w:rFonts w:ascii="宋体" w:hAnsi="宋体"/>
          <w:sz w:val="24"/>
          <w:highlight w:val="none"/>
        </w:rPr>
        <w:t>我方收到你方的书面索赔通知及相应证明材料后，在     工作日内进行核定后按照本担保的承诺</w:t>
      </w:r>
      <w:r>
        <w:rPr>
          <w:rFonts w:hint="eastAsia" w:ascii="宋体" w:hAnsi="宋体"/>
          <w:sz w:val="24"/>
          <w:highlight w:val="none"/>
        </w:rPr>
        <w:t>承担保</w:t>
      </w:r>
      <w:r>
        <w:rPr>
          <w:rFonts w:ascii="宋体" w:hAnsi="宋体"/>
          <w:sz w:val="24"/>
          <w:highlight w:val="none"/>
        </w:rPr>
        <w:t>证责任。</w:t>
      </w:r>
    </w:p>
    <w:p>
      <w:pPr>
        <w:spacing w:beforeLines="30" w:line="580" w:lineRule="exact"/>
        <w:rPr>
          <w:rFonts w:ascii="宋体" w:hAnsi="宋体"/>
          <w:b/>
          <w:sz w:val="24"/>
          <w:highlight w:val="none"/>
        </w:rPr>
      </w:pPr>
      <w:r>
        <w:rPr>
          <w:rFonts w:ascii="宋体" w:hAnsi="宋体"/>
          <w:b/>
          <w:sz w:val="24"/>
          <w:highlight w:val="none"/>
        </w:rPr>
        <w:t>五、保证责任的解除</w:t>
      </w:r>
    </w:p>
    <w:p>
      <w:pPr>
        <w:spacing w:line="560" w:lineRule="exact"/>
        <w:ind w:firstLine="480" w:firstLineChars="200"/>
        <w:rPr>
          <w:rFonts w:ascii="宋体" w:hAnsi="宋体"/>
          <w:sz w:val="24"/>
          <w:highlight w:val="none"/>
        </w:rPr>
      </w:pPr>
      <w:r>
        <w:rPr>
          <w:rFonts w:ascii="宋体" w:hAnsi="宋体"/>
          <w:sz w:val="24"/>
          <w:highlight w:val="none"/>
        </w:rPr>
        <w:t>1、在本担保承诺的保证期间内，你方未书面向我方主张保证责任的，自保证期间届满次日起，我方保证责任解除。</w:t>
      </w:r>
    </w:p>
    <w:p>
      <w:pPr>
        <w:spacing w:line="560" w:lineRule="exact"/>
        <w:ind w:firstLine="480" w:firstLineChars="200"/>
        <w:rPr>
          <w:rFonts w:ascii="宋体" w:hAnsi="宋体"/>
          <w:sz w:val="24"/>
          <w:highlight w:val="none"/>
        </w:rPr>
      </w:pPr>
      <w:r>
        <w:rPr>
          <w:rFonts w:ascii="宋体" w:hAnsi="宋体"/>
          <w:sz w:val="24"/>
          <w:highlight w:val="none"/>
        </w:rPr>
        <w:t>2、承包人按主合同约定履行了义务的，自本担保承诺的保证期间届满次日起，我方保证责任解除。</w:t>
      </w:r>
    </w:p>
    <w:p>
      <w:pPr>
        <w:spacing w:line="560" w:lineRule="exact"/>
        <w:ind w:firstLine="480" w:firstLineChars="200"/>
        <w:rPr>
          <w:rFonts w:ascii="宋体" w:hAnsi="宋体"/>
          <w:sz w:val="24"/>
          <w:highlight w:val="none"/>
        </w:rPr>
      </w:pPr>
      <w:r>
        <w:rPr>
          <w:rFonts w:ascii="宋体" w:hAnsi="宋体"/>
          <w:sz w:val="24"/>
          <w:highlight w:val="none"/>
        </w:rPr>
        <w:t>3、我方按照本担保向你方履行保证责任所支付的金额达到本担保保证金额时，自我方向你方支付（支付款项从我方帐户划出）之日起，保证责任即解除。</w:t>
      </w:r>
    </w:p>
    <w:p>
      <w:pPr>
        <w:spacing w:line="560" w:lineRule="exact"/>
        <w:ind w:firstLine="480" w:firstLineChars="200"/>
        <w:rPr>
          <w:rFonts w:ascii="宋体" w:hAnsi="宋体"/>
          <w:sz w:val="24"/>
          <w:highlight w:val="none"/>
        </w:rPr>
      </w:pPr>
      <w:r>
        <w:rPr>
          <w:rFonts w:ascii="宋体" w:hAnsi="宋体"/>
          <w:sz w:val="24"/>
          <w:highlight w:val="none"/>
        </w:rPr>
        <w:t>4、按照法律法规的规定或出现应解除我方保证责任的其它情形的，我方在本担保项下的保证责任亦解除。</w:t>
      </w:r>
    </w:p>
    <w:p>
      <w:pPr>
        <w:spacing w:line="560" w:lineRule="exact"/>
        <w:ind w:firstLine="480" w:firstLineChars="200"/>
        <w:rPr>
          <w:rFonts w:ascii="宋体" w:hAnsi="宋体"/>
          <w:sz w:val="24"/>
          <w:highlight w:val="none"/>
        </w:rPr>
      </w:pPr>
      <w:r>
        <w:rPr>
          <w:rFonts w:ascii="宋体" w:hAnsi="宋体"/>
          <w:sz w:val="24"/>
          <w:highlight w:val="none"/>
        </w:rPr>
        <w:t>我方解除保证责任后，你方应自我方保证责任解除之日起</w:t>
      </w:r>
      <w:r>
        <w:rPr>
          <w:rFonts w:hint="eastAsia" w:ascii="宋体" w:hAnsi="宋体"/>
          <w:sz w:val="24"/>
          <w:highlight w:val="none"/>
        </w:rPr>
        <w:t>15</w:t>
      </w:r>
      <w:r>
        <w:rPr>
          <w:rFonts w:ascii="宋体" w:hAnsi="宋体"/>
          <w:sz w:val="24"/>
          <w:highlight w:val="none"/>
        </w:rPr>
        <w:t>个工作日内，将本担保原件返还我方。</w:t>
      </w:r>
    </w:p>
    <w:p>
      <w:pPr>
        <w:spacing w:beforeLines="30" w:line="580" w:lineRule="exact"/>
        <w:rPr>
          <w:rFonts w:ascii="宋体" w:hAnsi="宋体"/>
          <w:b/>
          <w:sz w:val="24"/>
          <w:highlight w:val="none"/>
        </w:rPr>
      </w:pPr>
      <w:r>
        <w:rPr>
          <w:rFonts w:ascii="宋体" w:hAnsi="宋体"/>
          <w:b/>
          <w:sz w:val="24"/>
          <w:highlight w:val="none"/>
        </w:rPr>
        <w:t>六、免责条款</w:t>
      </w:r>
    </w:p>
    <w:p>
      <w:pPr>
        <w:spacing w:line="560" w:lineRule="exact"/>
        <w:ind w:firstLine="480" w:firstLineChars="200"/>
        <w:rPr>
          <w:rFonts w:ascii="宋体" w:hAnsi="宋体"/>
          <w:sz w:val="24"/>
          <w:highlight w:val="none"/>
        </w:rPr>
      </w:pPr>
      <w:r>
        <w:rPr>
          <w:rFonts w:ascii="宋体" w:hAnsi="宋体"/>
          <w:sz w:val="24"/>
          <w:highlight w:val="none"/>
        </w:rPr>
        <w:t>1、因你方违约致使承包人不能履行义务的，我方不承担保证责任。</w:t>
      </w:r>
    </w:p>
    <w:p>
      <w:pPr>
        <w:spacing w:line="560" w:lineRule="exact"/>
        <w:ind w:firstLine="480" w:firstLineChars="200"/>
        <w:rPr>
          <w:rFonts w:ascii="宋体" w:hAnsi="宋体"/>
          <w:sz w:val="24"/>
          <w:highlight w:val="none"/>
        </w:rPr>
      </w:pPr>
      <w:r>
        <w:rPr>
          <w:rFonts w:ascii="宋体" w:hAnsi="宋体"/>
          <w:sz w:val="24"/>
          <w:highlight w:val="none"/>
        </w:rPr>
        <w:t>2、依照法律法规的规定或你方与承包人的另行约定，免除承包人部分或全部义务的，我方亦免除其相应的保证责任。</w:t>
      </w:r>
    </w:p>
    <w:p>
      <w:pPr>
        <w:spacing w:line="560" w:lineRule="exact"/>
        <w:ind w:firstLine="480" w:firstLineChars="200"/>
        <w:rPr>
          <w:rFonts w:ascii="宋体" w:hAnsi="宋体"/>
          <w:sz w:val="24"/>
          <w:highlight w:val="none"/>
        </w:rPr>
      </w:pPr>
      <w:r>
        <w:rPr>
          <w:rFonts w:ascii="宋体" w:hAnsi="宋体"/>
          <w:sz w:val="24"/>
          <w:highlight w:val="none"/>
        </w:rPr>
        <w:t>3、你方与承包人协议变更主合同（符合主合同合同条款第15条约定的变更除外），如加重承包人责任致使我方保证责任加重的，需征得我方书面同意，否则我方不再承担因此而加重部分的保证责任。</w:t>
      </w:r>
    </w:p>
    <w:p>
      <w:pPr>
        <w:spacing w:line="560" w:lineRule="exact"/>
        <w:ind w:firstLine="480" w:firstLineChars="200"/>
        <w:rPr>
          <w:rFonts w:ascii="宋体" w:hAnsi="宋体"/>
          <w:sz w:val="24"/>
          <w:highlight w:val="none"/>
        </w:rPr>
      </w:pPr>
      <w:r>
        <w:rPr>
          <w:rFonts w:ascii="宋体" w:hAnsi="宋体"/>
          <w:sz w:val="24"/>
          <w:highlight w:val="none"/>
        </w:rPr>
        <w:t>4、因不可抗力造成承包人不能履行义务的，我方不承担保证责任。</w:t>
      </w:r>
    </w:p>
    <w:p>
      <w:pPr>
        <w:spacing w:beforeLines="30" w:line="580" w:lineRule="exact"/>
        <w:rPr>
          <w:rFonts w:ascii="宋体" w:hAnsi="宋体"/>
          <w:b/>
          <w:sz w:val="24"/>
          <w:highlight w:val="none"/>
        </w:rPr>
      </w:pPr>
      <w:r>
        <w:rPr>
          <w:rFonts w:ascii="宋体" w:hAnsi="宋体"/>
          <w:b/>
          <w:sz w:val="24"/>
          <w:highlight w:val="none"/>
        </w:rPr>
        <w:t>七、争议的解决</w:t>
      </w:r>
    </w:p>
    <w:p>
      <w:pPr>
        <w:spacing w:line="560" w:lineRule="exact"/>
        <w:ind w:firstLine="480" w:firstLineChars="200"/>
        <w:rPr>
          <w:rFonts w:ascii="宋体" w:hAnsi="宋体"/>
          <w:sz w:val="24"/>
          <w:highlight w:val="none"/>
        </w:rPr>
      </w:pPr>
      <w:r>
        <w:rPr>
          <w:rFonts w:ascii="宋体" w:hAnsi="宋体"/>
          <w:sz w:val="24"/>
          <w:highlight w:val="none"/>
        </w:rPr>
        <w:t>因本担保发生的纠纷，由贵我双方协商解决，协商不成的，任何一方均可提请</w:t>
      </w:r>
      <w:r>
        <w:rPr>
          <w:rFonts w:hint="eastAsia" w:ascii="宋体" w:hAnsi="宋体"/>
          <w:sz w:val="24"/>
          <w:highlight w:val="none"/>
        </w:rPr>
        <w:t>海珠区人民法院诉讼</w:t>
      </w:r>
      <w:r>
        <w:rPr>
          <w:rFonts w:ascii="宋体" w:hAnsi="宋体"/>
          <w:sz w:val="24"/>
          <w:highlight w:val="none"/>
        </w:rPr>
        <w:t>。</w:t>
      </w:r>
    </w:p>
    <w:p>
      <w:pPr>
        <w:spacing w:beforeLines="30" w:line="580" w:lineRule="exact"/>
        <w:rPr>
          <w:rFonts w:ascii="宋体" w:hAnsi="宋体"/>
          <w:b/>
          <w:sz w:val="24"/>
          <w:highlight w:val="none"/>
        </w:rPr>
      </w:pPr>
      <w:r>
        <w:rPr>
          <w:rFonts w:ascii="宋体" w:hAnsi="宋体"/>
          <w:b/>
          <w:sz w:val="24"/>
          <w:highlight w:val="none"/>
        </w:rPr>
        <w:t>八、担保的生效</w:t>
      </w:r>
    </w:p>
    <w:p>
      <w:pPr>
        <w:spacing w:line="560" w:lineRule="exact"/>
        <w:ind w:firstLine="480" w:firstLineChars="200"/>
        <w:rPr>
          <w:rFonts w:ascii="宋体" w:hAnsi="宋体"/>
          <w:sz w:val="24"/>
          <w:highlight w:val="none"/>
        </w:rPr>
      </w:pPr>
      <w:r>
        <w:rPr>
          <w:rFonts w:ascii="宋体" w:hAnsi="宋体"/>
          <w:sz w:val="24"/>
          <w:highlight w:val="none"/>
        </w:rPr>
        <w:t>本担保自我方法定代表人（或其授权代理人）签字或加盖公章并交付你方之日起生效。</w:t>
      </w:r>
    </w:p>
    <w:p>
      <w:pPr>
        <w:spacing w:line="560" w:lineRule="exact"/>
        <w:ind w:firstLine="480" w:firstLineChars="200"/>
        <w:rPr>
          <w:rFonts w:ascii="宋体" w:hAnsi="宋体"/>
          <w:sz w:val="24"/>
          <w:highlight w:val="none"/>
        </w:rPr>
      </w:pPr>
      <w:r>
        <w:rPr>
          <w:rFonts w:ascii="宋体" w:hAnsi="宋体"/>
          <w:sz w:val="24"/>
          <w:highlight w:val="none"/>
        </w:rPr>
        <w:t>本条所称交付是指：                                               。</w:t>
      </w:r>
    </w:p>
    <w:p>
      <w:pPr>
        <w:spacing w:line="560" w:lineRule="exact"/>
        <w:ind w:firstLine="480" w:firstLineChars="200"/>
        <w:rPr>
          <w:rFonts w:ascii="宋体" w:hAnsi="宋体"/>
          <w:sz w:val="24"/>
          <w:highlight w:val="none"/>
        </w:rPr>
      </w:pPr>
    </w:p>
    <w:p>
      <w:pPr>
        <w:spacing w:line="560" w:lineRule="exact"/>
        <w:ind w:firstLine="480" w:firstLineChars="200"/>
        <w:rPr>
          <w:rFonts w:ascii="宋体" w:hAnsi="宋体"/>
          <w:sz w:val="24"/>
          <w:highlight w:val="none"/>
        </w:rPr>
      </w:pPr>
      <w:r>
        <w:rPr>
          <w:rFonts w:ascii="宋体" w:hAnsi="宋体"/>
          <w:sz w:val="24"/>
          <w:highlight w:val="none"/>
        </w:rPr>
        <w:t>担保人：                                  （盖单位章）</w:t>
      </w:r>
    </w:p>
    <w:p>
      <w:pPr>
        <w:spacing w:line="560" w:lineRule="exact"/>
        <w:ind w:firstLine="480" w:firstLineChars="200"/>
        <w:rPr>
          <w:rFonts w:ascii="宋体" w:hAnsi="宋体"/>
          <w:sz w:val="24"/>
          <w:highlight w:val="none"/>
        </w:rPr>
      </w:pPr>
      <w:r>
        <w:rPr>
          <w:rFonts w:ascii="宋体" w:hAnsi="宋体"/>
          <w:sz w:val="24"/>
          <w:highlight w:val="none"/>
        </w:rPr>
        <w:t>法定代表人或其委托代理人：                    （签字）</w:t>
      </w:r>
    </w:p>
    <w:p>
      <w:pPr>
        <w:spacing w:line="560" w:lineRule="exact"/>
        <w:ind w:firstLine="480" w:firstLineChars="200"/>
        <w:rPr>
          <w:rFonts w:ascii="宋体" w:hAnsi="宋体"/>
          <w:sz w:val="24"/>
          <w:highlight w:val="none"/>
        </w:rPr>
      </w:pPr>
      <w:r>
        <w:rPr>
          <w:rFonts w:ascii="宋体" w:hAnsi="宋体"/>
          <w:sz w:val="24"/>
          <w:highlight w:val="none"/>
        </w:rPr>
        <w:t xml:space="preserve">地    址：                                      </w:t>
      </w:r>
    </w:p>
    <w:p>
      <w:pPr>
        <w:spacing w:line="560" w:lineRule="exact"/>
        <w:ind w:firstLine="480" w:firstLineChars="200"/>
        <w:rPr>
          <w:rFonts w:ascii="宋体" w:hAnsi="宋体"/>
          <w:sz w:val="24"/>
          <w:highlight w:val="none"/>
        </w:rPr>
      </w:pPr>
      <w:r>
        <w:rPr>
          <w:rFonts w:ascii="宋体" w:hAnsi="宋体"/>
          <w:sz w:val="24"/>
          <w:highlight w:val="none"/>
        </w:rPr>
        <w:t xml:space="preserve">邮政编码：                                      </w:t>
      </w:r>
    </w:p>
    <w:p>
      <w:pPr>
        <w:spacing w:line="560" w:lineRule="exact"/>
        <w:ind w:firstLine="480" w:firstLineChars="200"/>
        <w:rPr>
          <w:rFonts w:ascii="宋体" w:hAnsi="宋体"/>
          <w:sz w:val="24"/>
          <w:highlight w:val="none"/>
        </w:rPr>
      </w:pPr>
      <w:r>
        <w:rPr>
          <w:rFonts w:ascii="宋体" w:hAnsi="宋体"/>
          <w:sz w:val="24"/>
          <w:highlight w:val="none"/>
        </w:rPr>
        <w:t xml:space="preserve">电    话：                                      </w:t>
      </w:r>
    </w:p>
    <w:p>
      <w:pPr>
        <w:spacing w:line="560" w:lineRule="exact"/>
        <w:ind w:firstLine="480" w:firstLineChars="200"/>
        <w:rPr>
          <w:rFonts w:ascii="宋体" w:hAnsi="宋体"/>
          <w:sz w:val="24"/>
          <w:highlight w:val="none"/>
        </w:rPr>
      </w:pPr>
      <w:r>
        <w:rPr>
          <w:rFonts w:ascii="宋体" w:hAnsi="宋体"/>
          <w:sz w:val="24"/>
          <w:highlight w:val="none"/>
        </w:rPr>
        <w:t xml:space="preserve">传    真：                                      </w:t>
      </w:r>
    </w:p>
    <w:p>
      <w:pPr>
        <w:spacing w:line="560" w:lineRule="exact"/>
        <w:ind w:firstLine="480" w:firstLineChars="200"/>
        <w:jc w:val="right"/>
        <w:rPr>
          <w:rFonts w:ascii="宋体" w:hAnsi="宋体"/>
          <w:sz w:val="24"/>
          <w:highlight w:val="none"/>
        </w:rPr>
      </w:pPr>
      <w:r>
        <w:rPr>
          <w:rFonts w:ascii="宋体" w:hAnsi="宋体"/>
          <w:sz w:val="24"/>
          <w:highlight w:val="none"/>
        </w:rPr>
        <w:t xml:space="preserve">              年     月     日    </w:t>
      </w:r>
    </w:p>
    <w:p>
      <w:pPr>
        <w:spacing w:line="560" w:lineRule="exact"/>
        <w:ind w:firstLine="480" w:firstLineChars="200"/>
        <w:jc w:val="left"/>
        <w:rPr>
          <w:rFonts w:ascii="宋体" w:hAnsi="宋体"/>
          <w:sz w:val="24"/>
          <w:highlight w:val="none"/>
        </w:rPr>
      </w:pPr>
    </w:p>
    <w:p>
      <w:pPr>
        <w:spacing w:line="560" w:lineRule="exact"/>
        <w:ind w:firstLine="482" w:firstLineChars="200"/>
        <w:rPr>
          <w:rFonts w:ascii="宋体" w:hAnsi="宋体"/>
          <w:sz w:val="24"/>
          <w:highlight w:val="none"/>
        </w:rPr>
        <w:sectPr>
          <w:pgSz w:w="11906" w:h="16838"/>
          <w:pgMar w:top="1440" w:right="1800" w:bottom="1440" w:left="1800" w:header="851" w:footer="992" w:gutter="0"/>
          <w:cols w:space="720" w:num="1"/>
          <w:docGrid w:type="lines" w:linePitch="312" w:charSpace="0"/>
        </w:sectPr>
      </w:pPr>
      <w:r>
        <w:rPr>
          <w:rFonts w:ascii="宋体" w:hAnsi="宋体"/>
          <w:b/>
          <w:sz w:val="24"/>
          <w:highlight w:val="none"/>
        </w:rPr>
        <w:t>备注：</w:t>
      </w:r>
      <w:r>
        <w:rPr>
          <w:rFonts w:ascii="宋体" w:hAnsi="宋体"/>
          <w:sz w:val="24"/>
          <w:highlight w:val="none"/>
        </w:rPr>
        <w:t>本履约担保格式可以采用经发包人同意的其他格式，但相关内容不得违背合同约定的实质性内容</w:t>
      </w:r>
    </w:p>
    <w:p>
      <w:pPr>
        <w:spacing w:beforeLines="50" w:line="580" w:lineRule="exact"/>
        <w:outlineLvl w:val="1"/>
        <w:rPr>
          <w:rFonts w:ascii="宋体" w:hAnsi="宋体"/>
          <w:b/>
          <w:sz w:val="24"/>
          <w:highlight w:val="none"/>
        </w:rPr>
      </w:pPr>
      <w:bookmarkStart w:id="1342" w:name="_Toc354042315"/>
      <w:bookmarkStart w:id="1343" w:name="_Toc354050792"/>
      <w:r>
        <w:rPr>
          <w:rFonts w:hint="eastAsia" w:ascii="宋体" w:hAnsi="宋体"/>
          <w:b/>
          <w:sz w:val="24"/>
          <w:highlight w:val="none"/>
        </w:rPr>
        <w:t>附件四：质量保修书格式</w:t>
      </w:r>
      <w:bookmarkEnd w:id="1342"/>
      <w:bookmarkEnd w:id="1343"/>
    </w:p>
    <w:p>
      <w:pPr>
        <w:spacing w:beforeLines="80" w:afterLines="100" w:line="400" w:lineRule="exact"/>
        <w:jc w:val="center"/>
        <w:rPr>
          <w:rFonts w:ascii="宋体" w:hAnsi="宋体"/>
          <w:b/>
          <w:sz w:val="32"/>
          <w:szCs w:val="32"/>
          <w:highlight w:val="none"/>
        </w:rPr>
      </w:pPr>
      <w:r>
        <w:rPr>
          <w:rFonts w:hint="eastAsia" w:ascii="宋体" w:hAnsi="宋体"/>
          <w:b/>
          <w:sz w:val="32"/>
          <w:szCs w:val="32"/>
          <w:highlight w:val="none"/>
        </w:rPr>
        <w:t>工程质量保修书</w:t>
      </w:r>
    </w:p>
    <w:p>
      <w:pPr>
        <w:pStyle w:val="510"/>
        <w:spacing w:before="0" w:after="0" w:line="560" w:lineRule="exact"/>
        <w:ind w:left="0" w:right="0"/>
        <w:rPr>
          <w:rFonts w:ascii="宋体" w:hAnsi="宋体"/>
          <w:b/>
          <w:sz w:val="21"/>
          <w:szCs w:val="21"/>
          <w:highlight w:val="none"/>
        </w:rPr>
      </w:pPr>
      <w:r>
        <w:rPr>
          <w:rFonts w:ascii="宋体" w:hAnsi="宋体"/>
          <w:b/>
          <w:sz w:val="21"/>
          <w:szCs w:val="21"/>
          <w:highlight w:val="none"/>
        </w:rPr>
        <w:t>发包人（全称）：</w:t>
      </w:r>
      <w:r>
        <w:rPr>
          <w:rFonts w:hint="eastAsia" w:ascii="宋体" w:hAnsi="宋体"/>
          <w:b/>
          <w:sz w:val="21"/>
          <w:szCs w:val="21"/>
          <w:highlight w:val="none"/>
          <w:lang w:val="zh-CN"/>
        </w:rPr>
        <w:t>广州市海珠区河涌管理所</w:t>
      </w:r>
    </w:p>
    <w:p>
      <w:pPr>
        <w:pStyle w:val="510"/>
        <w:spacing w:before="0" w:after="0" w:line="560" w:lineRule="exact"/>
        <w:ind w:left="0" w:right="0"/>
        <w:rPr>
          <w:rFonts w:ascii="宋体" w:hAnsi="宋体"/>
          <w:b/>
          <w:sz w:val="21"/>
          <w:szCs w:val="21"/>
          <w:highlight w:val="none"/>
        </w:rPr>
      </w:pPr>
      <w:r>
        <w:rPr>
          <w:rFonts w:ascii="宋体" w:hAnsi="宋体"/>
          <w:b/>
          <w:sz w:val="21"/>
          <w:szCs w:val="21"/>
          <w:highlight w:val="none"/>
        </w:rPr>
        <w:t>承包人（全称）：</w:t>
      </w:r>
    </w:p>
    <w:p>
      <w:pPr>
        <w:pStyle w:val="510"/>
        <w:spacing w:before="0" w:after="0"/>
        <w:ind w:left="0" w:right="0" w:firstLine="420" w:firstLineChars="200"/>
        <w:rPr>
          <w:rFonts w:ascii="宋体" w:hAnsi="宋体"/>
          <w:sz w:val="21"/>
          <w:szCs w:val="21"/>
          <w:highlight w:val="none"/>
        </w:rPr>
      </w:pPr>
    </w:p>
    <w:p>
      <w:pPr>
        <w:spacing w:line="520" w:lineRule="exact"/>
        <w:ind w:firstLine="420" w:firstLineChars="200"/>
        <w:rPr>
          <w:rFonts w:ascii="宋体" w:hAnsi="宋体"/>
          <w:szCs w:val="21"/>
          <w:highlight w:val="none"/>
        </w:rPr>
      </w:pPr>
      <w:r>
        <w:rPr>
          <w:rFonts w:ascii="宋体" w:hAnsi="宋体"/>
          <w:szCs w:val="21"/>
          <w:highlight w:val="none"/>
        </w:rPr>
        <w:t>为保证在合理使用期限内正常使用，发包人、承包人协商一致签订工程质量保修书。承包人在质量保修期内按照国务院《建设工程质量管理条例》有关管理规定及双方约定承担工程质量保修责任。</w:t>
      </w:r>
    </w:p>
    <w:p>
      <w:pPr>
        <w:spacing w:beforeLines="30" w:line="520" w:lineRule="exact"/>
        <w:rPr>
          <w:rFonts w:ascii="宋体" w:hAnsi="宋体"/>
          <w:b/>
          <w:szCs w:val="21"/>
          <w:highlight w:val="none"/>
        </w:rPr>
      </w:pPr>
      <w:r>
        <w:rPr>
          <w:rFonts w:ascii="宋体" w:hAnsi="宋体"/>
          <w:b/>
          <w:szCs w:val="21"/>
          <w:highlight w:val="none"/>
        </w:rPr>
        <w:t>一、工程质量保修范围和内容</w:t>
      </w:r>
    </w:p>
    <w:p>
      <w:pPr>
        <w:pStyle w:val="510"/>
        <w:spacing w:before="0" w:after="0" w:line="520" w:lineRule="exact"/>
        <w:ind w:left="0" w:right="0" w:firstLine="420" w:firstLineChars="200"/>
        <w:rPr>
          <w:rFonts w:ascii="宋体" w:hAnsi="宋体"/>
          <w:sz w:val="21"/>
          <w:szCs w:val="21"/>
          <w:highlight w:val="none"/>
        </w:rPr>
      </w:pPr>
      <w:r>
        <w:rPr>
          <w:rFonts w:ascii="宋体" w:hAnsi="宋体"/>
          <w:sz w:val="21"/>
          <w:szCs w:val="21"/>
          <w:highlight w:val="none"/>
        </w:rPr>
        <w:t>质量保修范围双方约定如下：</w:t>
      </w:r>
    </w:p>
    <w:p>
      <w:pPr>
        <w:pStyle w:val="510"/>
        <w:spacing w:before="0" w:after="0" w:line="520" w:lineRule="exact"/>
        <w:ind w:left="0" w:right="0" w:firstLine="420" w:firstLineChars="200"/>
        <w:rPr>
          <w:rFonts w:ascii="宋体" w:hAnsi="宋体"/>
          <w:sz w:val="21"/>
          <w:szCs w:val="21"/>
          <w:highlight w:val="none"/>
        </w:rPr>
      </w:pPr>
      <w:r>
        <w:rPr>
          <w:rFonts w:ascii="宋体" w:hAnsi="宋体"/>
          <w:sz w:val="21"/>
          <w:szCs w:val="21"/>
          <w:highlight w:val="none"/>
        </w:rPr>
        <w:t>即承包人施工的工程范围。</w:t>
      </w:r>
    </w:p>
    <w:p>
      <w:pPr>
        <w:spacing w:beforeLines="30" w:line="520" w:lineRule="exact"/>
        <w:rPr>
          <w:rFonts w:ascii="宋体" w:hAnsi="宋体"/>
          <w:b/>
          <w:szCs w:val="21"/>
          <w:highlight w:val="none"/>
        </w:rPr>
      </w:pPr>
      <w:r>
        <w:rPr>
          <w:rFonts w:ascii="宋体" w:hAnsi="宋体"/>
          <w:b/>
          <w:szCs w:val="21"/>
          <w:highlight w:val="none"/>
        </w:rPr>
        <w:t>二、质量保修期</w:t>
      </w:r>
    </w:p>
    <w:p>
      <w:pPr>
        <w:pStyle w:val="510"/>
        <w:spacing w:before="0" w:after="0" w:line="520" w:lineRule="exact"/>
        <w:ind w:left="0" w:right="0" w:firstLine="420" w:firstLineChars="200"/>
        <w:rPr>
          <w:rFonts w:ascii="宋体" w:hAnsi="宋体"/>
          <w:sz w:val="21"/>
          <w:szCs w:val="21"/>
          <w:highlight w:val="none"/>
        </w:rPr>
      </w:pPr>
      <w:r>
        <w:rPr>
          <w:rFonts w:ascii="宋体" w:hAnsi="宋体"/>
          <w:sz w:val="21"/>
          <w:szCs w:val="21"/>
          <w:highlight w:val="none"/>
        </w:rPr>
        <w:t>质量保修期从工程</w:t>
      </w:r>
      <w:r>
        <w:rPr>
          <w:rFonts w:hint="eastAsia" w:ascii="宋体" w:hAnsi="宋体"/>
          <w:sz w:val="21"/>
          <w:szCs w:val="21"/>
          <w:highlight w:val="none"/>
          <w:lang w:eastAsia="zh-CN"/>
        </w:rPr>
        <w:t>合同完工</w:t>
      </w:r>
      <w:r>
        <w:rPr>
          <w:rFonts w:ascii="宋体" w:hAnsi="宋体"/>
          <w:sz w:val="21"/>
          <w:szCs w:val="21"/>
          <w:highlight w:val="none"/>
        </w:rPr>
        <w:t>通过之日算起。分单项竣工验收的工程，按单项工程分别计算质量保修期。</w:t>
      </w:r>
    </w:p>
    <w:p>
      <w:pPr>
        <w:pStyle w:val="510"/>
        <w:spacing w:before="0" w:after="0" w:line="520" w:lineRule="exact"/>
        <w:ind w:left="0" w:right="0" w:firstLine="420" w:firstLineChars="200"/>
        <w:rPr>
          <w:rFonts w:ascii="宋体" w:hAnsi="宋体"/>
          <w:sz w:val="21"/>
          <w:szCs w:val="21"/>
          <w:highlight w:val="none"/>
        </w:rPr>
      </w:pPr>
      <w:r>
        <w:rPr>
          <w:rFonts w:ascii="宋体" w:hAnsi="宋体"/>
          <w:sz w:val="21"/>
          <w:szCs w:val="21"/>
          <w:highlight w:val="none"/>
        </w:rPr>
        <w:t>双方根据国家有关规定，结合具体工程约定本工程的质量保修期如下：</w:t>
      </w:r>
    </w:p>
    <w:p>
      <w:pPr>
        <w:pStyle w:val="510"/>
        <w:spacing w:before="0" w:after="0" w:line="520" w:lineRule="exact"/>
        <w:ind w:left="0" w:right="0" w:firstLine="420" w:firstLineChars="200"/>
        <w:rPr>
          <w:rFonts w:ascii="宋体" w:hAnsi="宋体"/>
          <w:sz w:val="21"/>
          <w:szCs w:val="21"/>
          <w:highlight w:val="none"/>
        </w:rPr>
      </w:pPr>
      <w:r>
        <w:rPr>
          <w:rFonts w:ascii="宋体" w:hAnsi="宋体"/>
          <w:sz w:val="21"/>
          <w:szCs w:val="21"/>
          <w:highlight w:val="none"/>
        </w:rPr>
        <w:t xml:space="preserve">（一）基础设施工程、房屋建筑的地基基础工程和主体结构工程，为设计文件规定的该工程的合理使用年限； </w:t>
      </w:r>
    </w:p>
    <w:p>
      <w:pPr>
        <w:pStyle w:val="510"/>
        <w:spacing w:before="0" w:after="0" w:line="520" w:lineRule="exact"/>
        <w:ind w:left="0" w:right="0" w:firstLine="404" w:firstLineChars="200"/>
        <w:rPr>
          <w:rFonts w:ascii="宋体" w:hAnsi="宋体"/>
          <w:spacing w:val="-4"/>
          <w:sz w:val="21"/>
          <w:szCs w:val="21"/>
          <w:highlight w:val="none"/>
        </w:rPr>
      </w:pPr>
      <w:r>
        <w:rPr>
          <w:rFonts w:ascii="宋体" w:hAnsi="宋体"/>
          <w:spacing w:val="-4"/>
          <w:sz w:val="21"/>
          <w:szCs w:val="21"/>
          <w:highlight w:val="none"/>
        </w:rPr>
        <w:t xml:space="preserve">（二）屋面防水工程、有防水要求的卫生间、房间和外墙面的防渗漏，为5年； </w:t>
      </w:r>
    </w:p>
    <w:p>
      <w:pPr>
        <w:pStyle w:val="510"/>
        <w:spacing w:before="0" w:after="0" w:line="520" w:lineRule="exact"/>
        <w:ind w:left="0" w:right="0" w:firstLine="420" w:firstLineChars="200"/>
        <w:rPr>
          <w:rFonts w:ascii="宋体" w:hAnsi="宋体"/>
          <w:sz w:val="21"/>
          <w:szCs w:val="21"/>
          <w:highlight w:val="none"/>
        </w:rPr>
      </w:pPr>
      <w:r>
        <w:rPr>
          <w:rFonts w:ascii="宋体" w:hAnsi="宋体"/>
          <w:sz w:val="21"/>
          <w:szCs w:val="21"/>
          <w:highlight w:val="none"/>
        </w:rPr>
        <w:t xml:space="preserve">（三）供热与供冷系统，为2个采暖期、供冷期； </w:t>
      </w:r>
    </w:p>
    <w:p>
      <w:pPr>
        <w:pStyle w:val="510"/>
        <w:spacing w:before="0" w:after="0" w:line="520" w:lineRule="exact"/>
        <w:ind w:left="0" w:right="0" w:firstLine="420" w:firstLineChars="200"/>
        <w:rPr>
          <w:rFonts w:ascii="宋体" w:hAnsi="宋体"/>
          <w:sz w:val="21"/>
          <w:szCs w:val="21"/>
          <w:highlight w:val="none"/>
        </w:rPr>
      </w:pPr>
      <w:r>
        <w:rPr>
          <w:rFonts w:ascii="宋体" w:hAnsi="宋体"/>
          <w:sz w:val="21"/>
          <w:szCs w:val="21"/>
          <w:highlight w:val="none"/>
        </w:rPr>
        <w:t>（四）电气管线、给排水管道、设备安装和装修工程，为2年。</w:t>
      </w:r>
    </w:p>
    <w:p>
      <w:pPr>
        <w:pStyle w:val="510"/>
        <w:spacing w:before="0" w:after="0" w:line="520" w:lineRule="exact"/>
        <w:ind w:left="0" w:right="0" w:firstLine="420" w:firstLineChars="200"/>
        <w:rPr>
          <w:rFonts w:ascii="宋体" w:hAnsi="宋体"/>
          <w:sz w:val="21"/>
          <w:szCs w:val="21"/>
          <w:highlight w:val="none"/>
        </w:rPr>
      </w:pPr>
      <w:r>
        <w:rPr>
          <w:rFonts w:ascii="宋体" w:hAnsi="宋体"/>
          <w:sz w:val="21"/>
          <w:szCs w:val="21"/>
          <w:highlight w:val="none"/>
        </w:rPr>
        <w:t>（五）其他约定： 无 。</w:t>
      </w:r>
    </w:p>
    <w:p>
      <w:pPr>
        <w:spacing w:beforeLines="30" w:line="520" w:lineRule="exact"/>
        <w:rPr>
          <w:rFonts w:ascii="宋体" w:hAnsi="宋体"/>
          <w:b/>
          <w:szCs w:val="21"/>
          <w:highlight w:val="none"/>
        </w:rPr>
      </w:pPr>
      <w:r>
        <w:rPr>
          <w:rFonts w:ascii="宋体" w:hAnsi="宋体"/>
          <w:b/>
          <w:szCs w:val="21"/>
          <w:highlight w:val="none"/>
        </w:rPr>
        <w:t>三、质量保修责任</w:t>
      </w:r>
    </w:p>
    <w:p>
      <w:pPr>
        <w:pStyle w:val="510"/>
        <w:spacing w:before="0" w:after="0" w:line="520" w:lineRule="exact"/>
        <w:ind w:left="0" w:right="0" w:firstLine="420" w:firstLineChars="200"/>
        <w:rPr>
          <w:rFonts w:ascii="宋体" w:hAnsi="宋体"/>
          <w:sz w:val="21"/>
          <w:szCs w:val="21"/>
          <w:highlight w:val="none"/>
        </w:rPr>
      </w:pPr>
      <w:r>
        <w:rPr>
          <w:rFonts w:ascii="宋体" w:hAnsi="宋体"/>
          <w:sz w:val="21"/>
          <w:szCs w:val="21"/>
          <w:highlight w:val="none"/>
        </w:rPr>
        <w:t>1、属于保修范围、内容的项目，承包人应当在接到保修通知之日起7天内派人修理。承包人不在约定期限内派人修理，发包人可以委托其他人员修理，保修费用从质量保修金内扣除。</w:t>
      </w:r>
    </w:p>
    <w:p>
      <w:pPr>
        <w:pStyle w:val="510"/>
        <w:spacing w:before="0" w:after="0" w:line="530" w:lineRule="exact"/>
        <w:ind w:left="0" w:right="0" w:firstLine="420" w:firstLineChars="200"/>
        <w:rPr>
          <w:rFonts w:ascii="宋体" w:hAnsi="宋体"/>
          <w:sz w:val="21"/>
          <w:szCs w:val="21"/>
          <w:highlight w:val="none"/>
        </w:rPr>
      </w:pPr>
      <w:r>
        <w:rPr>
          <w:rFonts w:ascii="宋体" w:hAnsi="宋体"/>
          <w:sz w:val="21"/>
          <w:szCs w:val="21"/>
          <w:highlight w:val="none"/>
        </w:rPr>
        <w:t>2、发生紧急抢修事故的（如上水跑水、暖气漏水漏气、燃气漏气等），承包人在接到事故通知后，应当立即到达事故现场抢修。非承包人施工质量引起的事故，抢修费用由发包人承担。</w:t>
      </w:r>
    </w:p>
    <w:p>
      <w:pPr>
        <w:pStyle w:val="510"/>
        <w:spacing w:before="0" w:after="0" w:line="530" w:lineRule="exact"/>
        <w:ind w:left="0" w:right="0" w:firstLine="420" w:firstLineChars="200"/>
        <w:rPr>
          <w:rFonts w:ascii="宋体" w:hAnsi="宋体"/>
          <w:sz w:val="21"/>
          <w:szCs w:val="21"/>
          <w:highlight w:val="none"/>
        </w:rPr>
      </w:pPr>
      <w:r>
        <w:rPr>
          <w:rFonts w:ascii="宋体" w:hAnsi="宋体"/>
          <w:sz w:val="21"/>
          <w:szCs w:val="21"/>
          <w:highlight w:val="none"/>
        </w:rPr>
        <w:t>3、在国家规定的工程合理使用期限内，承包人确保地基基础工程和主体结构的质量。因承包人原因致使工程在合理使用期限内造成人身和财产损害的，承包人应承担损害赔偿责任。</w:t>
      </w:r>
    </w:p>
    <w:p>
      <w:pPr>
        <w:pStyle w:val="510"/>
        <w:spacing w:before="0" w:after="0" w:line="530" w:lineRule="exact"/>
        <w:ind w:left="0" w:right="0" w:firstLine="420" w:firstLineChars="200"/>
        <w:rPr>
          <w:rFonts w:ascii="宋体" w:hAnsi="宋体"/>
          <w:sz w:val="21"/>
          <w:szCs w:val="21"/>
          <w:highlight w:val="none"/>
        </w:rPr>
      </w:pPr>
      <w:r>
        <w:rPr>
          <w:rFonts w:ascii="宋体" w:hAnsi="宋体"/>
          <w:sz w:val="21"/>
          <w:szCs w:val="21"/>
          <w:highlight w:val="none"/>
        </w:rPr>
        <w:t>4、双方对质量问题有争议的，按主合同第</w:t>
      </w:r>
      <w:r>
        <w:rPr>
          <w:rFonts w:hint="eastAsia" w:ascii="宋体" w:hAnsi="宋体"/>
          <w:sz w:val="21"/>
          <w:szCs w:val="21"/>
          <w:highlight w:val="none"/>
        </w:rPr>
        <w:t>24</w:t>
      </w:r>
      <w:r>
        <w:rPr>
          <w:rFonts w:ascii="宋体" w:hAnsi="宋体"/>
          <w:sz w:val="21"/>
          <w:szCs w:val="21"/>
          <w:highlight w:val="none"/>
        </w:rPr>
        <w:t>条处理。</w:t>
      </w:r>
    </w:p>
    <w:p>
      <w:pPr>
        <w:spacing w:beforeLines="30" w:line="530" w:lineRule="exact"/>
        <w:rPr>
          <w:rFonts w:ascii="宋体" w:hAnsi="宋体"/>
          <w:b/>
          <w:szCs w:val="21"/>
          <w:highlight w:val="none"/>
        </w:rPr>
      </w:pPr>
      <w:r>
        <w:rPr>
          <w:rFonts w:ascii="宋体" w:hAnsi="宋体"/>
          <w:b/>
          <w:szCs w:val="21"/>
          <w:highlight w:val="none"/>
        </w:rPr>
        <w:t>四、质量保修金的支付</w:t>
      </w:r>
    </w:p>
    <w:p>
      <w:pPr>
        <w:pStyle w:val="510"/>
        <w:spacing w:before="0" w:after="0" w:line="530" w:lineRule="exact"/>
        <w:ind w:left="0" w:right="0" w:firstLine="420" w:firstLineChars="200"/>
        <w:rPr>
          <w:rFonts w:ascii="宋体" w:hAnsi="宋体"/>
          <w:sz w:val="21"/>
          <w:szCs w:val="21"/>
          <w:highlight w:val="none"/>
        </w:rPr>
      </w:pPr>
      <w:r>
        <w:rPr>
          <w:rFonts w:ascii="宋体" w:hAnsi="宋体"/>
          <w:sz w:val="21"/>
          <w:szCs w:val="21"/>
          <w:highlight w:val="none"/>
        </w:rPr>
        <w:t>本工程约定的工程质量保修金为</w:t>
      </w:r>
      <w:r>
        <w:rPr>
          <w:rFonts w:hint="eastAsia" w:ascii="宋体" w:hAnsi="宋体"/>
          <w:sz w:val="21"/>
          <w:szCs w:val="21"/>
          <w:highlight w:val="none"/>
        </w:rPr>
        <w:t>结算</w:t>
      </w:r>
      <w:r>
        <w:rPr>
          <w:rFonts w:ascii="宋体" w:hAnsi="宋体"/>
          <w:sz w:val="21"/>
          <w:szCs w:val="21"/>
          <w:highlight w:val="none"/>
        </w:rPr>
        <w:t>价款的</w:t>
      </w:r>
      <w:r>
        <w:rPr>
          <w:rFonts w:hint="eastAsia" w:ascii="宋体" w:hAnsi="宋体"/>
          <w:b/>
          <w:sz w:val="21"/>
          <w:szCs w:val="21"/>
          <w:highlight w:val="none"/>
        </w:rPr>
        <w:t>3</w:t>
      </w:r>
      <w:r>
        <w:rPr>
          <w:rFonts w:ascii="宋体" w:hAnsi="宋体"/>
          <w:b/>
          <w:sz w:val="21"/>
          <w:szCs w:val="21"/>
          <w:highlight w:val="none"/>
        </w:rPr>
        <w:t xml:space="preserve"> %</w:t>
      </w:r>
      <w:r>
        <w:rPr>
          <w:rFonts w:ascii="宋体" w:hAnsi="宋体"/>
          <w:sz w:val="21"/>
          <w:szCs w:val="21"/>
          <w:highlight w:val="none"/>
        </w:rPr>
        <w:t>。</w:t>
      </w:r>
    </w:p>
    <w:p>
      <w:pPr>
        <w:pStyle w:val="510"/>
        <w:spacing w:before="0" w:after="0" w:line="530" w:lineRule="exact"/>
        <w:ind w:left="0" w:right="0" w:firstLine="420" w:firstLineChars="200"/>
        <w:rPr>
          <w:rFonts w:ascii="宋体" w:hAnsi="宋体"/>
          <w:sz w:val="21"/>
          <w:szCs w:val="21"/>
          <w:highlight w:val="none"/>
        </w:rPr>
      </w:pPr>
      <w:r>
        <w:rPr>
          <w:rFonts w:ascii="宋体" w:hAnsi="宋体"/>
          <w:sz w:val="21"/>
          <w:szCs w:val="21"/>
          <w:highlight w:val="none"/>
        </w:rPr>
        <w:t>本工程双方约定承包人向发包人支付工程质量保修金金额为  /  （大写）。质量保修金银行利率为 零 。</w:t>
      </w:r>
    </w:p>
    <w:p>
      <w:pPr>
        <w:spacing w:beforeLines="30" w:line="530" w:lineRule="exact"/>
        <w:rPr>
          <w:rFonts w:ascii="宋体" w:hAnsi="宋体"/>
          <w:b/>
          <w:szCs w:val="21"/>
          <w:highlight w:val="none"/>
        </w:rPr>
      </w:pPr>
      <w:r>
        <w:rPr>
          <w:rFonts w:ascii="宋体" w:hAnsi="宋体"/>
          <w:b/>
          <w:szCs w:val="21"/>
          <w:highlight w:val="none"/>
        </w:rPr>
        <w:t>五、质量保险金的返还</w:t>
      </w:r>
    </w:p>
    <w:p>
      <w:pPr>
        <w:pStyle w:val="510"/>
        <w:spacing w:before="0" w:after="0" w:line="530" w:lineRule="exact"/>
        <w:ind w:left="0" w:right="0" w:firstLine="420" w:firstLineChars="200"/>
        <w:rPr>
          <w:rFonts w:ascii="宋体" w:hAnsi="宋体"/>
          <w:sz w:val="21"/>
          <w:szCs w:val="21"/>
          <w:highlight w:val="none"/>
        </w:rPr>
      </w:pPr>
      <w:r>
        <w:rPr>
          <w:rFonts w:ascii="宋体" w:hAnsi="宋体"/>
          <w:sz w:val="21"/>
          <w:szCs w:val="21"/>
          <w:highlight w:val="none"/>
        </w:rPr>
        <w:t>发包人在缺陷责任期满后28天内，将剩余保险金返还承包人（无息）。</w:t>
      </w:r>
    </w:p>
    <w:p>
      <w:pPr>
        <w:spacing w:beforeLines="30" w:line="530" w:lineRule="exact"/>
        <w:rPr>
          <w:rFonts w:ascii="宋体" w:hAnsi="宋体"/>
          <w:b/>
          <w:szCs w:val="21"/>
          <w:highlight w:val="none"/>
        </w:rPr>
      </w:pPr>
      <w:r>
        <w:rPr>
          <w:rFonts w:ascii="宋体" w:hAnsi="宋体"/>
          <w:b/>
          <w:szCs w:val="21"/>
          <w:highlight w:val="none"/>
        </w:rPr>
        <w:t>六、其他</w:t>
      </w:r>
    </w:p>
    <w:p>
      <w:pPr>
        <w:pStyle w:val="510"/>
        <w:spacing w:before="0" w:after="0" w:line="530" w:lineRule="exact"/>
        <w:ind w:left="0" w:right="0" w:firstLine="420" w:firstLineChars="200"/>
        <w:rPr>
          <w:rFonts w:ascii="宋体" w:hAnsi="宋体"/>
          <w:sz w:val="21"/>
          <w:szCs w:val="21"/>
          <w:highlight w:val="none"/>
        </w:rPr>
      </w:pPr>
      <w:r>
        <w:rPr>
          <w:rFonts w:ascii="宋体" w:hAnsi="宋体"/>
          <w:sz w:val="21"/>
          <w:szCs w:val="21"/>
          <w:highlight w:val="none"/>
        </w:rPr>
        <w:t>双方约定的其他质量保修事项：发包人扣留工程</w:t>
      </w:r>
      <w:r>
        <w:rPr>
          <w:rFonts w:hint="eastAsia" w:ascii="宋体" w:hAnsi="宋体"/>
          <w:sz w:val="21"/>
          <w:szCs w:val="21"/>
          <w:highlight w:val="none"/>
        </w:rPr>
        <w:t>结算价款的3</w:t>
      </w:r>
      <w:r>
        <w:rPr>
          <w:rFonts w:ascii="宋体" w:hAnsi="宋体"/>
          <w:sz w:val="21"/>
          <w:szCs w:val="21"/>
          <w:highlight w:val="none"/>
        </w:rPr>
        <w:t>％作为保修期的保证金，待</w:t>
      </w:r>
      <w:r>
        <w:rPr>
          <w:rFonts w:hint="eastAsia" w:ascii="宋体" w:hAnsi="宋体"/>
          <w:sz w:val="21"/>
          <w:szCs w:val="21"/>
          <w:highlight w:val="none"/>
        </w:rPr>
        <w:t>缺陷责任期</w:t>
      </w:r>
      <w:r>
        <w:rPr>
          <w:rFonts w:ascii="宋体" w:hAnsi="宋体"/>
          <w:sz w:val="21"/>
          <w:szCs w:val="21"/>
          <w:highlight w:val="none"/>
        </w:rPr>
        <w:t>满后再支付给承包人（无息）。</w:t>
      </w:r>
    </w:p>
    <w:p>
      <w:pPr>
        <w:pStyle w:val="510"/>
        <w:spacing w:before="0" w:after="0" w:line="530" w:lineRule="exact"/>
        <w:ind w:left="0" w:right="0" w:firstLine="420" w:firstLineChars="200"/>
        <w:rPr>
          <w:rFonts w:ascii="宋体" w:hAnsi="宋体"/>
          <w:sz w:val="21"/>
          <w:szCs w:val="21"/>
          <w:highlight w:val="none"/>
        </w:rPr>
      </w:pPr>
      <w:r>
        <w:rPr>
          <w:rFonts w:ascii="宋体" w:hAnsi="宋体"/>
          <w:sz w:val="21"/>
          <w:szCs w:val="21"/>
          <w:highlight w:val="none"/>
        </w:rPr>
        <w:t>本工程质量保修书作为施工合同附件，由发包人、承包人双方共同签署。</w:t>
      </w:r>
    </w:p>
    <w:p>
      <w:pPr>
        <w:pStyle w:val="510"/>
        <w:spacing w:before="0" w:after="0"/>
        <w:ind w:left="0" w:right="0" w:firstLine="420" w:firstLineChars="200"/>
        <w:rPr>
          <w:rFonts w:ascii="宋体" w:hAnsi="宋体"/>
          <w:sz w:val="21"/>
          <w:szCs w:val="21"/>
          <w:highlight w:val="none"/>
        </w:rPr>
      </w:pPr>
    </w:p>
    <w:p>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zCs w:val="21"/>
          <w:highlight w:val="none"/>
        </w:rPr>
        <w:t>发包人（甲方）：</w:t>
      </w:r>
      <w:r>
        <w:rPr>
          <w:rFonts w:hint="eastAsia" w:ascii="宋体" w:hAnsi="宋体"/>
          <w:szCs w:val="21"/>
          <w:highlight w:val="none"/>
          <w:lang w:val="zh-CN"/>
        </w:rPr>
        <w:t>广州市海珠区河涌管理所</w:t>
      </w:r>
      <w:r>
        <w:rPr>
          <w:rFonts w:ascii="宋体" w:hAnsi="宋体"/>
          <w:szCs w:val="21"/>
          <w:highlight w:val="none"/>
        </w:rPr>
        <w:t>承包人（乙方）：</w:t>
      </w:r>
    </w:p>
    <w:p>
      <w:pPr>
        <w:pStyle w:val="510"/>
        <w:spacing w:beforeLines="30" w:after="0" w:line="520" w:lineRule="exact"/>
        <w:ind w:left="0" w:right="0" w:firstLine="420" w:firstLineChars="200"/>
        <w:rPr>
          <w:rFonts w:ascii="宋体" w:hAnsi="宋体"/>
          <w:sz w:val="21"/>
          <w:szCs w:val="21"/>
          <w:highlight w:val="none"/>
        </w:rPr>
      </w:pPr>
      <w:r>
        <w:rPr>
          <w:rFonts w:ascii="宋体" w:hAnsi="宋体"/>
          <w:sz w:val="21"/>
          <w:szCs w:val="21"/>
          <w:highlight w:val="none"/>
        </w:rPr>
        <w:t xml:space="preserve">               （盖章）                      （盖章）</w:t>
      </w:r>
    </w:p>
    <w:p>
      <w:pPr>
        <w:spacing w:line="360" w:lineRule="auto"/>
        <w:ind w:left="6090" w:leftChars="200" w:hanging="5670" w:hangingChars="2700"/>
        <w:rPr>
          <w:rFonts w:ascii="宋体" w:hAnsi="宋体"/>
          <w:szCs w:val="21"/>
          <w:highlight w:val="none"/>
        </w:rPr>
      </w:pPr>
    </w:p>
    <w:p>
      <w:pPr>
        <w:spacing w:line="360" w:lineRule="auto"/>
        <w:ind w:left="6090" w:leftChars="200" w:hanging="5670" w:hangingChars="2700"/>
        <w:rPr>
          <w:rFonts w:ascii="宋体" w:hAnsi="宋体"/>
          <w:szCs w:val="21"/>
          <w:highlight w:val="none"/>
        </w:rPr>
      </w:pPr>
      <w:r>
        <w:rPr>
          <w:rFonts w:ascii="宋体" w:hAnsi="宋体"/>
          <w:szCs w:val="21"/>
          <w:highlight w:val="none"/>
        </w:rPr>
        <w:t>地址：                         地址：</w:t>
      </w:r>
    </w:p>
    <w:p>
      <w:pPr>
        <w:spacing w:line="360" w:lineRule="auto"/>
        <w:ind w:firstLine="5040" w:firstLineChars="2400"/>
        <w:rPr>
          <w:rFonts w:ascii="宋体" w:hAnsi="宋体"/>
          <w:szCs w:val="21"/>
          <w:highlight w:val="none"/>
        </w:rPr>
      </w:pPr>
    </w:p>
    <w:p>
      <w:pPr>
        <w:pStyle w:val="510"/>
        <w:spacing w:before="0" w:after="0" w:line="520" w:lineRule="exact"/>
        <w:ind w:left="0" w:right="0" w:firstLine="420" w:firstLineChars="200"/>
        <w:rPr>
          <w:rFonts w:ascii="宋体" w:hAnsi="宋体"/>
          <w:sz w:val="21"/>
          <w:szCs w:val="21"/>
          <w:highlight w:val="none"/>
        </w:rPr>
      </w:pPr>
      <w:r>
        <w:rPr>
          <w:rFonts w:ascii="宋体" w:hAnsi="宋体"/>
          <w:sz w:val="21"/>
          <w:szCs w:val="21"/>
          <w:highlight w:val="none"/>
        </w:rPr>
        <w:t>法定代表人：                   法定代表人：</w:t>
      </w:r>
    </w:p>
    <w:p>
      <w:pPr>
        <w:pStyle w:val="510"/>
        <w:spacing w:before="0" w:after="0" w:line="520" w:lineRule="exact"/>
        <w:ind w:left="0" w:right="0" w:firstLine="420" w:firstLineChars="200"/>
        <w:rPr>
          <w:rFonts w:ascii="宋体" w:hAnsi="宋体"/>
          <w:sz w:val="21"/>
          <w:szCs w:val="21"/>
          <w:highlight w:val="none"/>
        </w:rPr>
      </w:pPr>
      <w:r>
        <w:rPr>
          <w:rFonts w:hint="eastAsia" w:ascii="宋体" w:hAnsi="宋体"/>
          <w:sz w:val="21"/>
          <w:szCs w:val="21"/>
          <w:highlight w:val="none"/>
        </w:rPr>
        <w:t>经办人：                            项目负责人：</w:t>
      </w:r>
    </w:p>
    <w:p>
      <w:pPr>
        <w:pStyle w:val="510"/>
        <w:spacing w:before="0" w:after="0" w:line="520" w:lineRule="exact"/>
        <w:ind w:left="0" w:right="0" w:firstLine="420" w:firstLineChars="200"/>
        <w:rPr>
          <w:rFonts w:ascii="宋体" w:hAnsi="宋体"/>
          <w:sz w:val="21"/>
          <w:szCs w:val="21"/>
          <w:highlight w:val="none"/>
        </w:rPr>
      </w:pPr>
      <w:r>
        <w:rPr>
          <w:rFonts w:ascii="宋体" w:hAnsi="宋体"/>
          <w:sz w:val="21"/>
          <w:szCs w:val="21"/>
          <w:highlight w:val="none"/>
        </w:rPr>
        <w:t>签订日期：    年   月   日</w:t>
      </w:r>
    </w:p>
    <w:p>
      <w:pPr>
        <w:pStyle w:val="510"/>
        <w:spacing w:before="0" w:after="0" w:line="520" w:lineRule="exact"/>
        <w:ind w:left="0" w:right="0" w:firstLine="420" w:firstLineChars="200"/>
        <w:rPr>
          <w:rFonts w:ascii="宋体" w:hAnsi="宋体"/>
          <w:sz w:val="21"/>
          <w:szCs w:val="21"/>
          <w:highlight w:val="none"/>
        </w:rPr>
      </w:pPr>
    </w:p>
    <w:p>
      <w:pPr>
        <w:pStyle w:val="510"/>
        <w:spacing w:before="0" w:after="0" w:line="520" w:lineRule="exact"/>
        <w:ind w:left="0" w:right="0" w:firstLine="420" w:firstLineChars="200"/>
        <w:rPr>
          <w:rFonts w:ascii="宋体" w:hAnsi="宋体"/>
          <w:sz w:val="21"/>
          <w:szCs w:val="21"/>
          <w:highlight w:val="none"/>
        </w:rPr>
      </w:pPr>
    </w:p>
    <w:p>
      <w:pPr>
        <w:pStyle w:val="510"/>
        <w:spacing w:before="0" w:after="0" w:line="520" w:lineRule="exact"/>
        <w:ind w:left="0" w:right="0"/>
        <w:rPr>
          <w:rFonts w:ascii="宋体" w:hAnsi="宋体"/>
          <w:sz w:val="21"/>
          <w:szCs w:val="21"/>
          <w:highlight w:val="none"/>
        </w:rPr>
      </w:pPr>
    </w:p>
    <w:p>
      <w:pPr>
        <w:pStyle w:val="510"/>
        <w:spacing w:before="0" w:after="0" w:line="520" w:lineRule="exact"/>
        <w:ind w:left="0" w:right="0"/>
        <w:rPr>
          <w:rFonts w:ascii="宋体" w:hAnsi="宋体"/>
          <w:sz w:val="21"/>
          <w:szCs w:val="21"/>
          <w:highlight w:val="none"/>
        </w:rPr>
      </w:pPr>
    </w:p>
    <w:p>
      <w:pPr>
        <w:spacing w:beforeLines="50" w:line="580" w:lineRule="exact"/>
        <w:outlineLvl w:val="1"/>
        <w:rPr>
          <w:rFonts w:ascii="宋体" w:hAnsi="宋体"/>
          <w:b/>
          <w:sz w:val="24"/>
          <w:highlight w:val="none"/>
        </w:rPr>
      </w:pPr>
      <w:bookmarkStart w:id="1344" w:name="_Toc354050793"/>
      <w:bookmarkStart w:id="1345" w:name="_Toc354042316"/>
      <w:r>
        <w:rPr>
          <w:rFonts w:hint="eastAsia" w:ascii="宋体" w:hAnsi="宋体"/>
          <w:b/>
          <w:sz w:val="24"/>
          <w:highlight w:val="none"/>
        </w:rPr>
        <w:t>附件五：建设工程廉政责任书格式</w:t>
      </w:r>
      <w:bookmarkEnd w:id="1344"/>
      <w:bookmarkEnd w:id="1345"/>
    </w:p>
    <w:p>
      <w:pPr>
        <w:spacing w:beforeLines="80" w:afterLines="100" w:line="400" w:lineRule="exact"/>
        <w:jc w:val="center"/>
        <w:rPr>
          <w:rFonts w:ascii="宋体" w:hAnsi="宋体"/>
          <w:b/>
          <w:sz w:val="32"/>
          <w:szCs w:val="32"/>
          <w:highlight w:val="none"/>
        </w:rPr>
      </w:pPr>
      <w:r>
        <w:rPr>
          <w:rFonts w:hint="eastAsia" w:ascii="宋体" w:hAnsi="宋体"/>
          <w:b/>
          <w:sz w:val="32"/>
          <w:szCs w:val="32"/>
          <w:highlight w:val="none"/>
        </w:rPr>
        <w:t>建设工程廉政责任书</w:t>
      </w:r>
    </w:p>
    <w:p>
      <w:pPr>
        <w:spacing w:line="560" w:lineRule="exact"/>
        <w:rPr>
          <w:rFonts w:ascii="宋体" w:hAnsi="宋体"/>
          <w:b/>
          <w:szCs w:val="21"/>
          <w:highlight w:val="none"/>
        </w:rPr>
      </w:pPr>
      <w:r>
        <w:rPr>
          <w:rFonts w:ascii="宋体" w:hAnsi="宋体"/>
          <w:b/>
          <w:szCs w:val="21"/>
          <w:highlight w:val="none"/>
        </w:rPr>
        <w:t>发包人：</w:t>
      </w:r>
      <w:r>
        <w:rPr>
          <w:rFonts w:hint="eastAsia" w:ascii="宋体" w:hAnsi="宋体"/>
          <w:b/>
          <w:szCs w:val="21"/>
          <w:highlight w:val="none"/>
          <w:lang w:val="zh-CN"/>
        </w:rPr>
        <w:t>广州市海珠区河涌管理所</w:t>
      </w:r>
    </w:p>
    <w:p>
      <w:pPr>
        <w:spacing w:line="560" w:lineRule="exact"/>
        <w:rPr>
          <w:rFonts w:ascii="宋体" w:hAnsi="宋体"/>
          <w:b/>
          <w:szCs w:val="21"/>
          <w:highlight w:val="none"/>
        </w:rPr>
      </w:pPr>
      <w:r>
        <w:rPr>
          <w:rFonts w:ascii="宋体" w:hAnsi="宋体"/>
          <w:b/>
          <w:szCs w:val="21"/>
          <w:highlight w:val="none"/>
        </w:rPr>
        <w:t xml:space="preserve">承包人：      </w:t>
      </w:r>
    </w:p>
    <w:p>
      <w:pPr>
        <w:spacing w:line="560" w:lineRule="exact"/>
        <w:ind w:firstLine="420" w:firstLineChars="200"/>
        <w:rPr>
          <w:rFonts w:ascii="宋体" w:hAnsi="宋体"/>
          <w:szCs w:val="21"/>
          <w:highlight w:val="none"/>
        </w:rPr>
      </w:pPr>
      <w:r>
        <w:rPr>
          <w:rFonts w:ascii="宋体" w:hAnsi="宋体"/>
          <w:szCs w:val="21"/>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beforeLines="30" w:line="530" w:lineRule="exact"/>
        <w:rPr>
          <w:rFonts w:ascii="宋体" w:hAnsi="宋体"/>
          <w:b/>
          <w:szCs w:val="21"/>
          <w:highlight w:val="none"/>
        </w:rPr>
      </w:pPr>
      <w:r>
        <w:rPr>
          <w:rFonts w:ascii="宋体" w:hAnsi="宋体"/>
          <w:b/>
          <w:szCs w:val="21"/>
          <w:highlight w:val="none"/>
        </w:rPr>
        <w:t>一、双方的责任</w:t>
      </w:r>
    </w:p>
    <w:p>
      <w:pPr>
        <w:spacing w:line="560" w:lineRule="exact"/>
        <w:ind w:firstLine="420" w:firstLineChars="200"/>
        <w:rPr>
          <w:rFonts w:ascii="宋体" w:hAnsi="宋体"/>
          <w:szCs w:val="21"/>
          <w:highlight w:val="none"/>
        </w:rPr>
      </w:pPr>
      <w:r>
        <w:rPr>
          <w:rFonts w:ascii="宋体" w:hAnsi="宋体"/>
          <w:szCs w:val="21"/>
          <w:highlight w:val="none"/>
        </w:rPr>
        <w:t>1.1应严格遵守国家关于建设工程的有关法律、法规，相关政策，以及廉政建设的各项规定。</w:t>
      </w:r>
    </w:p>
    <w:p>
      <w:pPr>
        <w:spacing w:line="560" w:lineRule="exact"/>
        <w:ind w:firstLine="420" w:firstLineChars="200"/>
        <w:rPr>
          <w:rFonts w:ascii="宋体" w:hAnsi="宋体"/>
          <w:szCs w:val="21"/>
          <w:highlight w:val="none"/>
        </w:rPr>
      </w:pPr>
      <w:r>
        <w:rPr>
          <w:rFonts w:ascii="宋体" w:hAnsi="宋体"/>
          <w:szCs w:val="21"/>
          <w:highlight w:val="none"/>
        </w:rPr>
        <w:t>1.2严格执行建设工程合同文件，自觉按合同办事。</w:t>
      </w:r>
    </w:p>
    <w:p>
      <w:pPr>
        <w:spacing w:line="560" w:lineRule="exact"/>
        <w:ind w:firstLine="420" w:firstLineChars="200"/>
        <w:rPr>
          <w:rFonts w:ascii="宋体" w:hAnsi="宋体"/>
          <w:szCs w:val="21"/>
          <w:highlight w:val="none"/>
        </w:rPr>
      </w:pPr>
      <w:r>
        <w:rPr>
          <w:rFonts w:ascii="宋体" w:hAnsi="宋体"/>
          <w:szCs w:val="21"/>
          <w:highlight w:val="none"/>
        </w:rPr>
        <w:t>1.3各项活动必须坚持公开、公平、公正、诚信、透明的原则（除法律法规另有规定者外），不得为获取不正当的利益，损害国家、集体和对方利益，不得违反建设工程管理的规章制度。</w:t>
      </w:r>
    </w:p>
    <w:p>
      <w:pPr>
        <w:spacing w:line="560" w:lineRule="exact"/>
        <w:ind w:firstLine="420" w:firstLineChars="200"/>
        <w:rPr>
          <w:rFonts w:ascii="宋体" w:hAnsi="宋体"/>
          <w:szCs w:val="21"/>
          <w:highlight w:val="none"/>
        </w:rPr>
      </w:pPr>
      <w:r>
        <w:rPr>
          <w:rFonts w:ascii="宋体" w:hAnsi="宋体"/>
          <w:szCs w:val="21"/>
          <w:highlight w:val="none"/>
        </w:rPr>
        <w:t>1.4发现对方在业务活动中有违规、违纪、违法行为的，应及时提醒对方，情节严重的，应向其上级主管部门或纪检监察、司法等有关机关举报。</w:t>
      </w:r>
    </w:p>
    <w:p>
      <w:pPr>
        <w:spacing w:beforeLines="30" w:line="530" w:lineRule="exact"/>
        <w:rPr>
          <w:rFonts w:ascii="宋体" w:hAnsi="宋体"/>
          <w:b/>
          <w:szCs w:val="21"/>
          <w:highlight w:val="none"/>
        </w:rPr>
      </w:pPr>
      <w:r>
        <w:rPr>
          <w:rFonts w:ascii="宋体" w:hAnsi="宋体"/>
          <w:b/>
          <w:szCs w:val="21"/>
          <w:highlight w:val="none"/>
        </w:rPr>
        <w:t>二、发包人责任</w:t>
      </w:r>
    </w:p>
    <w:p>
      <w:pPr>
        <w:spacing w:line="560" w:lineRule="exact"/>
        <w:ind w:firstLine="420" w:firstLineChars="200"/>
        <w:rPr>
          <w:rFonts w:ascii="宋体" w:hAnsi="宋体"/>
          <w:szCs w:val="21"/>
          <w:highlight w:val="none"/>
        </w:rPr>
      </w:pPr>
      <w:r>
        <w:rPr>
          <w:rFonts w:ascii="宋体" w:hAnsi="宋体"/>
          <w:szCs w:val="21"/>
          <w:highlight w:val="none"/>
        </w:rPr>
        <w:t>发包人的领导和从事该建设工程项目的工作人员，在工程建设的事前、事中、事后应遵守以下规定：</w:t>
      </w:r>
    </w:p>
    <w:p>
      <w:pPr>
        <w:spacing w:line="560" w:lineRule="exact"/>
        <w:ind w:firstLine="420" w:firstLineChars="200"/>
        <w:rPr>
          <w:rFonts w:ascii="宋体" w:hAnsi="宋体"/>
          <w:szCs w:val="21"/>
          <w:highlight w:val="none"/>
        </w:rPr>
      </w:pPr>
      <w:r>
        <w:rPr>
          <w:rFonts w:ascii="宋体" w:hAnsi="宋体"/>
          <w:szCs w:val="21"/>
          <w:highlight w:val="none"/>
        </w:rPr>
        <w:t>2.1不得向承包人和相关单位索要或接受回扣、礼金、有价证券、贵重物品和好处费、感谢费等。</w:t>
      </w:r>
    </w:p>
    <w:p>
      <w:pPr>
        <w:spacing w:line="560" w:lineRule="exact"/>
        <w:ind w:firstLine="420" w:firstLineChars="200"/>
        <w:rPr>
          <w:rFonts w:ascii="宋体" w:hAnsi="宋体"/>
          <w:szCs w:val="21"/>
          <w:highlight w:val="none"/>
        </w:rPr>
      </w:pPr>
      <w:r>
        <w:rPr>
          <w:rFonts w:ascii="宋体" w:hAnsi="宋体"/>
          <w:szCs w:val="21"/>
          <w:highlight w:val="none"/>
        </w:rPr>
        <w:t>2.2不得在承包人和相关单位报销任何应由发包人或个人支付的费用。</w:t>
      </w:r>
    </w:p>
    <w:p>
      <w:pPr>
        <w:spacing w:line="560" w:lineRule="exact"/>
        <w:ind w:firstLine="420" w:firstLineChars="200"/>
        <w:rPr>
          <w:rFonts w:ascii="宋体" w:hAnsi="宋体"/>
          <w:szCs w:val="21"/>
          <w:highlight w:val="none"/>
        </w:rPr>
      </w:pPr>
      <w:r>
        <w:rPr>
          <w:rFonts w:ascii="宋体" w:hAnsi="宋体"/>
          <w:szCs w:val="21"/>
          <w:highlight w:val="none"/>
        </w:rPr>
        <w:t>2.3不得要求、暗示或接受承包人和相关单位为个人装修住房、婚丧嫁娶、配偶子女的工作安排以及出国（境）、旅游等提供方便。</w:t>
      </w:r>
    </w:p>
    <w:p>
      <w:pPr>
        <w:spacing w:line="560" w:lineRule="exact"/>
        <w:ind w:firstLine="420" w:firstLineChars="200"/>
        <w:rPr>
          <w:rFonts w:ascii="宋体" w:hAnsi="宋体"/>
          <w:szCs w:val="21"/>
          <w:highlight w:val="none"/>
        </w:rPr>
      </w:pPr>
      <w:r>
        <w:rPr>
          <w:rFonts w:ascii="宋体" w:hAnsi="宋体"/>
          <w:szCs w:val="21"/>
          <w:highlight w:val="none"/>
        </w:rPr>
        <w:t>2.4不得参加有可能影响公正执行公务的承包人和相关单位的宴请、健身、娱乐等活动。</w:t>
      </w:r>
    </w:p>
    <w:p>
      <w:pPr>
        <w:spacing w:line="560" w:lineRule="exact"/>
        <w:ind w:firstLine="420" w:firstLineChars="200"/>
        <w:rPr>
          <w:rFonts w:ascii="宋体" w:hAnsi="宋体"/>
          <w:szCs w:val="21"/>
          <w:highlight w:val="none"/>
        </w:rPr>
      </w:pPr>
      <w:r>
        <w:rPr>
          <w:rFonts w:ascii="宋体" w:hAnsi="宋体"/>
          <w:szCs w:val="21"/>
          <w:highlight w:val="none"/>
        </w:rPr>
        <w:t>2.5不得向承包人和相关单位介绍或为配偶、子女、亲属参与同发包人工程建设管理合同有关的业务活动；不得以任何理由要求承包人和相关单位使用某种产品、材料和设备。</w:t>
      </w:r>
    </w:p>
    <w:p>
      <w:pPr>
        <w:spacing w:beforeLines="30" w:line="530" w:lineRule="exact"/>
        <w:rPr>
          <w:rFonts w:ascii="宋体" w:hAnsi="宋体"/>
          <w:b/>
          <w:szCs w:val="21"/>
          <w:highlight w:val="none"/>
        </w:rPr>
      </w:pPr>
      <w:r>
        <w:rPr>
          <w:rFonts w:ascii="宋体" w:hAnsi="宋体"/>
          <w:b/>
          <w:szCs w:val="21"/>
          <w:highlight w:val="none"/>
        </w:rPr>
        <w:t>三、承包人责任</w:t>
      </w:r>
    </w:p>
    <w:p>
      <w:pPr>
        <w:spacing w:line="560" w:lineRule="exact"/>
        <w:ind w:firstLine="420" w:firstLineChars="200"/>
        <w:rPr>
          <w:rFonts w:ascii="宋体" w:hAnsi="宋体"/>
          <w:szCs w:val="21"/>
          <w:highlight w:val="none"/>
        </w:rPr>
      </w:pPr>
      <w:r>
        <w:rPr>
          <w:rFonts w:ascii="宋体" w:hAnsi="宋体"/>
          <w:szCs w:val="21"/>
          <w:highlight w:val="none"/>
        </w:rPr>
        <w:t>应与发包人保持正常的业务交往，按照有关法律法规和程序开展业务工作，严格执行工程建设的有关方针、政策，执行工程建设强制性标准，并遵守以下规定：</w:t>
      </w:r>
    </w:p>
    <w:p>
      <w:pPr>
        <w:spacing w:line="560" w:lineRule="exact"/>
        <w:ind w:firstLine="420" w:firstLineChars="200"/>
        <w:rPr>
          <w:rFonts w:ascii="宋体" w:hAnsi="宋体"/>
          <w:szCs w:val="21"/>
          <w:highlight w:val="none"/>
        </w:rPr>
      </w:pPr>
      <w:r>
        <w:rPr>
          <w:rFonts w:ascii="宋体" w:hAnsi="宋体"/>
          <w:szCs w:val="21"/>
          <w:highlight w:val="none"/>
        </w:rPr>
        <w:t>3.1不得以任何理由向发包人及其工作人员索要、接受或赠送礼金、有价证券、贵重物品及回扣、好处费、感谢费等。</w:t>
      </w:r>
    </w:p>
    <w:p>
      <w:pPr>
        <w:spacing w:line="560" w:lineRule="exact"/>
        <w:ind w:firstLine="420" w:firstLineChars="200"/>
        <w:rPr>
          <w:rFonts w:ascii="宋体" w:hAnsi="宋体"/>
          <w:szCs w:val="21"/>
          <w:highlight w:val="none"/>
        </w:rPr>
      </w:pPr>
      <w:r>
        <w:rPr>
          <w:rFonts w:ascii="宋体" w:hAnsi="宋体"/>
          <w:szCs w:val="21"/>
          <w:highlight w:val="none"/>
        </w:rPr>
        <w:t>3.2不得以任何理由为发包人和相关单位报销应由对方或个人支付的费用。</w:t>
      </w:r>
    </w:p>
    <w:p>
      <w:pPr>
        <w:spacing w:line="560" w:lineRule="exact"/>
        <w:ind w:firstLine="420" w:firstLineChars="200"/>
        <w:rPr>
          <w:rFonts w:ascii="宋体" w:hAnsi="宋体"/>
          <w:szCs w:val="21"/>
          <w:highlight w:val="none"/>
        </w:rPr>
      </w:pPr>
      <w:r>
        <w:rPr>
          <w:rFonts w:ascii="宋体" w:hAnsi="宋体"/>
          <w:szCs w:val="21"/>
          <w:highlight w:val="none"/>
        </w:rPr>
        <w:t>3.3不得接受或暗示为发包人、相关单位或个人装修住房、婚丧嫁娶、配偶子女的工作安排以及出国（境）、旅游等提供方便。</w:t>
      </w:r>
    </w:p>
    <w:p>
      <w:pPr>
        <w:spacing w:line="560" w:lineRule="exact"/>
        <w:ind w:firstLine="420" w:firstLineChars="200"/>
        <w:rPr>
          <w:rFonts w:ascii="宋体" w:hAnsi="宋体"/>
          <w:szCs w:val="21"/>
          <w:highlight w:val="none"/>
        </w:rPr>
      </w:pPr>
      <w:r>
        <w:rPr>
          <w:rFonts w:ascii="宋体" w:hAnsi="宋体"/>
          <w:szCs w:val="21"/>
          <w:highlight w:val="none"/>
        </w:rPr>
        <w:t>3.4不得以任何理由为发包人、相关单位或个人组织有可能影响公正执行公务的宴请、健身、娱乐等活动。</w:t>
      </w:r>
    </w:p>
    <w:p>
      <w:pPr>
        <w:spacing w:beforeLines="30" w:line="530" w:lineRule="exact"/>
        <w:rPr>
          <w:rFonts w:ascii="宋体" w:hAnsi="宋体"/>
          <w:b/>
          <w:szCs w:val="21"/>
          <w:highlight w:val="none"/>
        </w:rPr>
      </w:pPr>
      <w:r>
        <w:rPr>
          <w:rFonts w:ascii="宋体" w:hAnsi="宋体"/>
          <w:b/>
          <w:szCs w:val="21"/>
          <w:highlight w:val="none"/>
        </w:rPr>
        <w:t>四、违约责任</w:t>
      </w:r>
    </w:p>
    <w:p>
      <w:pPr>
        <w:spacing w:line="560" w:lineRule="exact"/>
        <w:ind w:firstLine="420" w:firstLineChars="200"/>
        <w:rPr>
          <w:rFonts w:ascii="宋体" w:hAnsi="宋体"/>
          <w:szCs w:val="21"/>
          <w:highlight w:val="none"/>
        </w:rPr>
      </w:pPr>
      <w:r>
        <w:rPr>
          <w:rFonts w:ascii="宋体" w:hAnsi="宋体"/>
          <w:szCs w:val="21"/>
          <w:highlight w:val="none"/>
        </w:rPr>
        <w:t>4.1发包人工作人员有违反本责任书第一、二条责任行为的，依据有关法律、法规给予处理；涉嫌犯罪的，移交司法机关追究刑事责任；给承包人单位造成经济损失的，应予以赔偿。</w:t>
      </w:r>
    </w:p>
    <w:p>
      <w:pPr>
        <w:spacing w:line="560" w:lineRule="exact"/>
        <w:ind w:firstLine="420" w:firstLineChars="200"/>
        <w:rPr>
          <w:rFonts w:ascii="宋体" w:hAnsi="宋体"/>
          <w:szCs w:val="21"/>
          <w:highlight w:val="none"/>
        </w:rPr>
      </w:pPr>
      <w:r>
        <w:rPr>
          <w:rFonts w:ascii="宋体" w:hAnsi="宋体"/>
          <w:szCs w:val="21"/>
          <w:highlight w:val="none"/>
        </w:rPr>
        <w:t>4.2承包人工作人员有违反本责任书第一、三条责任行为的，依据有关法律法规处理；涉嫌犯罪的，移交司法机关追究刑事责任；给发包人单位造成经济损失的，应予以赔偿。</w:t>
      </w:r>
    </w:p>
    <w:p>
      <w:pPr>
        <w:spacing w:line="560" w:lineRule="exact"/>
        <w:ind w:firstLine="420" w:firstLineChars="200"/>
        <w:rPr>
          <w:rFonts w:ascii="宋体" w:hAnsi="宋体"/>
          <w:szCs w:val="21"/>
          <w:highlight w:val="none"/>
        </w:rPr>
      </w:pPr>
      <w:r>
        <w:rPr>
          <w:rFonts w:ascii="宋体" w:hAnsi="宋体"/>
          <w:szCs w:val="21"/>
          <w:highlight w:val="none"/>
        </w:rPr>
        <w:t>4.3本责任书作为建设工程合同的组成部分，与建设工程合同具有同等法律效力。经双方签署后立即生效。</w:t>
      </w:r>
    </w:p>
    <w:p>
      <w:pPr>
        <w:spacing w:beforeLines="30" w:line="530" w:lineRule="exact"/>
        <w:rPr>
          <w:rFonts w:ascii="宋体" w:hAnsi="宋体"/>
          <w:b/>
          <w:szCs w:val="21"/>
          <w:highlight w:val="none"/>
        </w:rPr>
      </w:pPr>
      <w:r>
        <w:rPr>
          <w:rFonts w:ascii="宋体" w:hAnsi="宋体"/>
          <w:b/>
          <w:szCs w:val="21"/>
          <w:highlight w:val="none"/>
        </w:rPr>
        <w:t>五、责任书有效期</w:t>
      </w:r>
    </w:p>
    <w:p>
      <w:pPr>
        <w:spacing w:line="560" w:lineRule="exact"/>
        <w:ind w:firstLine="420" w:firstLineChars="200"/>
        <w:rPr>
          <w:rFonts w:ascii="宋体" w:hAnsi="宋体"/>
          <w:szCs w:val="21"/>
          <w:highlight w:val="none"/>
        </w:rPr>
      </w:pPr>
      <w:r>
        <w:rPr>
          <w:rFonts w:ascii="宋体" w:hAnsi="宋体"/>
          <w:szCs w:val="21"/>
          <w:highlight w:val="none"/>
        </w:rPr>
        <w:t>本责任书的有效期为双方签署之日起至该工程项目竣工验收合格时止。</w:t>
      </w:r>
    </w:p>
    <w:p>
      <w:pPr>
        <w:spacing w:beforeLines="30" w:line="530" w:lineRule="exact"/>
        <w:rPr>
          <w:rFonts w:ascii="宋体" w:hAnsi="宋体"/>
          <w:b/>
          <w:szCs w:val="21"/>
          <w:highlight w:val="none"/>
        </w:rPr>
      </w:pPr>
      <w:r>
        <w:rPr>
          <w:rFonts w:ascii="宋体" w:hAnsi="宋体"/>
          <w:b/>
          <w:szCs w:val="21"/>
          <w:highlight w:val="none"/>
        </w:rPr>
        <w:t>六、责任书份数</w:t>
      </w:r>
    </w:p>
    <w:p>
      <w:pPr>
        <w:spacing w:line="560" w:lineRule="exact"/>
        <w:ind w:firstLine="420" w:firstLineChars="200"/>
        <w:rPr>
          <w:rFonts w:ascii="宋体" w:hAnsi="宋体"/>
          <w:szCs w:val="21"/>
          <w:highlight w:val="none"/>
        </w:rPr>
      </w:pPr>
      <w:r>
        <w:rPr>
          <w:rFonts w:ascii="宋体" w:hAnsi="宋体"/>
          <w:szCs w:val="21"/>
          <w:highlight w:val="none"/>
        </w:rPr>
        <w:t>本责任书一式二份，发包人承包人各执一份，具有同等效力。</w:t>
      </w:r>
    </w:p>
    <w:p>
      <w:pPr>
        <w:spacing w:line="560" w:lineRule="exact"/>
        <w:ind w:firstLine="420" w:firstLineChars="200"/>
        <w:rPr>
          <w:rFonts w:ascii="宋体" w:hAnsi="宋体"/>
          <w:szCs w:val="21"/>
          <w:highlight w:val="none"/>
        </w:rPr>
      </w:pPr>
    </w:p>
    <w:p>
      <w:pPr>
        <w:spacing w:line="560" w:lineRule="exact"/>
        <w:ind w:firstLine="420" w:firstLineChars="200"/>
        <w:rPr>
          <w:rFonts w:ascii="宋体" w:hAnsi="宋体"/>
          <w:szCs w:val="21"/>
          <w:highlight w:val="none"/>
        </w:rPr>
      </w:pPr>
    </w:p>
    <w:p>
      <w:pPr>
        <w:spacing w:line="560" w:lineRule="exact"/>
        <w:rPr>
          <w:rFonts w:ascii="宋体" w:hAnsi="宋体"/>
          <w:szCs w:val="21"/>
          <w:highlight w:val="none"/>
        </w:rPr>
      </w:pPr>
      <w:r>
        <w:rPr>
          <w:rFonts w:ascii="宋体" w:hAnsi="宋体"/>
          <w:szCs w:val="21"/>
          <w:highlight w:val="none"/>
        </w:rPr>
        <w:t>发包人：</w:t>
      </w:r>
      <w:r>
        <w:rPr>
          <w:rFonts w:hint="eastAsia" w:ascii="宋体" w:hAnsi="宋体"/>
          <w:szCs w:val="21"/>
          <w:highlight w:val="none"/>
        </w:rPr>
        <w:t>广州市海珠区河涌管理所</w:t>
      </w:r>
      <w:r>
        <w:rPr>
          <w:rFonts w:ascii="宋体" w:hAnsi="宋体"/>
          <w:szCs w:val="21"/>
          <w:highlight w:val="none"/>
        </w:rPr>
        <w:t>（公章）    承</w:t>
      </w:r>
      <w:r>
        <w:rPr>
          <w:rFonts w:hint="eastAsia" w:ascii="宋体" w:hAnsi="宋体"/>
          <w:szCs w:val="21"/>
          <w:highlight w:val="none"/>
        </w:rPr>
        <w:t>包人：（公</w:t>
      </w:r>
      <w:r>
        <w:rPr>
          <w:rFonts w:ascii="宋体" w:hAnsi="宋体"/>
          <w:szCs w:val="21"/>
          <w:highlight w:val="none"/>
        </w:rPr>
        <w:t>章）</w:t>
      </w:r>
    </w:p>
    <w:p>
      <w:pPr>
        <w:spacing w:line="560" w:lineRule="exact"/>
        <w:rPr>
          <w:rFonts w:ascii="宋体" w:hAnsi="宋体"/>
          <w:szCs w:val="21"/>
          <w:highlight w:val="none"/>
        </w:rPr>
      </w:pPr>
      <w:r>
        <w:rPr>
          <w:rFonts w:ascii="宋体" w:hAnsi="宋体"/>
          <w:szCs w:val="21"/>
          <w:highlight w:val="none"/>
        </w:rPr>
        <w:t>法定代表人</w:t>
      </w:r>
      <w:r>
        <w:rPr>
          <w:rFonts w:hint="eastAsia" w:ascii="宋体" w:hAnsi="宋体"/>
          <w:szCs w:val="21"/>
          <w:highlight w:val="none"/>
        </w:rPr>
        <w:t>：</w:t>
      </w:r>
      <w:r>
        <w:rPr>
          <w:rFonts w:ascii="宋体" w:hAnsi="宋体"/>
          <w:szCs w:val="21"/>
          <w:highlight w:val="none"/>
        </w:rPr>
        <w:t>（签字）                  法定代表人</w:t>
      </w:r>
      <w:r>
        <w:rPr>
          <w:rFonts w:hint="eastAsia" w:ascii="宋体" w:hAnsi="宋体"/>
          <w:szCs w:val="21"/>
          <w:highlight w:val="none"/>
        </w:rPr>
        <w:t>：</w:t>
      </w:r>
      <w:r>
        <w:rPr>
          <w:rFonts w:ascii="宋体" w:hAnsi="宋体"/>
          <w:szCs w:val="21"/>
          <w:highlight w:val="none"/>
        </w:rPr>
        <w:t>（签字）</w:t>
      </w:r>
    </w:p>
    <w:p>
      <w:pPr>
        <w:spacing w:line="560" w:lineRule="exact"/>
        <w:rPr>
          <w:rFonts w:ascii="宋体" w:hAnsi="宋体"/>
          <w:szCs w:val="21"/>
          <w:highlight w:val="none"/>
        </w:rPr>
      </w:pPr>
      <w:r>
        <w:rPr>
          <w:rFonts w:hint="eastAsia" w:ascii="宋体" w:hAnsi="宋体"/>
          <w:szCs w:val="21"/>
          <w:highlight w:val="none"/>
        </w:rPr>
        <w:t>项目负责人： 项目负责人：</w:t>
      </w:r>
    </w:p>
    <w:p>
      <w:pPr>
        <w:spacing w:line="360" w:lineRule="auto"/>
        <w:ind w:left="4830" w:hanging="4830" w:hangingChars="2300"/>
        <w:rPr>
          <w:rFonts w:ascii="宋体" w:hAnsi="宋体"/>
          <w:szCs w:val="21"/>
          <w:highlight w:val="none"/>
        </w:rPr>
      </w:pPr>
      <w:r>
        <w:rPr>
          <w:rFonts w:ascii="宋体" w:hAnsi="宋体"/>
          <w:szCs w:val="21"/>
          <w:highlight w:val="none"/>
        </w:rPr>
        <w:t>法定地址：          法定地址：</w:t>
      </w:r>
    </w:p>
    <w:p>
      <w:pPr>
        <w:spacing w:line="360" w:lineRule="auto"/>
        <w:ind w:firstLine="4830" w:firstLineChars="2300"/>
        <w:rPr>
          <w:rFonts w:ascii="宋体" w:hAnsi="宋体"/>
          <w:szCs w:val="21"/>
          <w:highlight w:val="none"/>
        </w:rPr>
      </w:pPr>
    </w:p>
    <w:p>
      <w:pPr>
        <w:spacing w:line="560" w:lineRule="exact"/>
        <w:rPr>
          <w:rFonts w:ascii="宋体" w:hAnsi="宋体"/>
          <w:szCs w:val="21"/>
          <w:highlight w:val="none"/>
        </w:rPr>
      </w:pPr>
      <w:r>
        <w:rPr>
          <w:rFonts w:ascii="宋体" w:hAnsi="宋体"/>
          <w:szCs w:val="21"/>
          <w:highlight w:val="none"/>
        </w:rPr>
        <w:t>电话：                                 电话：</w:t>
      </w:r>
    </w:p>
    <w:p>
      <w:pPr>
        <w:spacing w:line="560" w:lineRule="exact"/>
        <w:rPr>
          <w:rFonts w:ascii="宋体" w:hAnsi="宋体"/>
          <w:szCs w:val="21"/>
          <w:highlight w:val="none"/>
        </w:rPr>
      </w:pPr>
      <w:r>
        <w:rPr>
          <w:rFonts w:ascii="宋体" w:hAnsi="宋体"/>
          <w:szCs w:val="21"/>
          <w:highlight w:val="none"/>
        </w:rPr>
        <w:t>传真：                                 传真：</w:t>
      </w:r>
    </w:p>
    <w:p>
      <w:pPr>
        <w:spacing w:line="560" w:lineRule="exact"/>
        <w:rPr>
          <w:rFonts w:ascii="宋体" w:hAnsi="宋体"/>
          <w:szCs w:val="21"/>
          <w:highlight w:val="none"/>
        </w:rPr>
      </w:pPr>
      <w:r>
        <w:rPr>
          <w:rFonts w:ascii="宋体" w:hAnsi="宋体"/>
          <w:szCs w:val="21"/>
          <w:highlight w:val="none"/>
        </w:rPr>
        <w:t>电子邮箱：                             电子邮箱：</w:t>
      </w:r>
    </w:p>
    <w:p>
      <w:pPr>
        <w:spacing w:line="560" w:lineRule="exact"/>
        <w:ind w:left="5880" w:hanging="5880" w:hangingChars="2800"/>
        <w:rPr>
          <w:rFonts w:ascii="宋体" w:hAnsi="宋体"/>
          <w:szCs w:val="21"/>
          <w:highlight w:val="none"/>
        </w:rPr>
      </w:pPr>
      <w:r>
        <w:rPr>
          <w:rFonts w:ascii="宋体" w:hAnsi="宋体"/>
          <w:szCs w:val="21"/>
          <w:highlight w:val="none"/>
        </w:rPr>
        <w:t>开户银行：                            开户银行：</w:t>
      </w:r>
    </w:p>
    <w:p>
      <w:pPr>
        <w:spacing w:line="560" w:lineRule="exact"/>
        <w:ind w:left="5880" w:hanging="5880" w:hangingChars="2800"/>
        <w:rPr>
          <w:rFonts w:ascii="宋体" w:hAnsi="宋体"/>
          <w:szCs w:val="21"/>
          <w:highlight w:val="none"/>
        </w:rPr>
      </w:pPr>
      <w:r>
        <w:rPr>
          <w:rFonts w:ascii="宋体" w:hAnsi="宋体"/>
          <w:szCs w:val="21"/>
          <w:highlight w:val="none"/>
        </w:rPr>
        <w:t xml:space="preserve">帐号：                                </w:t>
      </w:r>
      <w:r>
        <w:rPr>
          <w:rFonts w:hint="eastAsia" w:ascii="宋体" w:hAnsi="宋体"/>
          <w:szCs w:val="21"/>
          <w:highlight w:val="none"/>
        </w:rPr>
        <w:t xml:space="preserve"> 帐号：</w:t>
      </w:r>
    </w:p>
    <w:p>
      <w:pPr>
        <w:spacing w:line="560" w:lineRule="exact"/>
        <w:ind w:left="5880" w:hanging="5880" w:hangingChars="2800"/>
        <w:rPr>
          <w:rFonts w:ascii="宋体" w:hAnsi="宋体"/>
          <w:szCs w:val="21"/>
          <w:highlight w:val="none"/>
        </w:rPr>
      </w:pPr>
      <w:r>
        <w:rPr>
          <w:rFonts w:hint="eastAsia" w:ascii="宋体" w:hAnsi="宋体"/>
          <w:szCs w:val="21"/>
          <w:highlight w:val="none"/>
        </w:rPr>
        <w:t>邮政编码：                             邮政编码：</w:t>
      </w: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spacing w:line="560" w:lineRule="exact"/>
        <w:rPr>
          <w:rFonts w:ascii="宋体" w:hAnsi="宋体"/>
          <w:sz w:val="24"/>
          <w:highlight w:val="none"/>
        </w:rPr>
      </w:pPr>
    </w:p>
    <w:p>
      <w:pPr>
        <w:pStyle w:val="2"/>
        <w:rPr>
          <w:highlight w:val="none"/>
        </w:rPr>
      </w:pPr>
    </w:p>
    <w:p>
      <w:pPr>
        <w:spacing w:line="560" w:lineRule="exact"/>
        <w:rPr>
          <w:rFonts w:ascii="宋体" w:hAnsi="宋体"/>
          <w:sz w:val="24"/>
          <w:highlight w:val="none"/>
        </w:rPr>
      </w:pPr>
    </w:p>
    <w:p>
      <w:pPr>
        <w:spacing w:beforeLines="50" w:line="580" w:lineRule="exact"/>
        <w:outlineLvl w:val="1"/>
        <w:rPr>
          <w:rFonts w:ascii="宋体" w:hAnsi="宋体"/>
          <w:b/>
          <w:sz w:val="24"/>
          <w:highlight w:val="none"/>
        </w:rPr>
      </w:pPr>
      <w:bookmarkStart w:id="1346" w:name="_Toc354042317"/>
      <w:bookmarkStart w:id="1347" w:name="_Toc354050794"/>
      <w:r>
        <w:rPr>
          <w:rFonts w:hint="eastAsia" w:ascii="宋体" w:hAnsi="宋体"/>
          <w:b/>
          <w:sz w:val="24"/>
          <w:highlight w:val="none"/>
        </w:rPr>
        <w:t>附件六：</w:t>
      </w:r>
      <w:r>
        <w:rPr>
          <w:rFonts w:ascii="宋体" w:hAnsi="宋体"/>
          <w:b/>
          <w:sz w:val="24"/>
          <w:highlight w:val="none"/>
        </w:rPr>
        <w:t>安全</w:t>
      </w:r>
      <w:r>
        <w:rPr>
          <w:rFonts w:hint="eastAsia" w:ascii="宋体" w:hAnsi="宋体"/>
          <w:b/>
          <w:sz w:val="24"/>
          <w:highlight w:val="none"/>
        </w:rPr>
        <w:t>生产和文明施工</w:t>
      </w:r>
      <w:r>
        <w:rPr>
          <w:rFonts w:ascii="宋体" w:hAnsi="宋体"/>
          <w:b/>
          <w:sz w:val="24"/>
          <w:highlight w:val="none"/>
        </w:rPr>
        <w:t>管理协议书</w:t>
      </w:r>
      <w:r>
        <w:rPr>
          <w:rFonts w:hint="eastAsia" w:ascii="宋体" w:hAnsi="宋体"/>
          <w:b/>
          <w:sz w:val="24"/>
          <w:highlight w:val="none"/>
        </w:rPr>
        <w:t>格式</w:t>
      </w:r>
      <w:bookmarkEnd w:id="1346"/>
      <w:bookmarkEnd w:id="1347"/>
    </w:p>
    <w:p>
      <w:pPr>
        <w:spacing w:beforeLines="50" w:line="580" w:lineRule="exact"/>
        <w:outlineLvl w:val="1"/>
        <w:rPr>
          <w:rFonts w:ascii="宋体" w:hAnsi="宋体"/>
          <w:b/>
          <w:sz w:val="24"/>
          <w:highlight w:val="none"/>
        </w:rPr>
      </w:pPr>
    </w:p>
    <w:p>
      <w:pPr>
        <w:spacing w:beforeLines="80" w:afterLines="100" w:line="400" w:lineRule="exact"/>
        <w:jc w:val="center"/>
        <w:rPr>
          <w:rFonts w:ascii="宋体" w:hAnsi="宋体"/>
          <w:b/>
          <w:sz w:val="32"/>
          <w:szCs w:val="32"/>
          <w:highlight w:val="none"/>
        </w:rPr>
      </w:pPr>
      <w:r>
        <w:rPr>
          <w:rFonts w:hint="eastAsia" w:ascii="宋体" w:hAnsi="宋体"/>
          <w:b/>
          <w:sz w:val="32"/>
          <w:szCs w:val="32"/>
          <w:highlight w:val="none"/>
        </w:rPr>
        <w:t>安全生产和文明施工管理协议书</w:t>
      </w:r>
    </w:p>
    <w:p>
      <w:pPr>
        <w:spacing w:beforeLines="80" w:afterLines="100" w:line="400" w:lineRule="exact"/>
        <w:jc w:val="center"/>
        <w:rPr>
          <w:rFonts w:ascii="宋体" w:hAnsi="宋体"/>
          <w:b/>
          <w:sz w:val="32"/>
          <w:szCs w:val="32"/>
          <w:highlight w:val="none"/>
        </w:rPr>
      </w:pPr>
    </w:p>
    <w:p>
      <w:pPr>
        <w:snapToGrid w:val="0"/>
        <w:spacing w:line="360" w:lineRule="auto"/>
        <w:rPr>
          <w:rFonts w:ascii="宋体" w:hAnsi="宋体"/>
          <w:szCs w:val="21"/>
          <w:highlight w:val="none"/>
        </w:rPr>
      </w:pPr>
      <w:r>
        <w:rPr>
          <w:rFonts w:hint="eastAsia" w:ascii="宋体" w:hAnsi="宋体"/>
          <w:szCs w:val="21"/>
          <w:highlight w:val="none"/>
        </w:rPr>
        <w:t>甲方：</w:t>
      </w:r>
      <w:r>
        <w:rPr>
          <w:rFonts w:hint="eastAsia" w:ascii="宋体" w:hAnsi="宋体"/>
          <w:szCs w:val="21"/>
          <w:highlight w:val="none"/>
          <w:lang w:val="zh-CN"/>
        </w:rPr>
        <w:t>广州市海珠区河涌管理所</w:t>
      </w:r>
    </w:p>
    <w:p>
      <w:pPr>
        <w:snapToGrid w:val="0"/>
        <w:spacing w:line="360" w:lineRule="auto"/>
        <w:rPr>
          <w:rFonts w:ascii="宋体" w:hAnsi="宋体"/>
          <w:szCs w:val="21"/>
          <w:highlight w:val="none"/>
        </w:rPr>
      </w:pPr>
      <w:r>
        <w:rPr>
          <w:rFonts w:hint="eastAsia" w:ascii="宋体" w:hAnsi="宋体"/>
          <w:szCs w:val="21"/>
          <w:highlight w:val="none"/>
        </w:rPr>
        <w:t>乙</w:t>
      </w:r>
      <w:r>
        <w:rPr>
          <w:rFonts w:hint="eastAsia" w:ascii="宋体" w:hAnsi="宋体"/>
          <w:szCs w:val="21"/>
          <w:highlight w:val="none"/>
          <w:lang w:val="zh-CN"/>
        </w:rPr>
        <w:t>方：</w:t>
      </w:r>
    </w:p>
    <w:p>
      <w:pPr>
        <w:pStyle w:val="57"/>
        <w:snapToGrid w:val="0"/>
        <w:spacing w:before="0" w:after="0"/>
        <w:ind w:firstLine="413" w:firstLineChars="196"/>
        <w:jc w:val="both"/>
        <w:rPr>
          <w:sz w:val="21"/>
          <w:szCs w:val="21"/>
          <w:highlight w:val="none"/>
        </w:rPr>
      </w:pPr>
      <w:r>
        <w:rPr>
          <w:rStyle w:val="138"/>
          <w:rFonts w:hint="eastAsia"/>
          <w:b/>
          <w:sz w:val="21"/>
          <w:szCs w:val="21"/>
          <w:highlight w:val="none"/>
        </w:rPr>
        <w:t xml:space="preserve">第一条  </w:t>
      </w:r>
      <w:r>
        <w:rPr>
          <w:rFonts w:hint="eastAsia"/>
          <w:sz w:val="21"/>
          <w:szCs w:val="21"/>
          <w:highlight w:val="none"/>
        </w:rPr>
        <w:t>为确保安全文明施工，保证工程顺利进行, 根据《中华人民共和国合同法》、《广东省建设厅建筑工程安全防护、文明施工措施费用管理办法》、《广州市建设工程文明施工管理规定》等规定，经双方协商，签订本协议书。</w:t>
      </w:r>
    </w:p>
    <w:p>
      <w:pPr>
        <w:pStyle w:val="57"/>
        <w:snapToGrid w:val="0"/>
        <w:spacing w:before="0" w:after="0"/>
        <w:ind w:left="559" w:leftChars="266"/>
        <w:rPr>
          <w:sz w:val="21"/>
          <w:szCs w:val="21"/>
          <w:highlight w:val="none"/>
        </w:rPr>
      </w:pPr>
      <w:r>
        <w:rPr>
          <w:rFonts w:hint="eastAsia"/>
          <w:sz w:val="21"/>
          <w:szCs w:val="21"/>
          <w:highlight w:val="none"/>
        </w:rPr>
        <w:t>本协议书所涉及的工程范围</w:t>
      </w:r>
      <w:r>
        <w:rPr>
          <w:rFonts w:hint="eastAsia"/>
          <w:sz w:val="21"/>
          <w:szCs w:val="21"/>
          <w:highlight w:val="none"/>
        </w:rPr>
        <w:softHyphen/>
      </w:r>
      <w:r>
        <w:rPr>
          <w:rFonts w:hint="eastAsia"/>
          <w:sz w:val="21"/>
          <w:szCs w:val="21"/>
          <w:highlight w:val="none"/>
        </w:rPr>
        <w:t>。</w:t>
      </w:r>
    </w:p>
    <w:p>
      <w:pPr>
        <w:pStyle w:val="57"/>
        <w:snapToGrid w:val="0"/>
        <w:spacing w:before="0" w:after="0"/>
        <w:ind w:firstLine="420" w:firstLineChars="200"/>
        <w:rPr>
          <w:sz w:val="21"/>
          <w:szCs w:val="21"/>
          <w:highlight w:val="none"/>
        </w:rPr>
      </w:pPr>
      <w:r>
        <w:rPr>
          <w:rFonts w:hint="eastAsia"/>
          <w:sz w:val="21"/>
          <w:szCs w:val="21"/>
          <w:highlight w:val="none"/>
        </w:rPr>
        <w:t>第二条 甲乙双方均应当遵守《建筑施工安全检查标准》(JGJ59-2011)和广东省、广州市政府及其部门制定的有关建筑工程安全生产、文明施工管理办法和规定。</w:t>
      </w:r>
    </w:p>
    <w:p>
      <w:pPr>
        <w:snapToGrid w:val="0"/>
        <w:spacing w:line="360" w:lineRule="auto"/>
        <w:ind w:firstLine="413" w:firstLineChars="196"/>
        <w:rPr>
          <w:rFonts w:ascii="宋体" w:hAnsi="宋体"/>
          <w:szCs w:val="21"/>
          <w:highlight w:val="none"/>
        </w:rPr>
      </w:pPr>
      <w:r>
        <w:rPr>
          <w:rFonts w:hint="eastAsia" w:ascii="宋体" w:hAnsi="宋体"/>
          <w:b/>
          <w:szCs w:val="21"/>
          <w:highlight w:val="none"/>
        </w:rPr>
        <w:t>第三条</w:t>
      </w:r>
      <w:r>
        <w:rPr>
          <w:rFonts w:hint="eastAsia" w:ascii="宋体" w:hAnsi="宋体"/>
          <w:szCs w:val="21"/>
          <w:highlight w:val="none"/>
        </w:rPr>
        <w:t xml:space="preserve"> 甲方权利和义务</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1、对乙方安全文明施工进行指导、监督，督促施工单位依法履行安全文明施工管理职责，并作好现场记录。</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2、督促乙方对生产中存在的安全隐患和违反文明施工规定的行为进行整改，及时协调解决各工地之间、工地与周边群众之间的矛盾。</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3、负责组织建设、监理、施工三方责任主体每月末按标准对乙方进行考核。</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4、每星期召开一次有乙方项目负责人、安全专职人员参加的安全文明施工会议，通报情况，交流经验，及时纠正施工中存在的安全隐患问题。</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5、甲方发现安全隐患或违反文明施工规定的行为，有权责令乙方停工整改，直至排除安全隐患。</w:t>
      </w:r>
    </w:p>
    <w:p>
      <w:pPr>
        <w:snapToGrid w:val="0"/>
        <w:spacing w:line="360" w:lineRule="auto"/>
        <w:ind w:firstLine="413" w:firstLineChars="196"/>
        <w:rPr>
          <w:rFonts w:ascii="宋体" w:hAnsi="宋体"/>
          <w:szCs w:val="21"/>
          <w:highlight w:val="none"/>
        </w:rPr>
      </w:pPr>
      <w:r>
        <w:rPr>
          <w:rFonts w:hint="eastAsia" w:ascii="宋体" w:hAnsi="宋体"/>
          <w:b/>
          <w:szCs w:val="21"/>
          <w:highlight w:val="none"/>
        </w:rPr>
        <w:t>第四条</w:t>
      </w:r>
      <w:r>
        <w:rPr>
          <w:rFonts w:hint="eastAsia" w:ascii="宋体" w:hAnsi="宋体"/>
          <w:szCs w:val="21"/>
          <w:highlight w:val="none"/>
        </w:rPr>
        <w:t xml:space="preserve">  乙方权利和义务</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1、严格执行国家和省市规定的安全生产和文明施工的相关规定。</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2、建立、健全安全文明施工责任制，健全组织机构，制定安全文明施工规章制度和操作规程，落实安全文明施工专职人员。</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3、制定安全事故应急救援预案，若遇险情，及时启动。</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4、保证对具备安全文明施工条件所必需资金的投入，并对因资金投入不足导致的后果承担责任。</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5、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6、文明施工现场管理应当做到“六个100%”，即：施工现场100%围蔽，工地砂土100%覆盖，工地路面100%硬化，拆除工程100%洒水压尘，出工地车辆100%冲净车轮车身，暂不开发的场地100%绿化。</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7、施工现场应当按照下列要求设置相关设施：</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(1)在醒目位置设置施工铭牌，并张贴有关许可证件。施工铭牌应当明确项目名称，建设、施工、监理单位及项目负责人姓名，监督机构名称，开工、计划竣工日期和监督投诉电话等。</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(2)施工作业区与办公、生活区应当分开设置，具有足够的安全距离，采取相应的隔离措施；占用、挖掘城市道路施工的，不得设置办公场地、宿舍等非必要区域和设施。</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(3)施工现场四周应当设置连续、封闭的围档。管线工程、非全封闭的城市道路等工程应当使用路拦式围档。</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(5)工地外立面脚手架使用钢管搭设，禁止使用竹子搭设或者钢竹混搭，脚手架杆件应当涂装规定颜色的警示漆，不应有明显锈迹，立面统一采用绿色密目式安全网围蔽。</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(6)施工现场的建筑材料和设备设施，应当按照施工总平面图划定的区域存放整齐，并设置标签，不得堆放在现场围蔽以外。</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(7)施工现场道路应当畅通，并设置通畅的排水设施和应急设施。</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8、对有较大危险因素的作业场所和有关设施、设备要设置明显的安全警示标志。</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9、安全文明施工监督检查人员进行监督检查时，乙方要主动接受检查，并积极配合，不得拒绝，阻挠和拖延，并在检查记录上签字。</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10、每周至少召开一次安全文明施工会议，自查自纠安全隐患及违反文明施工管理规定因素，保证工程顺利进行。</w:t>
      </w:r>
    </w:p>
    <w:p>
      <w:pPr>
        <w:snapToGrid w:val="0"/>
        <w:spacing w:line="360" w:lineRule="auto"/>
        <w:ind w:firstLine="422" w:firstLineChars="200"/>
        <w:rPr>
          <w:rFonts w:ascii="宋体" w:hAnsi="宋体"/>
          <w:szCs w:val="21"/>
          <w:highlight w:val="none"/>
        </w:rPr>
      </w:pPr>
      <w:r>
        <w:rPr>
          <w:rFonts w:hint="eastAsia" w:ascii="宋体" w:hAnsi="宋体"/>
          <w:b/>
          <w:szCs w:val="21"/>
          <w:highlight w:val="none"/>
        </w:rPr>
        <w:t xml:space="preserve">第五条 </w:t>
      </w:r>
      <w:r>
        <w:rPr>
          <w:rFonts w:hint="eastAsia" w:ascii="宋体" w:hAnsi="宋体"/>
          <w:szCs w:val="21"/>
          <w:highlight w:val="none"/>
        </w:rPr>
        <w:t xml:space="preserve"> 安全文明施工措施费的计取和管理</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本工程合同中标价    万元（大写：），其中应计取安全文明施工措施费用为     万元，该费用为专项费用，全部投入到施工工程的安全文明施工管理，按计量支付，总额控制，超过部分不另外支付。同时，在财务管理中应以工程项目为单位，单独列出安全防护、文明施工措施费收入和支出清单备查。</w:t>
      </w:r>
    </w:p>
    <w:p>
      <w:pPr>
        <w:pStyle w:val="51"/>
        <w:autoSpaceDN w:val="0"/>
        <w:adjustRightInd w:val="0"/>
        <w:snapToGrid w:val="0"/>
        <w:spacing w:line="360" w:lineRule="auto"/>
        <w:ind w:firstLine="367" w:firstLineChars="174"/>
        <w:rPr>
          <w:rFonts w:ascii="宋体" w:hAnsi="宋体"/>
          <w:sz w:val="21"/>
          <w:szCs w:val="21"/>
          <w:highlight w:val="none"/>
        </w:rPr>
      </w:pPr>
      <w:r>
        <w:rPr>
          <w:rFonts w:hint="eastAsia" w:ascii="宋体" w:hAnsi="宋体"/>
          <w:b/>
          <w:sz w:val="21"/>
          <w:szCs w:val="21"/>
          <w:highlight w:val="none"/>
        </w:rPr>
        <w:t>第六条</w:t>
      </w:r>
      <w:r>
        <w:rPr>
          <w:rFonts w:hint="eastAsia" w:ascii="宋体" w:hAnsi="宋体"/>
          <w:sz w:val="21"/>
          <w:szCs w:val="21"/>
          <w:highlight w:val="none"/>
        </w:rPr>
        <w:t xml:space="preserve"> 工程安全文明施工实行履约保证金管理制度</w:t>
      </w:r>
    </w:p>
    <w:p>
      <w:pPr>
        <w:pStyle w:val="51"/>
        <w:autoSpaceDN w:val="0"/>
        <w:adjustRightInd w:val="0"/>
        <w:snapToGrid w:val="0"/>
        <w:spacing w:line="360" w:lineRule="auto"/>
        <w:ind w:firstLine="365" w:firstLineChars="174"/>
        <w:rPr>
          <w:rFonts w:ascii="宋体" w:hAnsi="宋体"/>
          <w:sz w:val="21"/>
          <w:szCs w:val="21"/>
          <w:highlight w:val="none"/>
        </w:rPr>
      </w:pPr>
      <w:r>
        <w:rPr>
          <w:rFonts w:hint="eastAsia" w:ascii="宋体" w:hAnsi="宋体"/>
          <w:sz w:val="21"/>
          <w:szCs w:val="21"/>
          <w:highlight w:val="none"/>
        </w:rPr>
        <w:t>1、甲方不定时组织人员按照《建筑安全施工检查标准JGJ59-2011）》和《广州市建设工程文明施工管理规定》对乙方落实安全生产和文明施工措施进行检查评分，每个月评分一次，评分等级为不合格（综合分数低于60分）的在履约保证金扣罚5万/次；乙方隐瞒安全风险的，按评定不合格处理。</w:t>
      </w:r>
    </w:p>
    <w:p>
      <w:pPr>
        <w:autoSpaceDN w:val="0"/>
        <w:adjustRightInd w:val="0"/>
        <w:snapToGrid w:val="0"/>
        <w:spacing w:line="360" w:lineRule="auto"/>
        <w:ind w:firstLine="403" w:firstLineChars="192"/>
        <w:rPr>
          <w:rFonts w:ascii="宋体" w:hAnsi="宋体"/>
          <w:szCs w:val="21"/>
          <w:highlight w:val="none"/>
        </w:rPr>
      </w:pPr>
      <w:r>
        <w:rPr>
          <w:rFonts w:hint="eastAsia" w:ascii="宋体" w:hAnsi="宋体"/>
          <w:szCs w:val="21"/>
          <w:highlight w:val="none"/>
        </w:rPr>
        <w:t>2、履行承包合同期间，发生一起一般生产安全事故的，扣罚施工承包人</w:t>
      </w:r>
      <w:r>
        <w:rPr>
          <w:rFonts w:hint="eastAsia" w:ascii="宋体" w:hAnsi="宋体"/>
          <w:kern w:val="0"/>
          <w:szCs w:val="21"/>
          <w:highlight w:val="none"/>
        </w:rPr>
        <w:t>履约</w:t>
      </w:r>
      <w:r>
        <w:rPr>
          <w:rFonts w:hint="eastAsia" w:ascii="宋体" w:hAnsi="宋体"/>
          <w:szCs w:val="21"/>
          <w:highlight w:val="none"/>
        </w:rPr>
        <w:t>保证金10万元人民币；一个自然年度（1月1日至12月31日，下同）内发生两起及以上一般生产安全事故的，从第二起事故起，每起扣罚施工承包人</w:t>
      </w:r>
      <w:r>
        <w:rPr>
          <w:rFonts w:hint="eastAsia" w:ascii="宋体" w:hAnsi="宋体"/>
          <w:kern w:val="0"/>
          <w:szCs w:val="21"/>
          <w:highlight w:val="none"/>
        </w:rPr>
        <w:t>履约</w:t>
      </w:r>
      <w:r>
        <w:rPr>
          <w:rFonts w:hint="eastAsia" w:ascii="宋体" w:hAnsi="宋体"/>
          <w:szCs w:val="21"/>
          <w:highlight w:val="none"/>
        </w:rPr>
        <w:t>保证金20万元；发生较大及以上生产安全事故的，每起扣罚施工承包人</w:t>
      </w:r>
      <w:r>
        <w:rPr>
          <w:rFonts w:hint="eastAsia" w:ascii="宋体" w:hAnsi="宋体"/>
          <w:kern w:val="0"/>
          <w:szCs w:val="21"/>
          <w:highlight w:val="none"/>
        </w:rPr>
        <w:t>履约</w:t>
      </w:r>
      <w:r>
        <w:rPr>
          <w:rFonts w:hint="eastAsia" w:ascii="宋体" w:hAnsi="宋体"/>
          <w:szCs w:val="21"/>
          <w:highlight w:val="none"/>
        </w:rPr>
        <w:t>保证金50万元。</w:t>
      </w:r>
    </w:p>
    <w:p>
      <w:pPr>
        <w:autoSpaceDN w:val="0"/>
        <w:adjustRightInd w:val="0"/>
        <w:snapToGrid w:val="0"/>
        <w:spacing w:line="360" w:lineRule="auto"/>
        <w:ind w:firstLine="403" w:firstLineChars="192"/>
        <w:rPr>
          <w:rFonts w:ascii="宋体" w:hAnsi="宋体"/>
          <w:szCs w:val="21"/>
          <w:highlight w:val="none"/>
        </w:rPr>
      </w:pPr>
      <w:r>
        <w:rPr>
          <w:rFonts w:hint="eastAsia" w:ascii="宋体" w:hAnsi="宋体"/>
          <w:szCs w:val="21"/>
          <w:highlight w:val="none"/>
        </w:rPr>
        <w:t>3、甲方每季度对施工承包人安全文明施工情况进行评价，并将评价结果录入市水务局诚信系统。</w:t>
      </w:r>
    </w:p>
    <w:p>
      <w:pPr>
        <w:autoSpaceDN w:val="0"/>
        <w:adjustRightInd w:val="0"/>
        <w:snapToGrid w:val="0"/>
        <w:spacing w:line="360" w:lineRule="auto"/>
        <w:ind w:firstLine="413" w:firstLineChars="196"/>
        <w:rPr>
          <w:rFonts w:ascii="宋体" w:hAnsi="宋体"/>
          <w:szCs w:val="21"/>
          <w:highlight w:val="none"/>
        </w:rPr>
      </w:pPr>
      <w:r>
        <w:rPr>
          <w:rFonts w:hint="eastAsia" w:ascii="宋体" w:hAnsi="宋体"/>
          <w:b/>
          <w:szCs w:val="21"/>
          <w:highlight w:val="none"/>
        </w:rPr>
        <w:t>第七条</w:t>
      </w:r>
      <w:r>
        <w:rPr>
          <w:rFonts w:hint="eastAsia" w:ascii="宋体" w:hAnsi="宋体"/>
          <w:szCs w:val="21"/>
          <w:highlight w:val="none"/>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pStyle w:val="57"/>
        <w:snapToGrid w:val="0"/>
        <w:spacing w:before="0" w:after="0"/>
        <w:ind w:left="586" w:leftChars="279"/>
        <w:rPr>
          <w:b/>
          <w:bCs/>
          <w:sz w:val="21"/>
          <w:szCs w:val="21"/>
          <w:highlight w:val="none"/>
        </w:rPr>
      </w:pPr>
      <w:r>
        <w:rPr>
          <w:rFonts w:hint="eastAsia"/>
          <w:b/>
          <w:bCs/>
          <w:sz w:val="21"/>
          <w:szCs w:val="21"/>
          <w:highlight w:val="none"/>
        </w:rPr>
        <w:t xml:space="preserve">第八条  </w:t>
      </w:r>
      <w:r>
        <w:rPr>
          <w:rFonts w:hint="eastAsia"/>
          <w:bCs/>
          <w:sz w:val="21"/>
          <w:szCs w:val="21"/>
          <w:highlight w:val="none"/>
        </w:rPr>
        <w:t>安全风险因素辨识和评估及安全交底</w:t>
      </w:r>
    </w:p>
    <w:p>
      <w:pPr>
        <w:pStyle w:val="57"/>
        <w:snapToGrid w:val="0"/>
        <w:spacing w:before="0" w:after="0"/>
        <w:ind w:firstLine="367" w:firstLineChars="175"/>
        <w:rPr>
          <w:bCs/>
          <w:sz w:val="21"/>
          <w:szCs w:val="21"/>
          <w:highlight w:val="none"/>
        </w:rPr>
      </w:pPr>
      <w:r>
        <w:rPr>
          <w:rFonts w:hint="eastAsia"/>
          <w:bCs/>
          <w:sz w:val="21"/>
          <w:szCs w:val="21"/>
          <w:highlight w:val="none"/>
        </w:rPr>
        <w:t>1、开工前，乙方应提交工程项目安全风险因素辨识和评估报告作为申请开工令的材料，该报告应根据具体项目以列表形式详细列出本项目可能的安全风险因素，并提出切实可行的安全防控措施；</w:t>
      </w:r>
    </w:p>
    <w:p>
      <w:pPr>
        <w:pStyle w:val="57"/>
        <w:snapToGrid w:val="0"/>
        <w:spacing w:before="0" w:after="0"/>
        <w:ind w:firstLine="367" w:firstLineChars="175"/>
        <w:rPr>
          <w:bCs/>
          <w:sz w:val="21"/>
          <w:szCs w:val="21"/>
          <w:highlight w:val="none"/>
        </w:rPr>
      </w:pPr>
      <w:r>
        <w:rPr>
          <w:rFonts w:hint="eastAsia"/>
          <w:bCs/>
          <w:sz w:val="21"/>
          <w:szCs w:val="21"/>
          <w:highlight w:val="none"/>
        </w:rPr>
        <w:t>2、乙方应该在项目安全风险因素辨识和评估报告的基础上，编制项目安全文明费的投入计划；</w:t>
      </w:r>
    </w:p>
    <w:p>
      <w:pPr>
        <w:pStyle w:val="57"/>
        <w:snapToGrid w:val="0"/>
        <w:spacing w:before="0" w:after="0"/>
        <w:ind w:firstLine="367" w:firstLineChars="175"/>
        <w:rPr>
          <w:bCs/>
          <w:sz w:val="21"/>
          <w:szCs w:val="21"/>
          <w:highlight w:val="none"/>
        </w:rPr>
      </w:pPr>
      <w:r>
        <w:rPr>
          <w:rFonts w:hint="eastAsia"/>
          <w:bCs/>
          <w:sz w:val="21"/>
          <w:szCs w:val="21"/>
          <w:highlight w:val="none"/>
        </w:rPr>
        <w:t>3、在开工前由甲方组织召开工程安全交底会议，参加人员包括甲方代表、甲方工程安全管理人员，乙方项目管理机构全体成员，乙方安全员、乙方施工班组长和作业人员、监理公司总监理工程师、工程安全监理工程师等；</w:t>
      </w:r>
    </w:p>
    <w:p>
      <w:pPr>
        <w:pStyle w:val="57"/>
        <w:snapToGrid w:val="0"/>
        <w:spacing w:before="0" w:after="0"/>
        <w:ind w:left="866" w:leftChars="304" w:hanging="228" w:hangingChars="108"/>
        <w:rPr>
          <w:b/>
          <w:bCs/>
          <w:sz w:val="21"/>
          <w:szCs w:val="21"/>
          <w:highlight w:val="none"/>
        </w:rPr>
      </w:pPr>
      <w:r>
        <w:rPr>
          <w:rFonts w:hint="eastAsia"/>
          <w:b/>
          <w:bCs/>
          <w:sz w:val="21"/>
          <w:szCs w:val="21"/>
          <w:highlight w:val="none"/>
        </w:rPr>
        <w:t xml:space="preserve">第九条  </w:t>
      </w:r>
      <w:r>
        <w:rPr>
          <w:rFonts w:hint="eastAsia"/>
          <w:bCs/>
          <w:sz w:val="21"/>
          <w:szCs w:val="21"/>
          <w:highlight w:val="none"/>
        </w:rPr>
        <w:t>安全预报和安全约谈</w:t>
      </w:r>
    </w:p>
    <w:p>
      <w:pPr>
        <w:pStyle w:val="57"/>
        <w:snapToGrid w:val="0"/>
        <w:spacing w:before="0" w:after="0"/>
        <w:ind w:firstLine="472" w:firstLineChars="225"/>
        <w:rPr>
          <w:bCs/>
          <w:sz w:val="21"/>
          <w:szCs w:val="21"/>
          <w:highlight w:val="none"/>
        </w:rPr>
      </w:pPr>
      <w:r>
        <w:rPr>
          <w:rFonts w:hint="eastAsia"/>
          <w:bCs/>
          <w:sz w:val="21"/>
          <w:szCs w:val="21"/>
          <w:highlight w:val="none"/>
        </w:rPr>
        <w:t>1、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pPr>
        <w:pStyle w:val="51"/>
        <w:autoSpaceDN w:val="0"/>
        <w:adjustRightInd w:val="0"/>
        <w:snapToGrid w:val="0"/>
        <w:spacing w:line="360" w:lineRule="auto"/>
        <w:ind w:firstLine="365" w:firstLineChars="174"/>
        <w:rPr>
          <w:rFonts w:ascii="宋体" w:hAnsi="宋体"/>
          <w:sz w:val="21"/>
          <w:szCs w:val="21"/>
          <w:highlight w:val="none"/>
        </w:rPr>
      </w:pPr>
      <w:r>
        <w:rPr>
          <w:rFonts w:hint="eastAsia" w:ascii="宋体" w:hAnsi="宋体"/>
          <w:sz w:val="21"/>
          <w:szCs w:val="21"/>
          <w:highlight w:val="none"/>
        </w:rPr>
        <w:t>2、除了开工前的安全交底外，在项目实施过程中，甲方在认为必要时，有权约集乙方及监理单位有关人员进行安全约谈，范围包括并不限于乙方本部安全责任人、现场安全负责人、安全员、施工班组长及监理单位有关人员等。乙方在接到约谈通知后，应根据甲方要求安排有关人员至指定的地点参加。</w:t>
      </w:r>
    </w:p>
    <w:p>
      <w:pPr>
        <w:pStyle w:val="57"/>
        <w:snapToGrid w:val="0"/>
        <w:spacing w:before="0" w:after="0"/>
        <w:rPr>
          <w:b/>
          <w:sz w:val="21"/>
          <w:szCs w:val="21"/>
          <w:highlight w:val="none"/>
        </w:rPr>
      </w:pPr>
      <w:r>
        <w:rPr>
          <w:rFonts w:hint="eastAsia"/>
          <w:b/>
          <w:sz w:val="21"/>
          <w:szCs w:val="21"/>
          <w:highlight w:val="none"/>
        </w:rPr>
        <w:t xml:space="preserve">　　第十条  </w:t>
      </w:r>
      <w:r>
        <w:rPr>
          <w:rFonts w:hint="eastAsia"/>
          <w:sz w:val="21"/>
          <w:szCs w:val="21"/>
          <w:highlight w:val="none"/>
        </w:rPr>
        <w:t>事故处理</w:t>
      </w:r>
    </w:p>
    <w:p>
      <w:pPr>
        <w:pStyle w:val="57"/>
        <w:snapToGrid w:val="0"/>
        <w:spacing w:before="0" w:after="0"/>
        <w:rPr>
          <w:sz w:val="21"/>
          <w:szCs w:val="21"/>
          <w:highlight w:val="none"/>
        </w:rPr>
      </w:pPr>
      <w:r>
        <w:rPr>
          <w:rFonts w:hint="eastAsia"/>
          <w:b/>
          <w:sz w:val="21"/>
          <w:szCs w:val="21"/>
          <w:highlight w:val="none"/>
        </w:rPr>
        <w:t>　</w:t>
      </w:r>
      <w:r>
        <w:rPr>
          <w:rFonts w:hint="eastAsia"/>
          <w:sz w:val="21"/>
          <w:szCs w:val="21"/>
          <w:highlight w:val="none"/>
        </w:rPr>
        <w:t>　1、发生重伤或死亡或直接经济损失100万元以上的安全生产事故，乙方施工项目部负责人应立即按规定向事故所在地安监部门、行业主管部门和广州市规定的相关政府部门报告，并同时统计上报甲方代表。</w:t>
      </w:r>
    </w:p>
    <w:p>
      <w:pPr>
        <w:pStyle w:val="57"/>
        <w:snapToGrid w:val="0"/>
        <w:spacing w:before="0" w:after="0"/>
        <w:rPr>
          <w:sz w:val="21"/>
          <w:szCs w:val="21"/>
          <w:highlight w:val="none"/>
        </w:rPr>
      </w:pPr>
      <w:r>
        <w:rPr>
          <w:rFonts w:hint="eastAsia"/>
          <w:sz w:val="21"/>
          <w:szCs w:val="21"/>
          <w:highlight w:val="none"/>
        </w:rPr>
        <w:t>　　2、发生生产安全事故的，</w:t>
      </w:r>
      <w:r>
        <w:rPr>
          <w:rFonts w:hint="eastAsia"/>
          <w:sz w:val="21"/>
          <w:szCs w:val="21"/>
          <w:highlight w:val="none"/>
          <w:shd w:val="solid" w:color="FFFFFF" w:fill="auto"/>
        </w:rPr>
        <w:t>事故发生单位负责人接到事故报告后，应当立即启动事故相应应急预案，或者采取有效措施，组织抢救，防止事故扩大，减少人员伤亡和财产损失。</w:t>
      </w:r>
    </w:p>
    <w:p>
      <w:pPr>
        <w:pStyle w:val="57"/>
        <w:snapToGrid w:val="0"/>
        <w:spacing w:before="0" w:after="0"/>
        <w:rPr>
          <w:sz w:val="21"/>
          <w:szCs w:val="21"/>
          <w:highlight w:val="none"/>
        </w:rPr>
      </w:pPr>
      <w:r>
        <w:rPr>
          <w:rFonts w:hint="eastAsia"/>
          <w:sz w:val="21"/>
          <w:szCs w:val="21"/>
          <w:highlight w:val="none"/>
        </w:rPr>
        <w:t>　　3、乙方由于没有尽到自身安全责任，被认定为安全生产责任事故的，应承担违约责任。</w:t>
      </w:r>
    </w:p>
    <w:p>
      <w:pPr>
        <w:pStyle w:val="57"/>
        <w:snapToGrid w:val="0"/>
        <w:spacing w:before="0" w:after="0"/>
        <w:ind w:firstLine="367" w:firstLineChars="175"/>
        <w:rPr>
          <w:sz w:val="21"/>
          <w:szCs w:val="21"/>
          <w:highlight w:val="none"/>
        </w:rPr>
      </w:pPr>
      <w:r>
        <w:rPr>
          <w:rFonts w:hint="eastAsia"/>
          <w:sz w:val="21"/>
          <w:szCs w:val="21"/>
          <w:highlight w:val="none"/>
        </w:rPr>
        <w:t>4、对违章作业、冒险进入施工禁区及损坏安全防护设施、不按规定进行安全技术交底及组织施工造成伤亡事故的，应由乙方和事故责任者自己承担罚款及一切经济损失和刑事责任。</w:t>
      </w:r>
    </w:p>
    <w:p>
      <w:pPr>
        <w:pStyle w:val="57"/>
        <w:snapToGrid w:val="0"/>
        <w:spacing w:before="0" w:after="0"/>
        <w:ind w:firstLine="367" w:firstLineChars="175"/>
        <w:rPr>
          <w:sz w:val="21"/>
          <w:szCs w:val="21"/>
          <w:highlight w:val="none"/>
        </w:rPr>
      </w:pPr>
      <w:r>
        <w:rPr>
          <w:rFonts w:hint="eastAsia"/>
          <w:sz w:val="21"/>
          <w:szCs w:val="21"/>
          <w:highlight w:val="none"/>
        </w:rPr>
        <w:t>5、由于乙方原因发生安全生产事故，主管部门对甲方进行经济处罚的，乙方应承担甲方全部经济损失。</w:t>
      </w:r>
    </w:p>
    <w:p>
      <w:pPr>
        <w:pStyle w:val="57"/>
        <w:snapToGrid w:val="0"/>
        <w:spacing w:before="0" w:after="0"/>
        <w:ind w:firstLine="316" w:firstLineChars="150"/>
        <w:rPr>
          <w:sz w:val="21"/>
          <w:szCs w:val="21"/>
          <w:highlight w:val="none"/>
        </w:rPr>
      </w:pPr>
      <w:r>
        <w:rPr>
          <w:rFonts w:hint="eastAsia"/>
          <w:b/>
          <w:sz w:val="21"/>
          <w:szCs w:val="21"/>
          <w:highlight w:val="none"/>
        </w:rPr>
        <w:t xml:space="preserve">第十一条  </w:t>
      </w:r>
      <w:r>
        <w:rPr>
          <w:rFonts w:hint="eastAsia"/>
          <w:sz w:val="21"/>
          <w:szCs w:val="21"/>
          <w:highlight w:val="none"/>
        </w:rPr>
        <w:t>开工前，乙方应向甲方提供的安全管理网络体系资料包括但不限于：</w:t>
      </w:r>
    </w:p>
    <w:p>
      <w:pPr>
        <w:pStyle w:val="57"/>
        <w:snapToGrid w:val="0"/>
        <w:spacing w:before="0" w:after="0"/>
        <w:rPr>
          <w:sz w:val="21"/>
          <w:szCs w:val="21"/>
          <w:highlight w:val="none"/>
        </w:rPr>
      </w:pPr>
      <w:r>
        <w:rPr>
          <w:rFonts w:hint="eastAsia"/>
          <w:sz w:val="21"/>
          <w:szCs w:val="21"/>
          <w:highlight w:val="none"/>
        </w:rPr>
        <w:t>　　1、安全管理网络图;</w:t>
      </w:r>
    </w:p>
    <w:p>
      <w:pPr>
        <w:pStyle w:val="57"/>
        <w:snapToGrid w:val="0"/>
        <w:spacing w:before="0" w:after="0"/>
        <w:rPr>
          <w:sz w:val="21"/>
          <w:szCs w:val="21"/>
          <w:highlight w:val="none"/>
        </w:rPr>
      </w:pPr>
      <w:r>
        <w:rPr>
          <w:rFonts w:hint="eastAsia"/>
          <w:sz w:val="21"/>
          <w:szCs w:val="21"/>
          <w:highlight w:val="none"/>
        </w:rPr>
        <w:t>　　2、人员配备情况;</w:t>
      </w:r>
    </w:p>
    <w:p>
      <w:pPr>
        <w:pStyle w:val="57"/>
        <w:snapToGrid w:val="0"/>
        <w:spacing w:before="0" w:after="0"/>
        <w:ind w:left="479" w:leftChars="228"/>
        <w:rPr>
          <w:sz w:val="21"/>
          <w:szCs w:val="21"/>
          <w:highlight w:val="none"/>
        </w:rPr>
      </w:pPr>
      <w:r>
        <w:rPr>
          <w:rFonts w:hint="eastAsia"/>
          <w:sz w:val="21"/>
          <w:szCs w:val="21"/>
          <w:highlight w:val="none"/>
        </w:rPr>
        <w:t>3、安全员名单;</w:t>
      </w:r>
    </w:p>
    <w:p>
      <w:pPr>
        <w:pStyle w:val="57"/>
        <w:snapToGrid w:val="0"/>
        <w:spacing w:before="0" w:after="0"/>
        <w:ind w:left="479" w:leftChars="228"/>
        <w:rPr>
          <w:sz w:val="21"/>
          <w:szCs w:val="21"/>
          <w:highlight w:val="none"/>
        </w:rPr>
      </w:pPr>
      <w:r>
        <w:rPr>
          <w:rFonts w:hint="eastAsia"/>
          <w:sz w:val="21"/>
          <w:szCs w:val="21"/>
          <w:highlight w:val="none"/>
        </w:rPr>
        <w:t>4、安全管理制度</w:t>
      </w:r>
    </w:p>
    <w:p>
      <w:pPr>
        <w:pStyle w:val="57"/>
        <w:snapToGrid w:val="0"/>
        <w:spacing w:before="0" w:after="0"/>
        <w:ind w:left="479" w:leftChars="228"/>
        <w:rPr>
          <w:sz w:val="21"/>
          <w:szCs w:val="21"/>
          <w:highlight w:val="none"/>
        </w:rPr>
      </w:pPr>
      <w:r>
        <w:rPr>
          <w:rFonts w:hint="eastAsia"/>
          <w:sz w:val="21"/>
          <w:szCs w:val="21"/>
          <w:highlight w:val="none"/>
        </w:rPr>
        <w:t>5、项目安全风险因素列表</w:t>
      </w:r>
    </w:p>
    <w:p>
      <w:pPr>
        <w:pStyle w:val="57"/>
        <w:snapToGrid w:val="0"/>
        <w:spacing w:before="0" w:after="0"/>
        <w:rPr>
          <w:b/>
          <w:sz w:val="21"/>
          <w:szCs w:val="21"/>
          <w:highlight w:val="none"/>
        </w:rPr>
      </w:pPr>
      <w:r>
        <w:rPr>
          <w:rFonts w:hint="eastAsia"/>
          <w:sz w:val="21"/>
          <w:szCs w:val="21"/>
          <w:highlight w:val="none"/>
        </w:rPr>
        <w:t xml:space="preserve">    6、甲方要求的其他资料</w:t>
      </w:r>
      <w:r>
        <w:rPr>
          <w:rFonts w:hint="eastAsia"/>
          <w:b/>
          <w:sz w:val="21"/>
          <w:szCs w:val="21"/>
          <w:highlight w:val="none"/>
        </w:rPr>
        <w:t>。</w:t>
      </w:r>
    </w:p>
    <w:p>
      <w:pPr>
        <w:snapToGrid w:val="0"/>
        <w:spacing w:line="360" w:lineRule="auto"/>
        <w:ind w:firstLine="417" w:firstLineChars="198"/>
        <w:rPr>
          <w:rFonts w:ascii="宋体" w:hAnsi="宋体"/>
          <w:szCs w:val="21"/>
          <w:highlight w:val="none"/>
        </w:rPr>
      </w:pPr>
      <w:r>
        <w:rPr>
          <w:rFonts w:hint="eastAsia" w:ascii="宋体" w:hAnsi="宋体"/>
          <w:b/>
          <w:szCs w:val="21"/>
          <w:highlight w:val="none"/>
        </w:rPr>
        <w:t>第十二条</w:t>
      </w:r>
      <w:r>
        <w:rPr>
          <w:rFonts w:hint="eastAsia" w:ascii="宋体" w:hAnsi="宋体"/>
          <w:szCs w:val="21"/>
          <w:highlight w:val="none"/>
        </w:rPr>
        <w:t xml:space="preserve"> 违约责任</w:t>
      </w:r>
    </w:p>
    <w:p>
      <w:pPr>
        <w:snapToGrid w:val="0"/>
        <w:spacing w:line="360" w:lineRule="auto"/>
        <w:rPr>
          <w:rFonts w:ascii="宋体" w:hAnsi="宋体"/>
          <w:szCs w:val="21"/>
          <w:highlight w:val="none"/>
        </w:rPr>
      </w:pPr>
      <w:r>
        <w:rPr>
          <w:rFonts w:hint="eastAsia" w:ascii="宋体" w:hAnsi="宋体"/>
          <w:szCs w:val="21"/>
          <w:highlight w:val="none"/>
        </w:rPr>
        <w:t xml:space="preserve">    本协议为主合同附件，与主合同具同等效力，违反本协议的，按违反主合同的约定执行。</w:t>
      </w:r>
    </w:p>
    <w:p>
      <w:pPr>
        <w:snapToGrid w:val="0"/>
        <w:spacing w:line="360" w:lineRule="auto"/>
        <w:ind w:firstLine="422" w:firstLineChars="200"/>
        <w:rPr>
          <w:rFonts w:ascii="宋体" w:hAnsi="宋体"/>
          <w:szCs w:val="21"/>
          <w:highlight w:val="none"/>
        </w:rPr>
      </w:pPr>
      <w:r>
        <w:rPr>
          <w:rFonts w:hint="eastAsia" w:ascii="宋体" w:hAnsi="宋体"/>
          <w:b/>
          <w:szCs w:val="21"/>
          <w:highlight w:val="none"/>
        </w:rPr>
        <w:t xml:space="preserve">第十三条  </w:t>
      </w:r>
      <w:r>
        <w:rPr>
          <w:rFonts w:hint="eastAsia" w:ascii="宋体" w:hAnsi="宋体"/>
          <w:szCs w:val="21"/>
          <w:highlight w:val="none"/>
        </w:rPr>
        <w:t>本协议一式陆份，甲乙双方签字生效，工程竣工验收后自动失效。</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未尽事宜，双方协商解决。</w:t>
      </w:r>
    </w:p>
    <w:p>
      <w:pPr>
        <w:snapToGrid w:val="0"/>
        <w:spacing w:line="360" w:lineRule="auto"/>
        <w:ind w:firstLine="420" w:firstLineChars="200"/>
        <w:rPr>
          <w:rFonts w:ascii="宋体" w:hAnsi="宋体"/>
          <w:szCs w:val="21"/>
          <w:highlight w:val="none"/>
        </w:rPr>
      </w:pPr>
      <w:r>
        <w:rPr>
          <w:rFonts w:hint="eastAsia" w:ascii="宋体" w:hAnsi="宋体"/>
          <w:szCs w:val="21"/>
          <w:highlight w:val="none"/>
        </w:rPr>
        <w:t>附表：文明施工检查评分标准表</w:t>
      </w:r>
    </w:p>
    <w:p>
      <w:pPr>
        <w:snapToGrid w:val="0"/>
        <w:spacing w:line="360" w:lineRule="auto"/>
        <w:ind w:firstLine="420" w:firstLineChars="200"/>
        <w:outlineLvl w:val="0"/>
        <w:rPr>
          <w:rFonts w:ascii="宋体" w:hAnsi="宋体"/>
          <w:szCs w:val="21"/>
          <w:highlight w:val="none"/>
        </w:rPr>
      </w:pPr>
    </w:p>
    <w:p>
      <w:pPr>
        <w:snapToGrid w:val="0"/>
        <w:spacing w:line="360" w:lineRule="auto"/>
        <w:ind w:firstLine="420" w:firstLineChars="200"/>
        <w:outlineLvl w:val="0"/>
        <w:rPr>
          <w:rFonts w:ascii="宋体" w:hAnsi="宋体"/>
          <w:szCs w:val="21"/>
          <w:highlight w:val="none"/>
        </w:rPr>
      </w:pPr>
    </w:p>
    <w:p>
      <w:pPr>
        <w:spacing w:line="360" w:lineRule="auto"/>
        <w:ind w:firstLine="315" w:firstLineChars="150"/>
        <w:rPr>
          <w:rFonts w:ascii="宋体" w:hAnsi="宋体" w:cs="Arial"/>
          <w:kern w:val="0"/>
          <w:szCs w:val="21"/>
          <w:highlight w:val="none"/>
        </w:rPr>
      </w:pPr>
      <w:r>
        <w:rPr>
          <w:rFonts w:hint="eastAsia" w:ascii="宋体" w:hAnsi="宋体" w:cs="Arial"/>
          <w:kern w:val="0"/>
          <w:szCs w:val="21"/>
          <w:highlight w:val="none"/>
        </w:rPr>
        <w:t>甲 方：</w:t>
      </w:r>
      <w:r>
        <w:rPr>
          <w:rFonts w:hint="eastAsia" w:ascii="宋体" w:hAnsi="宋体" w:cs="Arial"/>
          <w:kern w:val="0"/>
          <w:szCs w:val="21"/>
          <w:highlight w:val="none"/>
          <w:lang w:val="zh-CN"/>
        </w:rPr>
        <w:t>广州市海珠区河涌管理所</w:t>
      </w:r>
    </w:p>
    <w:p>
      <w:pPr>
        <w:spacing w:line="360" w:lineRule="auto"/>
        <w:ind w:firstLine="315" w:firstLineChars="150"/>
        <w:rPr>
          <w:rFonts w:ascii="宋体" w:hAnsi="宋体" w:cs="Arial"/>
          <w:kern w:val="0"/>
          <w:szCs w:val="21"/>
          <w:highlight w:val="none"/>
        </w:rPr>
      </w:pPr>
    </w:p>
    <w:p>
      <w:pPr>
        <w:spacing w:line="360" w:lineRule="auto"/>
        <w:ind w:firstLine="315" w:firstLineChars="150"/>
        <w:rPr>
          <w:rFonts w:ascii="宋体" w:hAnsi="宋体" w:cs="Arial"/>
          <w:kern w:val="0"/>
          <w:szCs w:val="21"/>
          <w:highlight w:val="none"/>
        </w:rPr>
      </w:pPr>
      <w:r>
        <w:rPr>
          <w:rFonts w:hint="eastAsia" w:ascii="宋体" w:hAnsi="宋体" w:cs="Arial"/>
          <w:kern w:val="0"/>
          <w:szCs w:val="21"/>
          <w:highlight w:val="none"/>
        </w:rPr>
        <w:t xml:space="preserve">法定代表人（签章）：             日期： </w:t>
      </w:r>
    </w:p>
    <w:p>
      <w:pPr>
        <w:spacing w:line="360" w:lineRule="auto"/>
        <w:ind w:firstLine="315" w:firstLineChars="150"/>
        <w:rPr>
          <w:rFonts w:ascii="宋体" w:hAnsi="宋体" w:cs="Arial"/>
          <w:kern w:val="0"/>
          <w:szCs w:val="21"/>
          <w:highlight w:val="none"/>
        </w:rPr>
      </w:pPr>
    </w:p>
    <w:p>
      <w:pPr>
        <w:spacing w:line="360" w:lineRule="auto"/>
        <w:ind w:firstLine="315" w:firstLineChars="150"/>
        <w:rPr>
          <w:rFonts w:ascii="宋体" w:hAnsi="宋体" w:cs="Arial"/>
          <w:kern w:val="0"/>
          <w:szCs w:val="21"/>
          <w:highlight w:val="none"/>
        </w:rPr>
      </w:pPr>
      <w:r>
        <w:rPr>
          <w:rFonts w:hint="eastAsia" w:ascii="宋体" w:hAnsi="宋体" w:cs="Arial"/>
          <w:kern w:val="0"/>
          <w:szCs w:val="21"/>
          <w:highlight w:val="none"/>
        </w:rPr>
        <w:t xml:space="preserve">项目负责人：                     日期： </w:t>
      </w:r>
    </w:p>
    <w:p>
      <w:pPr>
        <w:spacing w:line="360" w:lineRule="auto"/>
        <w:ind w:firstLine="315" w:firstLineChars="150"/>
        <w:rPr>
          <w:rFonts w:ascii="宋体" w:hAnsi="宋体" w:cs="Arial"/>
          <w:kern w:val="0"/>
          <w:szCs w:val="21"/>
          <w:highlight w:val="none"/>
        </w:rPr>
      </w:pPr>
    </w:p>
    <w:p>
      <w:pPr>
        <w:spacing w:line="360" w:lineRule="auto"/>
        <w:ind w:firstLine="315" w:firstLineChars="150"/>
        <w:rPr>
          <w:rFonts w:ascii="宋体" w:hAnsi="宋体" w:cs="Arial"/>
          <w:kern w:val="0"/>
          <w:szCs w:val="21"/>
          <w:highlight w:val="none"/>
        </w:rPr>
      </w:pPr>
    </w:p>
    <w:p>
      <w:pPr>
        <w:spacing w:line="360" w:lineRule="auto"/>
        <w:ind w:firstLine="210" w:firstLineChars="100"/>
        <w:rPr>
          <w:rFonts w:ascii="宋体" w:hAnsi="宋体" w:cs="Arial"/>
          <w:kern w:val="0"/>
          <w:szCs w:val="21"/>
          <w:highlight w:val="none"/>
          <w:lang w:val="zh-CN"/>
        </w:rPr>
      </w:pPr>
      <w:r>
        <w:rPr>
          <w:rFonts w:hint="eastAsia" w:ascii="宋体" w:hAnsi="宋体" w:cs="Arial"/>
          <w:kern w:val="0"/>
          <w:szCs w:val="21"/>
          <w:highlight w:val="none"/>
          <w:lang w:val="zh-CN"/>
        </w:rPr>
        <w:t>乙 方：</w:t>
      </w:r>
    </w:p>
    <w:p>
      <w:pPr>
        <w:spacing w:line="360" w:lineRule="auto"/>
        <w:ind w:firstLine="315" w:firstLineChars="150"/>
        <w:rPr>
          <w:rFonts w:ascii="宋体" w:hAnsi="宋体" w:cs="Arial"/>
          <w:kern w:val="0"/>
          <w:szCs w:val="21"/>
          <w:highlight w:val="none"/>
        </w:rPr>
      </w:pPr>
    </w:p>
    <w:p>
      <w:pPr>
        <w:spacing w:line="360" w:lineRule="auto"/>
        <w:ind w:firstLine="210" w:firstLineChars="100"/>
        <w:rPr>
          <w:rFonts w:ascii="宋体" w:hAnsi="宋体" w:cs="Arial"/>
          <w:kern w:val="0"/>
          <w:szCs w:val="21"/>
          <w:highlight w:val="none"/>
        </w:rPr>
      </w:pPr>
      <w:r>
        <w:rPr>
          <w:rFonts w:hint="eastAsia" w:ascii="宋体" w:hAnsi="宋体" w:cs="Arial"/>
          <w:kern w:val="0"/>
          <w:szCs w:val="21"/>
          <w:highlight w:val="none"/>
        </w:rPr>
        <w:t>法定代表人（签章）：             日期：</w:t>
      </w:r>
    </w:p>
    <w:p>
      <w:pPr>
        <w:spacing w:line="360" w:lineRule="auto"/>
        <w:ind w:firstLine="210" w:firstLineChars="100"/>
        <w:rPr>
          <w:rFonts w:ascii="宋体" w:hAnsi="宋体" w:cs="Arial"/>
          <w:kern w:val="0"/>
          <w:szCs w:val="21"/>
          <w:highlight w:val="none"/>
        </w:rPr>
      </w:pPr>
    </w:p>
    <w:p>
      <w:pPr>
        <w:spacing w:line="360" w:lineRule="auto"/>
        <w:ind w:firstLine="210" w:firstLineChars="100"/>
        <w:rPr>
          <w:rFonts w:ascii="宋体" w:hAnsi="宋体" w:cs="Arial"/>
          <w:kern w:val="0"/>
          <w:szCs w:val="21"/>
          <w:highlight w:val="none"/>
        </w:rPr>
      </w:pPr>
      <w:r>
        <w:rPr>
          <w:rFonts w:hint="eastAsia" w:ascii="宋体" w:hAnsi="宋体"/>
          <w:szCs w:val="21"/>
          <w:highlight w:val="none"/>
        </w:rPr>
        <w:t xml:space="preserve">项目负责人：                   </w:t>
      </w:r>
      <w:r>
        <w:rPr>
          <w:rFonts w:hint="eastAsia" w:ascii="宋体" w:hAnsi="宋体" w:cs="Arial"/>
          <w:kern w:val="0"/>
          <w:szCs w:val="21"/>
          <w:highlight w:val="none"/>
        </w:rPr>
        <w:t>日期：</w:t>
      </w:r>
    </w:p>
    <w:p>
      <w:pPr>
        <w:ind w:firstLine="210" w:firstLineChars="100"/>
        <w:rPr>
          <w:rFonts w:ascii="宋体" w:hAnsi="宋体"/>
          <w:szCs w:val="21"/>
          <w:highlight w:val="none"/>
        </w:rPr>
      </w:pPr>
    </w:p>
    <w:p>
      <w:pPr>
        <w:spacing w:beforeLines="50" w:line="580" w:lineRule="exact"/>
        <w:ind w:firstLine="105" w:firstLineChars="50"/>
        <w:outlineLvl w:val="1"/>
        <w:rPr>
          <w:rFonts w:ascii="宋体" w:hAnsi="宋体"/>
          <w:b/>
          <w:sz w:val="24"/>
          <w:highlight w:val="none"/>
        </w:rPr>
      </w:pPr>
      <w:r>
        <w:rPr>
          <w:rFonts w:ascii="宋体" w:hAnsi="宋体"/>
          <w:szCs w:val="21"/>
          <w:highlight w:val="none"/>
        </w:rPr>
        <w:br w:type="page"/>
      </w:r>
      <w:bookmarkStart w:id="1348" w:name="_Toc354042318"/>
      <w:bookmarkStart w:id="1349" w:name="_Toc354050795"/>
      <w:r>
        <w:rPr>
          <w:rFonts w:hint="eastAsia" w:ascii="宋体" w:hAnsi="宋体"/>
          <w:b/>
          <w:sz w:val="24"/>
          <w:highlight w:val="none"/>
        </w:rPr>
        <w:t>附件七：工程变更报审表格式</w:t>
      </w:r>
      <w:bookmarkEnd w:id="1348"/>
      <w:bookmarkEnd w:id="1349"/>
    </w:p>
    <w:p>
      <w:pPr>
        <w:spacing w:beforeLines="80" w:afterLines="100" w:line="400" w:lineRule="exact"/>
        <w:jc w:val="center"/>
        <w:rPr>
          <w:rFonts w:ascii="宋体" w:hAnsi="宋体"/>
          <w:b/>
          <w:sz w:val="32"/>
          <w:szCs w:val="32"/>
          <w:highlight w:val="none"/>
        </w:rPr>
      </w:pPr>
      <w:r>
        <w:rPr>
          <w:rFonts w:hint="eastAsia" w:ascii="宋体" w:hAnsi="宋体"/>
          <w:b/>
          <w:sz w:val="32"/>
          <w:szCs w:val="32"/>
          <w:highlight w:val="none"/>
        </w:rPr>
        <w:t>工程变更报审表</w:t>
      </w:r>
    </w:p>
    <w:p>
      <w:pPr>
        <w:spacing w:beforeLines="100"/>
        <w:rPr>
          <w:rFonts w:ascii="宋体" w:hAnsi="宋体"/>
          <w:szCs w:val="21"/>
          <w:highlight w:val="none"/>
        </w:rPr>
      </w:pPr>
      <w:r>
        <w:rPr>
          <w:rFonts w:hint="eastAsia" w:ascii="宋体" w:hAnsi="宋体"/>
          <w:szCs w:val="21"/>
          <w:highlight w:val="none"/>
        </w:rPr>
        <w:t>工程名称：　　　　　　　　　　　　　　　　　　　　　　　　        编号：</w:t>
      </w:r>
    </w:p>
    <w:tbl>
      <w:tblPr>
        <w:tblStyle w:val="6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1710"/>
        <w:gridCol w:w="153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1" w:hRule="atLeast"/>
          <w:jc w:val="center"/>
        </w:trPr>
        <w:tc>
          <w:tcPr>
            <w:tcW w:w="9900" w:type="dxa"/>
            <w:gridSpan w:val="4"/>
          </w:tcPr>
          <w:p>
            <w:pPr>
              <w:spacing w:line="400" w:lineRule="exact"/>
              <w:rPr>
                <w:rFonts w:ascii="宋体" w:hAnsi="宋体"/>
                <w:szCs w:val="21"/>
                <w:highlight w:val="none"/>
              </w:rPr>
            </w:pPr>
            <w:r>
              <w:rPr>
                <w:rFonts w:hint="eastAsia" w:ascii="宋体" w:hAnsi="宋体"/>
                <w:szCs w:val="21"/>
                <w:highlight w:val="none"/>
              </w:rPr>
              <w:t>致：　　　　　　　　　　　　　　　　　　　　　　（监理单位全称）</w:t>
            </w:r>
          </w:p>
          <w:p>
            <w:pPr>
              <w:spacing w:line="400" w:lineRule="exact"/>
              <w:ind w:firstLine="480"/>
              <w:rPr>
                <w:rFonts w:ascii="宋体" w:hAnsi="宋体"/>
                <w:szCs w:val="21"/>
                <w:highlight w:val="none"/>
              </w:rPr>
            </w:pPr>
            <w:r>
              <w:rPr>
                <w:rFonts w:hint="eastAsia" w:ascii="宋体" w:hAnsi="宋体"/>
                <w:szCs w:val="21"/>
                <w:highlight w:val="none"/>
              </w:rPr>
              <w:t>由于　　　　　　　　　　　　　　　　　　　　　　　　　　　　　　　　　原因，现提出</w:t>
            </w:r>
          </w:p>
          <w:p>
            <w:pPr>
              <w:spacing w:line="400" w:lineRule="exact"/>
              <w:rPr>
                <w:rFonts w:ascii="宋体" w:hAnsi="宋体"/>
                <w:szCs w:val="21"/>
                <w:highlight w:val="none"/>
              </w:rPr>
            </w:pPr>
            <w:r>
              <w:rPr>
                <w:rFonts w:hint="eastAsia" w:ascii="宋体" w:hAnsi="宋体"/>
                <w:szCs w:val="21"/>
                <w:highlight w:val="none"/>
              </w:rPr>
              <w:t>　　　　　　　　　　　　　　　　　　　　　　　　　　　　　　　　　　　　　　　　　　　</w:t>
            </w:r>
          </w:p>
          <w:p>
            <w:pPr>
              <w:spacing w:line="400" w:lineRule="exact"/>
              <w:rPr>
                <w:rFonts w:ascii="宋体" w:hAnsi="宋体"/>
                <w:szCs w:val="21"/>
                <w:highlight w:val="none"/>
              </w:rPr>
            </w:pPr>
            <w:r>
              <w:rPr>
                <w:rFonts w:hint="eastAsia" w:ascii="宋体" w:hAnsi="宋体"/>
                <w:szCs w:val="21"/>
                <w:highlight w:val="none"/>
              </w:rPr>
              <w:t>　　　　　　　　　工程变更（内容见附件），请予以审批。</w:t>
            </w:r>
          </w:p>
          <w:p>
            <w:pPr>
              <w:spacing w:line="400" w:lineRule="exact"/>
              <w:rPr>
                <w:rFonts w:ascii="宋体" w:hAnsi="宋体"/>
                <w:szCs w:val="21"/>
                <w:highlight w:val="none"/>
              </w:rPr>
            </w:pPr>
            <w:r>
              <w:rPr>
                <w:rFonts w:hint="eastAsia" w:ascii="宋体" w:hAnsi="宋体"/>
                <w:szCs w:val="21"/>
                <w:highlight w:val="none"/>
              </w:rPr>
              <w:t>附件：１.提出变更原因（必要时附图）；</w:t>
            </w:r>
          </w:p>
          <w:p>
            <w:pPr>
              <w:spacing w:line="400" w:lineRule="exact"/>
              <w:rPr>
                <w:rFonts w:ascii="宋体" w:hAnsi="宋体"/>
                <w:szCs w:val="21"/>
                <w:highlight w:val="none"/>
              </w:rPr>
            </w:pPr>
            <w:r>
              <w:rPr>
                <w:rFonts w:hint="eastAsia" w:ascii="宋体" w:hAnsi="宋体"/>
                <w:szCs w:val="21"/>
                <w:highlight w:val="none"/>
              </w:rPr>
              <w:t>　　　２.工程量增减计算书；</w:t>
            </w:r>
          </w:p>
          <w:p>
            <w:pPr>
              <w:spacing w:line="400" w:lineRule="exact"/>
              <w:rPr>
                <w:rFonts w:ascii="宋体" w:hAnsi="宋体"/>
                <w:szCs w:val="21"/>
                <w:highlight w:val="none"/>
              </w:rPr>
            </w:pPr>
            <w:r>
              <w:rPr>
                <w:rFonts w:hint="eastAsia" w:ascii="宋体" w:hAnsi="宋体"/>
                <w:szCs w:val="21"/>
                <w:highlight w:val="none"/>
              </w:rPr>
              <w:t>　　　３.工程变更价款报价单。</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　　　　　　　　　　　　　　　　　　　　　　　　　　　　　承包人（章）</w:t>
            </w:r>
          </w:p>
          <w:p>
            <w:pPr>
              <w:spacing w:line="400" w:lineRule="exact"/>
              <w:rPr>
                <w:rFonts w:ascii="宋体" w:hAnsi="宋体"/>
                <w:szCs w:val="21"/>
                <w:highlight w:val="none"/>
              </w:rPr>
            </w:pPr>
            <w:r>
              <w:rPr>
                <w:rFonts w:hint="eastAsia" w:ascii="宋体" w:hAnsi="宋体"/>
                <w:szCs w:val="21"/>
                <w:highlight w:val="none"/>
              </w:rPr>
              <w:t>　　　　　　　　　　　　　　　　　　　　　　　　　　　　　承包代表人　　　　　　　　</w:t>
            </w:r>
          </w:p>
          <w:p>
            <w:pPr>
              <w:spacing w:line="400" w:lineRule="exact"/>
              <w:rPr>
                <w:rFonts w:ascii="宋体" w:hAnsi="宋体"/>
                <w:szCs w:val="21"/>
                <w:highlight w:val="none"/>
              </w:rPr>
            </w:pPr>
            <w:r>
              <w:rPr>
                <w:rFonts w:hint="eastAsia" w:ascii="宋体" w:hAnsi="宋体"/>
                <w:szCs w:val="21"/>
                <w:highlight w:val="none"/>
              </w:rPr>
              <w:t>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atLeast"/>
          <w:jc w:val="center"/>
        </w:trPr>
        <w:tc>
          <w:tcPr>
            <w:tcW w:w="3240" w:type="dxa"/>
          </w:tcPr>
          <w:p>
            <w:pPr>
              <w:spacing w:line="400" w:lineRule="exact"/>
              <w:rPr>
                <w:rFonts w:ascii="宋体" w:hAnsi="宋体"/>
                <w:szCs w:val="21"/>
                <w:highlight w:val="none"/>
              </w:rPr>
            </w:pPr>
            <w:r>
              <w:rPr>
                <w:rFonts w:hint="eastAsia" w:ascii="宋体" w:hAnsi="宋体"/>
                <w:szCs w:val="21"/>
                <w:highlight w:val="none"/>
              </w:rPr>
              <w:t>复核意见：</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设计单位（章）</w:t>
            </w:r>
          </w:p>
          <w:p>
            <w:pPr>
              <w:spacing w:line="400" w:lineRule="exact"/>
              <w:rPr>
                <w:rFonts w:ascii="宋体" w:hAnsi="宋体"/>
                <w:szCs w:val="21"/>
                <w:highlight w:val="none"/>
              </w:rPr>
            </w:pPr>
            <w:r>
              <w:rPr>
                <w:rFonts w:hint="eastAsia" w:ascii="宋体" w:hAnsi="宋体"/>
                <w:szCs w:val="21"/>
                <w:highlight w:val="none"/>
              </w:rPr>
              <w:t>建筑师／结构师　　　　　　</w:t>
            </w:r>
          </w:p>
          <w:p>
            <w:pPr>
              <w:spacing w:line="400" w:lineRule="exact"/>
              <w:rPr>
                <w:rFonts w:ascii="宋体" w:hAnsi="宋体"/>
                <w:szCs w:val="21"/>
                <w:highlight w:val="none"/>
              </w:rPr>
            </w:pPr>
            <w:r>
              <w:rPr>
                <w:rFonts w:hint="eastAsia" w:ascii="宋体" w:hAnsi="宋体"/>
                <w:szCs w:val="21"/>
                <w:highlight w:val="none"/>
              </w:rPr>
              <w:t>日　期　　　　　　　　　　</w:t>
            </w:r>
          </w:p>
        </w:tc>
        <w:tc>
          <w:tcPr>
            <w:tcW w:w="3240" w:type="dxa"/>
            <w:gridSpan w:val="2"/>
          </w:tcPr>
          <w:p>
            <w:pPr>
              <w:spacing w:line="400" w:lineRule="exact"/>
              <w:rPr>
                <w:rFonts w:ascii="宋体" w:hAnsi="宋体"/>
                <w:szCs w:val="21"/>
                <w:highlight w:val="none"/>
              </w:rPr>
            </w:pPr>
            <w:r>
              <w:rPr>
                <w:rFonts w:hint="eastAsia" w:ascii="宋体" w:hAnsi="宋体"/>
                <w:szCs w:val="21"/>
                <w:highlight w:val="none"/>
              </w:rPr>
              <w:t>复核意见：</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监理单位（章）</w:t>
            </w:r>
          </w:p>
          <w:p>
            <w:pPr>
              <w:spacing w:line="400" w:lineRule="exact"/>
              <w:rPr>
                <w:rFonts w:ascii="宋体" w:hAnsi="宋体"/>
                <w:szCs w:val="21"/>
                <w:highlight w:val="none"/>
              </w:rPr>
            </w:pPr>
            <w:r>
              <w:rPr>
                <w:rFonts w:hint="eastAsia" w:ascii="宋体" w:hAnsi="宋体"/>
                <w:szCs w:val="21"/>
                <w:highlight w:val="none"/>
              </w:rPr>
              <w:t>监理工程师　　　　　　　</w:t>
            </w:r>
          </w:p>
          <w:p>
            <w:pPr>
              <w:widowControl/>
              <w:jc w:val="left"/>
              <w:rPr>
                <w:rFonts w:ascii="宋体" w:hAnsi="宋体"/>
                <w:szCs w:val="21"/>
                <w:highlight w:val="none"/>
              </w:rPr>
            </w:pPr>
            <w:r>
              <w:rPr>
                <w:rFonts w:hint="eastAsia" w:ascii="宋体" w:hAnsi="宋体"/>
                <w:szCs w:val="21"/>
                <w:highlight w:val="none"/>
              </w:rPr>
              <w:t>日　期　　　　　　　　　</w:t>
            </w:r>
          </w:p>
        </w:tc>
        <w:tc>
          <w:tcPr>
            <w:tcW w:w="3420" w:type="dxa"/>
          </w:tcPr>
          <w:p>
            <w:pPr>
              <w:spacing w:line="400" w:lineRule="exact"/>
              <w:rPr>
                <w:rFonts w:ascii="宋体" w:hAnsi="宋体"/>
                <w:szCs w:val="21"/>
                <w:highlight w:val="none"/>
              </w:rPr>
            </w:pPr>
            <w:r>
              <w:rPr>
                <w:rFonts w:hint="eastAsia" w:ascii="宋体" w:hAnsi="宋体"/>
                <w:szCs w:val="21"/>
                <w:highlight w:val="none"/>
              </w:rPr>
              <w:t>复核意见：</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造价咨询单位（章）</w:t>
            </w:r>
          </w:p>
          <w:p>
            <w:pPr>
              <w:spacing w:line="400" w:lineRule="exact"/>
              <w:rPr>
                <w:rFonts w:ascii="宋体" w:hAnsi="宋体"/>
                <w:szCs w:val="21"/>
                <w:highlight w:val="none"/>
              </w:rPr>
            </w:pPr>
            <w:r>
              <w:rPr>
                <w:rFonts w:hint="eastAsia" w:ascii="宋体" w:hAnsi="宋体"/>
                <w:szCs w:val="21"/>
                <w:highlight w:val="none"/>
              </w:rPr>
              <w:t>造价工程师　　　　　　　</w:t>
            </w:r>
          </w:p>
          <w:p>
            <w:pPr>
              <w:widowControl/>
              <w:jc w:val="left"/>
              <w:rPr>
                <w:rFonts w:ascii="宋体" w:hAnsi="宋体"/>
                <w:szCs w:val="21"/>
                <w:highlight w:val="none"/>
              </w:rPr>
            </w:pPr>
            <w:r>
              <w:rPr>
                <w:rFonts w:hint="eastAsia" w:ascii="宋体" w:hAnsi="宋体"/>
                <w:szCs w:val="21"/>
                <w:highlight w:val="none"/>
              </w:rPr>
              <w:t>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4950" w:type="dxa"/>
            <w:gridSpan w:val="2"/>
          </w:tcPr>
          <w:p>
            <w:pPr>
              <w:spacing w:line="400" w:lineRule="exact"/>
              <w:rPr>
                <w:rFonts w:ascii="宋体" w:hAnsi="宋体"/>
                <w:szCs w:val="21"/>
                <w:highlight w:val="none"/>
              </w:rPr>
            </w:pPr>
            <w:r>
              <w:rPr>
                <w:rFonts w:hint="eastAsia" w:ascii="宋体" w:hAnsi="宋体"/>
                <w:szCs w:val="21"/>
                <w:highlight w:val="none"/>
              </w:rPr>
              <w:t>审批意见：</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ind w:firstLine="2310" w:firstLineChars="1100"/>
              <w:rPr>
                <w:rFonts w:ascii="宋体" w:hAnsi="宋体"/>
                <w:szCs w:val="21"/>
                <w:highlight w:val="none"/>
              </w:rPr>
            </w:pPr>
            <w:r>
              <w:rPr>
                <w:rFonts w:hint="eastAsia" w:ascii="宋体" w:hAnsi="宋体"/>
                <w:szCs w:val="21"/>
                <w:highlight w:val="none"/>
              </w:rPr>
              <w:t>发包人（章）</w:t>
            </w:r>
          </w:p>
          <w:p>
            <w:pPr>
              <w:spacing w:line="400" w:lineRule="exact"/>
              <w:ind w:left="2205" w:hanging="2205" w:hangingChars="1050"/>
              <w:rPr>
                <w:rFonts w:ascii="宋体" w:hAnsi="宋体"/>
                <w:szCs w:val="21"/>
                <w:highlight w:val="none"/>
              </w:rPr>
            </w:pPr>
            <w:r>
              <w:rPr>
                <w:rFonts w:hint="eastAsia" w:ascii="宋体" w:hAnsi="宋体"/>
                <w:szCs w:val="21"/>
                <w:highlight w:val="none"/>
              </w:rPr>
              <w:t>　　　　　　　　　　　　　　　　　　　　　　　　　　　　　发包人代表　　　　　　　</w:t>
            </w:r>
          </w:p>
          <w:p>
            <w:pPr>
              <w:spacing w:line="400" w:lineRule="exact"/>
              <w:ind w:left="2205" w:hanging="2205" w:hangingChars="1050"/>
              <w:rPr>
                <w:rFonts w:ascii="宋体" w:hAnsi="宋体"/>
                <w:szCs w:val="21"/>
                <w:highlight w:val="none"/>
              </w:rPr>
            </w:pPr>
            <w:r>
              <w:rPr>
                <w:rFonts w:hint="eastAsia" w:ascii="宋体" w:hAnsi="宋体"/>
                <w:szCs w:val="21"/>
                <w:highlight w:val="none"/>
              </w:rPr>
              <w:t>　　　　　　　　　　　　　　　　　　　　　　　　　　　　　日　　　期　　　　　　　</w:t>
            </w:r>
          </w:p>
        </w:tc>
        <w:tc>
          <w:tcPr>
            <w:tcW w:w="4950" w:type="dxa"/>
            <w:gridSpan w:val="2"/>
          </w:tcPr>
          <w:p>
            <w:pPr>
              <w:spacing w:line="400" w:lineRule="exact"/>
              <w:rPr>
                <w:rFonts w:ascii="宋体" w:hAnsi="宋体"/>
                <w:szCs w:val="21"/>
                <w:highlight w:val="none"/>
              </w:rPr>
            </w:pPr>
            <w:r>
              <w:rPr>
                <w:rFonts w:hint="eastAsia" w:ascii="宋体" w:hAnsi="宋体"/>
                <w:szCs w:val="21"/>
                <w:highlight w:val="none"/>
              </w:rPr>
              <w:t>审批意见：</w:t>
            </w:r>
          </w:p>
          <w:p>
            <w:pPr>
              <w:spacing w:line="400" w:lineRule="exact"/>
              <w:rPr>
                <w:rFonts w:ascii="宋体" w:hAnsi="宋体"/>
                <w:szCs w:val="21"/>
                <w:highlight w:val="none"/>
              </w:rPr>
            </w:pPr>
            <w:r>
              <w:rPr>
                <w:rFonts w:hint="eastAsia" w:ascii="宋体" w:hAnsi="宋体"/>
                <w:szCs w:val="21"/>
                <w:highlight w:val="none"/>
              </w:rPr>
              <w:t>　</w:t>
            </w: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p>
          <w:p>
            <w:pPr>
              <w:spacing w:line="400" w:lineRule="exact"/>
              <w:rPr>
                <w:rFonts w:ascii="宋体" w:hAnsi="宋体"/>
                <w:szCs w:val="21"/>
                <w:highlight w:val="none"/>
              </w:rPr>
            </w:pPr>
            <w:r>
              <w:rPr>
                <w:rFonts w:hint="eastAsia" w:ascii="宋体" w:hAnsi="宋体"/>
                <w:szCs w:val="21"/>
                <w:highlight w:val="none"/>
              </w:rPr>
              <w:t>主管部门（章）</w:t>
            </w:r>
          </w:p>
          <w:p>
            <w:pPr>
              <w:spacing w:line="400" w:lineRule="exact"/>
              <w:rPr>
                <w:rFonts w:ascii="宋体" w:hAnsi="宋体"/>
                <w:szCs w:val="21"/>
                <w:highlight w:val="none"/>
              </w:rPr>
            </w:pPr>
            <w:r>
              <w:rPr>
                <w:rFonts w:hint="eastAsia" w:ascii="宋体" w:hAnsi="宋体"/>
                <w:szCs w:val="21"/>
                <w:highlight w:val="none"/>
              </w:rPr>
              <w:t>　　　　　　　　　　　　　　　　　　　　　　　　　　　　　　　　　　　　　　　　　　　　　　　　　　　　　　日　　　期　　　　　　　　　　　　　　　　　　　　　　　　　　　　　　　　</w:t>
            </w:r>
          </w:p>
        </w:tc>
      </w:tr>
    </w:tbl>
    <w:p>
      <w:pPr>
        <w:spacing w:line="300" w:lineRule="exact"/>
        <w:jc w:val="left"/>
        <w:rPr>
          <w:rFonts w:ascii="宋体" w:hAnsi="宋体"/>
          <w:szCs w:val="21"/>
          <w:highlight w:val="none"/>
        </w:rPr>
      </w:pPr>
      <w:r>
        <w:rPr>
          <w:rFonts w:hint="eastAsia" w:ascii="宋体" w:hAnsi="宋体"/>
          <w:szCs w:val="21"/>
          <w:highlight w:val="none"/>
        </w:rPr>
        <w:t>说明：本表一式六份，由承包人、设计单位、监理单位、造价咨询单位、发包人按合同规定程序填制，并按照规定报主管部门各存一份。</w:t>
      </w:r>
    </w:p>
    <w:p>
      <w:pPr>
        <w:spacing w:line="300" w:lineRule="exact"/>
        <w:jc w:val="left"/>
        <w:rPr>
          <w:rFonts w:ascii="宋体" w:hAnsi="宋体"/>
          <w:b/>
          <w:sz w:val="24"/>
          <w:highlight w:val="none"/>
        </w:rPr>
      </w:pPr>
      <w:r>
        <w:rPr>
          <w:rFonts w:hint="eastAsia" w:ascii="宋体" w:hAnsi="宋体"/>
          <w:b/>
          <w:sz w:val="24"/>
          <w:highlight w:val="none"/>
        </w:rPr>
        <w:t>附件八：工程安全、文明施工检查项目表</w:t>
      </w:r>
    </w:p>
    <w:p>
      <w:pPr>
        <w:spacing w:line="300" w:lineRule="exact"/>
        <w:jc w:val="left"/>
        <w:rPr>
          <w:rFonts w:ascii="宋体" w:hAnsi="宋体"/>
          <w:szCs w:val="21"/>
          <w:highlight w:val="none"/>
        </w:rPr>
      </w:pPr>
    </w:p>
    <w:p>
      <w:pPr>
        <w:snapToGrid w:val="0"/>
        <w:spacing w:line="360" w:lineRule="auto"/>
        <w:jc w:val="center"/>
        <w:rPr>
          <w:rFonts w:ascii="宋体" w:hAnsi="宋体"/>
          <w:b/>
          <w:sz w:val="24"/>
          <w:highlight w:val="none"/>
        </w:rPr>
      </w:pPr>
      <w:r>
        <w:rPr>
          <w:rFonts w:hint="eastAsia" w:ascii="宋体" w:hAnsi="宋体"/>
          <w:b/>
          <w:sz w:val="24"/>
          <w:highlight w:val="none"/>
        </w:rPr>
        <w:t>工程安全生产、文明施工检查项目表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48"/>
        <w:gridCol w:w="1980"/>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648" w:type="dxa"/>
            <w:vAlign w:val="center"/>
          </w:tcPr>
          <w:p>
            <w:pPr>
              <w:jc w:val="center"/>
              <w:rPr>
                <w:rFonts w:ascii="宋体" w:hAnsi="宋体"/>
                <w:b/>
                <w:szCs w:val="21"/>
                <w:highlight w:val="none"/>
              </w:rPr>
            </w:pPr>
            <w:r>
              <w:rPr>
                <w:rFonts w:hint="eastAsia" w:ascii="宋体" w:hAnsi="宋体"/>
                <w:b/>
                <w:szCs w:val="21"/>
                <w:highlight w:val="none"/>
              </w:rPr>
              <w:t>序号</w:t>
            </w:r>
          </w:p>
        </w:tc>
        <w:tc>
          <w:tcPr>
            <w:tcW w:w="1980" w:type="dxa"/>
            <w:vAlign w:val="center"/>
          </w:tcPr>
          <w:p>
            <w:pPr>
              <w:jc w:val="center"/>
              <w:rPr>
                <w:rFonts w:ascii="宋体" w:hAnsi="宋体"/>
                <w:b/>
                <w:szCs w:val="21"/>
                <w:highlight w:val="none"/>
              </w:rPr>
            </w:pPr>
            <w:r>
              <w:rPr>
                <w:rFonts w:hint="eastAsia" w:ascii="宋体" w:hAnsi="宋体"/>
                <w:b/>
                <w:szCs w:val="21"/>
                <w:highlight w:val="none"/>
              </w:rPr>
              <w:t>检查项目</w:t>
            </w:r>
          </w:p>
        </w:tc>
        <w:tc>
          <w:tcPr>
            <w:tcW w:w="5580" w:type="dxa"/>
            <w:vAlign w:val="center"/>
          </w:tcPr>
          <w:p>
            <w:pPr>
              <w:jc w:val="center"/>
              <w:rPr>
                <w:rFonts w:ascii="宋体" w:hAnsi="宋体"/>
                <w:b/>
                <w:szCs w:val="21"/>
                <w:highlight w:val="none"/>
              </w:rPr>
            </w:pPr>
            <w:r>
              <w:rPr>
                <w:rFonts w:hint="eastAsia" w:ascii="宋体" w:hAnsi="宋体"/>
                <w:b/>
                <w:szCs w:val="21"/>
                <w:highlight w:val="none"/>
              </w:rPr>
              <w:t>检查标准及内容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1</w:t>
            </w:r>
          </w:p>
        </w:tc>
        <w:tc>
          <w:tcPr>
            <w:tcW w:w="1980" w:type="dxa"/>
            <w:vMerge w:val="restart"/>
            <w:vAlign w:val="center"/>
          </w:tcPr>
          <w:p>
            <w:pPr>
              <w:jc w:val="center"/>
              <w:rPr>
                <w:rFonts w:ascii="宋体" w:hAnsi="宋体"/>
                <w:szCs w:val="21"/>
                <w:highlight w:val="none"/>
              </w:rPr>
            </w:pPr>
            <w:r>
              <w:rPr>
                <w:rFonts w:hint="eastAsia" w:ascii="宋体" w:hAnsi="宋体"/>
                <w:szCs w:val="21"/>
                <w:highlight w:val="none"/>
              </w:rPr>
              <w:t>人员</w:t>
            </w:r>
          </w:p>
        </w:tc>
        <w:tc>
          <w:tcPr>
            <w:tcW w:w="5580" w:type="dxa"/>
            <w:vAlign w:val="center"/>
          </w:tcPr>
          <w:p>
            <w:pPr>
              <w:rPr>
                <w:rFonts w:ascii="宋体" w:hAnsi="宋体"/>
                <w:szCs w:val="21"/>
                <w:highlight w:val="none"/>
              </w:rPr>
            </w:pPr>
            <w:r>
              <w:rPr>
                <w:rFonts w:hint="eastAsia" w:ascii="宋体" w:hAnsi="宋体"/>
                <w:szCs w:val="21"/>
                <w:highlight w:val="none"/>
              </w:rPr>
              <w:t>项目经理、现场安全专管员经考核合格；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2</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特种作业人员持证上岗；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3</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无“三无”人员（无暂住证、无劳动就业证、无计划生育证）。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4</w:t>
            </w:r>
          </w:p>
        </w:tc>
        <w:tc>
          <w:tcPr>
            <w:tcW w:w="1980" w:type="dxa"/>
            <w:vAlign w:val="center"/>
          </w:tcPr>
          <w:p>
            <w:pPr>
              <w:jc w:val="center"/>
              <w:rPr>
                <w:rFonts w:ascii="宋体" w:hAnsi="宋体"/>
                <w:szCs w:val="21"/>
                <w:highlight w:val="none"/>
              </w:rPr>
            </w:pPr>
            <w:r>
              <w:rPr>
                <w:rFonts w:hint="eastAsia" w:ascii="宋体" w:hAnsi="宋体"/>
                <w:szCs w:val="21"/>
                <w:highlight w:val="none"/>
              </w:rPr>
              <w:t>劳保用品</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进入施工现场的各类人员应当戴安全帽，系好帽带，临空和高空作业人员应当系好安全带。安全帽、安全带应当符合技术安全标准。水上作业人员配备救生设施。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5</w:t>
            </w:r>
          </w:p>
        </w:tc>
        <w:tc>
          <w:tcPr>
            <w:tcW w:w="1980" w:type="dxa"/>
            <w:vAlign w:val="center"/>
          </w:tcPr>
          <w:p>
            <w:pPr>
              <w:jc w:val="center"/>
              <w:rPr>
                <w:rFonts w:ascii="宋体" w:hAnsi="宋体"/>
                <w:szCs w:val="21"/>
                <w:highlight w:val="none"/>
              </w:rPr>
            </w:pPr>
            <w:r>
              <w:rPr>
                <w:rFonts w:hint="eastAsia" w:ascii="宋体" w:hAnsi="宋体"/>
                <w:szCs w:val="21"/>
                <w:highlight w:val="none"/>
              </w:rPr>
              <w:t>安全警示标准志牌</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在易发伤亡事故（或危险）处设置明显的、符合国家标准要求的安全警示标志牌。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6</w:t>
            </w:r>
          </w:p>
        </w:tc>
        <w:tc>
          <w:tcPr>
            <w:tcW w:w="1980" w:type="dxa"/>
            <w:vAlign w:val="center"/>
          </w:tcPr>
          <w:p>
            <w:pPr>
              <w:jc w:val="center"/>
              <w:rPr>
                <w:rFonts w:ascii="宋体" w:hAnsi="宋体"/>
                <w:szCs w:val="21"/>
                <w:highlight w:val="none"/>
              </w:rPr>
            </w:pPr>
            <w:r>
              <w:rPr>
                <w:rFonts w:hint="eastAsia" w:ascii="宋体" w:hAnsi="宋体"/>
                <w:szCs w:val="21"/>
                <w:highlight w:val="none"/>
              </w:rPr>
              <w:t>现场围档</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现场采用封闭围挡。围墙、围板或围栏的材料、高度、造型、颜色等应符合规定。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7</w:t>
            </w:r>
          </w:p>
        </w:tc>
        <w:tc>
          <w:tcPr>
            <w:tcW w:w="1980" w:type="dxa"/>
            <w:vAlign w:val="center"/>
          </w:tcPr>
          <w:p>
            <w:pPr>
              <w:jc w:val="center"/>
              <w:rPr>
                <w:rFonts w:ascii="宋体" w:hAnsi="宋体"/>
                <w:szCs w:val="21"/>
                <w:highlight w:val="none"/>
              </w:rPr>
            </w:pPr>
            <w:r>
              <w:rPr>
                <w:rFonts w:hint="eastAsia" w:ascii="宋体" w:hAnsi="宋体"/>
                <w:szCs w:val="21"/>
                <w:highlight w:val="none"/>
              </w:rPr>
              <w:t>五牌一图</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在进门处悬挂工程概况、管理人员名单及监督电话、安全生产、文明施工、消防保卫五牌；施工现场总平面图。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8</w:t>
            </w:r>
          </w:p>
        </w:tc>
        <w:tc>
          <w:tcPr>
            <w:tcW w:w="1980" w:type="dxa"/>
            <w:vAlign w:val="center"/>
          </w:tcPr>
          <w:p>
            <w:pPr>
              <w:jc w:val="center"/>
              <w:rPr>
                <w:rFonts w:ascii="宋体" w:hAnsi="宋体"/>
                <w:szCs w:val="21"/>
                <w:highlight w:val="none"/>
              </w:rPr>
            </w:pPr>
            <w:r>
              <w:rPr>
                <w:rFonts w:hint="eastAsia" w:ascii="宋体" w:hAnsi="宋体"/>
                <w:szCs w:val="21"/>
                <w:highlight w:val="none"/>
              </w:rPr>
              <w:t>企业标志</w:t>
            </w:r>
          </w:p>
        </w:tc>
        <w:tc>
          <w:tcPr>
            <w:tcW w:w="5580" w:type="dxa"/>
            <w:vAlign w:val="center"/>
          </w:tcPr>
          <w:p>
            <w:pPr>
              <w:rPr>
                <w:rFonts w:ascii="宋体" w:hAnsi="宋体"/>
                <w:szCs w:val="21"/>
                <w:highlight w:val="none"/>
              </w:rPr>
            </w:pPr>
            <w:r>
              <w:rPr>
                <w:rFonts w:hint="eastAsia" w:ascii="宋体" w:hAnsi="宋体"/>
                <w:szCs w:val="21"/>
                <w:highlight w:val="none"/>
              </w:rPr>
              <w:t>现场出入的大门应设有本企业标识或企业标识。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9</w:t>
            </w:r>
          </w:p>
        </w:tc>
        <w:tc>
          <w:tcPr>
            <w:tcW w:w="1980" w:type="dxa"/>
            <w:vMerge w:val="restart"/>
            <w:vAlign w:val="center"/>
          </w:tcPr>
          <w:p>
            <w:pPr>
              <w:jc w:val="center"/>
              <w:rPr>
                <w:rFonts w:ascii="宋体" w:hAnsi="宋体"/>
                <w:szCs w:val="21"/>
                <w:highlight w:val="none"/>
              </w:rPr>
            </w:pPr>
            <w:r>
              <w:rPr>
                <w:rFonts w:hint="eastAsia" w:ascii="宋体" w:hAnsi="宋体"/>
                <w:szCs w:val="21"/>
                <w:highlight w:val="none"/>
              </w:rPr>
              <w:t>场容场貌</w:t>
            </w:r>
          </w:p>
        </w:tc>
        <w:tc>
          <w:tcPr>
            <w:tcW w:w="5580" w:type="dxa"/>
            <w:vAlign w:val="center"/>
          </w:tcPr>
          <w:p>
            <w:pPr>
              <w:rPr>
                <w:rFonts w:ascii="宋体" w:hAnsi="宋体"/>
                <w:szCs w:val="21"/>
                <w:highlight w:val="none"/>
              </w:rPr>
            </w:pPr>
            <w:r>
              <w:rPr>
                <w:rFonts w:hint="eastAsia" w:ascii="宋体" w:hAnsi="宋体"/>
                <w:szCs w:val="21"/>
                <w:highlight w:val="none"/>
              </w:rPr>
              <w:t>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10</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排水沟、排水设施通畅；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11</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工地地面硬化处理；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12</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13</w:t>
            </w:r>
          </w:p>
        </w:tc>
        <w:tc>
          <w:tcPr>
            <w:tcW w:w="1980" w:type="dxa"/>
            <w:vMerge w:val="restart"/>
            <w:vAlign w:val="center"/>
          </w:tcPr>
          <w:p>
            <w:pPr>
              <w:jc w:val="center"/>
              <w:rPr>
                <w:rFonts w:ascii="宋体" w:hAnsi="宋体"/>
                <w:szCs w:val="21"/>
                <w:highlight w:val="none"/>
              </w:rPr>
            </w:pPr>
            <w:r>
              <w:rPr>
                <w:rFonts w:hint="eastAsia" w:ascii="宋体" w:hAnsi="宋体"/>
                <w:szCs w:val="21"/>
                <w:highlight w:val="none"/>
              </w:rPr>
              <w:t>材料堆放</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材料、构件、料具等按施工总平面图划定的区域存放，堆放时，悬挂有名称、品种、规格等标签；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14</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水泥和其他易飞扬细颗粒建筑材料应密闭存放或采取覆盖等措施；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15</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易燃、易爆和有毒有害物品分类存放。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16</w:t>
            </w:r>
          </w:p>
        </w:tc>
        <w:tc>
          <w:tcPr>
            <w:tcW w:w="1980" w:type="dxa"/>
            <w:vMerge w:val="restart"/>
            <w:vAlign w:val="center"/>
          </w:tcPr>
          <w:p>
            <w:pPr>
              <w:jc w:val="center"/>
              <w:rPr>
                <w:rFonts w:ascii="宋体" w:hAnsi="宋体"/>
                <w:szCs w:val="21"/>
                <w:highlight w:val="none"/>
              </w:rPr>
            </w:pPr>
            <w:r>
              <w:rPr>
                <w:rFonts w:hint="eastAsia" w:ascii="宋体" w:hAnsi="宋体"/>
                <w:szCs w:val="21"/>
                <w:highlight w:val="none"/>
              </w:rPr>
              <w:t>机械设备（船舶）</w:t>
            </w:r>
          </w:p>
        </w:tc>
        <w:tc>
          <w:tcPr>
            <w:tcW w:w="5580" w:type="dxa"/>
            <w:vAlign w:val="center"/>
          </w:tcPr>
          <w:p>
            <w:pPr>
              <w:rPr>
                <w:rFonts w:ascii="宋体" w:hAnsi="宋体"/>
                <w:szCs w:val="21"/>
                <w:highlight w:val="none"/>
              </w:rPr>
            </w:pPr>
            <w:r>
              <w:rPr>
                <w:rFonts w:hint="eastAsia" w:ascii="宋体" w:hAnsi="宋体"/>
                <w:szCs w:val="21"/>
                <w:highlight w:val="none"/>
              </w:rPr>
              <w:t>按规定的位置和线路设置；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17</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进场必须经过安全检查，合格才能使用；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18</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建立机组责任制。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19</w:t>
            </w:r>
          </w:p>
        </w:tc>
        <w:tc>
          <w:tcPr>
            <w:tcW w:w="1980" w:type="dxa"/>
            <w:vMerge w:val="restart"/>
            <w:vAlign w:val="center"/>
          </w:tcPr>
          <w:p>
            <w:pPr>
              <w:jc w:val="center"/>
              <w:rPr>
                <w:rFonts w:ascii="宋体" w:hAnsi="宋体"/>
                <w:szCs w:val="21"/>
                <w:highlight w:val="none"/>
              </w:rPr>
            </w:pPr>
            <w:r>
              <w:rPr>
                <w:rFonts w:hint="eastAsia" w:ascii="宋体" w:hAnsi="宋体"/>
                <w:szCs w:val="21"/>
                <w:highlight w:val="none"/>
              </w:rPr>
              <w:t>现场防火</w:t>
            </w:r>
          </w:p>
        </w:tc>
        <w:tc>
          <w:tcPr>
            <w:tcW w:w="5580" w:type="dxa"/>
            <w:vAlign w:val="center"/>
          </w:tcPr>
          <w:p>
            <w:pPr>
              <w:rPr>
                <w:rFonts w:ascii="宋体" w:hAnsi="宋体"/>
                <w:szCs w:val="21"/>
                <w:highlight w:val="none"/>
              </w:rPr>
            </w:pPr>
            <w:r>
              <w:rPr>
                <w:rFonts w:hint="eastAsia" w:ascii="宋体" w:hAnsi="宋体"/>
                <w:szCs w:val="21"/>
                <w:highlight w:val="none"/>
              </w:rPr>
              <w:t>消防器材配置合同，符合消防要求；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20</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动用明火必须履行现场核验签字许可制。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21</w:t>
            </w:r>
          </w:p>
        </w:tc>
        <w:tc>
          <w:tcPr>
            <w:tcW w:w="1980" w:type="dxa"/>
            <w:vAlign w:val="center"/>
          </w:tcPr>
          <w:p>
            <w:pPr>
              <w:jc w:val="center"/>
              <w:rPr>
                <w:rFonts w:ascii="宋体" w:hAnsi="宋体"/>
                <w:szCs w:val="21"/>
                <w:highlight w:val="none"/>
              </w:rPr>
            </w:pPr>
            <w:r>
              <w:rPr>
                <w:rFonts w:hint="eastAsia" w:ascii="宋体" w:hAnsi="宋体"/>
                <w:szCs w:val="21"/>
                <w:highlight w:val="none"/>
              </w:rPr>
              <w:t>垃圾清运</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施工现场应设置密闭式垃圾站，施工垃圾、生活垃圾应分类存放。施工垃圾必须采用相应容器或管道运输。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22</w:t>
            </w:r>
          </w:p>
        </w:tc>
        <w:tc>
          <w:tcPr>
            <w:tcW w:w="1980" w:type="dxa"/>
            <w:vMerge w:val="restart"/>
            <w:vAlign w:val="center"/>
          </w:tcPr>
          <w:p>
            <w:pPr>
              <w:jc w:val="center"/>
              <w:rPr>
                <w:rFonts w:ascii="宋体" w:hAnsi="宋体"/>
                <w:szCs w:val="21"/>
                <w:highlight w:val="none"/>
              </w:rPr>
            </w:pPr>
            <w:r>
              <w:rPr>
                <w:rFonts w:hint="eastAsia" w:ascii="宋体" w:hAnsi="宋体"/>
                <w:szCs w:val="21"/>
                <w:highlight w:val="none"/>
              </w:rPr>
              <w:t>现场办公生活设施</w:t>
            </w:r>
          </w:p>
        </w:tc>
        <w:tc>
          <w:tcPr>
            <w:tcW w:w="5580" w:type="dxa"/>
            <w:vAlign w:val="center"/>
          </w:tcPr>
          <w:p>
            <w:pPr>
              <w:rPr>
                <w:rFonts w:ascii="宋体" w:hAnsi="宋体"/>
                <w:szCs w:val="21"/>
                <w:highlight w:val="none"/>
              </w:rPr>
            </w:pPr>
            <w:r>
              <w:rPr>
                <w:rFonts w:hint="eastAsia" w:ascii="宋体" w:hAnsi="宋体"/>
                <w:szCs w:val="21"/>
                <w:highlight w:val="none"/>
              </w:rPr>
              <w:t>施工现场办公、生活区与作业区分开设置，保持安全距离；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23</w:t>
            </w:r>
          </w:p>
        </w:tc>
        <w:tc>
          <w:tcPr>
            <w:tcW w:w="1980" w:type="dxa"/>
            <w:vMerge w:val="continue"/>
            <w:vAlign w:val="center"/>
          </w:tcPr>
          <w:p>
            <w:pPr>
              <w:widowControl/>
              <w:jc w:val="left"/>
              <w:rPr>
                <w:rFonts w:ascii="宋体" w:hAnsi="宋体"/>
                <w:szCs w:val="21"/>
                <w:highlight w:val="none"/>
              </w:rPr>
            </w:pP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工地办公室、现场宿舍、食堂、厕所、饮水、休息场所、仓库、水电设施等符合卫生和安全要求。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24</w:t>
            </w:r>
          </w:p>
        </w:tc>
        <w:tc>
          <w:tcPr>
            <w:tcW w:w="1980" w:type="dxa"/>
            <w:vAlign w:val="center"/>
          </w:tcPr>
          <w:p>
            <w:pPr>
              <w:jc w:val="center"/>
              <w:rPr>
                <w:rFonts w:ascii="宋体" w:hAnsi="宋体"/>
                <w:szCs w:val="21"/>
                <w:highlight w:val="none"/>
              </w:rPr>
            </w:pPr>
            <w:r>
              <w:rPr>
                <w:rFonts w:hint="eastAsia" w:ascii="宋体" w:hAnsi="宋体"/>
                <w:szCs w:val="21"/>
                <w:highlight w:val="none"/>
              </w:rPr>
              <w:t>治安综合治理</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在生活区给工人设置学习和娱乐场所。建立治安保卫制度，责任分解到人。治安防范措施到位。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25</w:t>
            </w:r>
          </w:p>
        </w:tc>
        <w:tc>
          <w:tcPr>
            <w:tcW w:w="1980" w:type="dxa"/>
            <w:vAlign w:val="center"/>
          </w:tcPr>
          <w:p>
            <w:pPr>
              <w:jc w:val="center"/>
              <w:rPr>
                <w:rFonts w:ascii="宋体" w:hAnsi="宋体"/>
                <w:szCs w:val="21"/>
                <w:highlight w:val="none"/>
              </w:rPr>
            </w:pPr>
            <w:r>
              <w:rPr>
                <w:rFonts w:hint="eastAsia" w:ascii="宋体" w:hAnsi="宋体"/>
                <w:szCs w:val="21"/>
                <w:highlight w:val="none"/>
              </w:rPr>
              <w:t>社区服务和环境保护</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建立防粉尘、防噪音、不扰民措施。按批准的作业时间施工。禁止现场搅拌混凝土、砂浆。进出工地的机动车辆必须冲洗干净放可上路行驶。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26</w:t>
            </w:r>
          </w:p>
        </w:tc>
        <w:tc>
          <w:tcPr>
            <w:tcW w:w="1980" w:type="dxa"/>
            <w:vMerge w:val="restart"/>
            <w:vAlign w:val="center"/>
          </w:tcPr>
          <w:p>
            <w:pPr>
              <w:jc w:val="center"/>
              <w:rPr>
                <w:rFonts w:ascii="宋体" w:hAnsi="宋体"/>
                <w:szCs w:val="21"/>
                <w:highlight w:val="none"/>
              </w:rPr>
            </w:pPr>
            <w:r>
              <w:rPr>
                <w:rFonts w:hint="eastAsia" w:ascii="宋体" w:hAnsi="宋体"/>
                <w:szCs w:val="21"/>
                <w:highlight w:val="none"/>
              </w:rPr>
              <w:t>配电线路</w:t>
            </w:r>
          </w:p>
        </w:tc>
        <w:tc>
          <w:tcPr>
            <w:tcW w:w="5580" w:type="dxa"/>
            <w:vAlign w:val="center"/>
          </w:tcPr>
          <w:p>
            <w:pPr>
              <w:rPr>
                <w:rFonts w:ascii="宋体" w:hAnsi="宋体"/>
                <w:szCs w:val="21"/>
                <w:highlight w:val="none"/>
              </w:rPr>
            </w:pPr>
            <w:r>
              <w:rPr>
                <w:rFonts w:hint="eastAsia" w:ascii="宋体" w:hAnsi="宋体"/>
                <w:szCs w:val="21"/>
                <w:highlight w:val="none"/>
              </w:rPr>
              <w:t>按照</w:t>
            </w:r>
            <w:r>
              <w:rPr>
                <w:rFonts w:ascii="宋体" w:hAnsi="宋体"/>
                <w:szCs w:val="21"/>
                <w:highlight w:val="none"/>
              </w:rPr>
              <w:t>TN—S</w:t>
            </w:r>
            <w:r>
              <w:rPr>
                <w:rFonts w:hint="eastAsia" w:ascii="宋体" w:hAnsi="宋体"/>
                <w:szCs w:val="21"/>
                <w:highlight w:val="none"/>
              </w:rPr>
              <w:t>系统要求配备五芯电缆、四芯电缆和三芯电缆；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27</w:t>
            </w:r>
          </w:p>
        </w:tc>
        <w:tc>
          <w:tcPr>
            <w:tcW w:w="1980" w:type="dxa"/>
            <w:vMerge w:val="continue"/>
            <w:vAlign w:val="center"/>
          </w:tcPr>
          <w:p>
            <w:pPr>
              <w:widowControl/>
              <w:jc w:val="left"/>
              <w:rPr>
                <w:rFonts w:ascii="宋体" w:hAnsi="宋体"/>
                <w:szCs w:val="21"/>
                <w:highlight w:val="none"/>
              </w:rPr>
            </w:pP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按要求架设或埋设。架设临时用电线路的电杆、横担、瓷夹、资瓶等，或电缆埋地的地沟符合要求。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28</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对靠近施工现场的外电线路、设置木质、塑料等绝缘体的防护设施。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29</w:t>
            </w:r>
          </w:p>
        </w:tc>
        <w:tc>
          <w:tcPr>
            <w:tcW w:w="1980" w:type="dxa"/>
            <w:vAlign w:val="center"/>
          </w:tcPr>
          <w:p>
            <w:pPr>
              <w:jc w:val="center"/>
              <w:rPr>
                <w:rFonts w:ascii="宋体" w:hAnsi="宋体"/>
                <w:szCs w:val="21"/>
                <w:highlight w:val="none"/>
              </w:rPr>
            </w:pPr>
            <w:r>
              <w:rPr>
                <w:rFonts w:hint="eastAsia" w:ascii="宋体" w:hAnsi="宋体"/>
                <w:szCs w:val="21"/>
                <w:highlight w:val="none"/>
              </w:rPr>
              <w:t>配电箱</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按三级配电要求，配备总配电箱、分配电箱、开关箱三类标准电箱。开关箱应符合一机、一箱、一闸、一漏。三类电箱中的各类电器应是合格品。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30</w:t>
            </w:r>
          </w:p>
        </w:tc>
        <w:tc>
          <w:tcPr>
            <w:tcW w:w="1980" w:type="dxa"/>
            <w:vAlign w:val="center"/>
          </w:tcPr>
          <w:p>
            <w:pPr>
              <w:jc w:val="center"/>
              <w:rPr>
                <w:rFonts w:ascii="宋体" w:hAnsi="宋体"/>
                <w:szCs w:val="21"/>
                <w:highlight w:val="none"/>
              </w:rPr>
            </w:pPr>
            <w:r>
              <w:rPr>
                <w:rFonts w:hint="eastAsia" w:ascii="宋体" w:hAnsi="宋体"/>
                <w:szCs w:val="21"/>
                <w:highlight w:val="none"/>
              </w:rPr>
              <w:t>开关箱</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按两级保护的要求，选取符合容量要求和质量合格的总配电箱和开关箱中的漏电保护器。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31</w:t>
            </w:r>
          </w:p>
        </w:tc>
        <w:tc>
          <w:tcPr>
            <w:tcW w:w="1980" w:type="dxa"/>
            <w:vAlign w:val="center"/>
          </w:tcPr>
          <w:p>
            <w:pPr>
              <w:jc w:val="center"/>
              <w:rPr>
                <w:rFonts w:ascii="宋体" w:hAnsi="宋体"/>
                <w:szCs w:val="21"/>
                <w:highlight w:val="none"/>
              </w:rPr>
            </w:pPr>
            <w:r>
              <w:rPr>
                <w:rFonts w:hint="eastAsia" w:ascii="宋体" w:hAnsi="宋体"/>
                <w:szCs w:val="21"/>
                <w:highlight w:val="none"/>
              </w:rPr>
              <w:t>现场照明</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符合安装规范和安全操作规程。按施工组织设计（施工临时用电方案）进行架设。有保证施工安全的夜间照明。危险潮湿场所以及手持照明灯具，采用安全电压。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32</w:t>
            </w:r>
          </w:p>
        </w:tc>
        <w:tc>
          <w:tcPr>
            <w:tcW w:w="1980" w:type="dxa"/>
            <w:vAlign w:val="center"/>
          </w:tcPr>
          <w:p>
            <w:pPr>
              <w:jc w:val="center"/>
              <w:rPr>
                <w:rFonts w:ascii="宋体" w:hAnsi="宋体"/>
                <w:szCs w:val="21"/>
                <w:highlight w:val="none"/>
              </w:rPr>
            </w:pPr>
            <w:r>
              <w:rPr>
                <w:rFonts w:hint="eastAsia" w:ascii="宋体" w:hAnsi="宋体"/>
                <w:szCs w:val="21"/>
                <w:highlight w:val="none"/>
              </w:rPr>
              <w:t>接地保护装置</w:t>
            </w:r>
          </w:p>
        </w:tc>
        <w:tc>
          <w:tcPr>
            <w:tcW w:w="5580" w:type="dxa"/>
            <w:vAlign w:val="center"/>
          </w:tcPr>
          <w:p>
            <w:pPr>
              <w:rPr>
                <w:rFonts w:ascii="宋体" w:hAnsi="宋体"/>
                <w:szCs w:val="21"/>
                <w:highlight w:val="none"/>
              </w:rPr>
            </w:pPr>
            <w:r>
              <w:rPr>
                <w:rFonts w:hint="eastAsia" w:ascii="宋体" w:hAnsi="宋体"/>
                <w:szCs w:val="21"/>
                <w:highlight w:val="none"/>
              </w:rPr>
              <w:t>施工现场保护零钱的重复接地应少于三处。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33</w:t>
            </w:r>
          </w:p>
        </w:tc>
        <w:tc>
          <w:tcPr>
            <w:tcW w:w="1980" w:type="dxa"/>
            <w:vAlign w:val="center"/>
          </w:tcPr>
          <w:p>
            <w:pPr>
              <w:jc w:val="center"/>
              <w:rPr>
                <w:rFonts w:ascii="宋体" w:hAnsi="宋体"/>
                <w:szCs w:val="21"/>
                <w:highlight w:val="none"/>
              </w:rPr>
            </w:pPr>
            <w:r>
              <w:rPr>
                <w:rFonts w:hint="eastAsia" w:ascii="宋体" w:hAnsi="宋体"/>
                <w:szCs w:val="21"/>
                <w:highlight w:val="none"/>
              </w:rPr>
              <w:t>楼板、屋面、阳台等临边防护</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用密目式安全立网全封闭，作业层另加两边防护栏杆和</w:t>
            </w:r>
            <w:r>
              <w:rPr>
                <w:rFonts w:ascii="宋体" w:hAnsi="宋体"/>
                <w:szCs w:val="21"/>
                <w:highlight w:val="none"/>
              </w:rPr>
              <w:t>18</w:t>
            </w:r>
            <w:r>
              <w:rPr>
                <w:rFonts w:hint="eastAsia" w:ascii="宋体" w:hAnsi="宋体"/>
                <w:szCs w:val="21"/>
                <w:highlight w:val="none"/>
              </w:rPr>
              <w:t>厘米高的踢脚板。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34</w:t>
            </w:r>
          </w:p>
        </w:tc>
        <w:tc>
          <w:tcPr>
            <w:tcW w:w="1980" w:type="dxa"/>
            <w:vAlign w:val="center"/>
          </w:tcPr>
          <w:p>
            <w:pPr>
              <w:jc w:val="center"/>
              <w:rPr>
                <w:rFonts w:ascii="宋体" w:hAnsi="宋体"/>
                <w:szCs w:val="21"/>
                <w:highlight w:val="none"/>
              </w:rPr>
            </w:pPr>
            <w:r>
              <w:rPr>
                <w:rFonts w:hint="eastAsia" w:ascii="宋体" w:hAnsi="宋体"/>
                <w:szCs w:val="21"/>
                <w:highlight w:val="none"/>
              </w:rPr>
              <w:t>通道口防护</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设防护棚，防护棚应为不小于</w:t>
            </w:r>
            <w:r>
              <w:rPr>
                <w:rFonts w:ascii="宋体" w:hAnsi="宋体"/>
                <w:szCs w:val="21"/>
                <w:highlight w:val="none"/>
              </w:rPr>
              <w:t>5</w:t>
            </w:r>
            <w:r>
              <w:rPr>
                <w:rFonts w:hint="eastAsia" w:ascii="宋体" w:hAnsi="宋体"/>
                <w:szCs w:val="21"/>
                <w:highlight w:val="none"/>
              </w:rPr>
              <w:t>厘米厚的木板或两道相距</w:t>
            </w:r>
            <w:r>
              <w:rPr>
                <w:rFonts w:ascii="宋体" w:hAnsi="宋体"/>
                <w:szCs w:val="21"/>
                <w:highlight w:val="none"/>
              </w:rPr>
              <w:t>50</w:t>
            </w:r>
            <w:r>
              <w:rPr>
                <w:rFonts w:hint="eastAsia" w:ascii="宋体" w:hAnsi="宋体"/>
                <w:szCs w:val="21"/>
                <w:highlight w:val="none"/>
              </w:rPr>
              <w:t>厘米的竹笆。两侧应沿栏杆架用密目式安全网封闭。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35</w:t>
            </w:r>
          </w:p>
        </w:tc>
        <w:tc>
          <w:tcPr>
            <w:tcW w:w="1980" w:type="dxa"/>
            <w:vAlign w:val="center"/>
          </w:tcPr>
          <w:p>
            <w:pPr>
              <w:jc w:val="center"/>
              <w:rPr>
                <w:rFonts w:ascii="宋体" w:hAnsi="宋体"/>
                <w:szCs w:val="21"/>
                <w:highlight w:val="none"/>
              </w:rPr>
            </w:pPr>
            <w:r>
              <w:rPr>
                <w:rFonts w:hint="eastAsia" w:ascii="宋体" w:hAnsi="宋体"/>
                <w:szCs w:val="21"/>
                <w:highlight w:val="none"/>
              </w:rPr>
              <w:t>预留洞口防护</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用木板全封闭；短边超过</w:t>
            </w:r>
            <w:r>
              <w:rPr>
                <w:rFonts w:ascii="宋体" w:hAnsi="宋体"/>
                <w:szCs w:val="21"/>
                <w:highlight w:val="none"/>
              </w:rPr>
              <w:t>1.5</w:t>
            </w:r>
            <w:r>
              <w:rPr>
                <w:rFonts w:hint="eastAsia" w:ascii="宋体" w:hAnsi="宋体"/>
                <w:szCs w:val="21"/>
                <w:highlight w:val="none"/>
              </w:rPr>
              <w:t>米长的洞口，除封闭外四周还应设有防护栏杆。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36</w:t>
            </w:r>
          </w:p>
        </w:tc>
        <w:tc>
          <w:tcPr>
            <w:tcW w:w="1980" w:type="dxa"/>
            <w:vAlign w:val="center"/>
          </w:tcPr>
          <w:p>
            <w:pPr>
              <w:jc w:val="center"/>
              <w:rPr>
                <w:rFonts w:ascii="宋体" w:hAnsi="宋体"/>
                <w:szCs w:val="21"/>
                <w:highlight w:val="none"/>
              </w:rPr>
            </w:pPr>
            <w:r>
              <w:rPr>
                <w:rFonts w:hint="eastAsia" w:ascii="宋体" w:hAnsi="宋体"/>
                <w:szCs w:val="21"/>
                <w:highlight w:val="none"/>
              </w:rPr>
              <w:t>电梯井口防护</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设置定型化、工具化、标准化的防护门；在电梯井内每隔两层（不大于</w:t>
            </w:r>
            <w:r>
              <w:rPr>
                <w:rFonts w:ascii="宋体" w:hAnsi="宋体"/>
                <w:szCs w:val="21"/>
                <w:highlight w:val="none"/>
              </w:rPr>
              <w:t>10</w:t>
            </w:r>
            <w:r>
              <w:rPr>
                <w:rFonts w:hint="eastAsia" w:ascii="宋体" w:hAnsi="宋体"/>
                <w:szCs w:val="21"/>
                <w:highlight w:val="none"/>
              </w:rPr>
              <w:t>米）设置一道安全平网。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37</w:t>
            </w:r>
          </w:p>
        </w:tc>
        <w:tc>
          <w:tcPr>
            <w:tcW w:w="1980" w:type="dxa"/>
            <w:vAlign w:val="center"/>
          </w:tcPr>
          <w:p>
            <w:pPr>
              <w:jc w:val="center"/>
              <w:rPr>
                <w:rFonts w:ascii="宋体" w:hAnsi="宋体"/>
                <w:szCs w:val="21"/>
                <w:highlight w:val="none"/>
              </w:rPr>
            </w:pPr>
            <w:r>
              <w:rPr>
                <w:rFonts w:hint="eastAsia" w:ascii="宋体" w:hAnsi="宋体"/>
                <w:szCs w:val="21"/>
                <w:highlight w:val="none"/>
              </w:rPr>
              <w:t>楼梯边防护</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设</w:t>
            </w:r>
            <w:r>
              <w:rPr>
                <w:rFonts w:ascii="宋体" w:hAnsi="宋体"/>
                <w:szCs w:val="21"/>
                <w:highlight w:val="none"/>
              </w:rPr>
              <w:t>1.2</w:t>
            </w:r>
            <w:r>
              <w:rPr>
                <w:rFonts w:hint="eastAsia" w:ascii="宋体" w:hAnsi="宋体"/>
                <w:szCs w:val="21"/>
                <w:highlight w:val="none"/>
              </w:rPr>
              <w:t>米高的定型化、工具化、标准化的防护栏杆，</w:t>
            </w:r>
            <w:r>
              <w:rPr>
                <w:rFonts w:ascii="宋体" w:hAnsi="宋体"/>
                <w:szCs w:val="21"/>
                <w:highlight w:val="none"/>
              </w:rPr>
              <w:t>18</w:t>
            </w:r>
            <w:r>
              <w:rPr>
                <w:rFonts w:hint="eastAsia" w:ascii="宋体" w:hAnsi="宋体"/>
                <w:szCs w:val="21"/>
                <w:highlight w:val="none"/>
              </w:rPr>
              <w:t>厘米高的踢脚板。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38</w:t>
            </w:r>
          </w:p>
        </w:tc>
        <w:tc>
          <w:tcPr>
            <w:tcW w:w="1980" w:type="dxa"/>
            <w:vAlign w:val="center"/>
          </w:tcPr>
          <w:p>
            <w:pPr>
              <w:jc w:val="center"/>
              <w:rPr>
                <w:rFonts w:ascii="宋体" w:hAnsi="宋体"/>
                <w:szCs w:val="21"/>
                <w:highlight w:val="none"/>
              </w:rPr>
            </w:pPr>
            <w:r>
              <w:rPr>
                <w:rFonts w:hint="eastAsia" w:ascii="宋体" w:hAnsi="宋体"/>
                <w:szCs w:val="21"/>
                <w:highlight w:val="none"/>
              </w:rPr>
              <w:t>垂直方向交叉作业防护</w:t>
            </w:r>
          </w:p>
        </w:tc>
        <w:tc>
          <w:tcPr>
            <w:tcW w:w="5580" w:type="dxa"/>
            <w:vAlign w:val="center"/>
          </w:tcPr>
          <w:p>
            <w:pPr>
              <w:rPr>
                <w:rFonts w:ascii="宋体" w:hAnsi="宋体"/>
                <w:szCs w:val="21"/>
                <w:highlight w:val="none"/>
              </w:rPr>
            </w:pPr>
            <w:r>
              <w:rPr>
                <w:rFonts w:hint="eastAsia" w:ascii="宋体" w:hAnsi="宋体"/>
                <w:szCs w:val="21"/>
                <w:highlight w:val="none"/>
              </w:rPr>
              <w:t>设置防护隔离棚或其他设施。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39</w:t>
            </w:r>
          </w:p>
        </w:tc>
        <w:tc>
          <w:tcPr>
            <w:tcW w:w="1980" w:type="dxa"/>
            <w:vAlign w:val="center"/>
          </w:tcPr>
          <w:p>
            <w:pPr>
              <w:jc w:val="center"/>
              <w:rPr>
                <w:rFonts w:ascii="宋体" w:hAnsi="宋体"/>
                <w:szCs w:val="21"/>
                <w:highlight w:val="none"/>
              </w:rPr>
            </w:pPr>
            <w:r>
              <w:rPr>
                <w:rFonts w:hint="eastAsia" w:ascii="宋体" w:hAnsi="宋体"/>
                <w:szCs w:val="21"/>
                <w:highlight w:val="none"/>
              </w:rPr>
              <w:t>高空作业防护</w:t>
            </w:r>
          </w:p>
        </w:tc>
        <w:tc>
          <w:tcPr>
            <w:tcW w:w="5580" w:type="dxa"/>
            <w:vAlign w:val="center"/>
          </w:tcPr>
          <w:p>
            <w:pPr>
              <w:ind w:firstLine="420" w:firstLineChars="200"/>
              <w:rPr>
                <w:rFonts w:ascii="宋体" w:hAnsi="宋体"/>
                <w:szCs w:val="21"/>
                <w:highlight w:val="none"/>
              </w:rPr>
            </w:pPr>
            <w:r>
              <w:rPr>
                <w:rFonts w:hint="eastAsia" w:ascii="宋体" w:hAnsi="宋体"/>
                <w:szCs w:val="21"/>
                <w:highlight w:val="none"/>
              </w:rPr>
              <w:t>有悬挂安全带的悬索或其他设施；有操作平台；有上下的梯子或其他形式的通道。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40</w:t>
            </w:r>
          </w:p>
        </w:tc>
        <w:tc>
          <w:tcPr>
            <w:tcW w:w="1980" w:type="dxa"/>
            <w:vMerge w:val="restart"/>
            <w:vAlign w:val="center"/>
          </w:tcPr>
          <w:p>
            <w:pPr>
              <w:jc w:val="center"/>
              <w:rPr>
                <w:rFonts w:ascii="宋体" w:hAnsi="宋体"/>
                <w:szCs w:val="21"/>
                <w:highlight w:val="none"/>
              </w:rPr>
            </w:pPr>
            <w:r>
              <w:rPr>
                <w:rFonts w:hint="eastAsia" w:ascii="宋体" w:hAnsi="宋体"/>
                <w:szCs w:val="21"/>
                <w:highlight w:val="none"/>
              </w:rPr>
              <w:t>基坑或沟槽</w:t>
            </w:r>
          </w:p>
        </w:tc>
        <w:tc>
          <w:tcPr>
            <w:tcW w:w="5580" w:type="dxa"/>
            <w:vAlign w:val="center"/>
          </w:tcPr>
          <w:p>
            <w:pPr>
              <w:rPr>
                <w:rFonts w:ascii="宋体" w:hAnsi="宋体"/>
                <w:szCs w:val="21"/>
                <w:highlight w:val="none"/>
              </w:rPr>
            </w:pPr>
            <w:r>
              <w:rPr>
                <w:rFonts w:hint="eastAsia" w:ascii="宋体" w:hAnsi="宋体"/>
                <w:szCs w:val="21"/>
                <w:highlight w:val="none"/>
              </w:rPr>
              <w:t>按规定编制施工方案并通过审批和专家咨询；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41</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挖掘工程应分段挖掘施工，分段验收，分段修复道路；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42</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基坑或沟槽临边应取临边防护措施；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43</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坑槽开挖设置安全边坡应符合安全要求；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44</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基坑施工应设置有效排水措施；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45</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设置的上下专用通道应符合要求；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46</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通风排烟设备满足要求，空气质量达标；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47</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坑内作业人员和坑外人员设置有效的联系措施；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48</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按规定进行沉降观测和基坑支护变形监测；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49</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土方集中堆放，不影响道路和环境。与基坑或沟槽有足够的安全距离；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48" w:type="dxa"/>
            <w:vAlign w:val="center"/>
          </w:tcPr>
          <w:p>
            <w:pPr>
              <w:jc w:val="center"/>
              <w:rPr>
                <w:rFonts w:ascii="宋体" w:hAnsi="宋体"/>
                <w:szCs w:val="21"/>
                <w:highlight w:val="none"/>
              </w:rPr>
            </w:pPr>
            <w:r>
              <w:rPr>
                <w:rFonts w:ascii="宋体" w:hAnsi="宋体"/>
                <w:szCs w:val="21"/>
                <w:highlight w:val="none"/>
              </w:rPr>
              <w:t>50</w:t>
            </w:r>
          </w:p>
        </w:tc>
        <w:tc>
          <w:tcPr>
            <w:tcW w:w="1980" w:type="dxa"/>
            <w:vMerge w:val="continue"/>
            <w:vAlign w:val="center"/>
          </w:tcPr>
          <w:p>
            <w:pPr>
              <w:widowControl/>
              <w:jc w:val="left"/>
              <w:rPr>
                <w:rFonts w:ascii="宋体" w:hAnsi="宋体"/>
                <w:szCs w:val="21"/>
                <w:highlight w:val="none"/>
              </w:rPr>
            </w:pPr>
          </w:p>
        </w:tc>
        <w:tc>
          <w:tcPr>
            <w:tcW w:w="5580" w:type="dxa"/>
            <w:vAlign w:val="center"/>
          </w:tcPr>
          <w:p>
            <w:pPr>
              <w:rPr>
                <w:rFonts w:ascii="宋体" w:hAnsi="宋体"/>
                <w:szCs w:val="21"/>
                <w:highlight w:val="none"/>
              </w:rPr>
            </w:pPr>
            <w:r>
              <w:rPr>
                <w:rFonts w:hint="eastAsia" w:ascii="宋体" w:hAnsi="宋体"/>
                <w:szCs w:val="21"/>
                <w:highlight w:val="none"/>
              </w:rPr>
              <w:t>设置洗车槽及洗车设备。</w:t>
            </w:r>
          </w:p>
        </w:tc>
      </w:tr>
    </w:tbl>
    <w:p>
      <w:pPr>
        <w:spacing w:line="320" w:lineRule="exact"/>
        <w:ind w:left="630" w:hanging="630" w:hangingChars="300"/>
        <w:rPr>
          <w:rFonts w:ascii="宋体" w:hAnsi="宋体"/>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spacing w:line="360" w:lineRule="auto"/>
        <w:rPr>
          <w:rFonts w:ascii="宋体" w:hAnsi="宋体"/>
          <w:b/>
          <w:highlight w:val="none"/>
        </w:rPr>
      </w:pPr>
    </w:p>
    <w:p>
      <w:pPr>
        <w:rPr>
          <w:rFonts w:ascii="宋体" w:hAnsi="宋体"/>
          <w:b/>
          <w:sz w:val="30"/>
          <w:szCs w:val="30"/>
          <w:highlight w:val="none"/>
        </w:rPr>
      </w:pPr>
      <w:r>
        <w:rPr>
          <w:rFonts w:hint="eastAsia" w:ascii="宋体" w:hAnsi="宋体"/>
          <w:b/>
          <w:sz w:val="24"/>
          <w:highlight w:val="none"/>
        </w:rPr>
        <w:t>附件九：</w:t>
      </w:r>
      <w:r>
        <w:rPr>
          <w:rFonts w:hint="eastAsia" w:ascii="宋体" w:hAnsi="宋体"/>
          <w:b/>
          <w:sz w:val="30"/>
          <w:szCs w:val="30"/>
          <w:highlight w:val="none"/>
        </w:rPr>
        <w:t>施工质量和安全生产、文明施工检查项目处罚表</w:t>
      </w:r>
    </w:p>
    <w:p>
      <w:pPr>
        <w:spacing w:line="360" w:lineRule="auto"/>
        <w:rPr>
          <w:rFonts w:ascii="宋体" w:hAnsi="宋体"/>
          <w:b/>
          <w:highlight w:val="none"/>
        </w:rPr>
      </w:pPr>
    </w:p>
    <w:p>
      <w:pPr>
        <w:ind w:firstLine="300" w:firstLineChars="100"/>
        <w:jc w:val="center"/>
        <w:rPr>
          <w:rFonts w:ascii="宋体" w:hAnsi="宋体"/>
          <w:sz w:val="30"/>
          <w:szCs w:val="30"/>
          <w:highlight w:val="none"/>
        </w:rPr>
      </w:pPr>
      <w:r>
        <w:rPr>
          <w:rFonts w:hint="eastAsia" w:ascii="宋体" w:hAnsi="宋体"/>
          <w:sz w:val="30"/>
          <w:szCs w:val="30"/>
          <w:highlight w:val="none"/>
        </w:rPr>
        <w:t>施工质量和安全生产、文明施工检查项目处罚表</w:t>
      </w:r>
    </w:p>
    <w:p>
      <w:pPr>
        <w:ind w:firstLine="210" w:firstLineChars="100"/>
        <w:rPr>
          <w:rFonts w:ascii="宋体" w:hAnsi="宋体"/>
          <w:highlight w:val="none"/>
        </w:rPr>
      </w:pPr>
    </w:p>
    <w:tbl>
      <w:tblPr>
        <w:tblStyle w:val="63"/>
        <w:tblW w:w="8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71"/>
        <w:gridCol w:w="2004"/>
        <w:gridCol w:w="1264"/>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b/>
                <w:kern w:val="0"/>
                <w:sz w:val="20"/>
                <w:highlight w:val="none"/>
              </w:rPr>
            </w:pPr>
            <w:r>
              <w:rPr>
                <w:rFonts w:hint="eastAsia" w:ascii="宋体" w:hAnsi="宋体"/>
                <w:b/>
                <w:kern w:val="0"/>
                <w:sz w:val="20"/>
                <w:highlight w:val="none"/>
              </w:rPr>
              <w:t>序号</w:t>
            </w:r>
          </w:p>
        </w:tc>
        <w:tc>
          <w:tcPr>
            <w:tcW w:w="3071" w:type="dxa"/>
            <w:vAlign w:val="center"/>
          </w:tcPr>
          <w:p>
            <w:pPr>
              <w:jc w:val="center"/>
              <w:rPr>
                <w:rFonts w:ascii="宋体" w:hAnsi="宋体"/>
                <w:b/>
                <w:kern w:val="0"/>
                <w:sz w:val="20"/>
                <w:highlight w:val="none"/>
              </w:rPr>
            </w:pPr>
            <w:r>
              <w:rPr>
                <w:rFonts w:hint="eastAsia" w:ascii="宋体" w:hAnsi="宋体"/>
                <w:b/>
                <w:kern w:val="0"/>
                <w:sz w:val="20"/>
                <w:highlight w:val="none"/>
              </w:rPr>
              <w:t>检查内容</w:t>
            </w:r>
          </w:p>
        </w:tc>
        <w:tc>
          <w:tcPr>
            <w:tcW w:w="2004" w:type="dxa"/>
            <w:vAlign w:val="center"/>
          </w:tcPr>
          <w:p>
            <w:pPr>
              <w:jc w:val="center"/>
              <w:rPr>
                <w:rFonts w:ascii="宋体" w:hAnsi="宋体"/>
                <w:b/>
                <w:kern w:val="0"/>
                <w:sz w:val="20"/>
                <w:highlight w:val="none"/>
              </w:rPr>
            </w:pPr>
            <w:r>
              <w:rPr>
                <w:rFonts w:hint="eastAsia" w:ascii="宋体" w:hAnsi="宋体"/>
                <w:b/>
                <w:kern w:val="0"/>
                <w:sz w:val="20"/>
                <w:highlight w:val="none"/>
              </w:rPr>
              <w:t>违约金标准（元）</w:t>
            </w:r>
          </w:p>
        </w:tc>
        <w:tc>
          <w:tcPr>
            <w:tcW w:w="1264" w:type="dxa"/>
            <w:vAlign w:val="center"/>
          </w:tcPr>
          <w:p>
            <w:pPr>
              <w:jc w:val="center"/>
              <w:rPr>
                <w:rFonts w:ascii="宋体" w:hAnsi="宋体"/>
                <w:b/>
                <w:kern w:val="0"/>
                <w:sz w:val="20"/>
                <w:highlight w:val="none"/>
              </w:rPr>
            </w:pPr>
            <w:r>
              <w:rPr>
                <w:rFonts w:hint="eastAsia" w:ascii="宋体" w:hAnsi="宋体"/>
                <w:b/>
                <w:kern w:val="0"/>
                <w:sz w:val="20"/>
                <w:highlight w:val="none"/>
              </w:rPr>
              <w:t>施工单位处罚金额（元）</w:t>
            </w:r>
          </w:p>
        </w:tc>
        <w:tc>
          <w:tcPr>
            <w:tcW w:w="1254" w:type="dxa"/>
            <w:vAlign w:val="center"/>
          </w:tcPr>
          <w:p>
            <w:pPr>
              <w:jc w:val="center"/>
              <w:rPr>
                <w:rFonts w:ascii="宋体" w:hAnsi="宋体"/>
                <w:b/>
                <w:kern w:val="0"/>
                <w:sz w:val="20"/>
                <w:highlight w:val="none"/>
              </w:rPr>
            </w:pPr>
            <w:r>
              <w:rPr>
                <w:rFonts w:hint="eastAsia" w:ascii="宋体" w:hAnsi="宋体"/>
                <w:b/>
                <w:kern w:val="0"/>
                <w:sz w:val="20"/>
                <w:highlight w:val="none"/>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413" w:type="dxa"/>
            <w:gridSpan w:val="5"/>
            <w:vAlign w:val="center"/>
          </w:tcPr>
          <w:p>
            <w:pPr>
              <w:jc w:val="center"/>
              <w:rPr>
                <w:rFonts w:ascii="宋体" w:hAnsi="宋体"/>
                <w:kern w:val="0"/>
                <w:sz w:val="20"/>
                <w:highlight w:val="none"/>
              </w:rPr>
            </w:pPr>
            <w:r>
              <w:rPr>
                <w:rFonts w:hint="eastAsia" w:ascii="宋体" w:hAnsi="宋体"/>
                <w:kern w:val="0"/>
                <w:sz w:val="20"/>
                <w:highlight w:val="none"/>
              </w:rPr>
              <w:t>施工质量方面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1</w:t>
            </w:r>
          </w:p>
        </w:tc>
        <w:tc>
          <w:tcPr>
            <w:tcW w:w="3071" w:type="dxa"/>
            <w:vAlign w:val="center"/>
          </w:tcPr>
          <w:p>
            <w:pPr>
              <w:jc w:val="center"/>
              <w:rPr>
                <w:rFonts w:ascii="宋体" w:hAnsi="宋体"/>
                <w:kern w:val="0"/>
                <w:sz w:val="20"/>
                <w:highlight w:val="none"/>
              </w:rPr>
            </w:pPr>
            <w:r>
              <w:rPr>
                <w:rFonts w:hint="eastAsia" w:ascii="宋体" w:hAnsi="宋体"/>
                <w:kern w:val="0"/>
                <w:sz w:val="20"/>
                <w:szCs w:val="32"/>
                <w:highlight w:val="none"/>
              </w:rPr>
              <w:t>原材料、中间产品检测不及时、材料送件数量不足</w:t>
            </w:r>
          </w:p>
        </w:tc>
        <w:tc>
          <w:tcPr>
            <w:tcW w:w="2004" w:type="dxa"/>
            <w:vAlign w:val="center"/>
          </w:tcPr>
          <w:p>
            <w:pPr>
              <w:jc w:val="center"/>
              <w:rPr>
                <w:rFonts w:ascii="宋体" w:hAnsi="宋体"/>
                <w:kern w:val="0"/>
                <w:sz w:val="20"/>
                <w:highlight w:val="none"/>
              </w:rPr>
            </w:pPr>
            <w:r>
              <w:rPr>
                <w:rFonts w:ascii="宋体" w:hAnsi="宋体"/>
                <w:kern w:val="0"/>
                <w:sz w:val="20"/>
                <w:highlight w:val="none"/>
              </w:rPr>
              <w:t>5000-10000</w:t>
            </w:r>
            <w:r>
              <w:rPr>
                <w:rFonts w:hint="eastAsia" w:ascii="宋体" w:hAnsi="宋体"/>
                <w:kern w:val="0"/>
                <w:sz w:val="20"/>
                <w:highlight w:val="none"/>
              </w:rPr>
              <w:t>（元</w:t>
            </w:r>
            <w:r>
              <w:rPr>
                <w:rFonts w:ascii="宋体" w:hAnsi="宋体"/>
                <w:kern w:val="0"/>
                <w:sz w:val="20"/>
                <w:highlight w:val="none"/>
              </w:rPr>
              <w:t>/</w:t>
            </w:r>
            <w:r>
              <w:rPr>
                <w:rFonts w:hint="eastAsia" w:ascii="宋体" w:hAnsi="宋体"/>
                <w:kern w:val="0"/>
                <w:sz w:val="20"/>
                <w:highlight w:val="none"/>
              </w:rPr>
              <w:t>处）</w:t>
            </w: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2</w:t>
            </w:r>
          </w:p>
        </w:tc>
        <w:tc>
          <w:tcPr>
            <w:tcW w:w="3071" w:type="dxa"/>
            <w:vAlign w:val="center"/>
          </w:tcPr>
          <w:p>
            <w:pPr>
              <w:jc w:val="center"/>
              <w:rPr>
                <w:rFonts w:ascii="宋体" w:hAnsi="宋体"/>
                <w:kern w:val="0"/>
                <w:sz w:val="20"/>
                <w:highlight w:val="none"/>
              </w:rPr>
            </w:pPr>
            <w:r>
              <w:rPr>
                <w:rFonts w:hint="eastAsia" w:ascii="宋体" w:hAnsi="宋体"/>
                <w:kern w:val="0"/>
                <w:sz w:val="20"/>
                <w:highlight w:val="none"/>
              </w:rPr>
              <w:t>材料未送检就投入使用</w:t>
            </w:r>
          </w:p>
        </w:tc>
        <w:tc>
          <w:tcPr>
            <w:tcW w:w="2004" w:type="dxa"/>
            <w:vAlign w:val="center"/>
          </w:tcPr>
          <w:p>
            <w:pPr>
              <w:jc w:val="center"/>
              <w:rPr>
                <w:rFonts w:ascii="宋体" w:hAnsi="宋体"/>
                <w:kern w:val="0"/>
                <w:sz w:val="20"/>
                <w:highlight w:val="none"/>
              </w:rPr>
            </w:pPr>
            <w:r>
              <w:rPr>
                <w:rFonts w:ascii="宋体" w:hAnsi="宋体"/>
                <w:kern w:val="0"/>
                <w:sz w:val="20"/>
                <w:highlight w:val="none"/>
              </w:rPr>
              <w:t>5000-10000</w:t>
            </w:r>
            <w:r>
              <w:rPr>
                <w:rFonts w:hint="eastAsia" w:ascii="宋体" w:hAnsi="宋体"/>
                <w:kern w:val="0"/>
                <w:sz w:val="20"/>
                <w:highlight w:val="none"/>
              </w:rPr>
              <w:t>（元</w:t>
            </w:r>
            <w:r>
              <w:rPr>
                <w:rFonts w:ascii="宋体" w:hAnsi="宋体"/>
                <w:kern w:val="0"/>
                <w:sz w:val="20"/>
                <w:highlight w:val="none"/>
              </w:rPr>
              <w:t>/</w:t>
            </w:r>
            <w:r>
              <w:rPr>
                <w:rFonts w:hint="eastAsia" w:ascii="宋体" w:hAnsi="宋体"/>
                <w:kern w:val="0"/>
                <w:sz w:val="20"/>
                <w:highlight w:val="none"/>
              </w:rPr>
              <w:t>处）</w:t>
            </w: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3</w:t>
            </w:r>
          </w:p>
        </w:tc>
        <w:tc>
          <w:tcPr>
            <w:tcW w:w="3071" w:type="dxa"/>
            <w:vAlign w:val="center"/>
          </w:tcPr>
          <w:p>
            <w:pPr>
              <w:jc w:val="center"/>
              <w:rPr>
                <w:rFonts w:ascii="宋体" w:hAnsi="宋体"/>
                <w:kern w:val="0"/>
                <w:sz w:val="20"/>
                <w:highlight w:val="none"/>
              </w:rPr>
            </w:pPr>
            <w:r>
              <w:rPr>
                <w:rFonts w:hint="eastAsia" w:ascii="宋体" w:hAnsi="宋体"/>
                <w:kern w:val="0"/>
                <w:sz w:val="20"/>
                <w:highlight w:val="none"/>
              </w:rPr>
              <w:t>回填材料不符合设计要求</w:t>
            </w:r>
          </w:p>
        </w:tc>
        <w:tc>
          <w:tcPr>
            <w:tcW w:w="2004" w:type="dxa"/>
            <w:vAlign w:val="center"/>
          </w:tcPr>
          <w:p>
            <w:pPr>
              <w:jc w:val="center"/>
              <w:rPr>
                <w:rFonts w:ascii="宋体" w:hAnsi="宋体"/>
                <w:kern w:val="0"/>
                <w:sz w:val="20"/>
                <w:highlight w:val="none"/>
              </w:rPr>
            </w:pPr>
            <w:r>
              <w:rPr>
                <w:rFonts w:ascii="宋体" w:hAnsi="宋体"/>
                <w:kern w:val="0"/>
                <w:sz w:val="20"/>
                <w:highlight w:val="none"/>
              </w:rPr>
              <w:t>5000-10000</w:t>
            </w:r>
            <w:r>
              <w:rPr>
                <w:rFonts w:hint="eastAsia" w:ascii="宋体" w:hAnsi="宋体"/>
                <w:kern w:val="0"/>
                <w:sz w:val="20"/>
                <w:highlight w:val="none"/>
              </w:rPr>
              <w:t>（元</w:t>
            </w:r>
            <w:r>
              <w:rPr>
                <w:rFonts w:ascii="宋体" w:hAnsi="宋体"/>
                <w:kern w:val="0"/>
                <w:sz w:val="20"/>
                <w:highlight w:val="none"/>
              </w:rPr>
              <w:t>/</w:t>
            </w:r>
            <w:r>
              <w:rPr>
                <w:rFonts w:hint="eastAsia" w:ascii="宋体" w:hAnsi="宋体"/>
                <w:kern w:val="0"/>
                <w:sz w:val="20"/>
                <w:highlight w:val="none"/>
              </w:rPr>
              <w:t>处）</w:t>
            </w: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4</w:t>
            </w:r>
          </w:p>
        </w:tc>
        <w:tc>
          <w:tcPr>
            <w:tcW w:w="3071" w:type="dxa"/>
            <w:vAlign w:val="center"/>
          </w:tcPr>
          <w:p>
            <w:pPr>
              <w:jc w:val="center"/>
              <w:rPr>
                <w:rFonts w:ascii="宋体" w:hAnsi="宋体"/>
                <w:kern w:val="0"/>
                <w:sz w:val="20"/>
                <w:highlight w:val="none"/>
              </w:rPr>
            </w:pPr>
            <w:r>
              <w:rPr>
                <w:rFonts w:hint="eastAsia" w:ascii="宋体" w:hAnsi="宋体"/>
                <w:kern w:val="0"/>
                <w:sz w:val="20"/>
                <w:szCs w:val="32"/>
                <w:highlight w:val="none"/>
              </w:rPr>
              <w:t>重要隐蔽（关键部位）单元工程验收缺少（照片、视频等资料）</w:t>
            </w:r>
          </w:p>
        </w:tc>
        <w:tc>
          <w:tcPr>
            <w:tcW w:w="2004" w:type="dxa"/>
            <w:vAlign w:val="center"/>
          </w:tcPr>
          <w:p>
            <w:pPr>
              <w:jc w:val="center"/>
              <w:rPr>
                <w:rFonts w:ascii="宋体" w:hAnsi="宋体"/>
                <w:kern w:val="0"/>
                <w:sz w:val="20"/>
                <w:highlight w:val="none"/>
              </w:rPr>
            </w:pPr>
            <w:r>
              <w:rPr>
                <w:rFonts w:ascii="宋体" w:hAnsi="宋体"/>
                <w:kern w:val="0"/>
                <w:sz w:val="20"/>
                <w:highlight w:val="none"/>
              </w:rPr>
              <w:t>1000-5000</w:t>
            </w:r>
            <w:r>
              <w:rPr>
                <w:rFonts w:hint="eastAsia" w:ascii="宋体" w:hAnsi="宋体"/>
                <w:kern w:val="0"/>
                <w:sz w:val="20"/>
                <w:highlight w:val="none"/>
              </w:rPr>
              <w:t>（元</w:t>
            </w:r>
            <w:r>
              <w:rPr>
                <w:rFonts w:ascii="宋体" w:hAnsi="宋体"/>
                <w:kern w:val="0"/>
                <w:sz w:val="20"/>
                <w:highlight w:val="none"/>
              </w:rPr>
              <w:t>/</w:t>
            </w:r>
            <w:r>
              <w:rPr>
                <w:rFonts w:hint="eastAsia" w:ascii="宋体" w:hAnsi="宋体"/>
                <w:kern w:val="0"/>
                <w:sz w:val="20"/>
                <w:highlight w:val="none"/>
              </w:rPr>
              <w:t>处）</w:t>
            </w: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5</w:t>
            </w:r>
          </w:p>
        </w:tc>
        <w:tc>
          <w:tcPr>
            <w:tcW w:w="3071" w:type="dxa"/>
            <w:vAlign w:val="center"/>
          </w:tcPr>
          <w:p>
            <w:pPr>
              <w:jc w:val="center"/>
              <w:rPr>
                <w:rFonts w:ascii="宋体" w:hAnsi="宋体"/>
                <w:kern w:val="0"/>
                <w:sz w:val="20"/>
                <w:highlight w:val="none"/>
              </w:rPr>
            </w:pPr>
            <w:r>
              <w:rPr>
                <w:rFonts w:hint="eastAsia" w:ascii="宋体" w:hAnsi="宋体"/>
                <w:kern w:val="0"/>
                <w:sz w:val="20"/>
                <w:highlight w:val="none"/>
              </w:rPr>
              <w:t>外观质量存在明显缺陷、经检测不足</w:t>
            </w:r>
          </w:p>
        </w:tc>
        <w:tc>
          <w:tcPr>
            <w:tcW w:w="2004" w:type="dxa"/>
            <w:vAlign w:val="center"/>
          </w:tcPr>
          <w:p>
            <w:pPr>
              <w:jc w:val="center"/>
              <w:rPr>
                <w:rFonts w:ascii="宋体" w:hAnsi="宋体"/>
                <w:kern w:val="0"/>
                <w:sz w:val="20"/>
                <w:highlight w:val="none"/>
              </w:rPr>
            </w:pPr>
            <w:r>
              <w:rPr>
                <w:rFonts w:ascii="宋体" w:hAnsi="宋体"/>
                <w:kern w:val="0"/>
                <w:sz w:val="20"/>
                <w:highlight w:val="none"/>
              </w:rPr>
              <w:t>5000-10000</w:t>
            </w:r>
            <w:r>
              <w:rPr>
                <w:rFonts w:hint="eastAsia" w:ascii="宋体" w:hAnsi="宋体"/>
                <w:kern w:val="0"/>
                <w:sz w:val="20"/>
                <w:highlight w:val="none"/>
              </w:rPr>
              <w:t>（元</w:t>
            </w:r>
            <w:r>
              <w:rPr>
                <w:rFonts w:ascii="宋体" w:hAnsi="宋体"/>
                <w:kern w:val="0"/>
                <w:sz w:val="20"/>
                <w:highlight w:val="none"/>
              </w:rPr>
              <w:t>/</w:t>
            </w:r>
            <w:r>
              <w:rPr>
                <w:rFonts w:hint="eastAsia" w:ascii="宋体" w:hAnsi="宋体"/>
                <w:kern w:val="0"/>
                <w:sz w:val="20"/>
                <w:highlight w:val="none"/>
              </w:rPr>
              <w:t>处）</w:t>
            </w: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6</w:t>
            </w:r>
          </w:p>
        </w:tc>
        <w:tc>
          <w:tcPr>
            <w:tcW w:w="3071" w:type="dxa"/>
            <w:vAlign w:val="center"/>
          </w:tcPr>
          <w:p>
            <w:pPr>
              <w:jc w:val="center"/>
              <w:rPr>
                <w:rFonts w:ascii="宋体" w:hAnsi="宋体"/>
                <w:kern w:val="0"/>
                <w:sz w:val="20"/>
                <w:highlight w:val="none"/>
              </w:rPr>
            </w:pPr>
            <w:r>
              <w:rPr>
                <w:rFonts w:hint="eastAsia" w:ascii="宋体" w:hAnsi="宋体"/>
                <w:kern w:val="0"/>
                <w:sz w:val="20"/>
                <w:highlight w:val="none"/>
              </w:rPr>
              <w:t>检查发现存在不按图施工情况</w:t>
            </w:r>
          </w:p>
        </w:tc>
        <w:tc>
          <w:tcPr>
            <w:tcW w:w="2004" w:type="dxa"/>
            <w:vAlign w:val="center"/>
          </w:tcPr>
          <w:p>
            <w:pPr>
              <w:jc w:val="center"/>
              <w:rPr>
                <w:rFonts w:ascii="宋体" w:hAnsi="宋体"/>
                <w:kern w:val="0"/>
                <w:sz w:val="20"/>
                <w:highlight w:val="none"/>
              </w:rPr>
            </w:pPr>
            <w:r>
              <w:rPr>
                <w:rFonts w:ascii="宋体" w:hAnsi="宋体"/>
                <w:kern w:val="0"/>
                <w:sz w:val="20"/>
                <w:highlight w:val="none"/>
              </w:rPr>
              <w:t>5000-10000</w:t>
            </w:r>
            <w:r>
              <w:rPr>
                <w:rFonts w:hint="eastAsia" w:ascii="宋体" w:hAnsi="宋体"/>
                <w:kern w:val="0"/>
                <w:sz w:val="20"/>
                <w:highlight w:val="none"/>
              </w:rPr>
              <w:t>（元</w:t>
            </w:r>
            <w:r>
              <w:rPr>
                <w:rFonts w:ascii="宋体" w:hAnsi="宋体"/>
                <w:kern w:val="0"/>
                <w:sz w:val="20"/>
                <w:highlight w:val="none"/>
              </w:rPr>
              <w:t>/</w:t>
            </w:r>
            <w:r>
              <w:rPr>
                <w:rFonts w:hint="eastAsia" w:ascii="宋体" w:hAnsi="宋体"/>
                <w:kern w:val="0"/>
                <w:sz w:val="20"/>
                <w:highlight w:val="none"/>
              </w:rPr>
              <w:t>处）</w:t>
            </w: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7</w:t>
            </w:r>
          </w:p>
        </w:tc>
        <w:tc>
          <w:tcPr>
            <w:tcW w:w="3071" w:type="dxa"/>
            <w:vAlign w:val="center"/>
          </w:tcPr>
          <w:p>
            <w:pPr>
              <w:jc w:val="center"/>
              <w:rPr>
                <w:rFonts w:ascii="宋体" w:hAnsi="宋体"/>
                <w:kern w:val="0"/>
                <w:sz w:val="20"/>
                <w:highlight w:val="none"/>
              </w:rPr>
            </w:pPr>
            <w:r>
              <w:rPr>
                <w:rFonts w:hint="eastAsia" w:ascii="宋体" w:hAnsi="宋体"/>
                <w:kern w:val="0"/>
                <w:sz w:val="20"/>
                <w:highlight w:val="none"/>
              </w:rPr>
              <w:t>未及时按照质量整改通知单整改情况</w:t>
            </w:r>
          </w:p>
        </w:tc>
        <w:tc>
          <w:tcPr>
            <w:tcW w:w="2004" w:type="dxa"/>
            <w:vAlign w:val="center"/>
          </w:tcPr>
          <w:p>
            <w:pPr>
              <w:jc w:val="center"/>
              <w:rPr>
                <w:rFonts w:ascii="宋体" w:hAnsi="宋体"/>
                <w:kern w:val="0"/>
                <w:sz w:val="20"/>
                <w:highlight w:val="none"/>
              </w:rPr>
            </w:pPr>
            <w:r>
              <w:rPr>
                <w:rFonts w:ascii="宋体" w:hAnsi="宋体"/>
                <w:kern w:val="0"/>
                <w:sz w:val="20"/>
                <w:highlight w:val="none"/>
              </w:rPr>
              <w:t>5000-10000</w:t>
            </w:r>
            <w:r>
              <w:rPr>
                <w:rFonts w:hint="eastAsia" w:ascii="宋体" w:hAnsi="宋体"/>
                <w:kern w:val="0"/>
                <w:sz w:val="20"/>
                <w:highlight w:val="none"/>
              </w:rPr>
              <w:t>（元</w:t>
            </w:r>
            <w:r>
              <w:rPr>
                <w:rFonts w:ascii="宋体" w:hAnsi="宋体"/>
                <w:kern w:val="0"/>
                <w:sz w:val="20"/>
                <w:highlight w:val="none"/>
              </w:rPr>
              <w:t>/</w:t>
            </w:r>
            <w:r>
              <w:rPr>
                <w:rFonts w:hint="eastAsia" w:ascii="宋体" w:hAnsi="宋体"/>
                <w:kern w:val="0"/>
                <w:sz w:val="20"/>
                <w:highlight w:val="none"/>
              </w:rPr>
              <w:t>处）</w:t>
            </w: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8</w:t>
            </w:r>
          </w:p>
        </w:tc>
        <w:tc>
          <w:tcPr>
            <w:tcW w:w="3071" w:type="dxa"/>
            <w:vAlign w:val="center"/>
          </w:tcPr>
          <w:p>
            <w:pPr>
              <w:jc w:val="center"/>
              <w:rPr>
                <w:rFonts w:ascii="宋体" w:hAnsi="宋体"/>
                <w:kern w:val="0"/>
                <w:sz w:val="20"/>
                <w:highlight w:val="none"/>
              </w:rPr>
            </w:pPr>
          </w:p>
        </w:tc>
        <w:tc>
          <w:tcPr>
            <w:tcW w:w="2004" w:type="dxa"/>
            <w:vAlign w:val="center"/>
          </w:tcPr>
          <w:p>
            <w:pPr>
              <w:jc w:val="center"/>
              <w:rPr>
                <w:rFonts w:ascii="宋体" w:hAnsi="宋体"/>
                <w:kern w:val="0"/>
                <w:sz w:val="20"/>
                <w:highlight w:val="none"/>
              </w:rPr>
            </w:pP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9</w:t>
            </w:r>
          </w:p>
        </w:tc>
        <w:tc>
          <w:tcPr>
            <w:tcW w:w="3071" w:type="dxa"/>
            <w:vAlign w:val="center"/>
          </w:tcPr>
          <w:p>
            <w:pPr>
              <w:jc w:val="center"/>
              <w:rPr>
                <w:rFonts w:ascii="宋体" w:hAnsi="宋体"/>
                <w:kern w:val="0"/>
                <w:sz w:val="20"/>
                <w:highlight w:val="none"/>
              </w:rPr>
            </w:pPr>
          </w:p>
        </w:tc>
        <w:tc>
          <w:tcPr>
            <w:tcW w:w="2004" w:type="dxa"/>
            <w:vAlign w:val="center"/>
          </w:tcPr>
          <w:p>
            <w:pPr>
              <w:jc w:val="center"/>
              <w:rPr>
                <w:rFonts w:ascii="宋体" w:hAnsi="宋体"/>
                <w:kern w:val="0"/>
                <w:sz w:val="20"/>
                <w:highlight w:val="none"/>
              </w:rPr>
            </w:pP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10</w:t>
            </w:r>
          </w:p>
        </w:tc>
        <w:tc>
          <w:tcPr>
            <w:tcW w:w="3071" w:type="dxa"/>
            <w:vAlign w:val="center"/>
          </w:tcPr>
          <w:p>
            <w:pPr>
              <w:jc w:val="center"/>
              <w:rPr>
                <w:rFonts w:ascii="宋体" w:hAnsi="宋体"/>
                <w:kern w:val="0"/>
                <w:sz w:val="20"/>
                <w:highlight w:val="none"/>
              </w:rPr>
            </w:pPr>
          </w:p>
        </w:tc>
        <w:tc>
          <w:tcPr>
            <w:tcW w:w="2004" w:type="dxa"/>
            <w:vAlign w:val="center"/>
          </w:tcPr>
          <w:p>
            <w:pPr>
              <w:jc w:val="center"/>
              <w:rPr>
                <w:rFonts w:ascii="宋体" w:hAnsi="宋体"/>
                <w:kern w:val="0"/>
                <w:sz w:val="20"/>
                <w:highlight w:val="none"/>
              </w:rPr>
            </w:pP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11</w:t>
            </w:r>
          </w:p>
        </w:tc>
        <w:tc>
          <w:tcPr>
            <w:tcW w:w="3071" w:type="dxa"/>
            <w:vAlign w:val="center"/>
          </w:tcPr>
          <w:p>
            <w:pPr>
              <w:jc w:val="center"/>
              <w:rPr>
                <w:rFonts w:ascii="宋体" w:hAnsi="宋体"/>
                <w:kern w:val="0"/>
                <w:sz w:val="20"/>
                <w:highlight w:val="none"/>
              </w:rPr>
            </w:pPr>
          </w:p>
        </w:tc>
        <w:tc>
          <w:tcPr>
            <w:tcW w:w="2004" w:type="dxa"/>
            <w:vAlign w:val="center"/>
          </w:tcPr>
          <w:p>
            <w:pPr>
              <w:jc w:val="center"/>
              <w:rPr>
                <w:rFonts w:ascii="宋体" w:hAnsi="宋体"/>
                <w:kern w:val="0"/>
                <w:sz w:val="20"/>
                <w:highlight w:val="none"/>
              </w:rPr>
            </w:pP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12</w:t>
            </w:r>
          </w:p>
        </w:tc>
        <w:tc>
          <w:tcPr>
            <w:tcW w:w="3071" w:type="dxa"/>
            <w:vAlign w:val="center"/>
          </w:tcPr>
          <w:p>
            <w:pPr>
              <w:jc w:val="center"/>
              <w:rPr>
                <w:rFonts w:ascii="宋体" w:hAnsi="宋体"/>
                <w:kern w:val="0"/>
                <w:sz w:val="20"/>
                <w:highlight w:val="none"/>
              </w:rPr>
            </w:pPr>
          </w:p>
        </w:tc>
        <w:tc>
          <w:tcPr>
            <w:tcW w:w="2004" w:type="dxa"/>
            <w:vAlign w:val="center"/>
          </w:tcPr>
          <w:p>
            <w:pPr>
              <w:jc w:val="center"/>
              <w:rPr>
                <w:rFonts w:ascii="宋体" w:hAnsi="宋体"/>
                <w:kern w:val="0"/>
                <w:sz w:val="20"/>
                <w:highlight w:val="none"/>
              </w:rPr>
            </w:pP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13</w:t>
            </w:r>
          </w:p>
        </w:tc>
        <w:tc>
          <w:tcPr>
            <w:tcW w:w="3071" w:type="dxa"/>
            <w:vAlign w:val="center"/>
          </w:tcPr>
          <w:p>
            <w:pPr>
              <w:jc w:val="center"/>
              <w:rPr>
                <w:rFonts w:ascii="宋体" w:hAnsi="宋体"/>
                <w:kern w:val="0"/>
                <w:sz w:val="20"/>
                <w:highlight w:val="none"/>
              </w:rPr>
            </w:pPr>
          </w:p>
        </w:tc>
        <w:tc>
          <w:tcPr>
            <w:tcW w:w="2004" w:type="dxa"/>
            <w:vAlign w:val="center"/>
          </w:tcPr>
          <w:p>
            <w:pPr>
              <w:jc w:val="center"/>
              <w:rPr>
                <w:rFonts w:ascii="宋体" w:hAnsi="宋体"/>
                <w:kern w:val="0"/>
                <w:sz w:val="20"/>
                <w:highlight w:val="none"/>
              </w:rPr>
            </w:pP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14</w:t>
            </w:r>
          </w:p>
        </w:tc>
        <w:tc>
          <w:tcPr>
            <w:tcW w:w="3071" w:type="dxa"/>
            <w:vAlign w:val="center"/>
          </w:tcPr>
          <w:p>
            <w:pPr>
              <w:jc w:val="center"/>
              <w:rPr>
                <w:rFonts w:ascii="宋体" w:hAnsi="宋体"/>
                <w:kern w:val="0"/>
                <w:sz w:val="20"/>
                <w:highlight w:val="none"/>
              </w:rPr>
            </w:pPr>
          </w:p>
        </w:tc>
        <w:tc>
          <w:tcPr>
            <w:tcW w:w="2004" w:type="dxa"/>
            <w:vAlign w:val="center"/>
          </w:tcPr>
          <w:p>
            <w:pPr>
              <w:jc w:val="center"/>
              <w:rPr>
                <w:rFonts w:ascii="宋体" w:hAnsi="宋体"/>
                <w:kern w:val="0"/>
                <w:sz w:val="20"/>
                <w:highlight w:val="none"/>
              </w:rPr>
            </w:pP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15</w:t>
            </w:r>
          </w:p>
        </w:tc>
        <w:tc>
          <w:tcPr>
            <w:tcW w:w="3071" w:type="dxa"/>
            <w:vAlign w:val="center"/>
          </w:tcPr>
          <w:p>
            <w:pPr>
              <w:jc w:val="center"/>
              <w:rPr>
                <w:rFonts w:ascii="宋体" w:hAnsi="宋体"/>
                <w:kern w:val="0"/>
                <w:sz w:val="20"/>
                <w:highlight w:val="none"/>
              </w:rPr>
            </w:pPr>
          </w:p>
        </w:tc>
        <w:tc>
          <w:tcPr>
            <w:tcW w:w="2004" w:type="dxa"/>
            <w:vAlign w:val="center"/>
          </w:tcPr>
          <w:p>
            <w:pPr>
              <w:jc w:val="center"/>
              <w:rPr>
                <w:rFonts w:ascii="宋体" w:hAnsi="宋体"/>
                <w:kern w:val="0"/>
                <w:sz w:val="20"/>
                <w:highlight w:val="none"/>
              </w:rPr>
            </w:pP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 w:val="20"/>
                <w:highlight w:val="none"/>
              </w:rPr>
            </w:pPr>
            <w:r>
              <w:rPr>
                <w:rFonts w:ascii="宋体" w:hAnsi="宋体"/>
                <w:kern w:val="0"/>
                <w:sz w:val="20"/>
                <w:highlight w:val="none"/>
              </w:rPr>
              <w:t>16</w:t>
            </w:r>
          </w:p>
        </w:tc>
        <w:tc>
          <w:tcPr>
            <w:tcW w:w="3071" w:type="dxa"/>
            <w:vAlign w:val="center"/>
          </w:tcPr>
          <w:p>
            <w:pPr>
              <w:jc w:val="center"/>
              <w:rPr>
                <w:rFonts w:ascii="宋体" w:hAnsi="宋体"/>
                <w:kern w:val="0"/>
                <w:sz w:val="20"/>
                <w:highlight w:val="none"/>
              </w:rPr>
            </w:pPr>
          </w:p>
        </w:tc>
        <w:tc>
          <w:tcPr>
            <w:tcW w:w="2004" w:type="dxa"/>
            <w:vAlign w:val="center"/>
          </w:tcPr>
          <w:p>
            <w:pPr>
              <w:jc w:val="center"/>
              <w:rPr>
                <w:rFonts w:ascii="宋体" w:hAnsi="宋体"/>
                <w:kern w:val="0"/>
                <w:sz w:val="20"/>
                <w:highlight w:val="none"/>
              </w:rPr>
            </w:pPr>
          </w:p>
        </w:tc>
        <w:tc>
          <w:tcPr>
            <w:tcW w:w="1264" w:type="dxa"/>
            <w:vAlign w:val="center"/>
          </w:tcPr>
          <w:p>
            <w:pPr>
              <w:jc w:val="center"/>
              <w:rPr>
                <w:rFonts w:ascii="宋体" w:hAnsi="宋体"/>
                <w:kern w:val="0"/>
                <w:sz w:val="20"/>
                <w:highlight w:val="none"/>
              </w:rPr>
            </w:pPr>
          </w:p>
        </w:tc>
        <w:tc>
          <w:tcPr>
            <w:tcW w:w="1254" w:type="dxa"/>
            <w:vAlign w:val="center"/>
          </w:tcPr>
          <w:p>
            <w:pPr>
              <w:jc w:val="center"/>
              <w:rPr>
                <w:rFonts w:ascii="宋体" w:hAnsi="宋体"/>
                <w:kern w:val="0"/>
                <w:sz w:val="20"/>
                <w:highlight w:val="none"/>
              </w:rPr>
            </w:pPr>
          </w:p>
        </w:tc>
      </w:tr>
    </w:tbl>
    <w:p>
      <w:pPr>
        <w:rPr>
          <w:rFonts w:ascii="宋体" w:hAnsi="宋体"/>
          <w:highlight w:val="none"/>
        </w:rPr>
      </w:pPr>
    </w:p>
    <w:p>
      <w:pPr>
        <w:rPr>
          <w:rFonts w:ascii="宋体" w:hAnsi="宋体"/>
          <w:sz w:val="32"/>
          <w:szCs w:val="32"/>
          <w:highlight w:val="none"/>
        </w:rPr>
      </w:pPr>
    </w:p>
    <w:p>
      <w:pPr>
        <w:ind w:firstLine="320" w:firstLineChars="100"/>
        <w:rPr>
          <w:rFonts w:ascii="宋体" w:hAnsi="宋体"/>
          <w:sz w:val="32"/>
          <w:szCs w:val="32"/>
          <w:highlight w:val="none"/>
        </w:rPr>
      </w:pPr>
      <w:r>
        <w:rPr>
          <w:rFonts w:hint="eastAsia" w:ascii="宋体" w:hAnsi="宋体"/>
          <w:sz w:val="32"/>
          <w:szCs w:val="32"/>
          <w:highlight w:val="none"/>
        </w:rPr>
        <w:t>施工质量和安全生产、文明施工检查项目处罚表</w:t>
      </w:r>
    </w:p>
    <w:p>
      <w:pPr>
        <w:ind w:firstLine="210" w:firstLineChars="100"/>
        <w:rPr>
          <w:rFonts w:ascii="宋体" w:hAnsi="宋体"/>
          <w:highlight w:val="none"/>
        </w:rPr>
      </w:pPr>
    </w:p>
    <w:tbl>
      <w:tblPr>
        <w:tblStyle w:val="6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71"/>
        <w:gridCol w:w="2015"/>
        <w:gridCol w:w="1275"/>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hint="eastAsia" w:ascii="宋体" w:hAnsi="宋体"/>
                <w:kern w:val="0"/>
                <w:szCs w:val="21"/>
                <w:highlight w:val="none"/>
              </w:rPr>
              <w:t>序号</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检查内容</w:t>
            </w:r>
          </w:p>
        </w:tc>
        <w:tc>
          <w:tcPr>
            <w:tcW w:w="2015" w:type="dxa"/>
            <w:vAlign w:val="center"/>
          </w:tcPr>
          <w:p>
            <w:pPr>
              <w:jc w:val="center"/>
              <w:rPr>
                <w:rFonts w:ascii="宋体" w:hAnsi="宋体"/>
                <w:kern w:val="0"/>
                <w:szCs w:val="21"/>
                <w:highlight w:val="none"/>
              </w:rPr>
            </w:pPr>
            <w:r>
              <w:rPr>
                <w:rFonts w:hint="eastAsia" w:ascii="宋体" w:hAnsi="宋体"/>
                <w:kern w:val="0"/>
                <w:szCs w:val="21"/>
                <w:highlight w:val="none"/>
              </w:rPr>
              <w:t>违约金标准（元）</w:t>
            </w:r>
          </w:p>
        </w:tc>
        <w:tc>
          <w:tcPr>
            <w:tcW w:w="1275" w:type="dxa"/>
            <w:vAlign w:val="center"/>
          </w:tcPr>
          <w:p>
            <w:pPr>
              <w:jc w:val="center"/>
              <w:rPr>
                <w:rFonts w:ascii="宋体" w:hAnsi="宋体"/>
                <w:kern w:val="0"/>
                <w:szCs w:val="21"/>
                <w:highlight w:val="none"/>
              </w:rPr>
            </w:pPr>
            <w:r>
              <w:rPr>
                <w:rFonts w:hint="eastAsia" w:ascii="宋体" w:hAnsi="宋体"/>
                <w:kern w:val="0"/>
                <w:szCs w:val="21"/>
                <w:highlight w:val="none"/>
              </w:rPr>
              <w:t>施工单位处罚金额（元）</w:t>
            </w:r>
          </w:p>
        </w:tc>
        <w:tc>
          <w:tcPr>
            <w:tcW w:w="1340" w:type="dxa"/>
            <w:vAlign w:val="center"/>
          </w:tcPr>
          <w:p>
            <w:pPr>
              <w:jc w:val="center"/>
              <w:rPr>
                <w:rFonts w:ascii="宋体" w:hAnsi="宋体"/>
                <w:kern w:val="0"/>
                <w:szCs w:val="21"/>
                <w:highlight w:val="none"/>
              </w:rPr>
            </w:pPr>
            <w:r>
              <w:rPr>
                <w:rFonts w:hint="eastAsia" w:ascii="宋体" w:hAnsi="宋体"/>
                <w:kern w:val="0"/>
                <w:szCs w:val="21"/>
                <w:highlight w:val="none"/>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1" w:type="dxa"/>
            <w:gridSpan w:val="5"/>
            <w:vAlign w:val="center"/>
          </w:tcPr>
          <w:p>
            <w:pPr>
              <w:jc w:val="center"/>
              <w:rPr>
                <w:rFonts w:ascii="宋体" w:hAnsi="宋体"/>
                <w:kern w:val="0"/>
                <w:szCs w:val="21"/>
                <w:highlight w:val="none"/>
              </w:rPr>
            </w:pPr>
            <w:r>
              <w:rPr>
                <w:rFonts w:hint="eastAsia" w:ascii="宋体" w:hAnsi="宋体"/>
                <w:kern w:val="0"/>
                <w:szCs w:val="21"/>
                <w:highlight w:val="none"/>
              </w:rPr>
              <w:t>施工安全方面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w:t>
            </w:r>
          </w:p>
        </w:tc>
        <w:tc>
          <w:tcPr>
            <w:tcW w:w="3071" w:type="dxa"/>
            <w:vAlign w:val="center"/>
          </w:tcPr>
          <w:p>
            <w:pPr>
              <w:rPr>
                <w:rFonts w:ascii="宋体" w:hAnsi="宋体"/>
                <w:kern w:val="0"/>
                <w:szCs w:val="21"/>
                <w:highlight w:val="none"/>
              </w:rPr>
            </w:pPr>
            <w:r>
              <w:rPr>
                <w:rFonts w:hint="eastAsia" w:ascii="宋体" w:hAnsi="宋体"/>
                <w:kern w:val="0"/>
                <w:szCs w:val="21"/>
                <w:highlight w:val="none"/>
              </w:rPr>
              <w:t>作业范围内安全警示标志不足或没有</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2</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重大危险源未公示</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3</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基坑支护未按照图纸要求施工</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1000-5000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4</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未正确佩戴安全帽或者安全带</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200-1000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5</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专职安全员没有到位或不称职</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6</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挖掘机作业周围回转半径内，没有禁止人员入内标识</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200-1000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7</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施工现场临时</w:t>
            </w:r>
            <w:r>
              <w:rPr>
                <w:rStyle w:val="70"/>
                <w:rFonts w:hint="eastAsia" w:ascii="宋体" w:hAnsi="宋体"/>
                <w:color w:val="auto"/>
                <w:kern w:val="0"/>
                <w:sz w:val="21"/>
                <w:szCs w:val="21"/>
                <w:highlight w:val="none"/>
              </w:rPr>
              <w:t>用电</w:t>
            </w:r>
            <w:r>
              <w:rPr>
                <w:rFonts w:hint="eastAsia" w:ascii="宋体" w:hAnsi="宋体"/>
                <w:kern w:val="0"/>
                <w:szCs w:val="21"/>
                <w:highlight w:val="none"/>
              </w:rPr>
              <w:t>不规范</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200-1000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8</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灭火器材配置不合理或过期不能使用</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200-1000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9</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电线老化、破皮、线路混乱或浸泡在水中</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200-1000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10</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堤岸超负荷堆放泥土，或余泥污染河涌</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1000-5000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11</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施工船只、交通船没按规定配齐救生设施</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200-1000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12</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安全教育、安全技术交底、安全技术操作规程和安全责任制等存在不足</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13</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特种作业人员无证上岗</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200-1000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14</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三防应急抢险物质、机械配备不足</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200-1000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15</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酒后上岗</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200-1000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16</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电力、通信管线开挖未进行交底</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200-1000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17</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专职安全员不到位或不称职</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1000-5000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18</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未按施工专项方案执行</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1000-5000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19</w:t>
            </w:r>
          </w:p>
        </w:tc>
        <w:tc>
          <w:tcPr>
            <w:tcW w:w="3071" w:type="dxa"/>
            <w:vAlign w:val="center"/>
          </w:tcPr>
          <w:p>
            <w:pPr>
              <w:jc w:val="center"/>
              <w:rPr>
                <w:rFonts w:ascii="宋体" w:hAnsi="宋体"/>
                <w:kern w:val="0"/>
                <w:szCs w:val="21"/>
                <w:highlight w:val="none"/>
              </w:rPr>
            </w:pPr>
            <w:r>
              <w:rPr>
                <w:rFonts w:hint="eastAsia" w:ascii="宋体" w:hAnsi="宋体"/>
                <w:kern w:val="0"/>
                <w:szCs w:val="21"/>
                <w:highlight w:val="none"/>
              </w:rPr>
              <w:t>未及时按照安全生产整改通知单整改</w:t>
            </w:r>
          </w:p>
        </w:tc>
        <w:tc>
          <w:tcPr>
            <w:tcW w:w="2015" w:type="dxa"/>
            <w:vAlign w:val="center"/>
          </w:tcPr>
          <w:p>
            <w:pPr>
              <w:jc w:val="center"/>
              <w:rPr>
                <w:rFonts w:ascii="宋体" w:hAnsi="宋体"/>
                <w:kern w:val="0"/>
                <w:szCs w:val="21"/>
                <w:highlight w:val="none"/>
              </w:rPr>
            </w:pPr>
            <w:r>
              <w:rPr>
                <w:rFonts w:ascii="宋体" w:hAnsi="宋体"/>
                <w:kern w:val="0"/>
                <w:szCs w:val="21"/>
                <w:highlight w:val="none"/>
              </w:rPr>
              <w:t>1000-5000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275"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bl>
    <w:p>
      <w:pPr>
        <w:ind w:firstLine="210" w:firstLineChars="100"/>
        <w:rPr>
          <w:rFonts w:ascii="宋体" w:hAnsi="宋体"/>
          <w:highlight w:val="none"/>
        </w:rPr>
      </w:pPr>
    </w:p>
    <w:p>
      <w:pPr>
        <w:ind w:firstLine="300" w:firstLineChars="100"/>
        <w:jc w:val="center"/>
        <w:rPr>
          <w:rFonts w:ascii="宋体" w:hAnsi="宋体"/>
          <w:sz w:val="30"/>
          <w:szCs w:val="30"/>
          <w:highlight w:val="none"/>
        </w:rPr>
      </w:pPr>
      <w:r>
        <w:rPr>
          <w:rFonts w:hint="eastAsia" w:ascii="宋体" w:hAnsi="宋体"/>
          <w:sz w:val="30"/>
          <w:szCs w:val="30"/>
          <w:highlight w:val="none"/>
        </w:rPr>
        <w:t>施工质量和安全生产、文明施工检查项目处罚表</w:t>
      </w:r>
    </w:p>
    <w:p>
      <w:pPr>
        <w:ind w:firstLine="210" w:firstLineChars="100"/>
        <w:rPr>
          <w:rFonts w:ascii="宋体" w:hAnsi="宋体"/>
          <w:highlight w:val="none"/>
        </w:rPr>
      </w:pPr>
    </w:p>
    <w:tbl>
      <w:tblPr>
        <w:tblStyle w:val="6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82"/>
        <w:gridCol w:w="1907"/>
        <w:gridCol w:w="137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hint="eastAsia" w:ascii="宋体" w:hAnsi="宋体"/>
                <w:kern w:val="0"/>
                <w:szCs w:val="21"/>
                <w:highlight w:val="none"/>
              </w:rPr>
              <w:t>序号</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检查内容</w:t>
            </w:r>
          </w:p>
        </w:tc>
        <w:tc>
          <w:tcPr>
            <w:tcW w:w="1907" w:type="dxa"/>
            <w:vAlign w:val="center"/>
          </w:tcPr>
          <w:p>
            <w:pPr>
              <w:jc w:val="center"/>
              <w:rPr>
                <w:rFonts w:ascii="宋体" w:hAnsi="宋体"/>
                <w:kern w:val="0"/>
                <w:szCs w:val="21"/>
                <w:highlight w:val="none"/>
              </w:rPr>
            </w:pPr>
            <w:r>
              <w:rPr>
                <w:rFonts w:hint="eastAsia" w:ascii="宋体" w:hAnsi="宋体"/>
                <w:kern w:val="0"/>
                <w:szCs w:val="21"/>
                <w:highlight w:val="none"/>
              </w:rPr>
              <w:t>违约金标准（元）</w:t>
            </w:r>
          </w:p>
        </w:tc>
        <w:tc>
          <w:tcPr>
            <w:tcW w:w="1372" w:type="dxa"/>
            <w:vAlign w:val="center"/>
          </w:tcPr>
          <w:p>
            <w:pPr>
              <w:jc w:val="center"/>
              <w:rPr>
                <w:rFonts w:ascii="宋体" w:hAnsi="宋体"/>
                <w:kern w:val="0"/>
                <w:szCs w:val="21"/>
                <w:highlight w:val="none"/>
              </w:rPr>
            </w:pPr>
            <w:r>
              <w:rPr>
                <w:rFonts w:hint="eastAsia" w:ascii="宋体" w:hAnsi="宋体"/>
                <w:kern w:val="0"/>
                <w:szCs w:val="21"/>
                <w:highlight w:val="none"/>
              </w:rPr>
              <w:t>施工单位处罚金额（元）</w:t>
            </w:r>
          </w:p>
        </w:tc>
        <w:tc>
          <w:tcPr>
            <w:tcW w:w="1340" w:type="dxa"/>
            <w:vAlign w:val="center"/>
          </w:tcPr>
          <w:p>
            <w:pPr>
              <w:jc w:val="center"/>
              <w:rPr>
                <w:rFonts w:ascii="宋体" w:hAnsi="宋体"/>
                <w:kern w:val="0"/>
                <w:szCs w:val="21"/>
                <w:highlight w:val="none"/>
              </w:rPr>
            </w:pPr>
            <w:r>
              <w:rPr>
                <w:rFonts w:hint="eastAsia" w:ascii="宋体" w:hAnsi="宋体"/>
                <w:kern w:val="0"/>
                <w:szCs w:val="21"/>
                <w:highlight w:val="none"/>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1" w:type="dxa"/>
            <w:gridSpan w:val="5"/>
            <w:vAlign w:val="center"/>
          </w:tcPr>
          <w:p>
            <w:pPr>
              <w:jc w:val="center"/>
              <w:rPr>
                <w:rFonts w:ascii="宋体" w:hAnsi="宋体"/>
                <w:kern w:val="0"/>
                <w:szCs w:val="21"/>
                <w:highlight w:val="none"/>
              </w:rPr>
            </w:pPr>
            <w:r>
              <w:rPr>
                <w:rFonts w:hint="eastAsia" w:ascii="宋体" w:hAnsi="宋体"/>
                <w:kern w:val="0"/>
                <w:szCs w:val="21"/>
                <w:highlight w:val="none"/>
              </w:rPr>
              <w:t>文明施工方面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围蔽材料不坚固、不稳定、不整洁、不美观、现场不封闭</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2</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现场材料堆放是否覆盖、道路开挖和土方作业是否做好清理渣土及洒水降尘措施</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3</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建立淤泥渣土排放台帐情况</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4</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未办理夜间施工许可证，造成居民投诉</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5</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散体物料运输造成污染</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处）</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6</w:t>
            </w:r>
          </w:p>
        </w:tc>
        <w:tc>
          <w:tcPr>
            <w:tcW w:w="3082" w:type="dxa"/>
            <w:vAlign w:val="center"/>
          </w:tcPr>
          <w:p>
            <w:pPr>
              <w:jc w:val="center"/>
              <w:rPr>
                <w:rFonts w:ascii="宋体" w:hAnsi="宋体"/>
                <w:kern w:val="0"/>
                <w:szCs w:val="21"/>
                <w:highlight w:val="none"/>
              </w:rPr>
            </w:pPr>
          </w:p>
        </w:tc>
        <w:tc>
          <w:tcPr>
            <w:tcW w:w="1907" w:type="dxa"/>
            <w:vAlign w:val="center"/>
          </w:tcPr>
          <w:p>
            <w:pPr>
              <w:jc w:val="center"/>
              <w:rPr>
                <w:rFonts w:ascii="宋体" w:hAnsi="宋体"/>
                <w:kern w:val="0"/>
                <w:szCs w:val="21"/>
                <w:highlight w:val="none"/>
              </w:rPr>
            </w:pP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7</w:t>
            </w:r>
          </w:p>
        </w:tc>
        <w:tc>
          <w:tcPr>
            <w:tcW w:w="3082" w:type="dxa"/>
            <w:vAlign w:val="center"/>
          </w:tcPr>
          <w:p>
            <w:pPr>
              <w:jc w:val="center"/>
              <w:rPr>
                <w:rFonts w:ascii="宋体" w:hAnsi="宋体"/>
                <w:kern w:val="0"/>
                <w:szCs w:val="21"/>
                <w:highlight w:val="none"/>
              </w:rPr>
            </w:pPr>
          </w:p>
        </w:tc>
        <w:tc>
          <w:tcPr>
            <w:tcW w:w="1907" w:type="dxa"/>
            <w:vAlign w:val="center"/>
          </w:tcPr>
          <w:p>
            <w:pPr>
              <w:jc w:val="center"/>
              <w:rPr>
                <w:rFonts w:ascii="宋体" w:hAnsi="宋体"/>
                <w:kern w:val="0"/>
                <w:szCs w:val="21"/>
                <w:highlight w:val="none"/>
              </w:rPr>
            </w:pP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8</w:t>
            </w:r>
          </w:p>
        </w:tc>
        <w:tc>
          <w:tcPr>
            <w:tcW w:w="3082" w:type="dxa"/>
            <w:vAlign w:val="center"/>
          </w:tcPr>
          <w:p>
            <w:pPr>
              <w:jc w:val="center"/>
              <w:rPr>
                <w:rFonts w:ascii="宋体" w:hAnsi="宋体"/>
                <w:kern w:val="0"/>
                <w:szCs w:val="21"/>
                <w:highlight w:val="none"/>
              </w:rPr>
            </w:pPr>
          </w:p>
        </w:tc>
        <w:tc>
          <w:tcPr>
            <w:tcW w:w="1907" w:type="dxa"/>
            <w:vAlign w:val="center"/>
          </w:tcPr>
          <w:p>
            <w:pPr>
              <w:jc w:val="center"/>
              <w:rPr>
                <w:rFonts w:ascii="宋体" w:hAnsi="宋体"/>
                <w:kern w:val="0"/>
                <w:szCs w:val="21"/>
                <w:highlight w:val="none"/>
              </w:rPr>
            </w:pP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9</w:t>
            </w:r>
          </w:p>
        </w:tc>
        <w:tc>
          <w:tcPr>
            <w:tcW w:w="3082" w:type="dxa"/>
            <w:vAlign w:val="center"/>
          </w:tcPr>
          <w:p>
            <w:pPr>
              <w:jc w:val="center"/>
              <w:rPr>
                <w:rFonts w:ascii="宋体" w:hAnsi="宋体"/>
                <w:kern w:val="0"/>
                <w:szCs w:val="21"/>
                <w:highlight w:val="none"/>
              </w:rPr>
            </w:pPr>
          </w:p>
        </w:tc>
        <w:tc>
          <w:tcPr>
            <w:tcW w:w="1907" w:type="dxa"/>
            <w:vAlign w:val="center"/>
          </w:tcPr>
          <w:p>
            <w:pPr>
              <w:jc w:val="center"/>
              <w:rPr>
                <w:rFonts w:ascii="宋体" w:hAnsi="宋体"/>
                <w:kern w:val="0"/>
                <w:szCs w:val="21"/>
                <w:highlight w:val="none"/>
              </w:rPr>
            </w:pP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10</w:t>
            </w:r>
          </w:p>
        </w:tc>
        <w:tc>
          <w:tcPr>
            <w:tcW w:w="3082" w:type="dxa"/>
            <w:vAlign w:val="center"/>
          </w:tcPr>
          <w:p>
            <w:pPr>
              <w:jc w:val="center"/>
              <w:rPr>
                <w:rFonts w:ascii="宋体" w:hAnsi="宋体"/>
                <w:kern w:val="0"/>
                <w:szCs w:val="21"/>
                <w:highlight w:val="none"/>
              </w:rPr>
            </w:pPr>
          </w:p>
        </w:tc>
        <w:tc>
          <w:tcPr>
            <w:tcW w:w="1907" w:type="dxa"/>
            <w:vAlign w:val="center"/>
          </w:tcPr>
          <w:p>
            <w:pPr>
              <w:jc w:val="center"/>
              <w:rPr>
                <w:rFonts w:ascii="宋体" w:hAnsi="宋体"/>
                <w:kern w:val="0"/>
                <w:szCs w:val="21"/>
                <w:highlight w:val="none"/>
              </w:rPr>
            </w:pP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11</w:t>
            </w:r>
          </w:p>
        </w:tc>
        <w:tc>
          <w:tcPr>
            <w:tcW w:w="3082" w:type="dxa"/>
            <w:vAlign w:val="center"/>
          </w:tcPr>
          <w:p>
            <w:pPr>
              <w:jc w:val="center"/>
              <w:rPr>
                <w:rFonts w:ascii="宋体" w:hAnsi="宋体"/>
                <w:kern w:val="0"/>
                <w:szCs w:val="21"/>
                <w:highlight w:val="none"/>
              </w:rPr>
            </w:pPr>
          </w:p>
        </w:tc>
        <w:tc>
          <w:tcPr>
            <w:tcW w:w="1907" w:type="dxa"/>
            <w:vAlign w:val="center"/>
          </w:tcPr>
          <w:p>
            <w:pPr>
              <w:jc w:val="center"/>
              <w:rPr>
                <w:rFonts w:ascii="宋体" w:hAnsi="宋体"/>
                <w:kern w:val="0"/>
                <w:szCs w:val="21"/>
                <w:highlight w:val="none"/>
              </w:rPr>
            </w:pP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12</w:t>
            </w:r>
          </w:p>
        </w:tc>
        <w:tc>
          <w:tcPr>
            <w:tcW w:w="3082" w:type="dxa"/>
            <w:vAlign w:val="center"/>
          </w:tcPr>
          <w:p>
            <w:pPr>
              <w:jc w:val="center"/>
              <w:rPr>
                <w:rFonts w:ascii="宋体" w:hAnsi="宋体"/>
                <w:kern w:val="0"/>
                <w:szCs w:val="21"/>
                <w:highlight w:val="none"/>
              </w:rPr>
            </w:pPr>
          </w:p>
        </w:tc>
        <w:tc>
          <w:tcPr>
            <w:tcW w:w="1907" w:type="dxa"/>
            <w:vAlign w:val="center"/>
          </w:tcPr>
          <w:p>
            <w:pPr>
              <w:jc w:val="center"/>
              <w:rPr>
                <w:rFonts w:ascii="宋体" w:hAnsi="宋体"/>
                <w:kern w:val="0"/>
                <w:szCs w:val="21"/>
                <w:highlight w:val="none"/>
              </w:rPr>
            </w:pP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13</w:t>
            </w:r>
          </w:p>
        </w:tc>
        <w:tc>
          <w:tcPr>
            <w:tcW w:w="3082" w:type="dxa"/>
            <w:vAlign w:val="center"/>
          </w:tcPr>
          <w:p>
            <w:pPr>
              <w:jc w:val="center"/>
              <w:rPr>
                <w:rFonts w:ascii="宋体" w:hAnsi="宋体"/>
                <w:kern w:val="0"/>
                <w:szCs w:val="21"/>
                <w:highlight w:val="none"/>
              </w:rPr>
            </w:pPr>
          </w:p>
        </w:tc>
        <w:tc>
          <w:tcPr>
            <w:tcW w:w="1907" w:type="dxa"/>
            <w:vAlign w:val="center"/>
          </w:tcPr>
          <w:p>
            <w:pPr>
              <w:jc w:val="center"/>
              <w:rPr>
                <w:rFonts w:ascii="宋体" w:hAnsi="宋体"/>
                <w:kern w:val="0"/>
                <w:szCs w:val="21"/>
                <w:highlight w:val="none"/>
              </w:rPr>
            </w:pP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bl>
    <w:p>
      <w:pPr>
        <w:ind w:firstLine="210" w:firstLineChars="100"/>
        <w:rPr>
          <w:rFonts w:ascii="宋体" w:hAnsi="宋体"/>
          <w:highlight w:val="none"/>
        </w:rPr>
      </w:pPr>
    </w:p>
    <w:p>
      <w:pPr>
        <w:ind w:firstLine="210" w:firstLineChars="100"/>
        <w:rPr>
          <w:rFonts w:ascii="宋体" w:hAnsi="宋体"/>
          <w:highlight w:val="none"/>
        </w:rPr>
      </w:pPr>
    </w:p>
    <w:p>
      <w:pPr>
        <w:tabs>
          <w:tab w:val="left" w:pos="1320"/>
        </w:tabs>
        <w:ind w:firstLine="210" w:firstLineChars="100"/>
        <w:rPr>
          <w:rFonts w:ascii="宋体" w:hAnsi="宋体"/>
          <w:highlight w:val="none"/>
        </w:rPr>
      </w:pPr>
      <w:r>
        <w:rPr>
          <w:rFonts w:ascii="宋体" w:hAnsi="宋体"/>
          <w:highlight w:val="none"/>
        </w:rPr>
        <w:tab/>
      </w:r>
    </w:p>
    <w:p>
      <w:pPr>
        <w:tabs>
          <w:tab w:val="left" w:pos="1320"/>
        </w:tabs>
        <w:ind w:firstLine="210" w:firstLineChars="100"/>
        <w:rPr>
          <w:rFonts w:ascii="宋体" w:hAnsi="宋体"/>
          <w:highlight w:val="none"/>
        </w:rPr>
      </w:pPr>
    </w:p>
    <w:p>
      <w:pPr>
        <w:tabs>
          <w:tab w:val="left" w:pos="1320"/>
        </w:tabs>
        <w:ind w:firstLine="210" w:firstLineChars="100"/>
        <w:rPr>
          <w:rFonts w:ascii="宋体" w:hAnsi="宋体"/>
          <w:highlight w:val="none"/>
        </w:rPr>
      </w:pPr>
    </w:p>
    <w:p>
      <w:pPr>
        <w:tabs>
          <w:tab w:val="left" w:pos="1320"/>
        </w:tabs>
        <w:ind w:firstLine="210" w:firstLineChars="100"/>
        <w:rPr>
          <w:rFonts w:ascii="宋体" w:hAnsi="宋体"/>
          <w:highlight w:val="none"/>
        </w:rPr>
      </w:pPr>
    </w:p>
    <w:p>
      <w:pPr>
        <w:tabs>
          <w:tab w:val="left" w:pos="1320"/>
        </w:tabs>
        <w:ind w:firstLine="210" w:firstLineChars="100"/>
        <w:rPr>
          <w:rFonts w:ascii="宋体" w:hAnsi="宋体"/>
          <w:highlight w:val="none"/>
        </w:rPr>
      </w:pPr>
    </w:p>
    <w:p>
      <w:pPr>
        <w:tabs>
          <w:tab w:val="left" w:pos="1320"/>
        </w:tabs>
        <w:rPr>
          <w:rFonts w:ascii="宋体" w:hAnsi="宋体"/>
          <w:highlight w:val="none"/>
        </w:rPr>
      </w:pPr>
    </w:p>
    <w:p>
      <w:pPr>
        <w:ind w:firstLine="320" w:firstLineChars="100"/>
        <w:rPr>
          <w:rFonts w:ascii="宋体" w:hAnsi="宋体"/>
          <w:sz w:val="32"/>
          <w:szCs w:val="32"/>
          <w:highlight w:val="none"/>
        </w:rPr>
      </w:pPr>
      <w:r>
        <w:rPr>
          <w:rFonts w:hint="eastAsia" w:ascii="宋体" w:hAnsi="宋体"/>
          <w:sz w:val="32"/>
          <w:szCs w:val="32"/>
          <w:highlight w:val="none"/>
        </w:rPr>
        <w:t>施工质量和安全生产、文明施工检查项目</w:t>
      </w:r>
      <w:r>
        <w:rPr>
          <w:rFonts w:hint="eastAsia" w:ascii="宋体" w:hAnsi="宋体"/>
          <w:sz w:val="30"/>
          <w:szCs w:val="30"/>
          <w:highlight w:val="none"/>
        </w:rPr>
        <w:t>处罚</w:t>
      </w:r>
      <w:r>
        <w:rPr>
          <w:rFonts w:hint="eastAsia" w:ascii="宋体" w:hAnsi="宋体"/>
          <w:sz w:val="32"/>
          <w:szCs w:val="32"/>
          <w:highlight w:val="none"/>
        </w:rPr>
        <w:t>表</w:t>
      </w:r>
    </w:p>
    <w:p>
      <w:pPr>
        <w:ind w:firstLine="210" w:firstLineChars="100"/>
        <w:rPr>
          <w:rFonts w:ascii="宋体" w:hAnsi="宋体"/>
          <w:highlight w:val="none"/>
        </w:rPr>
      </w:pPr>
    </w:p>
    <w:tbl>
      <w:tblPr>
        <w:tblStyle w:val="63"/>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3082"/>
        <w:gridCol w:w="1907"/>
        <w:gridCol w:w="137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hint="eastAsia" w:ascii="宋体" w:hAnsi="宋体"/>
                <w:kern w:val="0"/>
                <w:szCs w:val="21"/>
                <w:highlight w:val="none"/>
              </w:rPr>
              <w:t>序号</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检查内容</w:t>
            </w:r>
          </w:p>
        </w:tc>
        <w:tc>
          <w:tcPr>
            <w:tcW w:w="1907" w:type="dxa"/>
            <w:vAlign w:val="center"/>
          </w:tcPr>
          <w:p>
            <w:pPr>
              <w:jc w:val="center"/>
              <w:rPr>
                <w:rFonts w:ascii="宋体" w:hAnsi="宋体"/>
                <w:kern w:val="0"/>
                <w:szCs w:val="21"/>
                <w:highlight w:val="none"/>
              </w:rPr>
            </w:pPr>
            <w:r>
              <w:rPr>
                <w:rFonts w:hint="eastAsia" w:ascii="宋体" w:hAnsi="宋体"/>
                <w:kern w:val="0"/>
                <w:szCs w:val="21"/>
                <w:highlight w:val="none"/>
              </w:rPr>
              <w:t>违约金标准（元）</w:t>
            </w:r>
          </w:p>
        </w:tc>
        <w:tc>
          <w:tcPr>
            <w:tcW w:w="1372" w:type="dxa"/>
            <w:vAlign w:val="center"/>
          </w:tcPr>
          <w:p>
            <w:pPr>
              <w:jc w:val="center"/>
              <w:rPr>
                <w:rFonts w:ascii="宋体" w:hAnsi="宋体"/>
                <w:kern w:val="0"/>
                <w:szCs w:val="21"/>
                <w:highlight w:val="none"/>
              </w:rPr>
            </w:pPr>
            <w:r>
              <w:rPr>
                <w:rFonts w:hint="eastAsia" w:ascii="宋体" w:hAnsi="宋体"/>
                <w:kern w:val="0"/>
                <w:szCs w:val="21"/>
                <w:highlight w:val="none"/>
              </w:rPr>
              <w:t>施工单位处罚金额（元）</w:t>
            </w:r>
          </w:p>
        </w:tc>
        <w:tc>
          <w:tcPr>
            <w:tcW w:w="1340" w:type="dxa"/>
            <w:vAlign w:val="center"/>
          </w:tcPr>
          <w:p>
            <w:pPr>
              <w:jc w:val="center"/>
              <w:rPr>
                <w:rFonts w:ascii="宋体" w:hAnsi="宋体"/>
                <w:kern w:val="0"/>
                <w:szCs w:val="21"/>
                <w:highlight w:val="none"/>
              </w:rPr>
            </w:pPr>
            <w:r>
              <w:rPr>
                <w:rFonts w:hint="eastAsia" w:ascii="宋体" w:hAnsi="宋体"/>
                <w:kern w:val="0"/>
                <w:szCs w:val="21"/>
                <w:highlight w:val="none"/>
              </w:rPr>
              <w:t>监理单位处罚金额（元）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521" w:type="dxa"/>
            <w:gridSpan w:val="5"/>
            <w:vAlign w:val="center"/>
          </w:tcPr>
          <w:p>
            <w:pPr>
              <w:jc w:val="center"/>
              <w:rPr>
                <w:rFonts w:ascii="宋体" w:hAnsi="宋体"/>
                <w:kern w:val="0"/>
                <w:szCs w:val="21"/>
                <w:highlight w:val="none"/>
              </w:rPr>
            </w:pPr>
            <w:r>
              <w:rPr>
                <w:rFonts w:hint="eastAsia" w:ascii="宋体" w:hAnsi="宋体"/>
                <w:kern w:val="0"/>
                <w:szCs w:val="21"/>
                <w:highlight w:val="none"/>
              </w:rPr>
              <w:t>人员到位及资料方面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项目经理未按合同到位履职</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1000-5000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2</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项目总监未按合同到位履职</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1000-5000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3</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施工日志不够详实、不能体现施工现场</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4</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施工日志、监理日志施工内容不一致</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5</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相关资料报送不及时，出现错报、漏报、虚报等情况</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6</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监理规划、监理细则操作性不强，工作未按照规划、细则执行</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1000-5000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7</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监理月报或者会议纪要未及时报送建设单位</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300-1000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8</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施工资料与施工现场不同步</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9</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监理单位未落实旁站</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1000-3000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10</w:t>
            </w:r>
          </w:p>
        </w:tc>
        <w:tc>
          <w:tcPr>
            <w:tcW w:w="3082" w:type="dxa"/>
            <w:vAlign w:val="center"/>
          </w:tcPr>
          <w:p>
            <w:pPr>
              <w:jc w:val="center"/>
              <w:rPr>
                <w:rFonts w:ascii="宋体" w:hAnsi="宋体"/>
                <w:kern w:val="0"/>
                <w:szCs w:val="21"/>
                <w:highlight w:val="none"/>
              </w:rPr>
            </w:pPr>
            <w:r>
              <w:rPr>
                <w:rFonts w:hint="eastAsia" w:ascii="宋体" w:hAnsi="宋体"/>
                <w:kern w:val="0"/>
                <w:szCs w:val="21"/>
                <w:highlight w:val="none"/>
              </w:rPr>
              <w:t>材料出现证明文件无原件</w:t>
            </w:r>
          </w:p>
        </w:tc>
        <w:tc>
          <w:tcPr>
            <w:tcW w:w="1907" w:type="dxa"/>
            <w:vAlign w:val="center"/>
          </w:tcPr>
          <w:p>
            <w:pPr>
              <w:jc w:val="center"/>
              <w:rPr>
                <w:rFonts w:ascii="宋体" w:hAnsi="宋体"/>
                <w:kern w:val="0"/>
                <w:szCs w:val="21"/>
                <w:highlight w:val="none"/>
              </w:rPr>
            </w:pPr>
            <w:r>
              <w:rPr>
                <w:rFonts w:ascii="宋体" w:hAnsi="宋体"/>
                <w:kern w:val="0"/>
                <w:szCs w:val="21"/>
                <w:highlight w:val="none"/>
              </w:rPr>
              <w:t>1000-5000</w:t>
            </w:r>
            <w:r>
              <w:rPr>
                <w:rFonts w:hint="eastAsia" w:ascii="宋体" w:hAnsi="宋体"/>
                <w:kern w:val="0"/>
                <w:szCs w:val="21"/>
                <w:highlight w:val="none"/>
              </w:rPr>
              <w:t>（元</w:t>
            </w:r>
            <w:r>
              <w:rPr>
                <w:rFonts w:ascii="宋体" w:hAnsi="宋体"/>
                <w:kern w:val="0"/>
                <w:szCs w:val="21"/>
                <w:highlight w:val="none"/>
              </w:rPr>
              <w:t>/</w:t>
            </w:r>
            <w:r>
              <w:rPr>
                <w:rFonts w:hint="eastAsia" w:ascii="宋体" w:hAnsi="宋体"/>
                <w:kern w:val="0"/>
                <w:szCs w:val="21"/>
                <w:highlight w:val="none"/>
              </w:rPr>
              <w:t>次）</w:t>
            </w: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11</w:t>
            </w:r>
          </w:p>
        </w:tc>
        <w:tc>
          <w:tcPr>
            <w:tcW w:w="3082" w:type="dxa"/>
            <w:vAlign w:val="center"/>
          </w:tcPr>
          <w:p>
            <w:pPr>
              <w:jc w:val="center"/>
              <w:rPr>
                <w:rFonts w:ascii="宋体" w:hAnsi="宋体"/>
                <w:kern w:val="0"/>
                <w:szCs w:val="21"/>
                <w:highlight w:val="none"/>
              </w:rPr>
            </w:pPr>
          </w:p>
        </w:tc>
        <w:tc>
          <w:tcPr>
            <w:tcW w:w="1907" w:type="dxa"/>
            <w:vAlign w:val="center"/>
          </w:tcPr>
          <w:p>
            <w:pPr>
              <w:jc w:val="center"/>
              <w:rPr>
                <w:rFonts w:ascii="宋体" w:hAnsi="宋体"/>
                <w:kern w:val="0"/>
                <w:szCs w:val="21"/>
                <w:highlight w:val="none"/>
              </w:rPr>
            </w:pP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12</w:t>
            </w:r>
          </w:p>
        </w:tc>
        <w:tc>
          <w:tcPr>
            <w:tcW w:w="3082" w:type="dxa"/>
            <w:vAlign w:val="center"/>
          </w:tcPr>
          <w:p>
            <w:pPr>
              <w:jc w:val="center"/>
              <w:rPr>
                <w:rFonts w:ascii="宋体" w:hAnsi="宋体"/>
                <w:kern w:val="0"/>
                <w:szCs w:val="21"/>
                <w:highlight w:val="none"/>
              </w:rPr>
            </w:pPr>
          </w:p>
        </w:tc>
        <w:tc>
          <w:tcPr>
            <w:tcW w:w="1907" w:type="dxa"/>
            <w:vAlign w:val="center"/>
          </w:tcPr>
          <w:p>
            <w:pPr>
              <w:jc w:val="center"/>
              <w:rPr>
                <w:rFonts w:ascii="宋体" w:hAnsi="宋体"/>
                <w:kern w:val="0"/>
                <w:szCs w:val="21"/>
                <w:highlight w:val="none"/>
              </w:rPr>
            </w:pP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0" w:type="dxa"/>
            <w:vAlign w:val="center"/>
          </w:tcPr>
          <w:p>
            <w:pPr>
              <w:jc w:val="center"/>
              <w:rPr>
                <w:rFonts w:ascii="宋体" w:hAnsi="宋体"/>
                <w:kern w:val="0"/>
                <w:szCs w:val="21"/>
                <w:highlight w:val="none"/>
              </w:rPr>
            </w:pPr>
            <w:r>
              <w:rPr>
                <w:rFonts w:ascii="宋体" w:hAnsi="宋体"/>
                <w:kern w:val="0"/>
                <w:szCs w:val="21"/>
                <w:highlight w:val="none"/>
              </w:rPr>
              <w:t>13</w:t>
            </w:r>
          </w:p>
        </w:tc>
        <w:tc>
          <w:tcPr>
            <w:tcW w:w="3082" w:type="dxa"/>
            <w:vAlign w:val="center"/>
          </w:tcPr>
          <w:p>
            <w:pPr>
              <w:jc w:val="center"/>
              <w:rPr>
                <w:rFonts w:ascii="宋体" w:hAnsi="宋体"/>
                <w:kern w:val="0"/>
                <w:szCs w:val="21"/>
                <w:highlight w:val="none"/>
              </w:rPr>
            </w:pPr>
          </w:p>
        </w:tc>
        <w:tc>
          <w:tcPr>
            <w:tcW w:w="1907" w:type="dxa"/>
            <w:vAlign w:val="center"/>
          </w:tcPr>
          <w:p>
            <w:pPr>
              <w:jc w:val="center"/>
              <w:rPr>
                <w:rFonts w:ascii="宋体" w:hAnsi="宋体"/>
                <w:kern w:val="0"/>
                <w:szCs w:val="21"/>
                <w:highlight w:val="none"/>
              </w:rPr>
            </w:pPr>
          </w:p>
        </w:tc>
        <w:tc>
          <w:tcPr>
            <w:tcW w:w="1372" w:type="dxa"/>
            <w:vAlign w:val="center"/>
          </w:tcPr>
          <w:p>
            <w:pPr>
              <w:jc w:val="center"/>
              <w:rPr>
                <w:rFonts w:ascii="宋体" w:hAnsi="宋体"/>
                <w:kern w:val="0"/>
                <w:szCs w:val="21"/>
                <w:highlight w:val="none"/>
              </w:rPr>
            </w:pPr>
          </w:p>
        </w:tc>
        <w:tc>
          <w:tcPr>
            <w:tcW w:w="1340" w:type="dxa"/>
            <w:vAlign w:val="center"/>
          </w:tcPr>
          <w:p>
            <w:pPr>
              <w:jc w:val="center"/>
              <w:rPr>
                <w:rFonts w:ascii="宋体" w:hAnsi="宋体"/>
                <w:kern w:val="0"/>
                <w:szCs w:val="21"/>
                <w:highlight w:val="none"/>
              </w:rPr>
            </w:pPr>
          </w:p>
        </w:tc>
      </w:tr>
    </w:tbl>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施工单位（盖章）：监理单位（盖章）：建设单位（盖章）：</w:t>
      </w:r>
    </w:p>
    <w:p>
      <w:pPr>
        <w:jc w:val="center"/>
        <w:rPr>
          <w:rFonts w:ascii="宋体" w:hAnsi="宋体"/>
          <w:szCs w:val="21"/>
          <w:highlight w:val="none"/>
        </w:rPr>
      </w:pPr>
    </w:p>
    <w:p>
      <w:pPr>
        <w:jc w:val="right"/>
        <w:rPr>
          <w:rFonts w:ascii="宋体" w:hAnsi="宋体"/>
          <w:szCs w:val="21"/>
          <w:highlight w:val="none"/>
        </w:rPr>
      </w:pPr>
      <w:r>
        <w:rPr>
          <w:rFonts w:hint="eastAsia" w:ascii="宋体" w:hAnsi="宋体"/>
          <w:szCs w:val="21"/>
          <w:highlight w:val="none"/>
        </w:rPr>
        <w:t>年月日</w:t>
      </w:r>
    </w:p>
    <w:p>
      <w:pPr>
        <w:spacing w:afterLines="50" w:line="360" w:lineRule="auto"/>
        <w:rPr>
          <w:rFonts w:ascii="宋体" w:hAnsi="宋体"/>
          <w:b/>
          <w:sz w:val="24"/>
          <w:highlight w:val="none"/>
        </w:rPr>
      </w:pPr>
      <w:r>
        <w:rPr>
          <w:rFonts w:ascii="宋体" w:hAnsi="宋体"/>
          <w:szCs w:val="21"/>
          <w:highlight w:val="none"/>
        </w:rPr>
        <w:br w:type="page"/>
      </w:r>
      <w:r>
        <w:rPr>
          <w:rFonts w:hint="eastAsia" w:ascii="宋体" w:hAnsi="宋体"/>
          <w:b/>
          <w:sz w:val="24"/>
          <w:highlight w:val="none"/>
        </w:rPr>
        <w:t>附件十：安全生产和防汛安全责任书、施工现场安全管理目标承诺书</w:t>
      </w:r>
    </w:p>
    <w:p>
      <w:pPr>
        <w:jc w:val="center"/>
        <w:rPr>
          <w:rFonts w:ascii="宋体" w:hAnsi="宋体"/>
          <w:b/>
          <w:sz w:val="44"/>
          <w:highlight w:val="none"/>
        </w:rPr>
      </w:pPr>
    </w:p>
    <w:p>
      <w:pPr>
        <w:spacing w:afterLines="50" w:line="360" w:lineRule="auto"/>
        <w:jc w:val="center"/>
        <w:rPr>
          <w:rFonts w:ascii="宋体" w:hAnsi="宋体"/>
          <w:b/>
          <w:sz w:val="48"/>
          <w:highlight w:val="none"/>
        </w:rPr>
      </w:pPr>
      <w:r>
        <w:rPr>
          <w:rFonts w:hint="eastAsia" w:ascii="宋体" w:hAnsi="宋体"/>
          <w:b/>
          <w:sz w:val="48"/>
          <w:highlight w:val="none"/>
        </w:rPr>
        <w:t>安全生产和防汛安全责任书、</w:t>
      </w:r>
    </w:p>
    <w:p>
      <w:pPr>
        <w:spacing w:afterLines="50" w:line="360" w:lineRule="auto"/>
        <w:jc w:val="center"/>
        <w:rPr>
          <w:rFonts w:ascii="宋体" w:hAnsi="宋体"/>
          <w:b/>
          <w:sz w:val="48"/>
          <w:highlight w:val="none"/>
        </w:rPr>
      </w:pPr>
      <w:r>
        <w:rPr>
          <w:rFonts w:hint="eastAsia" w:ascii="宋体" w:hAnsi="宋体"/>
          <w:b/>
          <w:sz w:val="48"/>
          <w:highlight w:val="none"/>
        </w:rPr>
        <w:t>施工现场安全管理目标承诺书</w:t>
      </w: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spacing w:line="480" w:lineRule="auto"/>
        <w:ind w:firstLine="600" w:firstLineChars="200"/>
        <w:rPr>
          <w:rFonts w:ascii="宋体" w:hAnsi="宋体"/>
          <w:sz w:val="28"/>
          <w:highlight w:val="none"/>
          <w:u w:val="single"/>
        </w:rPr>
      </w:pPr>
      <w:r>
        <w:rPr>
          <w:rFonts w:hint="eastAsia" w:ascii="宋体" w:hAnsi="宋体"/>
          <w:sz w:val="30"/>
          <w:highlight w:val="none"/>
        </w:rPr>
        <w:t>工程名称：</w:t>
      </w:r>
    </w:p>
    <w:p>
      <w:pPr>
        <w:spacing w:line="480" w:lineRule="auto"/>
        <w:ind w:firstLine="2240" w:firstLineChars="800"/>
        <w:rPr>
          <w:rFonts w:ascii="宋体" w:hAnsi="宋体"/>
          <w:sz w:val="28"/>
          <w:highlight w:val="none"/>
        </w:rPr>
      </w:pPr>
    </w:p>
    <w:p>
      <w:pPr>
        <w:adjustRightInd w:val="0"/>
        <w:snapToGrid w:val="0"/>
        <w:spacing w:line="360" w:lineRule="auto"/>
        <w:ind w:right="11"/>
        <w:rPr>
          <w:rFonts w:ascii="宋体" w:hAnsi="宋体"/>
          <w:sz w:val="28"/>
          <w:highlight w:val="none"/>
        </w:rPr>
      </w:pPr>
      <w:r>
        <w:rPr>
          <w:rFonts w:hint="eastAsia" w:ascii="宋体" w:hAnsi="宋体"/>
          <w:sz w:val="28"/>
          <w:highlight w:val="none"/>
        </w:rPr>
        <w:t>施工单位：</w:t>
      </w:r>
    </w:p>
    <w:p>
      <w:pPr>
        <w:spacing w:line="480" w:lineRule="auto"/>
        <w:ind w:firstLine="560" w:firstLineChars="200"/>
        <w:rPr>
          <w:rFonts w:ascii="宋体" w:hAnsi="宋体"/>
          <w:sz w:val="28"/>
          <w:highlight w:val="none"/>
          <w:u w:val="single"/>
        </w:rPr>
      </w:pPr>
      <w:r>
        <w:rPr>
          <w:rFonts w:hint="eastAsia" w:ascii="宋体" w:hAnsi="宋体"/>
          <w:sz w:val="28"/>
          <w:highlight w:val="none"/>
        </w:rPr>
        <w:t>安全生产和防汛安全责任人：</w:t>
      </w:r>
    </w:p>
    <w:p>
      <w:pPr>
        <w:rPr>
          <w:rFonts w:ascii="宋体" w:hAnsi="宋体"/>
          <w:sz w:val="30"/>
          <w:highlight w:val="none"/>
        </w:rPr>
      </w:pPr>
    </w:p>
    <w:p>
      <w:pPr>
        <w:rPr>
          <w:rFonts w:ascii="宋体" w:hAnsi="宋体"/>
          <w:sz w:val="30"/>
          <w:highlight w:val="none"/>
        </w:rPr>
      </w:pPr>
    </w:p>
    <w:p>
      <w:pPr>
        <w:rPr>
          <w:rFonts w:ascii="宋体" w:hAnsi="宋体"/>
          <w:sz w:val="30"/>
          <w:highlight w:val="none"/>
        </w:rPr>
      </w:pPr>
    </w:p>
    <w:p>
      <w:pPr>
        <w:rPr>
          <w:rFonts w:ascii="宋体" w:hAnsi="宋体"/>
          <w:sz w:val="30"/>
          <w:highlight w:val="none"/>
        </w:rPr>
      </w:pPr>
    </w:p>
    <w:p>
      <w:pPr>
        <w:rPr>
          <w:rFonts w:ascii="宋体" w:hAnsi="宋体"/>
          <w:sz w:val="30"/>
          <w:highlight w:val="none"/>
        </w:rPr>
      </w:pPr>
    </w:p>
    <w:p>
      <w:pPr>
        <w:ind w:firstLine="600" w:firstLineChars="200"/>
        <w:jc w:val="center"/>
        <w:rPr>
          <w:rFonts w:ascii="宋体" w:hAnsi="宋体"/>
          <w:sz w:val="30"/>
          <w:highlight w:val="none"/>
        </w:rPr>
      </w:pPr>
    </w:p>
    <w:p>
      <w:pPr>
        <w:ind w:firstLine="560" w:firstLineChars="200"/>
        <w:jc w:val="center"/>
        <w:rPr>
          <w:rFonts w:ascii="宋体" w:hAnsi="宋体"/>
          <w:sz w:val="28"/>
          <w:highlight w:val="none"/>
        </w:rPr>
      </w:pPr>
    </w:p>
    <w:p>
      <w:pPr>
        <w:jc w:val="center"/>
        <w:rPr>
          <w:rFonts w:ascii="宋体" w:hAnsi="宋体"/>
          <w:b/>
          <w:sz w:val="44"/>
          <w:highlight w:val="none"/>
        </w:rPr>
      </w:pPr>
      <w:r>
        <w:rPr>
          <w:rFonts w:hint="eastAsia" w:ascii="宋体" w:hAnsi="宋体"/>
          <w:sz w:val="28"/>
          <w:highlight w:val="none"/>
        </w:rPr>
        <w:t>年月日</w:t>
      </w:r>
    </w:p>
    <w:p>
      <w:pPr>
        <w:ind w:firstLine="3534" w:firstLineChars="800"/>
        <w:rPr>
          <w:rFonts w:ascii="宋体" w:hAnsi="宋体"/>
          <w:b/>
          <w:sz w:val="44"/>
          <w:highlight w:val="none"/>
        </w:rPr>
      </w:pPr>
      <w:r>
        <w:rPr>
          <w:rFonts w:hint="eastAsia" w:ascii="宋体" w:hAnsi="宋体"/>
          <w:b/>
          <w:sz w:val="44"/>
          <w:highlight w:val="none"/>
        </w:rPr>
        <w:t>工程概况</w:t>
      </w:r>
    </w:p>
    <w:tbl>
      <w:tblPr>
        <w:tblStyle w:val="6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2993"/>
        <w:gridCol w:w="1563"/>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2" w:type="dxa"/>
            <w:vAlign w:val="center"/>
          </w:tcPr>
          <w:p>
            <w:pPr>
              <w:jc w:val="center"/>
              <w:rPr>
                <w:rFonts w:ascii="宋体" w:hAnsi="宋体"/>
                <w:highlight w:val="none"/>
              </w:rPr>
            </w:pPr>
            <w:r>
              <w:rPr>
                <w:rFonts w:hint="eastAsia" w:ascii="宋体" w:hAnsi="宋体"/>
                <w:highlight w:val="none"/>
              </w:rPr>
              <w:t>工程名称</w:t>
            </w:r>
          </w:p>
        </w:tc>
        <w:tc>
          <w:tcPr>
            <w:tcW w:w="7181" w:type="dxa"/>
            <w:gridSpan w:val="3"/>
            <w:vAlign w:val="center"/>
          </w:tcPr>
          <w:p>
            <w:pPr>
              <w:jc w:val="center"/>
              <w:rPr>
                <w:rFonts w:ascii="宋体" w:hAnsi="宋体"/>
                <w:highlight w:val="none"/>
              </w:rPr>
            </w:pPr>
          </w:p>
          <w:p>
            <w:pPr>
              <w:jc w:val="center"/>
              <w:rPr>
                <w:rFonts w:ascii="宋体" w:hAnsi="宋体"/>
                <w:highlight w:val="none"/>
              </w:rPr>
            </w:pPr>
            <w:r>
              <w:rPr>
                <w:rFonts w:hint="eastAsia" w:ascii="宋体" w:hAnsi="宋体"/>
                <w:bCs/>
                <w:snapToGrid w:val="0"/>
                <w:kern w:val="0"/>
                <w:szCs w:val="21"/>
                <w:highlight w:val="none"/>
              </w:rPr>
              <w:t>海珠区住宅类排水单元达标创建工程设计施工总承包（</w:t>
            </w:r>
            <w:r>
              <w:rPr>
                <w:rFonts w:hint="eastAsia" w:ascii="宋体" w:hAnsi="宋体"/>
                <w:bCs/>
                <w:snapToGrid w:val="0"/>
                <w:kern w:val="0"/>
                <w:szCs w:val="21"/>
                <w:highlight w:val="none"/>
                <w:lang w:eastAsia="zh-CN"/>
              </w:rPr>
              <w:t>标段三</w:t>
            </w:r>
            <w:r>
              <w:rPr>
                <w:rFonts w:hint="eastAsia" w:ascii="宋体" w:hAnsi="宋体"/>
                <w:bCs/>
                <w:snapToGrid w:val="0"/>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2" w:type="dxa"/>
            <w:vAlign w:val="center"/>
          </w:tcPr>
          <w:p>
            <w:pPr>
              <w:jc w:val="center"/>
              <w:rPr>
                <w:rFonts w:ascii="宋体" w:hAnsi="宋体"/>
                <w:highlight w:val="none"/>
              </w:rPr>
            </w:pPr>
            <w:r>
              <w:rPr>
                <w:rFonts w:hint="eastAsia" w:ascii="宋体" w:hAnsi="宋体"/>
                <w:highlight w:val="none"/>
              </w:rPr>
              <w:t>工程位置</w:t>
            </w:r>
          </w:p>
        </w:tc>
        <w:tc>
          <w:tcPr>
            <w:tcW w:w="7181" w:type="dxa"/>
            <w:gridSpan w:val="3"/>
            <w:vAlign w:val="center"/>
          </w:tcPr>
          <w:p>
            <w:pPr>
              <w:jc w:val="center"/>
              <w:rPr>
                <w:rFonts w:ascii="宋体" w:hAnsi="宋体"/>
                <w:highlight w:val="none"/>
              </w:rPr>
            </w:pPr>
            <w:r>
              <w:rPr>
                <w:rFonts w:hint="eastAsia" w:ascii="宋体" w:hAnsi="宋体" w:cs="宋体"/>
                <w:szCs w:val="21"/>
                <w:highlight w:val="none"/>
              </w:rPr>
              <w:t>广州市海珠区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6" w:hRule="atLeast"/>
        </w:trPr>
        <w:tc>
          <w:tcPr>
            <w:tcW w:w="1602" w:type="dxa"/>
            <w:vAlign w:val="center"/>
          </w:tcPr>
          <w:p>
            <w:pPr>
              <w:jc w:val="center"/>
              <w:rPr>
                <w:rFonts w:ascii="宋体" w:hAnsi="宋体"/>
                <w:highlight w:val="none"/>
              </w:rPr>
            </w:pPr>
            <w:r>
              <w:rPr>
                <w:rFonts w:hint="eastAsia" w:ascii="宋体" w:hAnsi="宋体"/>
                <w:highlight w:val="none"/>
              </w:rPr>
              <w:t>建设内容</w:t>
            </w:r>
          </w:p>
        </w:tc>
        <w:tc>
          <w:tcPr>
            <w:tcW w:w="7181" w:type="dxa"/>
            <w:gridSpan w:val="3"/>
            <w:vAlign w:val="center"/>
          </w:tcPr>
          <w:p>
            <w:pPr>
              <w:jc w:val="lef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restart"/>
            <w:vAlign w:val="center"/>
          </w:tcPr>
          <w:p>
            <w:pPr>
              <w:jc w:val="center"/>
              <w:rPr>
                <w:rFonts w:ascii="宋体" w:hAnsi="宋体"/>
                <w:highlight w:val="none"/>
              </w:rPr>
            </w:pPr>
            <w:r>
              <w:rPr>
                <w:rFonts w:hint="eastAsia" w:ascii="宋体" w:hAnsi="宋体"/>
                <w:highlight w:val="none"/>
              </w:rPr>
              <w:t>建设单位</w:t>
            </w:r>
          </w:p>
        </w:tc>
        <w:tc>
          <w:tcPr>
            <w:tcW w:w="2993" w:type="dxa"/>
            <w:vMerge w:val="restart"/>
            <w:vAlign w:val="center"/>
          </w:tcPr>
          <w:p>
            <w:pPr>
              <w:jc w:val="center"/>
              <w:rPr>
                <w:rFonts w:ascii="宋体" w:hAnsi="宋体"/>
                <w:highlight w:val="none"/>
              </w:rPr>
            </w:pPr>
            <w:r>
              <w:rPr>
                <w:rFonts w:hint="eastAsia" w:ascii="宋体" w:hAnsi="宋体" w:cs="Arial"/>
                <w:kern w:val="0"/>
                <w:szCs w:val="21"/>
                <w:highlight w:val="none"/>
                <w:lang w:val="zh-CN"/>
              </w:rPr>
              <w:t>广州市海珠区河涌管理所</w:t>
            </w:r>
          </w:p>
        </w:tc>
        <w:tc>
          <w:tcPr>
            <w:tcW w:w="1563" w:type="dxa"/>
            <w:vAlign w:val="center"/>
          </w:tcPr>
          <w:p>
            <w:pPr>
              <w:jc w:val="center"/>
              <w:rPr>
                <w:rFonts w:ascii="宋体" w:hAnsi="宋体"/>
                <w:highlight w:val="none"/>
              </w:rPr>
            </w:pPr>
            <w:r>
              <w:rPr>
                <w:rFonts w:hint="eastAsia" w:ascii="宋体" w:hAnsi="宋体"/>
                <w:highlight w:val="none"/>
              </w:rPr>
              <w:t>联系人</w:t>
            </w:r>
          </w:p>
        </w:tc>
        <w:tc>
          <w:tcPr>
            <w:tcW w:w="2625"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continue"/>
            <w:vAlign w:val="center"/>
          </w:tcPr>
          <w:p>
            <w:pPr>
              <w:jc w:val="center"/>
              <w:rPr>
                <w:rFonts w:ascii="宋体" w:hAnsi="宋体"/>
                <w:highlight w:val="none"/>
              </w:rPr>
            </w:pPr>
          </w:p>
        </w:tc>
        <w:tc>
          <w:tcPr>
            <w:tcW w:w="2993" w:type="dxa"/>
            <w:vMerge w:val="continue"/>
            <w:vAlign w:val="center"/>
          </w:tcPr>
          <w:p>
            <w:pPr>
              <w:jc w:val="center"/>
              <w:rPr>
                <w:rFonts w:ascii="宋体" w:hAnsi="宋体"/>
                <w:highlight w:val="none"/>
              </w:rPr>
            </w:pPr>
          </w:p>
        </w:tc>
        <w:tc>
          <w:tcPr>
            <w:tcW w:w="1563" w:type="dxa"/>
            <w:vAlign w:val="center"/>
          </w:tcPr>
          <w:p>
            <w:pPr>
              <w:jc w:val="center"/>
              <w:rPr>
                <w:rFonts w:ascii="宋体" w:hAnsi="宋体"/>
                <w:highlight w:val="none"/>
              </w:rPr>
            </w:pPr>
            <w:r>
              <w:rPr>
                <w:rFonts w:hint="eastAsia" w:ascii="宋体" w:hAnsi="宋体"/>
                <w:highlight w:val="none"/>
              </w:rPr>
              <w:t>联系电话</w:t>
            </w:r>
          </w:p>
        </w:tc>
        <w:tc>
          <w:tcPr>
            <w:tcW w:w="2625"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restart"/>
            <w:vAlign w:val="center"/>
          </w:tcPr>
          <w:p>
            <w:pPr>
              <w:jc w:val="center"/>
              <w:rPr>
                <w:rFonts w:ascii="宋体" w:hAnsi="宋体"/>
                <w:highlight w:val="none"/>
              </w:rPr>
            </w:pPr>
            <w:r>
              <w:rPr>
                <w:rFonts w:hint="eastAsia" w:ascii="宋体" w:hAnsi="宋体"/>
                <w:highlight w:val="none"/>
              </w:rPr>
              <w:t>施工单位</w:t>
            </w:r>
          </w:p>
        </w:tc>
        <w:tc>
          <w:tcPr>
            <w:tcW w:w="2993" w:type="dxa"/>
            <w:vMerge w:val="restart"/>
            <w:vAlign w:val="center"/>
          </w:tcPr>
          <w:p>
            <w:pPr>
              <w:jc w:val="center"/>
              <w:rPr>
                <w:rFonts w:ascii="宋体" w:hAnsi="宋体"/>
                <w:highlight w:val="none"/>
              </w:rPr>
            </w:pPr>
          </w:p>
        </w:tc>
        <w:tc>
          <w:tcPr>
            <w:tcW w:w="1563" w:type="dxa"/>
            <w:vAlign w:val="center"/>
          </w:tcPr>
          <w:p>
            <w:pPr>
              <w:jc w:val="center"/>
              <w:rPr>
                <w:rFonts w:ascii="宋体" w:hAnsi="宋体"/>
                <w:highlight w:val="none"/>
              </w:rPr>
            </w:pPr>
            <w:r>
              <w:rPr>
                <w:rFonts w:hint="eastAsia" w:ascii="宋体" w:hAnsi="宋体"/>
                <w:highlight w:val="none"/>
              </w:rPr>
              <w:t>联系人</w:t>
            </w:r>
          </w:p>
        </w:tc>
        <w:tc>
          <w:tcPr>
            <w:tcW w:w="2625"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continue"/>
            <w:vAlign w:val="center"/>
          </w:tcPr>
          <w:p>
            <w:pPr>
              <w:jc w:val="center"/>
              <w:rPr>
                <w:rFonts w:ascii="宋体" w:hAnsi="宋体"/>
                <w:highlight w:val="none"/>
              </w:rPr>
            </w:pPr>
          </w:p>
        </w:tc>
        <w:tc>
          <w:tcPr>
            <w:tcW w:w="2993" w:type="dxa"/>
            <w:vMerge w:val="continue"/>
            <w:vAlign w:val="center"/>
          </w:tcPr>
          <w:p>
            <w:pPr>
              <w:jc w:val="center"/>
              <w:rPr>
                <w:rFonts w:ascii="宋体" w:hAnsi="宋体"/>
                <w:highlight w:val="none"/>
              </w:rPr>
            </w:pPr>
          </w:p>
        </w:tc>
        <w:tc>
          <w:tcPr>
            <w:tcW w:w="1563" w:type="dxa"/>
            <w:vAlign w:val="center"/>
          </w:tcPr>
          <w:p>
            <w:pPr>
              <w:jc w:val="center"/>
              <w:rPr>
                <w:rFonts w:ascii="宋体" w:hAnsi="宋体"/>
                <w:highlight w:val="none"/>
              </w:rPr>
            </w:pPr>
            <w:r>
              <w:rPr>
                <w:rFonts w:hint="eastAsia" w:ascii="宋体" w:hAnsi="宋体"/>
                <w:highlight w:val="none"/>
              </w:rPr>
              <w:t>联系电话</w:t>
            </w:r>
          </w:p>
        </w:tc>
        <w:tc>
          <w:tcPr>
            <w:tcW w:w="2625"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restart"/>
            <w:vAlign w:val="center"/>
          </w:tcPr>
          <w:p>
            <w:pPr>
              <w:jc w:val="center"/>
              <w:rPr>
                <w:rFonts w:ascii="宋体" w:hAnsi="宋体"/>
                <w:highlight w:val="none"/>
              </w:rPr>
            </w:pPr>
            <w:r>
              <w:rPr>
                <w:rFonts w:hint="eastAsia" w:ascii="宋体" w:hAnsi="宋体"/>
                <w:highlight w:val="none"/>
              </w:rPr>
              <w:t>监理单位</w:t>
            </w:r>
          </w:p>
        </w:tc>
        <w:tc>
          <w:tcPr>
            <w:tcW w:w="2993" w:type="dxa"/>
            <w:vMerge w:val="restart"/>
            <w:vAlign w:val="center"/>
          </w:tcPr>
          <w:p>
            <w:pPr>
              <w:jc w:val="center"/>
              <w:rPr>
                <w:rFonts w:ascii="宋体" w:hAnsi="宋体"/>
                <w:highlight w:val="none"/>
              </w:rPr>
            </w:pPr>
          </w:p>
        </w:tc>
        <w:tc>
          <w:tcPr>
            <w:tcW w:w="1563" w:type="dxa"/>
            <w:vAlign w:val="center"/>
          </w:tcPr>
          <w:p>
            <w:pPr>
              <w:jc w:val="center"/>
              <w:rPr>
                <w:rFonts w:ascii="宋体" w:hAnsi="宋体"/>
                <w:highlight w:val="none"/>
              </w:rPr>
            </w:pPr>
            <w:r>
              <w:rPr>
                <w:rFonts w:hint="eastAsia" w:ascii="宋体" w:hAnsi="宋体"/>
                <w:highlight w:val="none"/>
              </w:rPr>
              <w:t>联系人</w:t>
            </w:r>
          </w:p>
        </w:tc>
        <w:tc>
          <w:tcPr>
            <w:tcW w:w="2625"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continue"/>
            <w:vAlign w:val="center"/>
          </w:tcPr>
          <w:p>
            <w:pPr>
              <w:jc w:val="center"/>
              <w:rPr>
                <w:rFonts w:ascii="宋体" w:hAnsi="宋体"/>
                <w:highlight w:val="none"/>
              </w:rPr>
            </w:pPr>
          </w:p>
        </w:tc>
        <w:tc>
          <w:tcPr>
            <w:tcW w:w="2993" w:type="dxa"/>
            <w:vMerge w:val="continue"/>
            <w:vAlign w:val="center"/>
          </w:tcPr>
          <w:p>
            <w:pPr>
              <w:jc w:val="center"/>
              <w:rPr>
                <w:rFonts w:ascii="宋体" w:hAnsi="宋体"/>
                <w:highlight w:val="none"/>
              </w:rPr>
            </w:pPr>
          </w:p>
        </w:tc>
        <w:tc>
          <w:tcPr>
            <w:tcW w:w="1563" w:type="dxa"/>
            <w:vAlign w:val="center"/>
          </w:tcPr>
          <w:p>
            <w:pPr>
              <w:jc w:val="center"/>
              <w:rPr>
                <w:rFonts w:ascii="宋体" w:hAnsi="宋体"/>
                <w:highlight w:val="none"/>
              </w:rPr>
            </w:pPr>
            <w:r>
              <w:rPr>
                <w:rFonts w:hint="eastAsia" w:ascii="宋体" w:hAnsi="宋体"/>
                <w:highlight w:val="none"/>
              </w:rPr>
              <w:t>联系电话</w:t>
            </w:r>
          </w:p>
        </w:tc>
        <w:tc>
          <w:tcPr>
            <w:tcW w:w="2625"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restart"/>
            <w:vAlign w:val="center"/>
          </w:tcPr>
          <w:p>
            <w:pPr>
              <w:jc w:val="center"/>
              <w:rPr>
                <w:rFonts w:ascii="宋体" w:hAnsi="宋体"/>
                <w:highlight w:val="none"/>
              </w:rPr>
            </w:pPr>
            <w:r>
              <w:rPr>
                <w:rFonts w:hint="eastAsia" w:ascii="宋体" w:hAnsi="宋体"/>
                <w:highlight w:val="none"/>
              </w:rPr>
              <w:t>设计单位</w:t>
            </w:r>
          </w:p>
        </w:tc>
        <w:tc>
          <w:tcPr>
            <w:tcW w:w="2993" w:type="dxa"/>
            <w:vMerge w:val="restart"/>
            <w:vAlign w:val="center"/>
          </w:tcPr>
          <w:p>
            <w:pPr>
              <w:jc w:val="center"/>
              <w:rPr>
                <w:rFonts w:ascii="宋体" w:hAnsi="宋体"/>
                <w:highlight w:val="none"/>
              </w:rPr>
            </w:pPr>
          </w:p>
        </w:tc>
        <w:tc>
          <w:tcPr>
            <w:tcW w:w="1563" w:type="dxa"/>
            <w:vAlign w:val="center"/>
          </w:tcPr>
          <w:p>
            <w:pPr>
              <w:jc w:val="center"/>
              <w:rPr>
                <w:rFonts w:ascii="宋体" w:hAnsi="宋体"/>
                <w:highlight w:val="none"/>
              </w:rPr>
            </w:pPr>
            <w:r>
              <w:rPr>
                <w:rFonts w:hint="eastAsia" w:ascii="宋体" w:hAnsi="宋体"/>
                <w:highlight w:val="none"/>
              </w:rPr>
              <w:t>联系人</w:t>
            </w:r>
          </w:p>
        </w:tc>
        <w:tc>
          <w:tcPr>
            <w:tcW w:w="2625"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trPr>
        <w:tc>
          <w:tcPr>
            <w:tcW w:w="1602" w:type="dxa"/>
            <w:vMerge w:val="continue"/>
            <w:vAlign w:val="center"/>
          </w:tcPr>
          <w:p>
            <w:pPr>
              <w:jc w:val="center"/>
              <w:rPr>
                <w:rFonts w:ascii="宋体" w:hAnsi="宋体"/>
                <w:highlight w:val="none"/>
              </w:rPr>
            </w:pPr>
          </w:p>
        </w:tc>
        <w:tc>
          <w:tcPr>
            <w:tcW w:w="2993" w:type="dxa"/>
            <w:vMerge w:val="continue"/>
            <w:vAlign w:val="center"/>
          </w:tcPr>
          <w:p>
            <w:pPr>
              <w:jc w:val="center"/>
              <w:rPr>
                <w:rFonts w:ascii="宋体" w:hAnsi="宋体"/>
                <w:highlight w:val="none"/>
              </w:rPr>
            </w:pPr>
          </w:p>
        </w:tc>
        <w:tc>
          <w:tcPr>
            <w:tcW w:w="1563" w:type="dxa"/>
            <w:vAlign w:val="center"/>
          </w:tcPr>
          <w:p>
            <w:pPr>
              <w:jc w:val="center"/>
              <w:rPr>
                <w:rFonts w:ascii="宋体" w:hAnsi="宋体"/>
                <w:highlight w:val="none"/>
              </w:rPr>
            </w:pPr>
            <w:r>
              <w:rPr>
                <w:rFonts w:hint="eastAsia" w:ascii="宋体" w:hAnsi="宋体"/>
                <w:highlight w:val="none"/>
              </w:rPr>
              <w:t>联系电话</w:t>
            </w:r>
          </w:p>
        </w:tc>
        <w:tc>
          <w:tcPr>
            <w:tcW w:w="2625" w:type="dxa"/>
            <w:vAlign w:val="center"/>
          </w:tcPr>
          <w:p>
            <w:pPr>
              <w:jc w:val="center"/>
              <w:rPr>
                <w:rFonts w:ascii="宋体" w:hAnsi="宋体"/>
                <w:highlight w:val="none"/>
              </w:rPr>
            </w:pPr>
          </w:p>
        </w:tc>
      </w:tr>
    </w:tbl>
    <w:p>
      <w:pPr>
        <w:ind w:firstLine="719" w:firstLineChars="257"/>
        <w:rPr>
          <w:rFonts w:ascii="宋体" w:hAnsi="宋体"/>
          <w:sz w:val="28"/>
          <w:highlight w:val="none"/>
        </w:rPr>
      </w:pPr>
    </w:p>
    <w:p>
      <w:pPr>
        <w:spacing w:afterLines="50" w:line="360" w:lineRule="auto"/>
        <w:jc w:val="center"/>
        <w:rPr>
          <w:rFonts w:ascii="宋体" w:hAnsi="宋体"/>
          <w:b/>
          <w:sz w:val="36"/>
          <w:szCs w:val="36"/>
          <w:highlight w:val="none"/>
        </w:rPr>
      </w:pPr>
      <w:r>
        <w:rPr>
          <w:rFonts w:ascii="宋体" w:hAnsi="宋体"/>
          <w:sz w:val="28"/>
          <w:highlight w:val="none"/>
        </w:rPr>
        <w:br w:type="page"/>
      </w:r>
      <w:r>
        <w:rPr>
          <w:rFonts w:hint="eastAsia" w:ascii="宋体" w:hAnsi="宋体"/>
          <w:b/>
          <w:sz w:val="36"/>
          <w:szCs w:val="36"/>
          <w:highlight w:val="none"/>
        </w:rPr>
        <w:t>海珠区住宅类排水单元达标创建工程设计</w:t>
      </w:r>
    </w:p>
    <w:p>
      <w:pPr>
        <w:spacing w:afterLines="50" w:line="360" w:lineRule="auto"/>
        <w:jc w:val="center"/>
        <w:rPr>
          <w:rFonts w:ascii="宋体" w:hAnsi="宋体"/>
          <w:b/>
          <w:sz w:val="36"/>
          <w:szCs w:val="36"/>
          <w:highlight w:val="none"/>
        </w:rPr>
      </w:pPr>
      <w:r>
        <w:rPr>
          <w:rFonts w:hint="eastAsia" w:ascii="宋体" w:hAnsi="宋体"/>
          <w:b/>
          <w:sz w:val="36"/>
          <w:szCs w:val="36"/>
          <w:highlight w:val="none"/>
        </w:rPr>
        <w:t>施工总承包（</w:t>
      </w:r>
      <w:r>
        <w:rPr>
          <w:rFonts w:hint="eastAsia" w:ascii="宋体" w:hAnsi="宋体"/>
          <w:b/>
          <w:sz w:val="36"/>
          <w:szCs w:val="36"/>
          <w:highlight w:val="none"/>
          <w:lang w:eastAsia="zh-CN"/>
        </w:rPr>
        <w:t>标段三</w:t>
      </w:r>
      <w:r>
        <w:rPr>
          <w:rFonts w:hint="eastAsia" w:ascii="宋体" w:hAnsi="宋体"/>
          <w:b/>
          <w:sz w:val="36"/>
          <w:szCs w:val="36"/>
          <w:highlight w:val="none"/>
        </w:rPr>
        <w:t>）</w:t>
      </w:r>
    </w:p>
    <w:p>
      <w:pPr>
        <w:spacing w:afterLines="50" w:line="360" w:lineRule="auto"/>
        <w:jc w:val="center"/>
        <w:rPr>
          <w:rFonts w:ascii="宋体" w:hAnsi="宋体"/>
          <w:sz w:val="28"/>
          <w:highlight w:val="none"/>
        </w:rPr>
      </w:pPr>
      <w:r>
        <w:rPr>
          <w:rFonts w:hint="eastAsia" w:ascii="宋体" w:hAnsi="宋体"/>
          <w:b/>
          <w:sz w:val="36"/>
          <w:szCs w:val="36"/>
          <w:highlight w:val="none"/>
        </w:rPr>
        <w:t>安全生产和防汛安全责任书</w:t>
      </w:r>
    </w:p>
    <w:p>
      <w:pPr>
        <w:spacing w:line="440" w:lineRule="exact"/>
        <w:ind w:firstLine="539" w:firstLineChars="257"/>
        <w:textAlignment w:val="baseline"/>
        <w:rPr>
          <w:rFonts w:ascii="宋体" w:hAnsi="宋体"/>
          <w:highlight w:val="none"/>
        </w:rPr>
      </w:pPr>
      <w:r>
        <w:rPr>
          <w:rFonts w:hint="eastAsia" w:ascii="宋体" w:hAnsi="宋体"/>
          <w:highlight w:val="none"/>
        </w:rPr>
        <w:t>为认真贯彻““安全第一，常备不懈，以防为主，全力抢险”的方针，做到施工安全和防汛安全管理工作的标准化与规范化，在保证防汛安全的前提下，确保建设工程项目安全、优质、按期完成。同时为进一步明确有关各方的安全职责，进一步提高广州市海珠区水利工程施工安全管理的整体水平，杜绝重大伤亡事故的发生，保证国家与人民的生命与财产安全。根据《中华人民共和国建筑法》、《中华人民共和国安全生产法》、《安全生产许可证条例》、《水利工程建设安全生产管理规定》等有关国家法令法规，制定建设工程安全生产和防汛安全责任书与安全管理目标承诺书。在工程开工前，施工单位必须与项目法人签订建设工程安全生产和防汛安全责任书、安全管理目标承诺书。</w:t>
      </w:r>
    </w:p>
    <w:p>
      <w:pPr>
        <w:spacing w:line="440" w:lineRule="exact"/>
        <w:ind w:firstLine="539" w:firstLineChars="257"/>
        <w:textAlignment w:val="baseline"/>
        <w:rPr>
          <w:rFonts w:ascii="宋体" w:hAnsi="宋体"/>
          <w:highlight w:val="none"/>
        </w:rPr>
      </w:pPr>
      <w:r>
        <w:rPr>
          <w:rFonts w:hint="eastAsia" w:ascii="宋体" w:hAnsi="宋体"/>
          <w:highlight w:val="none"/>
        </w:rPr>
        <w:t>本责任书由本水利建设工程施工单位向海珠区河涌管理所签订。</w:t>
      </w:r>
    </w:p>
    <w:p>
      <w:pPr>
        <w:spacing w:line="440" w:lineRule="exact"/>
        <w:ind w:firstLine="420" w:firstLineChars="200"/>
        <w:textAlignment w:val="baseline"/>
        <w:rPr>
          <w:rFonts w:ascii="宋体" w:hAnsi="宋体"/>
          <w:highlight w:val="none"/>
        </w:rPr>
      </w:pPr>
      <w:r>
        <w:rPr>
          <w:rFonts w:hint="eastAsia" w:ascii="宋体" w:hAnsi="宋体"/>
          <w:highlight w:val="none"/>
        </w:rPr>
        <w:t>一、施工单位的责任与义务</w:t>
      </w:r>
    </w:p>
    <w:p>
      <w:pPr>
        <w:spacing w:line="440" w:lineRule="exact"/>
        <w:ind w:firstLine="420" w:firstLineChars="200"/>
        <w:textAlignment w:val="baseline"/>
        <w:rPr>
          <w:rFonts w:ascii="宋体" w:hAnsi="宋体"/>
          <w:highlight w:val="none"/>
        </w:rPr>
      </w:pPr>
      <w:r>
        <w:rPr>
          <w:rFonts w:ascii="宋体" w:hAnsi="宋体"/>
          <w:highlight w:val="none"/>
        </w:rPr>
        <w:t>1</w:t>
      </w:r>
      <w:r>
        <w:rPr>
          <w:rFonts w:hint="eastAsia" w:ascii="宋体" w:hAnsi="宋体"/>
          <w:highlight w:val="none"/>
        </w:rPr>
        <w:t>、认真落实上级部门关于安全生产工作的指示精神和““安全第一，常备不懈，以防为主，全力抢险”的方针，切实做好安全生产和防汛安全工作。</w:t>
      </w:r>
    </w:p>
    <w:p>
      <w:pPr>
        <w:spacing w:line="440" w:lineRule="exact"/>
        <w:ind w:firstLine="420" w:firstLineChars="200"/>
        <w:textAlignment w:val="baseline"/>
        <w:rPr>
          <w:rFonts w:ascii="宋体" w:hAnsi="宋体"/>
          <w:highlight w:val="none"/>
        </w:rPr>
      </w:pPr>
      <w:r>
        <w:rPr>
          <w:rFonts w:ascii="宋体" w:hAnsi="宋体"/>
          <w:highlight w:val="none"/>
        </w:rPr>
        <w:t>2</w:t>
      </w:r>
      <w:r>
        <w:rPr>
          <w:rFonts w:hint="eastAsia" w:ascii="宋体" w:hAnsi="宋体"/>
          <w:highlight w:val="none"/>
        </w:rPr>
        <w:t>、对施工现场安全生产和防汛安全负全部责任。施工单位必须建立健全安全生产和防汛安全管理体系。施工单位法定代表人为安全生产和防汛安全责任人，对本标段的安全生产和防汛安全负责，可授权项目负责人为安全生产和防汛安全责任人，负责本标段安全生产和防汛安全的组织与实施。</w:t>
      </w:r>
    </w:p>
    <w:p>
      <w:pPr>
        <w:spacing w:line="440" w:lineRule="exact"/>
        <w:textAlignment w:val="baseline"/>
        <w:rPr>
          <w:rFonts w:ascii="宋体" w:hAnsi="宋体"/>
          <w:highlight w:val="none"/>
        </w:rPr>
      </w:pPr>
      <w:r>
        <w:rPr>
          <w:rFonts w:ascii="宋体" w:hAnsi="宋体"/>
          <w:highlight w:val="none"/>
        </w:rPr>
        <w:t xml:space="preserve">    3</w:t>
      </w:r>
      <w:r>
        <w:rPr>
          <w:rFonts w:hint="eastAsia" w:ascii="宋体" w:hAnsi="宋体"/>
          <w:highlight w:val="none"/>
        </w:rPr>
        <w:t>、必须派出一名具有安全资格证的专职安全员和一名防汛技术责任人。专职安全员负责日常安全生产督促检查工作，负责组织项目部的安全生产活动及主持班组的安全生产工作，及时发现问题，解决问题并做好相关记录，及时建立安全台帐。每周将安全检查记录上报监理部，积极支持监理单位日常的安全检查工作。防汛技术责任人应做好各项防汛抗洪技术工作。</w:t>
      </w:r>
    </w:p>
    <w:p>
      <w:pPr>
        <w:spacing w:line="440" w:lineRule="exact"/>
        <w:textAlignment w:val="baseline"/>
        <w:rPr>
          <w:rFonts w:ascii="宋体" w:hAnsi="宋体"/>
          <w:highlight w:val="none"/>
        </w:rPr>
      </w:pPr>
      <w:r>
        <w:rPr>
          <w:rFonts w:ascii="宋体" w:hAnsi="宋体"/>
          <w:highlight w:val="none"/>
        </w:rPr>
        <w:t xml:space="preserve">    4</w:t>
      </w:r>
      <w:r>
        <w:rPr>
          <w:rFonts w:hint="eastAsia" w:ascii="宋体" w:hAnsi="宋体"/>
          <w:highlight w:val="none"/>
        </w:rPr>
        <w:t>、建立各项安全生产、劳动保护规章制度，订立各工种岗位安全生产操作规程及技术交底，杜绝违章作业。制订并组织实施各部门的安全生产工作实施细则，对员工实行安全生产和安全教育工作，提高安全生产工作水平，加强安全意识。坚决执行“谁管、谁负责”的原则，层层落实安全生产责任制，明确安全生产工作的重要性，定岗定人做到事事有人管，在安全生产工作中不能留空白，发现隐患及时整改。</w:t>
      </w:r>
    </w:p>
    <w:p>
      <w:pPr>
        <w:spacing w:line="440" w:lineRule="exact"/>
        <w:ind w:firstLine="420" w:firstLineChars="200"/>
        <w:textAlignment w:val="baseline"/>
        <w:rPr>
          <w:rFonts w:ascii="宋体" w:hAnsi="宋体"/>
          <w:highlight w:val="none"/>
        </w:rPr>
      </w:pPr>
      <w:r>
        <w:rPr>
          <w:rFonts w:ascii="宋体" w:hAnsi="宋体"/>
          <w:highlight w:val="none"/>
        </w:rPr>
        <w:t>5</w:t>
      </w:r>
      <w:r>
        <w:rPr>
          <w:rFonts w:hint="eastAsia" w:ascii="宋体" w:hAnsi="宋体"/>
          <w:highlight w:val="none"/>
        </w:rPr>
        <w:t>、在编制施工组织设计时，应当根据工程特点制定相应的安全技术措施；对专业性较强、施工操作存在一定风险的分部工程，应编制专项安全施工组织设计，并严格执行。</w:t>
      </w:r>
    </w:p>
    <w:p>
      <w:pPr>
        <w:spacing w:line="360" w:lineRule="auto"/>
        <w:ind w:firstLine="422" w:firstLineChars="200"/>
        <w:rPr>
          <w:rFonts w:ascii="宋体" w:hAnsi="宋体"/>
          <w:b/>
          <w:highlight w:val="none"/>
        </w:rPr>
      </w:pPr>
      <w:r>
        <w:rPr>
          <w:rFonts w:ascii="宋体" w:hAnsi="宋体"/>
          <w:b/>
          <w:highlight w:val="none"/>
        </w:rPr>
        <w:t>6</w:t>
      </w:r>
      <w:r>
        <w:rPr>
          <w:rFonts w:hint="eastAsia" w:ascii="宋体" w:hAnsi="宋体"/>
          <w:b/>
          <w:highlight w:val="none"/>
        </w:rPr>
        <w:t>、搭建施工临时用房、临时设施的，应符合消防安全的基本要求：一是临时用房、临时设施应纳入施工现场总平面图布局；二是建筑构件的燃烧性能等级应为</w:t>
      </w:r>
      <w:r>
        <w:rPr>
          <w:rFonts w:ascii="宋体" w:hAnsi="宋体"/>
          <w:b/>
          <w:highlight w:val="none"/>
        </w:rPr>
        <w:t>A</w:t>
      </w:r>
      <w:r>
        <w:rPr>
          <w:rFonts w:hint="eastAsia" w:ascii="宋体" w:hAnsi="宋体"/>
          <w:b/>
          <w:highlight w:val="none"/>
        </w:rPr>
        <w:t>级，采用金属夹芯板材时，其芯材的燃烧性能等级应为</w:t>
      </w:r>
      <w:r>
        <w:rPr>
          <w:rFonts w:ascii="宋体" w:hAnsi="宋体"/>
          <w:b/>
          <w:highlight w:val="none"/>
        </w:rPr>
        <w:t>A</w:t>
      </w:r>
      <w:r>
        <w:rPr>
          <w:rFonts w:hint="eastAsia" w:ascii="宋体" w:hAnsi="宋体"/>
          <w:b/>
          <w:highlight w:val="none"/>
        </w:rPr>
        <w:t>级；三是厨房操作间应与临时宿舍、办公用房分开搭设；四是临时用房、临时设施应按规范要求配备消防设备。</w:t>
      </w:r>
    </w:p>
    <w:p>
      <w:pPr>
        <w:spacing w:line="360" w:lineRule="auto"/>
        <w:ind w:firstLine="420" w:firstLineChars="200"/>
        <w:rPr>
          <w:rFonts w:ascii="宋体" w:hAnsi="宋体"/>
          <w:highlight w:val="none"/>
        </w:rPr>
      </w:pPr>
      <w:r>
        <w:rPr>
          <w:rFonts w:ascii="宋体" w:hAnsi="宋体"/>
          <w:highlight w:val="none"/>
        </w:rPr>
        <w:t>7</w:t>
      </w:r>
      <w:r>
        <w:rPr>
          <w:rFonts w:hint="eastAsia" w:ascii="宋体" w:hAnsi="宋体"/>
          <w:highlight w:val="none"/>
        </w:rPr>
        <w:t>、认真做好防汛的思想、机构、队伍、物资、措施等“五落实”工作；制订工程防汛预案和工程度汛方案、预备防汛抢险队伍、预备抢险物资、保证汛期通讯设施和道路畅通，确保安全生产和度汛安全。在汛期（</w:t>
      </w:r>
      <w:r>
        <w:rPr>
          <w:rFonts w:ascii="宋体" w:hAnsi="宋体"/>
          <w:highlight w:val="none"/>
        </w:rPr>
        <w:t>4-10</w:t>
      </w:r>
      <w:r>
        <w:rPr>
          <w:rFonts w:hint="eastAsia" w:ascii="宋体" w:hAnsi="宋体"/>
          <w:highlight w:val="none"/>
        </w:rPr>
        <w:t>月），认真组织汛前工程安全检查，摸查跨汛期的在建工程施工标段的施工进度、质量、度汛方案、资金到位和筹措等情况，消除隐患。加强在建工程监测，每周应将在建工程的有关监测情况及时上报区河涌管理所。当可能遭受热带气旋或较大暴雨洪水袭击时，防汛责任人亲临所承担的施工标段前线，检查、落实各项防御措施，参加抗洪抢险。遇工程现达标准以内洪水时，确保工程安全；如遇超标准洪水、重大汛情或工程出险时，除及时组织人员全力抢救外，应及时向区河涌管理所报告，并做好施工人员和下游群众的安全转移工作，避免人员伤亡，尽可能减少损失。</w:t>
      </w:r>
    </w:p>
    <w:p>
      <w:pPr>
        <w:spacing w:line="440" w:lineRule="exact"/>
        <w:ind w:firstLine="420" w:firstLineChars="200"/>
        <w:textAlignment w:val="baseline"/>
        <w:rPr>
          <w:rFonts w:ascii="宋体" w:hAnsi="宋体"/>
          <w:highlight w:val="none"/>
        </w:rPr>
      </w:pPr>
      <w:r>
        <w:rPr>
          <w:rFonts w:ascii="宋体" w:hAnsi="宋体"/>
          <w:highlight w:val="none"/>
        </w:rPr>
        <w:t>8</w:t>
      </w:r>
      <w:r>
        <w:rPr>
          <w:rFonts w:hint="eastAsia" w:ascii="宋体" w:hAnsi="宋体"/>
          <w:highlight w:val="none"/>
        </w:rPr>
        <w:t>、对因施工单位原因发生</w:t>
      </w:r>
      <w:r>
        <w:rPr>
          <w:rFonts w:ascii="宋体" w:hAnsi="宋体"/>
          <w:highlight w:val="none"/>
        </w:rPr>
        <w:t>1</w:t>
      </w:r>
      <w:r>
        <w:rPr>
          <w:rFonts w:hint="eastAsia" w:ascii="宋体" w:hAnsi="宋体"/>
          <w:highlight w:val="none"/>
        </w:rPr>
        <w:t>人及以上死亡安全生产事故，项目法人将按每死亡</w:t>
      </w:r>
      <w:r>
        <w:rPr>
          <w:rFonts w:ascii="宋体" w:hAnsi="宋体"/>
          <w:highlight w:val="none"/>
        </w:rPr>
        <w:t>1</w:t>
      </w:r>
      <w:r>
        <w:rPr>
          <w:rFonts w:hint="eastAsia" w:ascii="宋体" w:hAnsi="宋体"/>
          <w:highlight w:val="none"/>
        </w:rPr>
        <w:t>人扣除施工单位</w:t>
      </w:r>
      <w:r>
        <w:rPr>
          <w:rFonts w:ascii="宋体" w:hAnsi="宋体"/>
          <w:highlight w:val="none"/>
        </w:rPr>
        <w:t>20</w:t>
      </w:r>
      <w:r>
        <w:rPr>
          <w:rFonts w:hint="eastAsia" w:ascii="宋体" w:hAnsi="宋体"/>
          <w:highlight w:val="none"/>
        </w:rPr>
        <w:t>万元违约金。若因施工单位原因出现经有关部门认定的重大安全事故，项目法人则有权处以施工单位</w:t>
      </w:r>
      <w:r>
        <w:rPr>
          <w:rFonts w:ascii="宋体" w:hAnsi="宋体"/>
          <w:highlight w:val="none"/>
        </w:rPr>
        <w:t>20</w:t>
      </w:r>
      <w:r>
        <w:rPr>
          <w:rFonts w:hint="eastAsia" w:ascii="宋体" w:hAnsi="宋体"/>
          <w:highlight w:val="none"/>
        </w:rPr>
        <w:t>万元以上的违约金，违约金将在施工结算中扣除。施工单位在</w:t>
      </w:r>
      <w:r>
        <w:rPr>
          <w:rFonts w:ascii="宋体" w:hAnsi="宋体"/>
          <w:highlight w:val="none"/>
        </w:rPr>
        <w:t>3</w:t>
      </w:r>
      <w:r>
        <w:rPr>
          <w:rFonts w:hint="eastAsia" w:ascii="宋体" w:hAnsi="宋体"/>
          <w:highlight w:val="none"/>
        </w:rPr>
        <w:t>年内不得参与由项目法人组织的施工招标。</w:t>
      </w:r>
    </w:p>
    <w:p>
      <w:pPr>
        <w:spacing w:line="440" w:lineRule="exact"/>
        <w:ind w:firstLine="420" w:firstLineChars="200"/>
        <w:textAlignment w:val="baseline"/>
        <w:rPr>
          <w:rFonts w:ascii="宋体" w:hAnsi="宋体"/>
          <w:highlight w:val="none"/>
        </w:rPr>
      </w:pPr>
      <w:r>
        <w:rPr>
          <w:rFonts w:ascii="宋体" w:hAnsi="宋体"/>
          <w:highlight w:val="none"/>
        </w:rPr>
        <w:t>9</w:t>
      </w:r>
      <w:r>
        <w:rPr>
          <w:rFonts w:hint="eastAsia" w:ascii="宋体" w:hAnsi="宋体"/>
          <w:highlight w:val="none"/>
        </w:rPr>
        <w:t>、施工单位违反安全生产和安全防汛有关规定的，应接受本工程施工招标文件的处罚，详见本工程施工招标文件。</w:t>
      </w:r>
    </w:p>
    <w:p>
      <w:pPr>
        <w:spacing w:line="440" w:lineRule="exact"/>
        <w:ind w:firstLine="420" w:firstLineChars="200"/>
        <w:textAlignment w:val="baseline"/>
        <w:rPr>
          <w:rFonts w:ascii="宋体" w:hAnsi="宋体"/>
          <w:highlight w:val="none"/>
        </w:rPr>
      </w:pPr>
      <w:r>
        <w:rPr>
          <w:rFonts w:ascii="宋体" w:hAnsi="宋体"/>
          <w:highlight w:val="none"/>
        </w:rPr>
        <w:t>10</w:t>
      </w:r>
      <w:r>
        <w:rPr>
          <w:rFonts w:hint="eastAsia" w:ascii="宋体" w:hAnsi="宋体"/>
          <w:highlight w:val="none"/>
        </w:rPr>
        <w:t>、安全生产和防汛安全责任人要切实尽职尽责、履行职责，接受区河涌管理所及其上级部门的检查监督。如因玩忽职守，管理指挥不当，造成人员伤亡和重大损失者，将依法追究责任人的有关责任。</w:t>
      </w:r>
    </w:p>
    <w:p>
      <w:pPr>
        <w:spacing w:line="400" w:lineRule="exact"/>
        <w:ind w:firstLine="420" w:firstLineChars="200"/>
        <w:textAlignment w:val="baseline"/>
        <w:rPr>
          <w:rFonts w:ascii="宋体" w:hAnsi="宋体"/>
          <w:highlight w:val="none"/>
        </w:rPr>
      </w:pPr>
      <w:r>
        <w:rPr>
          <w:rFonts w:hint="eastAsia" w:ascii="宋体" w:hAnsi="宋体"/>
          <w:highlight w:val="none"/>
        </w:rPr>
        <w:t>二、本责任书自签订之日起生效，至工程完工之日起失效。</w:t>
      </w:r>
    </w:p>
    <w:p>
      <w:pPr>
        <w:spacing w:line="400" w:lineRule="exact"/>
        <w:ind w:firstLine="420" w:firstLineChars="200"/>
        <w:textAlignment w:val="baseline"/>
        <w:rPr>
          <w:rFonts w:ascii="宋体" w:hAnsi="宋体"/>
          <w:highlight w:val="none"/>
        </w:rPr>
      </w:pPr>
      <w:r>
        <w:rPr>
          <w:rFonts w:hint="eastAsia" w:ascii="宋体" w:hAnsi="宋体"/>
          <w:highlight w:val="none"/>
        </w:rPr>
        <w:t>三、本责任书一式肆份，项目法人、施工单位各执贰份。</w:t>
      </w:r>
    </w:p>
    <w:p>
      <w:pPr>
        <w:spacing w:line="400" w:lineRule="exact"/>
        <w:ind w:firstLine="420" w:firstLineChars="200"/>
        <w:textAlignment w:val="baseline"/>
        <w:rPr>
          <w:rFonts w:ascii="宋体" w:hAnsi="宋体"/>
          <w:highlight w:val="none"/>
        </w:rPr>
      </w:pPr>
    </w:p>
    <w:p>
      <w:pPr>
        <w:spacing w:line="360" w:lineRule="auto"/>
        <w:ind w:firstLine="525" w:firstLineChars="250"/>
        <w:rPr>
          <w:rFonts w:ascii="宋体" w:hAnsi="宋体"/>
          <w:highlight w:val="none"/>
        </w:rPr>
      </w:pPr>
      <w:r>
        <w:rPr>
          <w:rFonts w:hint="eastAsia" w:ascii="宋体" w:hAnsi="宋体"/>
          <w:highlight w:val="none"/>
        </w:rPr>
        <w:t>建设单位（盖章）：</w:t>
      </w:r>
      <w:r>
        <w:rPr>
          <w:rFonts w:hint="eastAsia" w:ascii="宋体" w:hAnsi="宋体" w:cs="Arial"/>
          <w:kern w:val="0"/>
          <w:szCs w:val="21"/>
          <w:highlight w:val="none"/>
          <w:lang w:val="zh-CN"/>
        </w:rPr>
        <w:t>广州市海珠区河涌</w:t>
      </w:r>
      <w:r>
        <w:rPr>
          <w:rFonts w:hint="eastAsia" w:ascii="宋体" w:hAnsi="宋体"/>
          <w:highlight w:val="none"/>
        </w:rPr>
        <w:t>施工单位（盖章）：　</w:t>
      </w:r>
    </w:p>
    <w:p>
      <w:pPr>
        <w:ind w:firstLine="2520" w:firstLineChars="1200"/>
        <w:rPr>
          <w:rFonts w:ascii="宋体" w:hAnsi="宋体"/>
          <w:highlight w:val="none"/>
        </w:rPr>
      </w:pPr>
      <w:r>
        <w:rPr>
          <w:rFonts w:hint="eastAsia" w:ascii="宋体" w:hAnsi="宋体" w:cs="Arial"/>
          <w:kern w:val="0"/>
          <w:szCs w:val="21"/>
          <w:highlight w:val="none"/>
          <w:lang w:val="zh-CN"/>
        </w:rPr>
        <w:t>管理所</w:t>
      </w:r>
    </w:p>
    <w:p>
      <w:pPr>
        <w:ind w:firstLine="525" w:firstLineChars="250"/>
        <w:rPr>
          <w:rFonts w:ascii="宋体" w:hAnsi="宋体"/>
          <w:highlight w:val="none"/>
        </w:rPr>
      </w:pPr>
      <w:r>
        <w:rPr>
          <w:rFonts w:hint="eastAsia" w:ascii="宋体" w:hAnsi="宋体"/>
          <w:highlight w:val="none"/>
        </w:rPr>
        <w:t>法定代表人：法定代表人：</w:t>
      </w:r>
    </w:p>
    <w:p>
      <w:pPr>
        <w:ind w:firstLine="525" w:firstLineChars="250"/>
        <w:rPr>
          <w:rFonts w:ascii="宋体" w:hAnsi="宋体"/>
          <w:highlight w:val="none"/>
        </w:rPr>
      </w:pPr>
      <w:r>
        <w:rPr>
          <w:rFonts w:hint="eastAsia" w:ascii="宋体" w:hAnsi="宋体"/>
          <w:highlight w:val="none"/>
        </w:rPr>
        <w:t>项目负责人：</w:t>
      </w:r>
    </w:p>
    <w:p>
      <w:pPr>
        <w:ind w:firstLine="525" w:firstLineChars="250"/>
        <w:rPr>
          <w:rFonts w:ascii="宋体" w:hAnsi="宋体"/>
          <w:highlight w:val="none"/>
          <w:u w:val="single"/>
        </w:rPr>
      </w:pPr>
      <w:r>
        <w:rPr>
          <w:rFonts w:hint="eastAsia" w:ascii="宋体" w:hAnsi="宋体"/>
          <w:highlight w:val="none"/>
        </w:rPr>
        <w:t>安全生产和防汛责任人：</w:t>
      </w:r>
    </w:p>
    <w:p>
      <w:pPr>
        <w:rPr>
          <w:rFonts w:ascii="宋体" w:hAnsi="宋体"/>
          <w:highlight w:val="none"/>
        </w:rPr>
      </w:pPr>
      <w:r>
        <w:rPr>
          <w:rFonts w:hint="eastAsia" w:ascii="宋体" w:hAnsi="宋体"/>
          <w:highlight w:val="none"/>
        </w:rPr>
        <w:t>签定日期：年月日签定日期：年月日</w:t>
      </w:r>
    </w:p>
    <w:p>
      <w:pPr>
        <w:ind w:firstLine="525" w:firstLineChars="250"/>
        <w:rPr>
          <w:rFonts w:ascii="宋体" w:hAnsi="宋体"/>
          <w:highlight w:val="none"/>
        </w:rPr>
      </w:pPr>
    </w:p>
    <w:p>
      <w:pPr>
        <w:jc w:val="center"/>
        <w:rPr>
          <w:rFonts w:ascii="宋体" w:hAnsi="宋体"/>
          <w:b/>
          <w:sz w:val="48"/>
          <w:highlight w:val="none"/>
        </w:rPr>
      </w:pPr>
    </w:p>
    <w:p>
      <w:pPr>
        <w:jc w:val="center"/>
        <w:rPr>
          <w:rFonts w:ascii="宋体" w:hAnsi="宋体"/>
          <w:b/>
          <w:sz w:val="36"/>
          <w:szCs w:val="36"/>
          <w:highlight w:val="none"/>
        </w:rPr>
      </w:pPr>
      <w:r>
        <w:rPr>
          <w:rFonts w:hint="eastAsia" w:ascii="宋体" w:hAnsi="宋体"/>
          <w:b/>
          <w:sz w:val="36"/>
          <w:szCs w:val="36"/>
          <w:highlight w:val="none"/>
        </w:rPr>
        <w:t>海珠区住宅类排水单元达标创建工程设计施工总承包</w:t>
      </w:r>
    </w:p>
    <w:p>
      <w:pPr>
        <w:jc w:val="center"/>
        <w:rPr>
          <w:rFonts w:ascii="宋体" w:hAnsi="宋体"/>
          <w:b/>
          <w:sz w:val="36"/>
          <w:szCs w:val="36"/>
          <w:highlight w:val="none"/>
        </w:rPr>
      </w:pPr>
      <w:r>
        <w:rPr>
          <w:rFonts w:hint="eastAsia" w:ascii="宋体" w:hAnsi="宋体"/>
          <w:b/>
          <w:sz w:val="36"/>
          <w:szCs w:val="36"/>
          <w:highlight w:val="none"/>
        </w:rPr>
        <w:t>（</w:t>
      </w:r>
      <w:r>
        <w:rPr>
          <w:rFonts w:hint="eastAsia" w:ascii="宋体" w:hAnsi="宋体"/>
          <w:b/>
          <w:sz w:val="36"/>
          <w:szCs w:val="36"/>
          <w:highlight w:val="none"/>
          <w:lang w:eastAsia="zh-CN"/>
        </w:rPr>
        <w:t>标段三</w:t>
      </w:r>
      <w:r>
        <w:rPr>
          <w:rFonts w:hint="eastAsia" w:ascii="宋体" w:hAnsi="宋体"/>
          <w:b/>
          <w:sz w:val="36"/>
          <w:szCs w:val="36"/>
          <w:highlight w:val="none"/>
        </w:rPr>
        <w:t>）施工现场安全管理目标承诺书</w:t>
      </w:r>
    </w:p>
    <w:p>
      <w:pPr>
        <w:spacing w:line="540" w:lineRule="exact"/>
        <w:rPr>
          <w:rFonts w:ascii="宋体" w:hAnsi="宋体"/>
          <w:highlight w:val="none"/>
        </w:rPr>
      </w:pPr>
    </w:p>
    <w:p>
      <w:pPr>
        <w:spacing w:line="540" w:lineRule="exact"/>
        <w:ind w:firstLine="645"/>
        <w:rPr>
          <w:rFonts w:ascii="宋体" w:hAnsi="宋体"/>
          <w:highlight w:val="none"/>
        </w:rPr>
      </w:pPr>
      <w:r>
        <w:rPr>
          <w:rFonts w:hint="eastAsia" w:ascii="宋体" w:hAnsi="宋体"/>
          <w:highlight w:val="none"/>
        </w:rPr>
        <w:t>为进一步促进我办各施工企业加强安全生产和防汛安全的目标化管理，强化安全生产和防汛安全责任，根据有关文件要求，制定安全管理目标承诺书。</w:t>
      </w:r>
    </w:p>
    <w:p>
      <w:pPr>
        <w:spacing w:line="440" w:lineRule="exact"/>
        <w:ind w:firstLine="539" w:firstLineChars="257"/>
        <w:textAlignment w:val="baseline"/>
        <w:rPr>
          <w:rFonts w:ascii="宋体" w:hAnsi="宋体"/>
          <w:highlight w:val="none"/>
        </w:rPr>
      </w:pPr>
      <w:r>
        <w:rPr>
          <w:rFonts w:hint="eastAsia" w:ascii="宋体" w:hAnsi="宋体"/>
          <w:highlight w:val="none"/>
        </w:rPr>
        <w:t>本承诺书由本水利建设工程施工单位向海珠区河涌管理所签订。</w:t>
      </w:r>
    </w:p>
    <w:p>
      <w:pPr>
        <w:spacing w:line="540" w:lineRule="exact"/>
        <w:ind w:firstLine="645"/>
        <w:rPr>
          <w:rFonts w:ascii="宋体" w:hAnsi="宋体"/>
          <w:highlight w:val="none"/>
        </w:rPr>
      </w:pPr>
      <w:r>
        <w:rPr>
          <w:rFonts w:hint="eastAsia" w:ascii="宋体" w:hAnsi="宋体"/>
          <w:highlight w:val="none"/>
        </w:rPr>
        <w:t>（一）安全管理目标承诺</w:t>
      </w:r>
    </w:p>
    <w:p>
      <w:pPr>
        <w:spacing w:line="540" w:lineRule="exact"/>
        <w:ind w:firstLine="645"/>
        <w:rPr>
          <w:rFonts w:ascii="宋体" w:hAnsi="宋体"/>
          <w:highlight w:val="none"/>
        </w:rPr>
      </w:pPr>
      <w:r>
        <w:rPr>
          <w:rFonts w:ascii="宋体" w:hAnsi="宋体"/>
          <w:highlight w:val="none"/>
        </w:rPr>
        <w:t>1</w:t>
      </w:r>
      <w:r>
        <w:rPr>
          <w:rFonts w:hint="eastAsia" w:ascii="宋体" w:hAnsi="宋体"/>
          <w:highlight w:val="none"/>
        </w:rPr>
        <w:t>、事故管理</w:t>
      </w:r>
    </w:p>
    <w:p>
      <w:pPr>
        <w:spacing w:line="540" w:lineRule="exact"/>
        <w:ind w:firstLine="645"/>
        <w:rPr>
          <w:rFonts w:ascii="宋体" w:hAnsi="宋体"/>
          <w:highlight w:val="none"/>
        </w:rPr>
      </w:pPr>
      <w:r>
        <w:rPr>
          <w:rFonts w:hint="eastAsia" w:ascii="宋体" w:hAnsi="宋体"/>
          <w:highlight w:val="none"/>
        </w:rPr>
        <w:t>本工程杜绝四级及四级以上的伤亡事故的发生。</w:t>
      </w:r>
    </w:p>
    <w:p>
      <w:pPr>
        <w:spacing w:line="540" w:lineRule="exact"/>
        <w:ind w:firstLine="645"/>
        <w:rPr>
          <w:rFonts w:ascii="宋体" w:hAnsi="宋体"/>
          <w:highlight w:val="none"/>
        </w:rPr>
      </w:pPr>
      <w:r>
        <w:rPr>
          <w:rFonts w:hint="eastAsia" w:ascii="宋体" w:hAnsi="宋体"/>
          <w:highlight w:val="none"/>
        </w:rPr>
        <w:t>重伤事故率控制</w:t>
      </w:r>
      <w:r>
        <w:rPr>
          <w:rFonts w:ascii="宋体" w:hAnsi="宋体"/>
          <w:highlight w:val="none"/>
        </w:rPr>
        <w:t>0%</w:t>
      </w:r>
      <w:r>
        <w:rPr>
          <w:rFonts w:hint="eastAsia" w:ascii="宋体" w:hAnsi="宋体"/>
          <w:highlight w:val="none"/>
        </w:rPr>
        <w:t>。</w:t>
      </w:r>
    </w:p>
    <w:p>
      <w:pPr>
        <w:spacing w:line="540" w:lineRule="exact"/>
        <w:ind w:firstLine="645"/>
        <w:rPr>
          <w:rFonts w:ascii="宋体" w:hAnsi="宋体"/>
          <w:highlight w:val="none"/>
        </w:rPr>
      </w:pPr>
      <w:r>
        <w:rPr>
          <w:rFonts w:hint="eastAsia" w:ascii="宋体" w:hAnsi="宋体"/>
          <w:highlight w:val="none"/>
        </w:rPr>
        <w:t>轻伤事故率控制</w:t>
      </w:r>
      <w:r>
        <w:rPr>
          <w:rFonts w:ascii="宋体" w:hAnsi="宋体"/>
          <w:highlight w:val="none"/>
        </w:rPr>
        <w:t>0%</w:t>
      </w:r>
      <w:r>
        <w:rPr>
          <w:rFonts w:hint="eastAsia" w:ascii="宋体" w:hAnsi="宋体"/>
          <w:highlight w:val="none"/>
        </w:rPr>
        <w:t>。</w:t>
      </w:r>
    </w:p>
    <w:p>
      <w:pPr>
        <w:spacing w:line="540" w:lineRule="exact"/>
        <w:ind w:firstLine="645"/>
        <w:rPr>
          <w:rFonts w:ascii="宋体" w:hAnsi="宋体"/>
          <w:highlight w:val="none"/>
        </w:rPr>
      </w:pPr>
      <w:r>
        <w:rPr>
          <w:rFonts w:hint="eastAsia" w:ascii="宋体" w:hAnsi="宋体"/>
          <w:highlight w:val="none"/>
        </w:rPr>
        <w:t>防汛损失率控制</w:t>
      </w:r>
      <w:r>
        <w:rPr>
          <w:rFonts w:ascii="宋体" w:hAnsi="宋体"/>
          <w:highlight w:val="none"/>
        </w:rPr>
        <w:t>0%</w:t>
      </w:r>
      <w:r>
        <w:rPr>
          <w:rFonts w:hint="eastAsia" w:ascii="宋体" w:hAnsi="宋体"/>
          <w:highlight w:val="none"/>
        </w:rPr>
        <w:t>。</w:t>
      </w:r>
    </w:p>
    <w:p>
      <w:pPr>
        <w:spacing w:line="540" w:lineRule="exact"/>
        <w:ind w:firstLine="645"/>
        <w:rPr>
          <w:rFonts w:ascii="宋体" w:hAnsi="宋体"/>
          <w:highlight w:val="none"/>
        </w:rPr>
      </w:pPr>
      <w:r>
        <w:rPr>
          <w:rFonts w:ascii="宋体" w:hAnsi="宋体"/>
          <w:highlight w:val="none"/>
        </w:rPr>
        <w:t>2</w:t>
      </w:r>
      <w:r>
        <w:rPr>
          <w:rFonts w:hint="eastAsia" w:ascii="宋体" w:hAnsi="宋体"/>
          <w:highlight w:val="none"/>
        </w:rPr>
        <w:t>、安全管理</w:t>
      </w:r>
    </w:p>
    <w:p>
      <w:pPr>
        <w:spacing w:line="540" w:lineRule="exact"/>
        <w:ind w:firstLine="645"/>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）按照施工组织设计中采取的安全措施的项目执行率</w:t>
      </w:r>
      <w:r>
        <w:rPr>
          <w:rFonts w:ascii="宋体" w:hAnsi="宋体"/>
          <w:highlight w:val="none"/>
        </w:rPr>
        <w:t>100%</w:t>
      </w:r>
      <w:r>
        <w:rPr>
          <w:rFonts w:hint="eastAsia" w:ascii="宋体" w:hAnsi="宋体"/>
          <w:highlight w:val="none"/>
        </w:rPr>
        <w:t>，经费保证率</w:t>
      </w:r>
      <w:r>
        <w:rPr>
          <w:rFonts w:ascii="宋体" w:hAnsi="宋体"/>
          <w:highlight w:val="none"/>
        </w:rPr>
        <w:t>100%</w:t>
      </w:r>
      <w:r>
        <w:rPr>
          <w:rFonts w:hint="eastAsia" w:ascii="宋体" w:hAnsi="宋体"/>
          <w:highlight w:val="none"/>
        </w:rPr>
        <w:t>。</w:t>
      </w:r>
    </w:p>
    <w:p>
      <w:pPr>
        <w:spacing w:line="540" w:lineRule="exact"/>
        <w:ind w:firstLine="645"/>
        <w:rPr>
          <w:rFonts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）施工现场每月组织</w:t>
      </w:r>
      <w:r>
        <w:rPr>
          <w:rFonts w:ascii="宋体" w:hAnsi="宋体"/>
          <w:highlight w:val="none"/>
        </w:rPr>
        <w:t>2</w:t>
      </w:r>
      <w:r>
        <w:rPr>
          <w:rFonts w:hint="eastAsia" w:ascii="宋体" w:hAnsi="宋体"/>
          <w:highlight w:val="none"/>
        </w:rPr>
        <w:t>次安全生产和防汛安全大检查。由监理单位负责人组织，参建单位的项目负责人、专职安全员等人员参加。</w:t>
      </w:r>
    </w:p>
    <w:p>
      <w:pPr>
        <w:spacing w:line="540" w:lineRule="exact"/>
        <w:ind w:firstLine="645"/>
        <w:rPr>
          <w:rFonts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）施工现场各级职能人员岗位责任制、目标责任书执行率</w:t>
      </w:r>
      <w:r>
        <w:rPr>
          <w:rFonts w:ascii="宋体" w:hAnsi="宋体"/>
          <w:highlight w:val="none"/>
        </w:rPr>
        <w:t>100%</w:t>
      </w:r>
      <w:r>
        <w:rPr>
          <w:rFonts w:hint="eastAsia" w:ascii="宋体" w:hAnsi="宋体"/>
          <w:highlight w:val="none"/>
        </w:rPr>
        <w:t>。</w:t>
      </w:r>
    </w:p>
    <w:p>
      <w:pPr>
        <w:spacing w:line="540" w:lineRule="exact"/>
        <w:ind w:firstLine="645"/>
        <w:rPr>
          <w:rFonts w:ascii="宋体" w:hAns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）施工现场设专职安全员</w:t>
      </w:r>
      <w:r>
        <w:rPr>
          <w:rFonts w:ascii="宋体" w:hAnsi="宋体"/>
          <w:highlight w:val="none"/>
        </w:rPr>
        <w:t xml:space="preserve">1 </w:t>
      </w:r>
      <w:r>
        <w:rPr>
          <w:rFonts w:hint="eastAsia" w:ascii="宋体" w:hAnsi="宋体"/>
          <w:highlight w:val="none"/>
        </w:rPr>
        <w:t>人，防汛技术责任人</w:t>
      </w:r>
      <w:r>
        <w:rPr>
          <w:rFonts w:ascii="宋体" w:hAnsi="宋体"/>
          <w:highlight w:val="none"/>
        </w:rPr>
        <w:t>1</w:t>
      </w:r>
      <w:r>
        <w:rPr>
          <w:rFonts w:hint="eastAsia" w:ascii="宋体" w:hAnsi="宋体"/>
          <w:highlight w:val="none"/>
        </w:rPr>
        <w:t>人，并组建一支防汛应急抢险队伍。</w:t>
      </w:r>
    </w:p>
    <w:p>
      <w:pPr>
        <w:spacing w:line="540" w:lineRule="exact"/>
        <w:ind w:firstLine="645"/>
        <w:rPr>
          <w:rFonts w:ascii="宋体" w:hAns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）施工现场施工用电、施工机械及物料运输设施验收合格率</w:t>
      </w:r>
      <w:r>
        <w:rPr>
          <w:rFonts w:ascii="宋体" w:hAnsi="宋体"/>
          <w:highlight w:val="none"/>
        </w:rPr>
        <w:t>100%</w:t>
      </w:r>
      <w:r>
        <w:rPr>
          <w:rFonts w:hint="eastAsia" w:ascii="宋体" w:hAnsi="宋体"/>
          <w:highlight w:val="none"/>
        </w:rPr>
        <w:t>。</w:t>
      </w:r>
    </w:p>
    <w:p>
      <w:pPr>
        <w:spacing w:line="540" w:lineRule="exact"/>
        <w:ind w:firstLine="645"/>
        <w:rPr>
          <w:rFonts w:ascii="宋体" w:hAns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）施工现场各类机械、机电设备完好率</w:t>
      </w:r>
      <w:r>
        <w:rPr>
          <w:rFonts w:ascii="宋体" w:hAnsi="宋体"/>
          <w:highlight w:val="none"/>
        </w:rPr>
        <w:t>100%</w:t>
      </w:r>
      <w:r>
        <w:rPr>
          <w:rFonts w:hint="eastAsia" w:ascii="宋体" w:hAnsi="宋体"/>
          <w:highlight w:val="none"/>
        </w:rPr>
        <w:t>。</w:t>
      </w:r>
    </w:p>
    <w:p>
      <w:pPr>
        <w:spacing w:line="540" w:lineRule="exact"/>
        <w:ind w:firstLine="645"/>
        <w:rPr>
          <w:rFonts w:ascii="宋体" w:hAnsi="宋体"/>
          <w:highlight w:val="none"/>
        </w:rPr>
      </w:pPr>
      <w:r>
        <w:rPr>
          <w:rFonts w:hint="eastAsia" w:ascii="宋体" w:hAnsi="宋体"/>
          <w:highlight w:val="none"/>
        </w:rPr>
        <w:t>（</w:t>
      </w:r>
      <w:r>
        <w:rPr>
          <w:rFonts w:ascii="宋体" w:hAnsi="宋体"/>
          <w:highlight w:val="none"/>
        </w:rPr>
        <w:t>7</w:t>
      </w:r>
      <w:r>
        <w:rPr>
          <w:rFonts w:hint="eastAsia" w:ascii="宋体" w:hAnsi="宋体"/>
          <w:highlight w:val="none"/>
        </w:rPr>
        <w:t>）防汛应急器材和设备完好率</w:t>
      </w:r>
      <w:r>
        <w:rPr>
          <w:rFonts w:ascii="宋体" w:hAnsi="宋体"/>
          <w:highlight w:val="none"/>
        </w:rPr>
        <w:t>100%</w:t>
      </w:r>
      <w:r>
        <w:rPr>
          <w:rFonts w:hint="eastAsia" w:ascii="宋体" w:hAnsi="宋体"/>
          <w:highlight w:val="none"/>
        </w:rPr>
        <w:t>。</w:t>
      </w:r>
    </w:p>
    <w:p>
      <w:pPr>
        <w:spacing w:line="540" w:lineRule="exact"/>
        <w:ind w:firstLine="645"/>
        <w:rPr>
          <w:rFonts w:ascii="宋体" w:hAnsi="宋体"/>
          <w:highlight w:val="none"/>
        </w:rPr>
      </w:pPr>
      <w:r>
        <w:rPr>
          <w:rFonts w:ascii="宋体" w:hAnsi="宋体"/>
          <w:highlight w:val="none"/>
        </w:rPr>
        <w:t>3</w:t>
      </w:r>
      <w:r>
        <w:rPr>
          <w:rFonts w:hint="eastAsia" w:ascii="宋体" w:hAnsi="宋体"/>
          <w:highlight w:val="none"/>
        </w:rPr>
        <w:t>、安全教育</w:t>
      </w:r>
    </w:p>
    <w:p>
      <w:pPr>
        <w:spacing w:line="540" w:lineRule="exact"/>
        <w:ind w:firstLine="645"/>
        <w:rPr>
          <w:rFonts w:ascii="宋体" w:hAnsi="宋体"/>
          <w:highlight w:val="none"/>
        </w:rPr>
      </w:pPr>
      <w:r>
        <w:rPr>
          <w:rFonts w:hint="eastAsia" w:ascii="宋体" w:hAnsi="宋体"/>
          <w:highlight w:val="none"/>
        </w:rPr>
        <w:t>工人岗前三级教育率</w:t>
      </w:r>
      <w:r>
        <w:rPr>
          <w:rFonts w:ascii="宋体" w:hAnsi="宋体"/>
          <w:highlight w:val="none"/>
        </w:rPr>
        <w:t>100%</w:t>
      </w:r>
      <w:r>
        <w:rPr>
          <w:rFonts w:hint="eastAsia" w:ascii="宋体" w:hAnsi="宋体"/>
          <w:highlight w:val="none"/>
        </w:rPr>
        <w:t>，特种工人持证上岗率</w:t>
      </w:r>
      <w:r>
        <w:rPr>
          <w:rFonts w:ascii="宋体" w:hAnsi="宋体"/>
          <w:highlight w:val="none"/>
        </w:rPr>
        <w:t>100%</w:t>
      </w:r>
      <w:r>
        <w:rPr>
          <w:rFonts w:hint="eastAsia" w:ascii="宋体" w:hAnsi="宋体"/>
          <w:highlight w:val="none"/>
        </w:rPr>
        <w:t>；施工管理人员安全培训率</w:t>
      </w:r>
      <w:r>
        <w:rPr>
          <w:rFonts w:ascii="宋体" w:hAnsi="宋体"/>
          <w:highlight w:val="none"/>
        </w:rPr>
        <w:t>100%</w:t>
      </w:r>
      <w:r>
        <w:rPr>
          <w:rFonts w:hint="eastAsia" w:ascii="宋体" w:hAnsi="宋体"/>
          <w:highlight w:val="none"/>
        </w:rPr>
        <w:t>。</w:t>
      </w:r>
    </w:p>
    <w:p>
      <w:pPr>
        <w:spacing w:line="540" w:lineRule="exact"/>
        <w:ind w:firstLine="645"/>
        <w:rPr>
          <w:rFonts w:ascii="宋体" w:hAnsi="宋体"/>
          <w:highlight w:val="none"/>
        </w:rPr>
      </w:pPr>
      <w:r>
        <w:rPr>
          <w:rFonts w:hint="eastAsia" w:ascii="宋体" w:hAnsi="宋体"/>
          <w:highlight w:val="none"/>
        </w:rPr>
        <w:t>（二）其它</w:t>
      </w:r>
    </w:p>
    <w:p>
      <w:pPr>
        <w:spacing w:line="540" w:lineRule="exact"/>
        <w:ind w:firstLine="645"/>
        <w:rPr>
          <w:rFonts w:ascii="宋体" w:hAnsi="宋体"/>
          <w:highlight w:val="none"/>
        </w:rPr>
      </w:pPr>
      <w:r>
        <w:rPr>
          <w:rFonts w:ascii="宋体" w:hAnsi="宋体"/>
          <w:highlight w:val="none"/>
        </w:rPr>
        <w:t>1</w:t>
      </w:r>
      <w:r>
        <w:rPr>
          <w:rFonts w:hint="eastAsia" w:ascii="宋体" w:hAnsi="宋体"/>
          <w:highlight w:val="none"/>
        </w:rPr>
        <w:t>、本安全管理目标承诺书所承诺内容应符合有关安全生产的法令、法规要求，并与企业安全资质级别相符，能代表企业安全管理的整体水平。</w:t>
      </w:r>
    </w:p>
    <w:p>
      <w:pPr>
        <w:spacing w:line="540" w:lineRule="exact"/>
        <w:ind w:firstLine="645"/>
        <w:rPr>
          <w:rFonts w:ascii="宋体" w:hAnsi="宋体"/>
          <w:highlight w:val="none"/>
        </w:rPr>
      </w:pPr>
      <w:r>
        <w:rPr>
          <w:rFonts w:ascii="宋体" w:hAnsi="宋体"/>
          <w:highlight w:val="none"/>
        </w:rPr>
        <w:t>2</w:t>
      </w:r>
      <w:r>
        <w:rPr>
          <w:rFonts w:hint="eastAsia" w:ascii="宋体" w:hAnsi="宋体"/>
          <w:highlight w:val="none"/>
        </w:rPr>
        <w:t>、项目法人及监理单位将按相关法规及本工程施工招标文件的要求，定期或不定期对工程进行安全检查，以督促施工企业落实安全承诺内容。</w:t>
      </w:r>
    </w:p>
    <w:p>
      <w:pPr>
        <w:spacing w:line="540" w:lineRule="exact"/>
        <w:ind w:firstLine="645"/>
        <w:rPr>
          <w:rFonts w:ascii="宋体" w:hAnsi="宋体"/>
          <w:highlight w:val="none"/>
        </w:rPr>
      </w:pPr>
      <w:r>
        <w:rPr>
          <w:rFonts w:ascii="宋体" w:hAnsi="宋体"/>
          <w:highlight w:val="none"/>
        </w:rPr>
        <w:t>3</w:t>
      </w:r>
      <w:r>
        <w:rPr>
          <w:rFonts w:hint="eastAsia" w:ascii="宋体" w:hAnsi="宋体"/>
          <w:highlight w:val="none"/>
        </w:rPr>
        <w:t>、本责任书一式肆份，项目法人、施工单位各执贰份。</w:t>
      </w:r>
    </w:p>
    <w:p>
      <w:pPr>
        <w:spacing w:line="540" w:lineRule="exact"/>
        <w:rPr>
          <w:rFonts w:ascii="宋体" w:hAnsi="宋体"/>
          <w:highlight w:val="none"/>
        </w:rPr>
      </w:pPr>
    </w:p>
    <w:p>
      <w:pPr>
        <w:spacing w:line="540" w:lineRule="exact"/>
        <w:rPr>
          <w:rFonts w:ascii="宋体" w:hAnsi="宋体"/>
          <w:highlight w:val="none"/>
        </w:rPr>
      </w:pPr>
    </w:p>
    <w:p>
      <w:pPr>
        <w:spacing w:line="540" w:lineRule="exact"/>
        <w:rPr>
          <w:rFonts w:ascii="宋体" w:hAnsi="宋体"/>
          <w:highlight w:val="none"/>
        </w:rPr>
      </w:pPr>
    </w:p>
    <w:p>
      <w:pPr>
        <w:spacing w:line="540" w:lineRule="exact"/>
        <w:rPr>
          <w:rFonts w:ascii="宋体" w:hAnsi="宋体"/>
          <w:highlight w:val="none"/>
        </w:rPr>
      </w:pPr>
    </w:p>
    <w:p>
      <w:pPr>
        <w:spacing w:line="540" w:lineRule="exact"/>
        <w:rPr>
          <w:rFonts w:ascii="宋体" w:hAnsi="宋体"/>
          <w:highlight w:val="none"/>
        </w:rPr>
      </w:pPr>
    </w:p>
    <w:p>
      <w:pPr>
        <w:spacing w:line="360" w:lineRule="auto"/>
        <w:ind w:firstLine="525" w:firstLineChars="250"/>
        <w:rPr>
          <w:rFonts w:ascii="宋体" w:hAnsi="宋体"/>
          <w:highlight w:val="none"/>
        </w:rPr>
      </w:pPr>
      <w:r>
        <w:rPr>
          <w:rFonts w:hint="eastAsia" w:ascii="宋体" w:hAnsi="宋体"/>
          <w:highlight w:val="none"/>
        </w:rPr>
        <w:t>建设单位（盖章）：</w:t>
      </w:r>
      <w:r>
        <w:rPr>
          <w:rFonts w:hint="eastAsia" w:ascii="宋体" w:hAnsi="宋体" w:cs="Arial"/>
          <w:kern w:val="0"/>
          <w:szCs w:val="21"/>
          <w:highlight w:val="none"/>
          <w:lang w:val="zh-CN"/>
        </w:rPr>
        <w:t>广州市海珠区河涌</w:t>
      </w:r>
      <w:r>
        <w:rPr>
          <w:rFonts w:hint="eastAsia" w:ascii="宋体" w:hAnsi="宋体"/>
          <w:highlight w:val="none"/>
        </w:rPr>
        <w:t>施工单位（盖章）：　</w:t>
      </w:r>
    </w:p>
    <w:p>
      <w:pPr>
        <w:tabs>
          <w:tab w:val="left" w:pos="6464"/>
        </w:tabs>
        <w:spacing w:line="480" w:lineRule="auto"/>
        <w:ind w:firstLine="2415" w:firstLineChars="1150"/>
        <w:rPr>
          <w:rFonts w:ascii="宋体" w:hAnsi="宋体"/>
          <w:highlight w:val="none"/>
        </w:rPr>
      </w:pPr>
      <w:r>
        <w:rPr>
          <w:rFonts w:hint="eastAsia" w:ascii="宋体" w:hAnsi="宋体" w:cs="Arial"/>
          <w:kern w:val="0"/>
          <w:szCs w:val="21"/>
          <w:highlight w:val="none"/>
          <w:lang w:val="zh-CN"/>
        </w:rPr>
        <w:t>管理所</w:t>
      </w:r>
    </w:p>
    <w:p>
      <w:pPr>
        <w:spacing w:line="480" w:lineRule="auto"/>
        <w:ind w:firstLine="525" w:firstLineChars="250"/>
        <w:rPr>
          <w:rFonts w:ascii="宋体" w:hAnsi="宋体"/>
          <w:highlight w:val="none"/>
        </w:rPr>
      </w:pPr>
      <w:r>
        <w:rPr>
          <w:rFonts w:hint="eastAsia" w:ascii="宋体" w:hAnsi="宋体"/>
          <w:highlight w:val="none"/>
        </w:rPr>
        <w:t>法定代表人：法定代表人：</w:t>
      </w:r>
    </w:p>
    <w:p>
      <w:pPr>
        <w:spacing w:line="480" w:lineRule="auto"/>
        <w:ind w:firstLine="525" w:firstLineChars="250"/>
        <w:rPr>
          <w:rFonts w:ascii="宋体" w:hAnsi="宋体"/>
          <w:highlight w:val="none"/>
        </w:rPr>
      </w:pPr>
      <w:r>
        <w:rPr>
          <w:rFonts w:hint="eastAsia" w:ascii="宋体" w:hAnsi="宋体"/>
          <w:highlight w:val="none"/>
        </w:rPr>
        <w:t>项目负责人：</w:t>
      </w:r>
    </w:p>
    <w:p>
      <w:pPr>
        <w:spacing w:line="480" w:lineRule="auto"/>
        <w:ind w:firstLine="525" w:firstLineChars="250"/>
        <w:rPr>
          <w:rFonts w:ascii="宋体" w:hAnsi="宋体"/>
          <w:highlight w:val="none"/>
          <w:u w:val="single"/>
        </w:rPr>
      </w:pPr>
      <w:r>
        <w:rPr>
          <w:rFonts w:hint="eastAsia" w:ascii="宋体" w:hAnsi="宋体"/>
          <w:highlight w:val="none"/>
        </w:rPr>
        <w:t>安全生产和防汛安全责任人：</w:t>
      </w:r>
    </w:p>
    <w:p>
      <w:pPr>
        <w:ind w:firstLine="560" w:firstLineChars="200"/>
        <w:rPr>
          <w:rFonts w:ascii="宋体" w:hAnsi="宋体"/>
          <w:sz w:val="28"/>
          <w:highlight w:val="none"/>
        </w:rPr>
      </w:pPr>
    </w:p>
    <w:p>
      <w:pPr>
        <w:rPr>
          <w:rFonts w:ascii="宋体" w:hAnsi="宋体"/>
          <w:sz w:val="28"/>
          <w:highlight w:val="none"/>
        </w:rPr>
      </w:pPr>
    </w:p>
    <w:p>
      <w:pPr>
        <w:rPr>
          <w:rFonts w:ascii="宋体" w:hAnsi="宋体"/>
          <w:highlight w:val="none"/>
        </w:rPr>
      </w:pPr>
      <w:r>
        <w:rPr>
          <w:rFonts w:hint="eastAsia" w:ascii="宋体" w:hAnsi="宋体"/>
          <w:highlight w:val="none"/>
        </w:rPr>
        <w:t>签定日期：年月日签定日期：年月日</w:t>
      </w:r>
    </w:p>
    <w:p>
      <w:pPr>
        <w:rPr>
          <w:rFonts w:ascii="宋体" w:hAnsi="宋体"/>
          <w:highlight w:val="none"/>
        </w:rPr>
      </w:pPr>
    </w:p>
    <w:p>
      <w:pPr>
        <w:snapToGrid w:val="0"/>
        <w:spacing w:line="360" w:lineRule="auto"/>
        <w:rPr>
          <w:rFonts w:ascii="宋体" w:hAnsi="宋体"/>
          <w:sz w:val="28"/>
          <w:highlight w:val="none"/>
        </w:rPr>
      </w:pPr>
    </w:p>
    <w:p>
      <w:pPr>
        <w:jc w:val="center"/>
        <w:rPr>
          <w:rFonts w:ascii="宋体" w:hAnsi="宋体"/>
          <w:b/>
          <w:sz w:val="48"/>
          <w:highlight w:val="none"/>
        </w:rPr>
      </w:pPr>
      <w:bookmarkStart w:id="1350" w:name="_Hlt11122172"/>
      <w:bookmarkEnd w:id="1350"/>
    </w:p>
    <w:p>
      <w:pPr>
        <w:rPr>
          <w:rFonts w:ascii="宋体" w:hAnsi="宋体"/>
          <w:sz w:val="28"/>
          <w:highlight w:val="none"/>
        </w:rPr>
      </w:pPr>
      <w:r>
        <w:rPr>
          <w:rFonts w:ascii="宋体" w:hAnsi="宋体"/>
          <w:sz w:val="28"/>
          <w:highlight w:val="none"/>
        </w:rPr>
        <w:br w:type="page"/>
      </w:r>
      <w:r>
        <w:rPr>
          <w:rFonts w:hint="eastAsia" w:ascii="宋体" w:hAnsi="宋体"/>
          <w:b/>
          <w:sz w:val="24"/>
          <w:highlight w:val="none"/>
        </w:rPr>
        <w:t>附件十一：文明施工责任书</w:t>
      </w:r>
    </w:p>
    <w:p>
      <w:pPr>
        <w:snapToGrid w:val="0"/>
        <w:spacing w:line="360" w:lineRule="auto"/>
        <w:rPr>
          <w:rFonts w:ascii="宋体" w:hAnsi="宋体"/>
          <w:sz w:val="28"/>
          <w:highlight w:val="none"/>
        </w:rPr>
      </w:pPr>
    </w:p>
    <w:p>
      <w:pPr>
        <w:spacing w:afterLines="50" w:line="360" w:lineRule="auto"/>
        <w:jc w:val="center"/>
        <w:rPr>
          <w:rFonts w:ascii="宋体" w:hAnsi="宋体"/>
          <w:b/>
          <w:sz w:val="48"/>
          <w:highlight w:val="none"/>
        </w:rPr>
      </w:pPr>
      <w:r>
        <w:rPr>
          <w:rFonts w:hint="eastAsia" w:ascii="宋体" w:hAnsi="宋体"/>
          <w:b/>
          <w:sz w:val="48"/>
          <w:highlight w:val="none"/>
        </w:rPr>
        <w:t>海珠区住宅类排水单元达标创建工程设计施工总承包（</w:t>
      </w:r>
      <w:r>
        <w:rPr>
          <w:rFonts w:hint="eastAsia" w:ascii="宋体" w:hAnsi="宋体"/>
          <w:b/>
          <w:sz w:val="48"/>
          <w:highlight w:val="none"/>
          <w:lang w:eastAsia="zh-CN"/>
        </w:rPr>
        <w:t>标段三</w:t>
      </w:r>
      <w:r>
        <w:rPr>
          <w:rFonts w:hint="eastAsia" w:ascii="宋体" w:hAnsi="宋体"/>
          <w:b/>
          <w:sz w:val="48"/>
          <w:highlight w:val="none"/>
        </w:rPr>
        <w:t>）</w:t>
      </w:r>
    </w:p>
    <w:p>
      <w:pPr>
        <w:jc w:val="center"/>
        <w:rPr>
          <w:rFonts w:ascii="宋体" w:hAnsi="宋体"/>
          <w:b/>
          <w:sz w:val="44"/>
          <w:highlight w:val="none"/>
        </w:rPr>
      </w:pPr>
    </w:p>
    <w:p>
      <w:pPr>
        <w:jc w:val="center"/>
        <w:rPr>
          <w:rFonts w:ascii="宋体" w:hAnsi="宋体"/>
          <w:sz w:val="44"/>
          <w:highlight w:val="none"/>
        </w:rPr>
      </w:pPr>
    </w:p>
    <w:p>
      <w:pPr>
        <w:spacing w:afterLines="50" w:line="360" w:lineRule="auto"/>
        <w:jc w:val="center"/>
        <w:rPr>
          <w:rFonts w:ascii="宋体" w:hAnsi="宋体"/>
          <w:b/>
          <w:sz w:val="48"/>
          <w:highlight w:val="none"/>
        </w:rPr>
      </w:pPr>
      <w:r>
        <w:rPr>
          <w:rFonts w:hint="eastAsia" w:ascii="宋体" w:hAnsi="宋体"/>
          <w:b/>
          <w:sz w:val="48"/>
          <w:highlight w:val="none"/>
        </w:rPr>
        <w:t>文明施工责任书</w:t>
      </w: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ind w:firstLine="600" w:firstLineChars="200"/>
        <w:jc w:val="center"/>
        <w:rPr>
          <w:rFonts w:ascii="宋体" w:hAnsi="宋体"/>
          <w:sz w:val="30"/>
          <w:highlight w:val="none"/>
        </w:rPr>
      </w:pPr>
    </w:p>
    <w:p>
      <w:pPr>
        <w:spacing w:line="480" w:lineRule="auto"/>
        <w:ind w:left="2096" w:leftChars="284" w:hanging="1500" w:hangingChars="500"/>
        <w:rPr>
          <w:rFonts w:ascii="宋体" w:hAnsi="宋体"/>
          <w:sz w:val="28"/>
          <w:highlight w:val="none"/>
          <w:u w:val="single"/>
        </w:rPr>
      </w:pPr>
      <w:r>
        <w:rPr>
          <w:rFonts w:hint="eastAsia" w:ascii="宋体" w:hAnsi="宋体"/>
          <w:sz w:val="30"/>
          <w:highlight w:val="none"/>
        </w:rPr>
        <w:t>工程名称：</w:t>
      </w:r>
      <w:r>
        <w:rPr>
          <w:rFonts w:hint="eastAsia" w:ascii="宋体" w:hAnsi="宋体"/>
          <w:sz w:val="28"/>
          <w:highlight w:val="none"/>
          <w:u w:val="single"/>
        </w:rPr>
        <w:t>海珠区住宅类排水单元达标创建工程设计施工总承包（</w:t>
      </w:r>
      <w:r>
        <w:rPr>
          <w:rFonts w:hint="eastAsia" w:ascii="宋体" w:hAnsi="宋体"/>
          <w:sz w:val="28"/>
          <w:highlight w:val="none"/>
          <w:u w:val="single"/>
          <w:lang w:eastAsia="zh-CN"/>
        </w:rPr>
        <w:t>标段三</w:t>
      </w:r>
      <w:r>
        <w:rPr>
          <w:rFonts w:hint="eastAsia" w:ascii="宋体" w:hAnsi="宋体"/>
          <w:sz w:val="28"/>
          <w:highlight w:val="none"/>
          <w:u w:val="single"/>
        </w:rPr>
        <w:t>）</w:t>
      </w:r>
    </w:p>
    <w:p>
      <w:pPr>
        <w:rPr>
          <w:rFonts w:ascii="宋体" w:hAnsi="宋体"/>
          <w:sz w:val="30"/>
          <w:highlight w:val="none"/>
          <w:u w:val="single"/>
        </w:rPr>
      </w:pPr>
      <w:r>
        <w:rPr>
          <w:rFonts w:hint="eastAsia" w:ascii="宋体" w:hAnsi="宋体"/>
          <w:sz w:val="28"/>
          <w:highlight w:val="none"/>
        </w:rPr>
        <w:t>施工单位：</w:t>
      </w:r>
    </w:p>
    <w:p>
      <w:pPr>
        <w:spacing w:line="480" w:lineRule="auto"/>
        <w:ind w:firstLine="560" w:firstLineChars="200"/>
        <w:rPr>
          <w:rFonts w:ascii="宋体" w:hAnsi="宋体"/>
          <w:sz w:val="28"/>
          <w:highlight w:val="none"/>
        </w:rPr>
      </w:pPr>
    </w:p>
    <w:p>
      <w:pPr>
        <w:spacing w:line="480" w:lineRule="auto"/>
        <w:ind w:firstLine="560" w:firstLineChars="200"/>
        <w:rPr>
          <w:rFonts w:ascii="宋体" w:hAnsi="宋体"/>
          <w:i/>
          <w:sz w:val="28"/>
          <w:highlight w:val="none"/>
        </w:rPr>
      </w:pPr>
      <w:r>
        <w:rPr>
          <w:rFonts w:hint="eastAsia" w:ascii="宋体" w:hAnsi="宋体"/>
          <w:sz w:val="28"/>
          <w:highlight w:val="none"/>
        </w:rPr>
        <w:t>文明施工责任人：</w:t>
      </w:r>
    </w:p>
    <w:p>
      <w:pPr>
        <w:jc w:val="center"/>
        <w:rPr>
          <w:rFonts w:ascii="宋体" w:hAnsi="宋体"/>
          <w:sz w:val="28"/>
          <w:highlight w:val="none"/>
        </w:rPr>
      </w:pPr>
      <w:r>
        <w:rPr>
          <w:rFonts w:hint="eastAsia" w:ascii="宋体" w:hAnsi="宋体"/>
          <w:sz w:val="28"/>
          <w:highlight w:val="none"/>
        </w:rPr>
        <w:t>年月日</w:t>
      </w:r>
    </w:p>
    <w:p>
      <w:pPr>
        <w:pStyle w:val="2"/>
        <w:rPr>
          <w:rFonts w:ascii="宋体" w:hAnsi="宋体"/>
          <w:sz w:val="28"/>
          <w:highlight w:val="none"/>
        </w:rPr>
      </w:pPr>
    </w:p>
    <w:p>
      <w:pPr>
        <w:rPr>
          <w:rFonts w:ascii="宋体" w:hAnsi="宋体"/>
          <w:sz w:val="28"/>
          <w:highlight w:val="none"/>
        </w:rPr>
      </w:pPr>
    </w:p>
    <w:p>
      <w:pPr>
        <w:pStyle w:val="2"/>
        <w:rPr>
          <w:highlight w:val="none"/>
        </w:rPr>
      </w:pPr>
    </w:p>
    <w:p>
      <w:pPr>
        <w:spacing w:afterLines="50" w:line="360" w:lineRule="auto"/>
        <w:jc w:val="center"/>
        <w:rPr>
          <w:rFonts w:ascii="宋体" w:hAnsi="宋体"/>
          <w:b/>
          <w:sz w:val="36"/>
          <w:szCs w:val="36"/>
          <w:highlight w:val="none"/>
        </w:rPr>
      </w:pPr>
      <w:r>
        <w:rPr>
          <w:rFonts w:hint="eastAsia" w:ascii="宋体" w:hAnsi="宋体"/>
          <w:b/>
          <w:sz w:val="36"/>
          <w:szCs w:val="36"/>
          <w:highlight w:val="none"/>
        </w:rPr>
        <w:t>海珠区住宅类排水单元达标创建工程设计</w:t>
      </w:r>
    </w:p>
    <w:p>
      <w:pPr>
        <w:spacing w:afterLines="50" w:line="360" w:lineRule="auto"/>
        <w:jc w:val="center"/>
        <w:rPr>
          <w:rFonts w:ascii="宋体" w:hAnsi="宋体"/>
          <w:b/>
          <w:sz w:val="36"/>
          <w:szCs w:val="36"/>
          <w:highlight w:val="none"/>
        </w:rPr>
      </w:pPr>
      <w:r>
        <w:rPr>
          <w:rFonts w:hint="eastAsia" w:ascii="宋体" w:hAnsi="宋体"/>
          <w:b/>
          <w:sz w:val="36"/>
          <w:szCs w:val="36"/>
          <w:highlight w:val="none"/>
        </w:rPr>
        <w:t>施工总承包（</w:t>
      </w:r>
      <w:r>
        <w:rPr>
          <w:rFonts w:hint="eastAsia" w:ascii="宋体" w:hAnsi="宋体"/>
          <w:b/>
          <w:sz w:val="36"/>
          <w:szCs w:val="36"/>
          <w:highlight w:val="none"/>
          <w:lang w:eastAsia="zh-CN"/>
        </w:rPr>
        <w:t>标段三</w:t>
      </w:r>
      <w:r>
        <w:rPr>
          <w:rFonts w:hint="eastAsia" w:ascii="宋体" w:hAnsi="宋体"/>
          <w:b/>
          <w:sz w:val="36"/>
          <w:szCs w:val="36"/>
          <w:highlight w:val="none"/>
        </w:rPr>
        <w:t>）</w:t>
      </w:r>
    </w:p>
    <w:p>
      <w:pPr>
        <w:spacing w:afterLines="50" w:line="360" w:lineRule="auto"/>
        <w:jc w:val="center"/>
        <w:rPr>
          <w:rFonts w:ascii="宋体" w:hAnsi="宋体"/>
          <w:sz w:val="28"/>
          <w:highlight w:val="none"/>
        </w:rPr>
      </w:pPr>
      <w:r>
        <w:rPr>
          <w:rFonts w:hint="eastAsia" w:ascii="宋体" w:hAnsi="宋体"/>
          <w:b/>
          <w:sz w:val="36"/>
          <w:szCs w:val="36"/>
          <w:highlight w:val="none"/>
        </w:rPr>
        <w:t>文明施工责任书</w:t>
      </w:r>
    </w:p>
    <w:p>
      <w:pPr>
        <w:spacing w:line="440" w:lineRule="exact"/>
        <w:ind w:firstLine="539" w:firstLineChars="257"/>
        <w:textAlignment w:val="baseline"/>
        <w:rPr>
          <w:rFonts w:ascii="宋体" w:hAnsi="宋体"/>
          <w:highlight w:val="none"/>
        </w:rPr>
      </w:pPr>
      <w:r>
        <w:rPr>
          <w:rFonts w:hint="eastAsia" w:ascii="宋体" w:hAnsi="宋体"/>
          <w:highlight w:val="none"/>
        </w:rPr>
        <w:t>为认真落实文明施工工作，杜绝工程的不文明行为，同时为进一步明确文明施工职责。根据</w:t>
      </w:r>
      <w:r>
        <w:rPr>
          <w:rFonts w:hint="eastAsia" w:ascii="宋体" w:hAnsi="宋体"/>
          <w:sz w:val="24"/>
          <w:highlight w:val="none"/>
          <w:shd w:val="clear" w:color="auto" w:fill="FFFFFF"/>
        </w:rPr>
        <w:t>《广州市建设工程文明施工管理规定》</w:t>
      </w:r>
      <w:r>
        <w:rPr>
          <w:rFonts w:hint="eastAsia" w:ascii="宋体" w:hAnsi="宋体"/>
          <w:highlight w:val="none"/>
        </w:rPr>
        <w:t>等规定，制定建设工程文明施工责任书。在工程开工前，施工企业与项目法人签订建设工程文明施工责任书。</w:t>
      </w:r>
    </w:p>
    <w:p>
      <w:pPr>
        <w:spacing w:line="440" w:lineRule="exact"/>
        <w:ind w:firstLine="539" w:firstLineChars="257"/>
        <w:textAlignment w:val="baseline"/>
        <w:rPr>
          <w:rFonts w:ascii="宋体" w:hAnsi="宋体"/>
          <w:highlight w:val="none"/>
        </w:rPr>
      </w:pPr>
      <w:r>
        <w:rPr>
          <w:rFonts w:hint="eastAsia" w:ascii="宋体" w:hAnsi="宋体"/>
          <w:highlight w:val="none"/>
        </w:rPr>
        <w:t>本责任书由本水利建设工程施工单位向海珠区河涌管理所签订。</w:t>
      </w:r>
    </w:p>
    <w:p>
      <w:pPr>
        <w:spacing w:line="440" w:lineRule="exact"/>
        <w:ind w:firstLine="420" w:firstLineChars="200"/>
        <w:textAlignment w:val="baseline"/>
        <w:rPr>
          <w:rFonts w:ascii="宋体" w:hAnsi="宋体"/>
          <w:highlight w:val="none"/>
        </w:rPr>
      </w:pPr>
      <w:r>
        <w:rPr>
          <w:rFonts w:hint="eastAsia" w:ascii="宋体" w:hAnsi="宋体"/>
          <w:highlight w:val="none"/>
        </w:rPr>
        <w:t>一、施工单位的责任与义务</w:t>
      </w:r>
    </w:p>
    <w:p>
      <w:pPr>
        <w:spacing w:line="440" w:lineRule="exact"/>
        <w:ind w:firstLine="420" w:firstLineChars="200"/>
        <w:textAlignment w:val="baseline"/>
        <w:rPr>
          <w:rFonts w:ascii="宋体" w:hAnsi="宋体"/>
          <w:highlight w:val="none"/>
        </w:rPr>
      </w:pPr>
      <w:r>
        <w:rPr>
          <w:rFonts w:ascii="宋体" w:hAnsi="宋体"/>
          <w:highlight w:val="none"/>
        </w:rPr>
        <w:t>1</w:t>
      </w:r>
      <w:r>
        <w:rPr>
          <w:rFonts w:hint="eastAsia" w:ascii="宋体" w:hAnsi="宋体"/>
          <w:highlight w:val="none"/>
        </w:rPr>
        <w:t>、对施工现场文明施工负全部责任。施工单位必须建立健全文明施工管理体系。施工单位法定代表人为文明施工责任人，对本标段的文明施工负责，可授权项目负责人为文明施工责任人，负责本标段文明施工的组织与实施。</w:t>
      </w:r>
    </w:p>
    <w:p>
      <w:pPr>
        <w:spacing w:line="440" w:lineRule="exact"/>
        <w:ind w:firstLine="645"/>
        <w:textAlignment w:val="baseline"/>
        <w:rPr>
          <w:rFonts w:ascii="宋体" w:hAnsi="宋体"/>
          <w:highlight w:val="none"/>
        </w:rPr>
      </w:pPr>
      <w:r>
        <w:rPr>
          <w:rFonts w:ascii="宋体" w:hAnsi="宋体"/>
          <w:highlight w:val="none"/>
        </w:rPr>
        <w:t>2</w:t>
      </w:r>
      <w:r>
        <w:rPr>
          <w:rFonts w:hint="eastAsia" w:ascii="宋体" w:hAnsi="宋体"/>
          <w:highlight w:val="none"/>
        </w:rPr>
        <w:t>、建立各项文明施工规章制度，订立各工种岗位安全生产操作规程及技术交底，杜绝违章作业。制订并组织实施各部门的文明施工工作实施细则。</w:t>
      </w:r>
    </w:p>
    <w:p>
      <w:pPr>
        <w:spacing w:line="440" w:lineRule="exact"/>
        <w:ind w:firstLine="645"/>
        <w:textAlignment w:val="baseline"/>
        <w:rPr>
          <w:rFonts w:ascii="宋体" w:hAnsi="宋体"/>
          <w:highlight w:val="none"/>
        </w:rPr>
      </w:pPr>
      <w:r>
        <w:rPr>
          <w:rFonts w:ascii="宋体" w:hAnsi="宋体"/>
          <w:highlight w:val="none"/>
        </w:rPr>
        <w:t>3</w:t>
      </w:r>
      <w:r>
        <w:rPr>
          <w:rFonts w:hint="eastAsia" w:ascii="宋体" w:hAnsi="宋体"/>
          <w:highlight w:val="none"/>
        </w:rPr>
        <w:t>、根据</w:t>
      </w:r>
      <w:r>
        <w:rPr>
          <w:rFonts w:hint="eastAsia" w:ascii="宋体" w:hAnsi="宋体"/>
          <w:sz w:val="24"/>
          <w:highlight w:val="none"/>
          <w:shd w:val="clear" w:color="auto" w:fill="FFFFFF"/>
        </w:rPr>
        <w:t>《广州市建设工程文明施工管理规定》的相关规定，加强建设工程文明施工工作落实，</w:t>
      </w:r>
      <w:r>
        <w:rPr>
          <w:rFonts w:hint="eastAsia" w:ascii="宋体" w:hAnsi="宋体"/>
          <w:highlight w:val="none"/>
        </w:rPr>
        <w:t>及时发现问题，解决问题并做好相关记录，及时建立文明施工台帐。每周将文明施工检查记录上报监理部，积极支持监理单位日常的文明施工检查工作。</w:t>
      </w:r>
    </w:p>
    <w:p>
      <w:pPr>
        <w:spacing w:line="440" w:lineRule="exact"/>
        <w:ind w:firstLine="420" w:firstLineChars="200"/>
        <w:textAlignment w:val="baseline"/>
        <w:rPr>
          <w:rFonts w:ascii="宋体" w:hAnsi="宋体"/>
          <w:highlight w:val="none"/>
        </w:rPr>
      </w:pPr>
      <w:r>
        <w:rPr>
          <w:rFonts w:ascii="宋体" w:hAnsi="宋体"/>
          <w:highlight w:val="none"/>
        </w:rPr>
        <w:t xml:space="preserve"> 4</w:t>
      </w:r>
      <w:r>
        <w:rPr>
          <w:rFonts w:hint="eastAsia" w:ascii="宋体" w:hAnsi="宋体"/>
          <w:highlight w:val="none"/>
        </w:rPr>
        <w:t>、施工单位违反文明施工有关规定的，应接受本工程施工招标文件的处罚，详见本工程施工招标文件。</w:t>
      </w:r>
    </w:p>
    <w:p>
      <w:pPr>
        <w:spacing w:line="440" w:lineRule="exact"/>
        <w:ind w:firstLine="645"/>
        <w:textAlignment w:val="baseline"/>
        <w:rPr>
          <w:rFonts w:ascii="宋体" w:hAnsi="宋体"/>
          <w:highlight w:val="none"/>
        </w:rPr>
      </w:pPr>
      <w:r>
        <w:rPr>
          <w:rFonts w:hint="eastAsia" w:ascii="宋体" w:hAnsi="宋体"/>
          <w:highlight w:val="none"/>
        </w:rPr>
        <w:t>二、</w:t>
      </w:r>
      <w:r>
        <w:rPr>
          <w:rStyle w:val="66"/>
          <w:rFonts w:hint="eastAsia" w:ascii="宋体" w:hAnsi="宋体"/>
          <w:b w:val="0"/>
          <w:bCs w:val="0"/>
          <w:highlight w:val="none"/>
        </w:rPr>
        <w:t>安全生产责任有限期限：</w:t>
      </w:r>
      <w:r>
        <w:rPr>
          <w:rFonts w:hint="eastAsia" w:ascii="宋体" w:hAnsi="宋体"/>
          <w:highlight w:val="none"/>
        </w:rPr>
        <w:t>自进场施工至本工程移交日止。</w:t>
      </w:r>
    </w:p>
    <w:p>
      <w:pPr>
        <w:spacing w:line="440" w:lineRule="exact"/>
        <w:ind w:firstLine="525" w:firstLineChars="250"/>
        <w:textAlignment w:val="baseline"/>
        <w:rPr>
          <w:rFonts w:ascii="宋体" w:hAnsi="宋体"/>
          <w:highlight w:val="none"/>
        </w:rPr>
      </w:pPr>
      <w:r>
        <w:rPr>
          <w:rFonts w:hint="eastAsia" w:ascii="宋体" w:hAnsi="宋体"/>
          <w:highlight w:val="none"/>
        </w:rPr>
        <w:t>三、本责任书一式肆份，项目法人、施工单位各执贰份。</w:t>
      </w:r>
    </w:p>
    <w:p>
      <w:pPr>
        <w:spacing w:line="360" w:lineRule="atLeast"/>
        <w:rPr>
          <w:rFonts w:ascii="宋体" w:hAnsi="宋体"/>
          <w:sz w:val="28"/>
          <w:highlight w:val="none"/>
        </w:rPr>
      </w:pPr>
    </w:p>
    <w:p>
      <w:pPr>
        <w:spacing w:line="360" w:lineRule="auto"/>
        <w:ind w:firstLine="210" w:firstLineChars="100"/>
        <w:rPr>
          <w:rFonts w:ascii="宋体" w:hAnsi="宋体"/>
          <w:highlight w:val="none"/>
        </w:rPr>
      </w:pPr>
      <w:r>
        <w:rPr>
          <w:rFonts w:hint="eastAsia" w:ascii="宋体" w:hAnsi="宋体"/>
          <w:highlight w:val="none"/>
        </w:rPr>
        <w:t>建设单位（盖章）：</w:t>
      </w:r>
      <w:r>
        <w:rPr>
          <w:rFonts w:hint="eastAsia" w:ascii="宋体" w:hAnsi="宋体" w:cs="Arial"/>
          <w:kern w:val="0"/>
          <w:szCs w:val="21"/>
          <w:highlight w:val="none"/>
          <w:lang w:val="zh-CN"/>
        </w:rPr>
        <w:t>广州市海珠区河涌</w:t>
      </w:r>
      <w:r>
        <w:rPr>
          <w:rFonts w:hint="eastAsia" w:ascii="宋体" w:hAnsi="宋体"/>
          <w:highlight w:val="none"/>
        </w:rPr>
        <w:t>施工单位（盖章）：　</w:t>
      </w:r>
    </w:p>
    <w:p>
      <w:pPr>
        <w:tabs>
          <w:tab w:val="left" w:pos="6464"/>
        </w:tabs>
        <w:spacing w:line="480" w:lineRule="auto"/>
        <w:ind w:firstLine="2415" w:firstLineChars="1150"/>
        <w:rPr>
          <w:rFonts w:ascii="宋体" w:hAnsi="宋体"/>
          <w:highlight w:val="none"/>
        </w:rPr>
      </w:pPr>
      <w:r>
        <w:rPr>
          <w:rFonts w:hint="eastAsia" w:ascii="宋体" w:hAnsi="宋体" w:cs="Arial"/>
          <w:kern w:val="0"/>
          <w:szCs w:val="21"/>
          <w:highlight w:val="none"/>
          <w:lang w:val="zh-CN"/>
        </w:rPr>
        <w:t>管理所</w:t>
      </w:r>
      <w:r>
        <w:rPr>
          <w:rFonts w:hint="eastAsia" w:ascii="宋体" w:hAnsi="宋体"/>
          <w:highlight w:val="none"/>
        </w:rPr>
        <w:t>　</w:t>
      </w:r>
    </w:p>
    <w:p>
      <w:pPr>
        <w:ind w:firstLine="525" w:firstLineChars="250"/>
        <w:rPr>
          <w:rFonts w:ascii="宋体" w:hAnsi="宋体"/>
          <w:highlight w:val="none"/>
        </w:rPr>
      </w:pPr>
    </w:p>
    <w:p>
      <w:pPr>
        <w:spacing w:line="480" w:lineRule="auto"/>
        <w:ind w:firstLine="525" w:firstLineChars="250"/>
        <w:rPr>
          <w:rFonts w:ascii="宋体" w:hAnsi="宋体"/>
          <w:highlight w:val="none"/>
        </w:rPr>
      </w:pPr>
      <w:r>
        <w:rPr>
          <w:rFonts w:hint="eastAsia" w:ascii="宋体" w:hAnsi="宋体"/>
          <w:highlight w:val="none"/>
        </w:rPr>
        <w:t>法定代表人：法定代表人：</w:t>
      </w:r>
    </w:p>
    <w:p>
      <w:pPr>
        <w:spacing w:line="480" w:lineRule="auto"/>
        <w:ind w:firstLine="525" w:firstLineChars="250"/>
        <w:rPr>
          <w:rFonts w:ascii="宋体" w:hAnsi="宋体"/>
          <w:highlight w:val="none"/>
        </w:rPr>
      </w:pPr>
      <w:r>
        <w:rPr>
          <w:rFonts w:hint="eastAsia" w:ascii="宋体" w:hAnsi="宋体"/>
          <w:highlight w:val="none"/>
        </w:rPr>
        <w:t>项目负责人：</w:t>
      </w:r>
    </w:p>
    <w:p>
      <w:pPr>
        <w:spacing w:line="480" w:lineRule="auto"/>
        <w:ind w:firstLine="525" w:firstLineChars="250"/>
        <w:rPr>
          <w:rFonts w:ascii="宋体" w:hAnsi="宋体"/>
          <w:highlight w:val="none"/>
          <w:u w:val="single"/>
        </w:rPr>
      </w:pPr>
      <w:r>
        <w:rPr>
          <w:rFonts w:hint="eastAsia" w:ascii="宋体" w:hAnsi="宋体"/>
          <w:highlight w:val="none"/>
        </w:rPr>
        <w:t>文明施工责任人：</w:t>
      </w:r>
    </w:p>
    <w:p>
      <w:pPr>
        <w:rPr>
          <w:rFonts w:ascii="宋体" w:hAnsi="宋体"/>
          <w:sz w:val="28"/>
          <w:highlight w:val="none"/>
        </w:rPr>
      </w:pPr>
    </w:p>
    <w:p>
      <w:pPr>
        <w:pStyle w:val="33"/>
        <w:spacing w:line="360" w:lineRule="auto"/>
        <w:rPr>
          <w:rFonts w:hAnsi="宋体"/>
          <w:sz w:val="24"/>
          <w:szCs w:val="24"/>
          <w:highlight w:val="none"/>
        </w:rPr>
      </w:pPr>
      <w:r>
        <w:rPr>
          <w:rFonts w:hint="eastAsia" w:hAnsi="宋体"/>
          <w:highlight w:val="none"/>
        </w:rPr>
        <w:t>签定日期：年月日签定日期：年月日</w:t>
      </w:r>
    </w:p>
    <w:p>
      <w:pPr>
        <w:spacing w:line="300" w:lineRule="exact"/>
        <w:jc w:val="left"/>
        <w:rPr>
          <w:rFonts w:ascii="宋体" w:hAnsi="宋体"/>
          <w:szCs w:val="21"/>
          <w:highlight w:val="none"/>
        </w:rPr>
      </w:pPr>
    </w:p>
    <w:p>
      <w:pPr>
        <w:spacing w:line="360" w:lineRule="auto"/>
        <w:rPr>
          <w:rFonts w:ascii="宋体" w:hAnsi="宋体" w:cs="宋体"/>
          <w:kern w:val="0"/>
          <w:szCs w:val="21"/>
          <w:highlight w:val="none"/>
        </w:rPr>
      </w:pPr>
    </w:p>
    <w:p>
      <w:pPr>
        <w:widowControl/>
        <w:jc w:val="left"/>
        <w:rPr>
          <w:rFonts w:ascii="宋体" w:hAnsi="宋体" w:cs="宋体"/>
          <w:kern w:val="0"/>
          <w:szCs w:val="21"/>
          <w:highlight w:val="none"/>
        </w:rPr>
      </w:pPr>
      <w:r>
        <w:rPr>
          <w:rFonts w:ascii="宋体" w:hAnsi="宋体" w:cs="宋体"/>
          <w:kern w:val="0"/>
          <w:szCs w:val="21"/>
          <w:highlight w:val="none"/>
        </w:rPr>
        <w:br w:type="page"/>
      </w:r>
    </w:p>
    <w:p>
      <w:pPr>
        <w:spacing w:line="360" w:lineRule="auto"/>
        <w:rPr>
          <w:rFonts w:ascii="宋体" w:hAnsi="宋体"/>
          <w:b/>
          <w:sz w:val="24"/>
          <w:highlight w:val="none"/>
        </w:rPr>
      </w:pPr>
      <w:r>
        <w:rPr>
          <w:rFonts w:hint="eastAsia" w:ascii="宋体" w:hAnsi="宋体"/>
          <w:b/>
          <w:sz w:val="24"/>
          <w:highlight w:val="none"/>
        </w:rPr>
        <w:t>附件十二：廉政协议书</w:t>
      </w:r>
    </w:p>
    <w:p>
      <w:pPr>
        <w:spacing w:line="360" w:lineRule="auto"/>
        <w:jc w:val="center"/>
        <w:rPr>
          <w:rFonts w:ascii="宋体" w:hAnsi="宋体"/>
          <w:b/>
          <w:sz w:val="44"/>
          <w:highlight w:val="none"/>
        </w:rPr>
      </w:pPr>
      <w:r>
        <w:rPr>
          <w:rFonts w:hint="eastAsia" w:ascii="宋体" w:hAnsi="宋体"/>
          <w:b/>
          <w:sz w:val="44"/>
          <w:highlight w:val="none"/>
        </w:rPr>
        <w:t>工程建设廉政协议书</w:t>
      </w:r>
    </w:p>
    <w:p>
      <w:pPr>
        <w:spacing w:line="360" w:lineRule="auto"/>
        <w:jc w:val="center"/>
        <w:rPr>
          <w:rFonts w:ascii="宋体" w:hAnsi="宋体"/>
          <w:b/>
          <w:sz w:val="44"/>
          <w:highlight w:val="none"/>
        </w:rPr>
      </w:pPr>
    </w:p>
    <w:p>
      <w:pPr>
        <w:spacing w:line="360" w:lineRule="auto"/>
        <w:ind w:firstLine="480"/>
        <w:rPr>
          <w:rFonts w:ascii="宋体" w:hAnsi="宋体"/>
          <w:sz w:val="24"/>
          <w:highlight w:val="none"/>
        </w:rPr>
      </w:pPr>
      <w:r>
        <w:rPr>
          <w:rFonts w:hint="eastAsia" w:ascii="宋体" w:hAnsi="宋体"/>
          <w:sz w:val="24"/>
          <w:highlight w:val="none"/>
        </w:rPr>
        <w:t>为进一步落实</w:t>
      </w:r>
      <w:r>
        <w:rPr>
          <w:rFonts w:hint="eastAsia" w:ascii="宋体" w:hAnsi="宋体"/>
          <w:sz w:val="24"/>
          <w:highlight w:val="none"/>
          <w:u w:val="single"/>
        </w:rPr>
        <w:t>海珠区住宅类排水单元达标创建工程设计施工总承包（</w:t>
      </w:r>
      <w:r>
        <w:rPr>
          <w:rFonts w:hint="eastAsia" w:ascii="宋体" w:hAnsi="宋体"/>
          <w:sz w:val="24"/>
          <w:highlight w:val="none"/>
          <w:u w:val="single"/>
          <w:lang w:eastAsia="zh-CN"/>
        </w:rPr>
        <w:t>标段三</w:t>
      </w:r>
      <w:r>
        <w:rPr>
          <w:rFonts w:hint="eastAsia" w:ascii="宋体" w:hAnsi="宋体"/>
          <w:sz w:val="24"/>
          <w:highlight w:val="none"/>
          <w:u w:val="single"/>
        </w:rPr>
        <w:t>）</w:t>
      </w:r>
      <w:r>
        <w:rPr>
          <w:rFonts w:hint="eastAsia" w:ascii="宋体" w:hAnsi="宋体"/>
          <w:sz w:val="24"/>
          <w:highlight w:val="none"/>
        </w:rPr>
        <w:t>项目中的廉政责任，保证双方工作人员遵纪守法，特签订工程建设廉政协议如下：</w:t>
      </w:r>
    </w:p>
    <w:p>
      <w:pPr>
        <w:spacing w:line="360" w:lineRule="auto"/>
        <w:ind w:firstLine="480"/>
        <w:rPr>
          <w:rFonts w:ascii="宋体" w:hAnsi="宋体"/>
          <w:sz w:val="24"/>
          <w:highlight w:val="none"/>
        </w:rPr>
      </w:pPr>
      <w:r>
        <w:rPr>
          <w:rFonts w:hint="eastAsia" w:ascii="宋体" w:hAnsi="宋体"/>
          <w:sz w:val="24"/>
          <w:highlight w:val="none"/>
        </w:rPr>
        <w:t>一、带头严格遵守《中华人民共和国建筑法》、《合同法》及国家、省、市有关的法律、法规和政策规定。</w:t>
      </w:r>
    </w:p>
    <w:p>
      <w:pPr>
        <w:spacing w:line="360" w:lineRule="auto"/>
        <w:ind w:firstLine="480"/>
        <w:rPr>
          <w:rFonts w:ascii="宋体" w:hAnsi="宋体"/>
          <w:sz w:val="24"/>
          <w:highlight w:val="none"/>
        </w:rPr>
      </w:pPr>
      <w:r>
        <w:rPr>
          <w:rFonts w:hint="eastAsia" w:ascii="宋体" w:hAnsi="宋体"/>
          <w:sz w:val="24"/>
          <w:highlight w:val="none"/>
        </w:rPr>
        <w:t>二、对各自工作人员廉政工作负责，组织学习有关法律、法规、做到遵纪守法。</w:t>
      </w:r>
    </w:p>
    <w:p>
      <w:pPr>
        <w:spacing w:line="360" w:lineRule="auto"/>
        <w:ind w:firstLine="480"/>
        <w:rPr>
          <w:rFonts w:ascii="宋体" w:hAnsi="宋体"/>
          <w:sz w:val="24"/>
          <w:highlight w:val="none"/>
        </w:rPr>
      </w:pPr>
      <w:r>
        <w:rPr>
          <w:rFonts w:hint="eastAsia" w:ascii="宋体" w:hAnsi="宋体"/>
          <w:sz w:val="24"/>
          <w:highlight w:val="none"/>
        </w:rPr>
        <w:t>三、发现在工程建设过程中有违法违纪行为的，及时向海珠区纪委监委第九派驻纪检监察组举报，并积极配合调查，纠正违法，防止违法犯罪案件的发生。</w:t>
      </w:r>
    </w:p>
    <w:p>
      <w:pPr>
        <w:spacing w:line="360" w:lineRule="auto"/>
        <w:ind w:firstLine="480"/>
        <w:rPr>
          <w:rFonts w:ascii="宋体" w:hAnsi="宋体"/>
          <w:sz w:val="24"/>
          <w:highlight w:val="none"/>
        </w:rPr>
      </w:pPr>
      <w:r>
        <w:rPr>
          <w:rFonts w:hint="eastAsia" w:ascii="宋体" w:hAnsi="宋体"/>
          <w:sz w:val="24"/>
          <w:highlight w:val="none"/>
        </w:rPr>
        <w:t>四、如出现因行贿对方工程有关部门人员或弄虚作假等导致违法犯罪案件发生的，应主动接受有关部门的处理，并赔偿由此给相关方带来的实际损失。</w:t>
      </w:r>
    </w:p>
    <w:p>
      <w:pPr>
        <w:spacing w:line="360" w:lineRule="auto"/>
        <w:ind w:firstLine="480"/>
        <w:rPr>
          <w:rFonts w:ascii="宋体" w:hAnsi="宋体"/>
          <w:sz w:val="24"/>
          <w:highlight w:val="none"/>
        </w:rPr>
      </w:pPr>
      <w:r>
        <w:rPr>
          <w:rFonts w:hint="eastAsia" w:ascii="宋体" w:hAnsi="宋体"/>
          <w:sz w:val="24"/>
          <w:highlight w:val="none"/>
        </w:rPr>
        <w:t>五、在工程建设过程中，应主动接受项目预防小组人员在廉政方面的监督。</w:t>
      </w:r>
    </w:p>
    <w:p>
      <w:pPr>
        <w:spacing w:line="360" w:lineRule="auto"/>
        <w:ind w:firstLine="480"/>
        <w:rPr>
          <w:rFonts w:ascii="宋体" w:hAnsi="宋体"/>
          <w:sz w:val="24"/>
          <w:highlight w:val="none"/>
        </w:rPr>
      </w:pPr>
      <w:r>
        <w:rPr>
          <w:rFonts w:hint="eastAsia" w:ascii="宋体" w:hAnsi="宋体"/>
          <w:sz w:val="24"/>
          <w:highlight w:val="none"/>
        </w:rPr>
        <w:t>六、如果发现在工程建设过程中有索贿及为索贿故意刁难行为的，应如实向海珠区纪委监委第九派驻纪检监察组举报。</w:t>
      </w:r>
    </w:p>
    <w:p>
      <w:pPr>
        <w:spacing w:line="360" w:lineRule="auto"/>
        <w:ind w:firstLine="480"/>
        <w:rPr>
          <w:rFonts w:ascii="宋体" w:hAnsi="宋体"/>
          <w:sz w:val="24"/>
          <w:highlight w:val="none"/>
        </w:rPr>
      </w:pPr>
      <w:r>
        <w:rPr>
          <w:rFonts w:hint="eastAsia" w:ascii="宋体" w:hAnsi="宋体"/>
          <w:sz w:val="24"/>
          <w:highlight w:val="none"/>
        </w:rPr>
        <w:t>七、海珠区纪委监委第九派驻纪检监察组投诉电话：89088786。</w:t>
      </w:r>
    </w:p>
    <w:p>
      <w:pPr>
        <w:spacing w:line="360" w:lineRule="auto"/>
        <w:ind w:firstLine="480"/>
        <w:rPr>
          <w:rFonts w:ascii="宋体" w:hAnsi="宋体"/>
          <w:sz w:val="24"/>
          <w:highlight w:val="none"/>
        </w:rPr>
      </w:pPr>
    </w:p>
    <w:p>
      <w:pPr>
        <w:spacing w:line="360" w:lineRule="auto"/>
        <w:rPr>
          <w:rFonts w:ascii="宋体" w:hAnsi="宋体"/>
          <w:highlight w:val="none"/>
        </w:rPr>
      </w:pPr>
      <w:r>
        <w:rPr>
          <w:rFonts w:hint="eastAsia" w:ascii="宋体" w:hAnsi="宋体"/>
          <w:sz w:val="24"/>
          <w:highlight w:val="none"/>
        </w:rPr>
        <w:t>发包人名称：（盖章）广州市海珠区承包人名称：（盖章）</w:t>
      </w:r>
    </w:p>
    <w:p>
      <w:pPr>
        <w:spacing w:line="360" w:lineRule="auto"/>
        <w:ind w:firstLine="1680" w:firstLineChars="700"/>
        <w:jc w:val="left"/>
        <w:rPr>
          <w:rFonts w:ascii="宋体" w:hAnsi="宋体"/>
          <w:sz w:val="24"/>
          <w:highlight w:val="none"/>
        </w:rPr>
      </w:pPr>
      <w:r>
        <w:rPr>
          <w:rFonts w:hint="eastAsia" w:ascii="宋体" w:hAnsi="宋体"/>
          <w:sz w:val="24"/>
          <w:highlight w:val="none"/>
        </w:rPr>
        <w:t>河涌管理所</w:t>
      </w:r>
    </w:p>
    <w:p>
      <w:pPr>
        <w:spacing w:line="360" w:lineRule="auto"/>
        <w:ind w:firstLine="3120" w:firstLineChars="1300"/>
        <w:jc w:val="left"/>
        <w:rPr>
          <w:rFonts w:ascii="宋体" w:hAnsi="宋体"/>
          <w:sz w:val="24"/>
          <w:highlight w:val="none"/>
        </w:rPr>
      </w:pPr>
      <w:r>
        <w:rPr>
          <w:rFonts w:hint="eastAsia" w:ascii="宋体" w:hAnsi="宋体"/>
          <w:sz w:val="24"/>
          <w:highlight w:val="none"/>
        </w:rPr>
        <w:t xml:space="preserve">　                    </w:t>
      </w:r>
    </w:p>
    <w:p>
      <w:pPr>
        <w:jc w:val="left"/>
        <w:rPr>
          <w:rFonts w:ascii="宋体" w:hAnsi="宋体"/>
          <w:sz w:val="24"/>
          <w:highlight w:val="none"/>
        </w:rPr>
      </w:pPr>
      <w:r>
        <w:rPr>
          <w:rFonts w:hint="eastAsia" w:ascii="宋体" w:hAnsi="宋体"/>
          <w:sz w:val="24"/>
          <w:highlight w:val="none"/>
        </w:rPr>
        <w:t xml:space="preserve">　               </w:t>
      </w:r>
    </w:p>
    <w:p>
      <w:pPr>
        <w:spacing w:line="360" w:lineRule="auto"/>
        <w:rPr>
          <w:rFonts w:ascii="宋体" w:hAnsi="宋体"/>
          <w:sz w:val="24"/>
          <w:highlight w:val="none"/>
        </w:rPr>
      </w:pPr>
      <w:r>
        <w:rPr>
          <w:rFonts w:hint="eastAsia" w:ascii="宋体" w:hAnsi="宋体"/>
          <w:sz w:val="24"/>
          <w:highlight w:val="none"/>
        </w:rPr>
        <w:t>法定代表人：        　　　　              法定代表人：</w:t>
      </w:r>
    </w:p>
    <w:p>
      <w:pPr>
        <w:spacing w:line="360" w:lineRule="auto"/>
        <w:rPr>
          <w:rFonts w:ascii="宋体" w:hAnsi="宋体"/>
          <w:sz w:val="24"/>
          <w:highlight w:val="none"/>
        </w:rPr>
      </w:pPr>
    </w:p>
    <w:p>
      <w:pPr>
        <w:spacing w:line="360" w:lineRule="auto"/>
        <w:rPr>
          <w:rFonts w:ascii="宋体" w:hAnsi="宋体"/>
          <w:sz w:val="24"/>
          <w:highlight w:val="none"/>
        </w:rPr>
      </w:pPr>
      <w:r>
        <w:rPr>
          <w:rFonts w:hint="eastAsia" w:ascii="宋体" w:hAnsi="宋体"/>
          <w:sz w:val="24"/>
          <w:highlight w:val="none"/>
        </w:rPr>
        <w:t>项目负责人：       　　　　               项目负责人：</w:t>
      </w:r>
    </w:p>
    <w:p>
      <w:pPr>
        <w:pStyle w:val="35"/>
        <w:ind w:left="5250" w:firstLine="2880" w:firstLineChars="1200"/>
        <w:rPr>
          <w:rFonts w:ascii="宋体" w:hAnsi="宋体"/>
          <w:highlight w:val="none"/>
        </w:rPr>
      </w:pPr>
    </w:p>
    <w:p>
      <w:pPr>
        <w:rPr>
          <w:rFonts w:ascii="宋体" w:hAnsi="宋体"/>
          <w:highlight w:val="none"/>
        </w:rPr>
      </w:pPr>
    </w:p>
    <w:p>
      <w:pPr>
        <w:rPr>
          <w:rFonts w:ascii="宋体" w:hAnsi="宋体"/>
          <w:sz w:val="24"/>
          <w:highlight w:val="none"/>
        </w:rPr>
      </w:pPr>
      <w:r>
        <w:rPr>
          <w:rFonts w:hint="eastAsia" w:ascii="宋体" w:hAnsi="宋体"/>
          <w:sz w:val="24"/>
          <w:highlight w:val="none"/>
        </w:rPr>
        <w:t>日期：二○年月日                 日期：二○年月日</w:t>
      </w:r>
    </w:p>
    <w:p>
      <w:pPr>
        <w:spacing w:line="360" w:lineRule="auto"/>
        <w:rPr>
          <w:rFonts w:ascii="宋体" w:hAnsi="宋体" w:cs="宋体"/>
          <w:kern w:val="0"/>
          <w:szCs w:val="21"/>
          <w:highlight w:val="none"/>
        </w:rPr>
      </w:pPr>
    </w:p>
    <w:p>
      <w:pPr>
        <w:spacing w:line="360" w:lineRule="auto"/>
        <w:rPr>
          <w:rFonts w:ascii="宋体" w:hAnsi="宋体" w:cs="宋体"/>
          <w:kern w:val="0"/>
          <w:szCs w:val="21"/>
          <w:highlight w:val="none"/>
        </w:rPr>
      </w:pPr>
    </w:p>
    <w:p>
      <w:pPr>
        <w:pStyle w:val="2"/>
        <w:rPr>
          <w:highlight w:val="none"/>
        </w:rPr>
      </w:pPr>
    </w:p>
    <w:p>
      <w:pPr>
        <w:pStyle w:val="33"/>
        <w:spacing w:line="360" w:lineRule="auto"/>
        <w:rPr>
          <w:b/>
          <w:sz w:val="24"/>
          <w:highlight w:val="none"/>
        </w:rPr>
      </w:pPr>
      <w:r>
        <w:rPr>
          <w:rFonts w:hint="eastAsia" w:ascii="Times New Roman" w:hAnsi="Times New Roman"/>
          <w:b/>
          <w:sz w:val="24"/>
          <w:highlight w:val="none"/>
        </w:rPr>
        <w:t>附件</w:t>
      </w:r>
      <w:r>
        <w:rPr>
          <w:rFonts w:hint="eastAsia"/>
          <w:b/>
          <w:sz w:val="24"/>
          <w:highlight w:val="none"/>
        </w:rPr>
        <w:t>十三</w:t>
      </w:r>
      <w:r>
        <w:rPr>
          <w:rFonts w:hint="eastAsia" w:ascii="Times New Roman" w:hAnsi="Times New Roman"/>
          <w:b/>
          <w:sz w:val="24"/>
          <w:highlight w:val="none"/>
        </w:rPr>
        <w:t>：</w:t>
      </w:r>
      <w:r>
        <w:rPr>
          <w:b/>
          <w:sz w:val="24"/>
          <w:highlight w:val="none"/>
        </w:rPr>
        <w:t>质量管理违规行为分类标准</w:t>
      </w:r>
    </w:p>
    <w:tbl>
      <w:tblPr>
        <w:tblStyle w:val="63"/>
        <w:tblW w:w="5066" w:type="pct"/>
        <w:tblInd w:w="0" w:type="dxa"/>
        <w:tblLayout w:type="autofit"/>
        <w:tblCellMar>
          <w:top w:w="0" w:type="dxa"/>
          <w:left w:w="0" w:type="dxa"/>
          <w:bottom w:w="0" w:type="dxa"/>
          <w:right w:w="0" w:type="dxa"/>
        </w:tblCellMar>
      </w:tblPr>
      <w:tblGrid>
        <w:gridCol w:w="766"/>
        <w:gridCol w:w="7499"/>
        <w:gridCol w:w="856"/>
        <w:gridCol w:w="28"/>
        <w:gridCol w:w="16"/>
      </w:tblGrid>
      <w:tr>
        <w:tblPrEx>
          <w:tblCellMar>
            <w:top w:w="0" w:type="dxa"/>
            <w:left w:w="0" w:type="dxa"/>
            <w:bottom w:w="0" w:type="dxa"/>
            <w:right w:w="0" w:type="dxa"/>
          </w:tblCellMar>
        </w:tblPrEx>
        <w:trPr>
          <w:gridAfter w:val="1"/>
          <w:wAfter w:w="8" w:type="pct"/>
          <w:trHeight w:val="480" w:hRule="atLeast"/>
        </w:trPr>
        <w:tc>
          <w:tcPr>
            <w:tcW w:w="418" w:type="pct"/>
            <w:tcBorders>
              <w:top w:val="single" w:color="auto" w:sz="8" w:space="0"/>
              <w:left w:val="single" w:color="auto" w:sz="8" w:space="0"/>
              <w:bottom w:val="single" w:color="auto" w:sz="4" w:space="0"/>
              <w:right w:val="single" w:color="auto" w:sz="8" w:space="0"/>
            </w:tcBorders>
            <w:vAlign w:val="bottom"/>
          </w:tcPr>
          <w:p>
            <w:pPr>
              <w:spacing w:line="274" w:lineRule="exact"/>
              <w:jc w:val="center"/>
              <w:rPr>
                <w:sz w:val="20"/>
                <w:highlight w:val="none"/>
              </w:rPr>
            </w:pPr>
            <w:r>
              <w:rPr>
                <w:rFonts w:ascii="新宋体" w:hAnsi="新宋体" w:eastAsia="新宋体" w:cs="新宋体"/>
                <w:b/>
                <w:bCs/>
                <w:sz w:val="24"/>
                <w:highlight w:val="none"/>
              </w:rPr>
              <w:t>序号</w:t>
            </w:r>
          </w:p>
        </w:tc>
        <w:tc>
          <w:tcPr>
            <w:tcW w:w="4089" w:type="pct"/>
            <w:tcBorders>
              <w:top w:val="single" w:color="auto" w:sz="8" w:space="0"/>
              <w:bottom w:val="single" w:color="auto" w:sz="4" w:space="0"/>
              <w:right w:val="single" w:color="auto" w:sz="8" w:space="0"/>
            </w:tcBorders>
            <w:vAlign w:val="bottom"/>
          </w:tcPr>
          <w:p>
            <w:pPr>
              <w:spacing w:line="274" w:lineRule="exact"/>
              <w:ind w:left="2760"/>
              <w:rPr>
                <w:sz w:val="20"/>
                <w:highlight w:val="none"/>
              </w:rPr>
            </w:pPr>
            <w:r>
              <w:rPr>
                <w:rFonts w:ascii="新宋体" w:hAnsi="新宋体" w:eastAsia="新宋体" w:cs="新宋体"/>
                <w:b/>
                <w:bCs/>
                <w:sz w:val="24"/>
                <w:highlight w:val="none"/>
              </w:rPr>
              <w:t>质量管理违规行为</w:t>
            </w:r>
          </w:p>
        </w:tc>
        <w:tc>
          <w:tcPr>
            <w:tcW w:w="482" w:type="pct"/>
            <w:gridSpan w:val="2"/>
            <w:tcBorders>
              <w:top w:val="single" w:color="auto" w:sz="8" w:space="0"/>
              <w:bottom w:val="single" w:color="auto" w:sz="4" w:space="0"/>
              <w:right w:val="single" w:color="auto" w:sz="8" w:space="0"/>
            </w:tcBorders>
            <w:vAlign w:val="bottom"/>
          </w:tcPr>
          <w:p>
            <w:pPr>
              <w:spacing w:line="274" w:lineRule="exact"/>
              <w:jc w:val="center"/>
              <w:rPr>
                <w:sz w:val="20"/>
                <w:highlight w:val="none"/>
              </w:rPr>
            </w:pPr>
            <w:r>
              <w:rPr>
                <w:rFonts w:ascii="新宋体" w:hAnsi="新宋体" w:eastAsia="新宋体" w:cs="新宋体"/>
                <w:b/>
                <w:bCs/>
                <w:w w:val="99"/>
                <w:sz w:val="24"/>
                <w:highlight w:val="none"/>
              </w:rPr>
              <w:t>分类</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（一）</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质量保证体系</w:t>
            </w:r>
          </w:p>
        </w:tc>
        <w:tc>
          <w:tcPr>
            <w:tcW w:w="482" w:type="pct"/>
            <w:gridSpan w:val="2"/>
            <w:tcBorders>
              <w:top w:val="single" w:color="auto" w:sz="4" w:space="0"/>
              <w:bottom w:val="single" w:color="auto" w:sz="4" w:space="0"/>
              <w:right w:val="single" w:color="auto" w:sz="8" w:space="0"/>
            </w:tcBorders>
            <w:vAlign w:val="bottom"/>
          </w:tcPr>
          <w:p>
            <w:pPr>
              <w:rPr>
                <w:sz w:val="24"/>
                <w:highlight w:val="none"/>
              </w:rPr>
            </w:pP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未制定质量目标和保证措施</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制定的质量目标和保证措施内容不全，目标或措施不明确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质量目标未宣贯</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一般</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未行文建立专门的质量管理机构</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质量管理机构不健全，不满足需要</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质量管理制度不完善</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未配备专职的质量管理人员</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配置的专职质量管理人员不满足相关规定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9</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主要管理人员驻工地时间不满足合同要求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主要管理人员变更未履行变更审批手续</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变更的主要管理人员不满足合同相关条款规定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405"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特殊工种、关键岗位作业人员未做到持证上岗或配备不满足施工要求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专职质检人员、试验检测人员和测量人员配备不满足施工需要</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质检人员、试验检测人员和测量人员不具备专业工作能力</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15</w:t>
            </w:r>
          </w:p>
        </w:tc>
        <w:tc>
          <w:tcPr>
            <w:tcW w:w="4089" w:type="pct"/>
            <w:tcBorders>
              <w:top w:val="single" w:color="auto" w:sz="4" w:space="0"/>
              <w:bottom w:val="single" w:color="auto" w:sz="4" w:space="0"/>
              <w:right w:val="single" w:color="auto" w:sz="8" w:space="0"/>
            </w:tcBorders>
            <w:vAlign w:val="bottom"/>
          </w:tcPr>
          <w:p>
            <w:pPr>
              <w:spacing w:line="300" w:lineRule="exact"/>
              <w:ind w:left="20"/>
              <w:rPr>
                <w:sz w:val="20"/>
                <w:highlight w:val="none"/>
              </w:rPr>
            </w:pPr>
            <w:r>
              <w:rPr>
                <w:rFonts w:ascii="新宋体" w:hAnsi="新宋体" w:eastAsia="新宋体" w:cs="新宋体"/>
                <w:sz w:val="23"/>
                <w:szCs w:val="23"/>
                <w:highlight w:val="none"/>
              </w:rPr>
              <w:t>质量检查验收</w:t>
            </w:r>
            <w:r>
              <w:rPr>
                <w:rFonts w:ascii="Courier New" w:hAnsi="Courier New" w:eastAsia="Courier New" w:cs="Courier New"/>
                <w:sz w:val="23"/>
                <w:szCs w:val="23"/>
                <w:highlight w:val="none"/>
              </w:rPr>
              <w:t>“</w:t>
            </w:r>
            <w:r>
              <w:rPr>
                <w:rFonts w:ascii="新宋体" w:hAnsi="新宋体" w:eastAsia="新宋体" w:cs="新宋体"/>
                <w:sz w:val="23"/>
                <w:szCs w:val="23"/>
                <w:highlight w:val="none"/>
              </w:rPr>
              <w:t>三检制</w:t>
            </w:r>
            <w:r>
              <w:rPr>
                <w:rFonts w:ascii="Courier New" w:hAnsi="Courier New" w:eastAsia="Courier New" w:cs="Courier New"/>
                <w:sz w:val="23"/>
                <w:szCs w:val="23"/>
                <w:highlight w:val="none"/>
              </w:rPr>
              <w:t>”</w:t>
            </w:r>
            <w:r>
              <w:rPr>
                <w:rFonts w:ascii="新宋体" w:hAnsi="新宋体" w:eastAsia="新宋体" w:cs="新宋体"/>
                <w:sz w:val="23"/>
                <w:szCs w:val="23"/>
                <w:highlight w:val="none"/>
              </w:rPr>
              <w:t>人员不落实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448"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质量管理责任不落实，未与下属作业队和职能部门签订工程质量责任书</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有质量责任书，但质量责任不明确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未建立具体的奖惩制度或有制度未严格执行</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19</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未行文建立工程质量岗位责任制或责任制不落实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未按质量管理制度规定定期召开工程质量例会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（二）</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施工准备工作</w:t>
            </w:r>
          </w:p>
        </w:tc>
        <w:tc>
          <w:tcPr>
            <w:tcW w:w="482" w:type="pct"/>
            <w:gridSpan w:val="2"/>
            <w:tcBorders>
              <w:top w:val="single" w:color="auto" w:sz="4" w:space="0"/>
              <w:bottom w:val="single" w:color="auto" w:sz="4" w:space="0"/>
              <w:right w:val="single" w:color="auto" w:sz="8" w:space="0"/>
            </w:tcBorders>
            <w:vAlign w:val="bottom"/>
          </w:tcPr>
          <w:p>
            <w:pPr>
              <w:rPr>
                <w:sz w:val="24"/>
                <w:highlight w:val="none"/>
              </w:rPr>
            </w:pP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施工组织设计、施工方案及措施计划等未经审批，擅自组织施工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未编制施工作业指导书</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施工作业指导书针对性、实用性差或不满足施工技术要求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未编制危险性较大工程专项施工方案</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施工图未会检或未形成检查记录</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trHeight w:val="346" w:hRule="atLeast"/>
        </w:trPr>
        <w:tc>
          <w:tcPr>
            <w:tcW w:w="418" w:type="pct"/>
            <w:tcBorders>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26</w:t>
            </w:r>
          </w:p>
        </w:tc>
        <w:tc>
          <w:tcPr>
            <w:tcW w:w="4089" w:type="pct"/>
            <w:tcBorders>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无施工图纸施工或按照草图施工</w:t>
            </w:r>
          </w:p>
        </w:tc>
        <w:tc>
          <w:tcPr>
            <w:tcW w:w="482" w:type="pct"/>
            <w:gridSpan w:val="2"/>
            <w:tcBorders>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11" w:hRule="atLeast"/>
        </w:trPr>
        <w:tc>
          <w:tcPr>
            <w:tcW w:w="418" w:type="pct"/>
            <w:vMerge w:val="restart"/>
            <w:tcBorders>
              <w:top w:val="single" w:color="auto" w:sz="4" w:space="0"/>
              <w:left w:val="single" w:color="auto" w:sz="8"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27</w:t>
            </w:r>
          </w:p>
        </w:tc>
        <w:tc>
          <w:tcPr>
            <w:tcW w:w="4089" w:type="pct"/>
            <w:tcBorders>
              <w:top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未按规定对技术管理人员、作业队和施工班组作业人员逐级进行技术交底</w:t>
            </w:r>
          </w:p>
        </w:tc>
        <w:tc>
          <w:tcPr>
            <w:tcW w:w="482" w:type="pct"/>
            <w:gridSpan w:val="2"/>
            <w:vMerge w:val="restart"/>
            <w:tcBorders>
              <w:top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90" w:hRule="atLeast"/>
        </w:trPr>
        <w:tc>
          <w:tcPr>
            <w:tcW w:w="418" w:type="pct"/>
            <w:vMerge w:val="continue"/>
            <w:tcBorders>
              <w:left w:val="single" w:color="auto" w:sz="8" w:space="0"/>
              <w:right w:val="single" w:color="auto" w:sz="8" w:space="0"/>
            </w:tcBorders>
            <w:vAlign w:val="bottom"/>
          </w:tcPr>
          <w:p>
            <w:pPr>
              <w:rPr>
                <w:sz w:val="11"/>
                <w:szCs w:val="11"/>
                <w:highlight w:val="none"/>
              </w:rPr>
            </w:pPr>
          </w:p>
        </w:tc>
        <w:tc>
          <w:tcPr>
            <w:tcW w:w="4089" w:type="pct"/>
            <w:vMerge w:val="restart"/>
            <w:tcBorders>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或交底内容不满足施工要求</w:t>
            </w:r>
          </w:p>
        </w:tc>
        <w:tc>
          <w:tcPr>
            <w:tcW w:w="482" w:type="pct"/>
            <w:gridSpan w:val="2"/>
            <w:vMerge w:val="continue"/>
            <w:tcBorders>
              <w:right w:val="single" w:color="auto" w:sz="8" w:space="0"/>
            </w:tcBorders>
            <w:vAlign w:val="bottom"/>
          </w:tcPr>
          <w:p>
            <w:pPr>
              <w:rPr>
                <w:sz w:val="11"/>
                <w:szCs w:val="11"/>
                <w:highlight w:val="none"/>
              </w:rPr>
            </w:pPr>
          </w:p>
        </w:tc>
        <w:tc>
          <w:tcPr>
            <w:tcW w:w="8" w:type="pct"/>
            <w:vAlign w:val="bottom"/>
          </w:tcPr>
          <w:p>
            <w:pPr>
              <w:rPr>
                <w:sz w:val="1"/>
                <w:szCs w:val="1"/>
                <w:highlight w:val="none"/>
              </w:rPr>
            </w:pPr>
          </w:p>
        </w:tc>
      </w:tr>
      <w:tr>
        <w:tblPrEx>
          <w:tblCellMar>
            <w:top w:w="0" w:type="dxa"/>
            <w:left w:w="0" w:type="dxa"/>
            <w:bottom w:w="0" w:type="dxa"/>
            <w:right w:w="0" w:type="dxa"/>
          </w:tblCellMar>
        </w:tblPrEx>
        <w:trPr>
          <w:trHeight w:val="137" w:hRule="atLeast"/>
        </w:trPr>
        <w:tc>
          <w:tcPr>
            <w:tcW w:w="418" w:type="pct"/>
            <w:tcBorders>
              <w:left w:val="single" w:color="auto" w:sz="8" w:space="0"/>
              <w:bottom w:val="single" w:color="auto" w:sz="4" w:space="0"/>
              <w:right w:val="single" w:color="auto" w:sz="8" w:space="0"/>
            </w:tcBorders>
            <w:vAlign w:val="bottom"/>
          </w:tcPr>
          <w:p>
            <w:pPr>
              <w:rPr>
                <w:sz w:val="11"/>
                <w:szCs w:val="11"/>
                <w:highlight w:val="none"/>
              </w:rPr>
            </w:pPr>
          </w:p>
        </w:tc>
        <w:tc>
          <w:tcPr>
            <w:tcW w:w="4089" w:type="pct"/>
            <w:vMerge w:val="continue"/>
            <w:tcBorders>
              <w:bottom w:val="single" w:color="auto" w:sz="4" w:space="0"/>
              <w:right w:val="single" w:color="auto" w:sz="8" w:space="0"/>
            </w:tcBorders>
            <w:vAlign w:val="bottom"/>
          </w:tcPr>
          <w:p>
            <w:pPr>
              <w:rPr>
                <w:sz w:val="11"/>
                <w:szCs w:val="11"/>
                <w:highlight w:val="none"/>
              </w:rPr>
            </w:pPr>
          </w:p>
        </w:tc>
        <w:tc>
          <w:tcPr>
            <w:tcW w:w="482" w:type="pct"/>
            <w:gridSpan w:val="2"/>
            <w:tcBorders>
              <w:bottom w:val="single" w:color="auto" w:sz="4" w:space="0"/>
              <w:right w:val="single" w:color="auto" w:sz="8" w:space="0"/>
            </w:tcBorders>
            <w:vAlign w:val="bottom"/>
          </w:tcPr>
          <w:p>
            <w:pPr>
              <w:rPr>
                <w:sz w:val="11"/>
                <w:szCs w:val="11"/>
                <w:highlight w:val="none"/>
              </w:rPr>
            </w:pPr>
          </w:p>
        </w:tc>
        <w:tc>
          <w:tcPr>
            <w:tcW w:w="8" w:type="pct"/>
            <w:tcBorders>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未按规范规定和合同要求进行施工工艺试验或生产性试验即开始施工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29</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施工工艺试验或生产性试验不满足要求即开始施工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合同项目、单位工程及分部工程开工申请所附资料不全</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未经批准擅自施工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未按合同要求进行地质复勘</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未按规定和合同要求进行料场复勘</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料场分区规划不规范，最大干密度取值不具有代表性</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机械设备配备不满足施工要求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机械设备进场报验不及时或报验资料不全或未报验就投入施工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测量仪器、设备仪表等未按规定进行检定或校准</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涉及施工质量控制的各类仪器、仪表等设备损坏，不满足施工要求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（三）</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施工质量保证</w:t>
            </w:r>
          </w:p>
        </w:tc>
        <w:tc>
          <w:tcPr>
            <w:tcW w:w="482" w:type="pct"/>
            <w:gridSpan w:val="2"/>
            <w:tcBorders>
              <w:top w:val="single" w:color="auto" w:sz="4" w:space="0"/>
              <w:bottom w:val="single" w:color="auto" w:sz="4" w:space="0"/>
              <w:right w:val="single" w:color="auto" w:sz="8" w:space="0"/>
            </w:tcBorders>
            <w:vAlign w:val="bottom"/>
          </w:tcPr>
          <w:p>
            <w:pPr>
              <w:rPr>
                <w:sz w:val="24"/>
                <w:highlight w:val="none"/>
              </w:rPr>
            </w:pP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6"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39</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未经监理批准擅自变更施工方案</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7"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未按工程设计图纸、技术标准及相关规范施工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11" w:hRule="atLeast"/>
        </w:trPr>
        <w:tc>
          <w:tcPr>
            <w:tcW w:w="418" w:type="pct"/>
            <w:vMerge w:val="restart"/>
            <w:tcBorders>
              <w:top w:val="single" w:color="auto" w:sz="4" w:space="0"/>
              <w:left w:val="single" w:color="auto" w:sz="8"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41</w:t>
            </w:r>
          </w:p>
        </w:tc>
        <w:tc>
          <w:tcPr>
            <w:tcW w:w="4089" w:type="pct"/>
            <w:vMerge w:val="restart"/>
            <w:tcBorders>
              <w:top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原材料、中间产品未按规程规范要求进行进场检验（测）、验收，即用于工程</w:t>
            </w:r>
          </w:p>
        </w:tc>
        <w:tc>
          <w:tcPr>
            <w:tcW w:w="482" w:type="pct"/>
            <w:gridSpan w:val="2"/>
            <w:vMerge w:val="restart"/>
            <w:tcBorders>
              <w:top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137" w:hRule="atLeast"/>
        </w:trPr>
        <w:tc>
          <w:tcPr>
            <w:tcW w:w="418" w:type="pct"/>
            <w:vMerge w:val="continue"/>
            <w:tcBorders>
              <w:left w:val="single" w:color="auto" w:sz="8" w:space="0"/>
              <w:right w:val="single" w:color="auto" w:sz="8" w:space="0"/>
            </w:tcBorders>
            <w:vAlign w:val="bottom"/>
          </w:tcPr>
          <w:p>
            <w:pPr>
              <w:rPr>
                <w:sz w:val="11"/>
                <w:szCs w:val="11"/>
                <w:highlight w:val="none"/>
              </w:rPr>
            </w:pPr>
          </w:p>
        </w:tc>
        <w:tc>
          <w:tcPr>
            <w:tcW w:w="4089" w:type="pct"/>
            <w:vMerge w:val="continue"/>
            <w:tcBorders>
              <w:right w:val="single" w:color="auto" w:sz="8" w:space="0"/>
            </w:tcBorders>
            <w:vAlign w:val="bottom"/>
          </w:tcPr>
          <w:p>
            <w:pPr>
              <w:spacing w:line="263" w:lineRule="exact"/>
              <w:ind w:left="20"/>
              <w:rPr>
                <w:sz w:val="20"/>
                <w:highlight w:val="none"/>
              </w:rPr>
            </w:pPr>
          </w:p>
        </w:tc>
        <w:tc>
          <w:tcPr>
            <w:tcW w:w="482" w:type="pct"/>
            <w:gridSpan w:val="2"/>
            <w:vMerge w:val="continue"/>
            <w:tcBorders>
              <w:right w:val="single" w:color="auto" w:sz="8" w:space="0"/>
            </w:tcBorders>
            <w:vAlign w:val="bottom"/>
          </w:tcPr>
          <w:p>
            <w:pPr>
              <w:rPr>
                <w:sz w:val="11"/>
                <w:szCs w:val="11"/>
                <w:highlight w:val="none"/>
              </w:rPr>
            </w:pPr>
          </w:p>
        </w:tc>
        <w:tc>
          <w:tcPr>
            <w:tcW w:w="8" w:type="pct"/>
            <w:vAlign w:val="bottom"/>
          </w:tcPr>
          <w:p>
            <w:pPr>
              <w:rPr>
                <w:sz w:val="1"/>
                <w:szCs w:val="1"/>
                <w:highlight w:val="none"/>
              </w:rPr>
            </w:pPr>
          </w:p>
        </w:tc>
      </w:tr>
      <w:tr>
        <w:tblPrEx>
          <w:tblCellMar>
            <w:top w:w="0" w:type="dxa"/>
            <w:left w:w="0" w:type="dxa"/>
            <w:bottom w:w="0" w:type="dxa"/>
            <w:right w:w="0" w:type="dxa"/>
          </w:tblCellMar>
        </w:tblPrEx>
        <w:trPr>
          <w:trHeight w:val="311" w:hRule="atLeast"/>
        </w:trPr>
        <w:tc>
          <w:tcPr>
            <w:tcW w:w="418" w:type="pct"/>
            <w:vMerge w:val="restart"/>
            <w:tcBorders>
              <w:top w:val="single" w:color="auto" w:sz="4" w:space="0"/>
              <w:left w:val="single" w:color="auto" w:sz="8"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42</w:t>
            </w:r>
          </w:p>
        </w:tc>
        <w:tc>
          <w:tcPr>
            <w:tcW w:w="4089" w:type="pct"/>
            <w:vMerge w:val="restart"/>
            <w:tcBorders>
              <w:top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预应力锚具、夹具、波纹管及橡胶支座未进行检验或检验资料不全，即用于工程</w:t>
            </w:r>
          </w:p>
        </w:tc>
        <w:tc>
          <w:tcPr>
            <w:tcW w:w="482" w:type="pct"/>
            <w:gridSpan w:val="2"/>
            <w:vMerge w:val="restart"/>
            <w:tcBorders>
              <w:top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137" w:hRule="atLeast"/>
        </w:trPr>
        <w:tc>
          <w:tcPr>
            <w:tcW w:w="418" w:type="pct"/>
            <w:vMerge w:val="continue"/>
            <w:tcBorders>
              <w:left w:val="single" w:color="auto" w:sz="8" w:space="0"/>
              <w:bottom w:val="single" w:color="auto" w:sz="4" w:space="0"/>
              <w:right w:val="single" w:color="auto" w:sz="8" w:space="0"/>
            </w:tcBorders>
            <w:vAlign w:val="bottom"/>
          </w:tcPr>
          <w:p>
            <w:pPr>
              <w:rPr>
                <w:sz w:val="11"/>
                <w:szCs w:val="11"/>
                <w:highlight w:val="none"/>
              </w:rPr>
            </w:pPr>
          </w:p>
        </w:tc>
        <w:tc>
          <w:tcPr>
            <w:tcW w:w="4089" w:type="pct"/>
            <w:vMerge w:val="continue"/>
            <w:tcBorders>
              <w:bottom w:val="single" w:color="auto" w:sz="4" w:space="0"/>
              <w:right w:val="single" w:color="auto" w:sz="8" w:space="0"/>
            </w:tcBorders>
            <w:vAlign w:val="bottom"/>
          </w:tcPr>
          <w:p>
            <w:pPr>
              <w:spacing w:line="263" w:lineRule="exact"/>
              <w:rPr>
                <w:sz w:val="20"/>
                <w:highlight w:val="none"/>
              </w:rPr>
            </w:pPr>
          </w:p>
        </w:tc>
        <w:tc>
          <w:tcPr>
            <w:tcW w:w="482" w:type="pct"/>
            <w:gridSpan w:val="2"/>
            <w:vMerge w:val="continue"/>
            <w:tcBorders>
              <w:bottom w:val="single" w:color="auto" w:sz="4" w:space="0"/>
              <w:right w:val="single" w:color="auto" w:sz="8" w:space="0"/>
            </w:tcBorders>
            <w:vAlign w:val="bottom"/>
          </w:tcPr>
          <w:p>
            <w:pPr>
              <w:rPr>
                <w:sz w:val="11"/>
                <w:szCs w:val="11"/>
                <w:highlight w:val="none"/>
              </w:rPr>
            </w:pPr>
          </w:p>
        </w:tc>
        <w:tc>
          <w:tcPr>
            <w:tcW w:w="8" w:type="pct"/>
            <w:tcBorders>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进场验收记录和相关资料不完整或填写错误</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原材料、中间产品检测项目和频次不符合规范要求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在施工中使用未经检验或检验不合格的原材料、构配件、设备</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送检试样弄虚作假</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未按规定进行见证取样检测</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对重要隐蔽（关键部位）单元工程没有进行见证质量检测</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448" w:hRule="atLeast"/>
        </w:trPr>
        <w:tc>
          <w:tcPr>
            <w:tcW w:w="0" w:type="auto"/>
            <w:tcBorders>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49</w:t>
            </w:r>
          </w:p>
        </w:tc>
        <w:tc>
          <w:tcPr>
            <w:tcW w:w="4089" w:type="pct"/>
            <w:tcBorders>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混凝土、砂浆、灌浆浆液、水泥改性土等配合比设计不符合规程规范要求</w:t>
            </w:r>
          </w:p>
        </w:tc>
        <w:tc>
          <w:tcPr>
            <w:tcW w:w="482" w:type="pct"/>
            <w:gridSpan w:val="2"/>
            <w:tcBorders>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50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混凝土、砂浆配料通知单材料用量计算错误</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51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混凝土、砂浆配料单未经监理审核即使用</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419"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52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混凝土、砂浆、改性土等生产拌合、运输过程不满足规范或施工技术要求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24" w:hRule="atLeast"/>
        </w:trPr>
        <w:tc>
          <w:tcPr>
            <w:tcW w:w="0" w:type="auto"/>
            <w:vMerge w:val="restart"/>
            <w:tcBorders>
              <w:top w:val="single" w:color="auto" w:sz="4" w:space="0"/>
              <w:left w:val="single" w:color="auto" w:sz="8"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53</w:t>
            </w:r>
          </w:p>
        </w:tc>
        <w:tc>
          <w:tcPr>
            <w:tcW w:w="4089" w:type="pct"/>
            <w:vMerge w:val="restart"/>
            <w:tcBorders>
              <w:top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混凝土浇筑、灌浆、改性土换填等工作中操作不规范，不满足规范或施工技术要求</w:t>
            </w:r>
          </w:p>
        </w:tc>
        <w:tc>
          <w:tcPr>
            <w:tcW w:w="482" w:type="pct"/>
            <w:gridSpan w:val="2"/>
            <w:vMerge w:val="restart"/>
            <w:tcBorders>
              <w:top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138" w:hRule="atLeast"/>
        </w:trPr>
        <w:tc>
          <w:tcPr>
            <w:tcW w:w="0" w:type="auto"/>
            <w:vMerge w:val="continue"/>
            <w:tcBorders>
              <w:left w:val="single" w:color="auto" w:sz="8" w:space="0"/>
              <w:right w:val="single" w:color="auto" w:sz="8" w:space="0"/>
            </w:tcBorders>
            <w:vAlign w:val="bottom"/>
          </w:tcPr>
          <w:p>
            <w:pPr>
              <w:rPr>
                <w:sz w:val="12"/>
                <w:szCs w:val="12"/>
                <w:highlight w:val="none"/>
              </w:rPr>
            </w:pPr>
          </w:p>
        </w:tc>
        <w:tc>
          <w:tcPr>
            <w:tcW w:w="4089" w:type="pct"/>
            <w:vMerge w:val="continue"/>
            <w:tcBorders>
              <w:right w:val="single" w:color="auto" w:sz="8" w:space="0"/>
            </w:tcBorders>
            <w:vAlign w:val="bottom"/>
          </w:tcPr>
          <w:p>
            <w:pPr>
              <w:spacing w:line="263" w:lineRule="exact"/>
              <w:ind w:left="20"/>
              <w:rPr>
                <w:sz w:val="20"/>
                <w:highlight w:val="none"/>
              </w:rPr>
            </w:pPr>
          </w:p>
        </w:tc>
        <w:tc>
          <w:tcPr>
            <w:tcW w:w="482" w:type="pct"/>
            <w:gridSpan w:val="2"/>
            <w:vMerge w:val="continue"/>
            <w:tcBorders>
              <w:right w:val="single" w:color="auto" w:sz="8" w:space="0"/>
            </w:tcBorders>
            <w:vAlign w:val="bottom"/>
          </w:tcPr>
          <w:p>
            <w:pPr>
              <w:rPr>
                <w:sz w:val="12"/>
                <w:szCs w:val="12"/>
                <w:highlight w:val="none"/>
              </w:rPr>
            </w:pPr>
          </w:p>
        </w:tc>
        <w:tc>
          <w:tcPr>
            <w:tcW w:w="8" w:type="pct"/>
            <w:vAlign w:val="bottom"/>
          </w:tcPr>
          <w:p>
            <w:pPr>
              <w:rPr>
                <w:sz w:val="1"/>
                <w:szCs w:val="1"/>
                <w:highlight w:val="none"/>
              </w:rPr>
            </w:pPr>
          </w:p>
        </w:tc>
      </w:tr>
      <w:tr>
        <w:tblPrEx>
          <w:tblCellMar>
            <w:top w:w="0" w:type="dxa"/>
            <w:left w:w="0" w:type="dxa"/>
            <w:bottom w:w="0" w:type="dxa"/>
            <w:right w:w="0" w:type="dxa"/>
          </w:tblCellMar>
        </w:tblPrEx>
        <w:trPr>
          <w:trHeight w:val="76" w:hRule="atLeast"/>
        </w:trPr>
        <w:tc>
          <w:tcPr>
            <w:tcW w:w="0" w:type="auto"/>
            <w:tcBorders>
              <w:left w:val="single" w:color="auto" w:sz="8" w:space="0"/>
              <w:bottom w:val="single" w:color="auto" w:sz="8" w:space="0"/>
              <w:right w:val="single" w:color="auto" w:sz="8" w:space="0"/>
            </w:tcBorders>
            <w:vAlign w:val="bottom"/>
          </w:tcPr>
          <w:p>
            <w:pPr>
              <w:rPr>
                <w:sz w:val="6"/>
                <w:szCs w:val="6"/>
                <w:highlight w:val="none"/>
              </w:rPr>
            </w:pPr>
          </w:p>
        </w:tc>
        <w:tc>
          <w:tcPr>
            <w:tcW w:w="4089" w:type="pct"/>
            <w:vMerge w:val="continue"/>
            <w:tcBorders>
              <w:bottom w:val="single" w:color="auto" w:sz="8" w:space="0"/>
              <w:right w:val="single" w:color="auto" w:sz="8" w:space="0"/>
            </w:tcBorders>
            <w:vAlign w:val="bottom"/>
          </w:tcPr>
          <w:p>
            <w:pPr>
              <w:rPr>
                <w:sz w:val="6"/>
                <w:szCs w:val="6"/>
                <w:highlight w:val="none"/>
              </w:rPr>
            </w:pPr>
          </w:p>
        </w:tc>
        <w:tc>
          <w:tcPr>
            <w:tcW w:w="482" w:type="pct"/>
            <w:gridSpan w:val="2"/>
            <w:tcBorders>
              <w:bottom w:val="single" w:color="auto" w:sz="8" w:space="0"/>
              <w:right w:val="single" w:color="auto" w:sz="8" w:space="0"/>
            </w:tcBorders>
            <w:vAlign w:val="bottom"/>
          </w:tcPr>
          <w:p>
            <w:pPr>
              <w:rPr>
                <w:sz w:val="6"/>
                <w:szCs w:val="6"/>
                <w:highlight w:val="none"/>
              </w:rPr>
            </w:pPr>
          </w:p>
        </w:tc>
        <w:tc>
          <w:tcPr>
            <w:tcW w:w="8" w:type="pct"/>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0" w:type="auto"/>
            <w:tcBorders>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54</w:t>
            </w:r>
          </w:p>
        </w:tc>
        <w:tc>
          <w:tcPr>
            <w:tcW w:w="4089" w:type="pct"/>
            <w:tcBorders>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没有拆模记录</w:t>
            </w:r>
          </w:p>
        </w:tc>
        <w:tc>
          <w:tcPr>
            <w:tcW w:w="482" w:type="pct"/>
            <w:gridSpan w:val="2"/>
            <w:tcBorders>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一般</w:t>
            </w:r>
          </w:p>
        </w:tc>
        <w:tc>
          <w:tcPr>
            <w:tcW w:w="8" w:type="pct"/>
            <w:tcBorders>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24" w:hRule="atLeast"/>
        </w:trPr>
        <w:tc>
          <w:tcPr>
            <w:tcW w:w="0" w:type="auto"/>
            <w:vMerge w:val="restart"/>
            <w:tcBorders>
              <w:top w:val="single" w:color="auto" w:sz="4" w:space="0"/>
              <w:left w:val="single" w:color="auto" w:sz="8"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55</w:t>
            </w:r>
          </w:p>
        </w:tc>
        <w:tc>
          <w:tcPr>
            <w:tcW w:w="4089" w:type="pct"/>
            <w:tcBorders>
              <w:top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混凝土、浆砌石、改性土、土方填筑等施工养护措施不符合规程规范要</w:t>
            </w:r>
          </w:p>
        </w:tc>
        <w:tc>
          <w:tcPr>
            <w:tcW w:w="482" w:type="pct"/>
            <w:gridSpan w:val="2"/>
            <w:vMerge w:val="restart"/>
            <w:tcBorders>
              <w:top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138" w:hRule="atLeast"/>
        </w:trPr>
        <w:tc>
          <w:tcPr>
            <w:tcW w:w="0" w:type="auto"/>
            <w:vMerge w:val="continue"/>
            <w:tcBorders>
              <w:left w:val="single" w:color="auto" w:sz="8" w:space="0"/>
              <w:bottom w:val="single" w:color="auto" w:sz="4" w:space="0"/>
              <w:right w:val="single" w:color="auto" w:sz="8" w:space="0"/>
            </w:tcBorders>
            <w:vAlign w:val="bottom"/>
          </w:tcPr>
          <w:p>
            <w:pPr>
              <w:rPr>
                <w:sz w:val="12"/>
                <w:szCs w:val="12"/>
                <w:highlight w:val="none"/>
              </w:rPr>
            </w:pPr>
          </w:p>
        </w:tc>
        <w:tc>
          <w:tcPr>
            <w:tcW w:w="4089" w:type="pct"/>
            <w:tcBorders>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求，或养护记录不全</w:t>
            </w:r>
          </w:p>
        </w:tc>
        <w:tc>
          <w:tcPr>
            <w:tcW w:w="482" w:type="pct"/>
            <w:gridSpan w:val="2"/>
            <w:vMerge w:val="continue"/>
            <w:tcBorders>
              <w:bottom w:val="single" w:color="auto" w:sz="4" w:space="0"/>
              <w:right w:val="single" w:color="auto" w:sz="8" w:space="0"/>
            </w:tcBorders>
            <w:vAlign w:val="bottom"/>
          </w:tcPr>
          <w:p>
            <w:pPr>
              <w:rPr>
                <w:sz w:val="12"/>
                <w:szCs w:val="12"/>
                <w:highlight w:val="none"/>
              </w:rPr>
            </w:pPr>
          </w:p>
        </w:tc>
        <w:tc>
          <w:tcPr>
            <w:tcW w:w="8" w:type="pct"/>
            <w:tcBorders>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454"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56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混凝土和砂浆抗压强度、抗冻、抗渗检验（检测）频次不符合规范要求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454"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57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土石方填筑压实度检测频次不符合规范要求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455"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58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土石方填筑击实试验最大干密度取值不准确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26" w:hRule="atLeast"/>
        </w:trPr>
        <w:tc>
          <w:tcPr>
            <w:tcW w:w="0" w:type="auto"/>
            <w:vMerge w:val="restart"/>
            <w:tcBorders>
              <w:top w:val="single" w:color="auto" w:sz="4" w:space="0"/>
              <w:left w:val="single" w:color="auto" w:sz="8"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59</w:t>
            </w:r>
          </w:p>
        </w:tc>
        <w:tc>
          <w:tcPr>
            <w:tcW w:w="4089" w:type="pct"/>
            <w:tcBorders>
              <w:top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检验、检测结果未按规定上报监理审核即用于工程，或检验、检测结果不</w:t>
            </w:r>
          </w:p>
        </w:tc>
        <w:tc>
          <w:tcPr>
            <w:tcW w:w="482" w:type="pct"/>
            <w:gridSpan w:val="2"/>
            <w:vMerge w:val="restart"/>
            <w:tcBorders>
              <w:top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137" w:hRule="atLeast"/>
        </w:trPr>
        <w:tc>
          <w:tcPr>
            <w:tcW w:w="0" w:type="auto"/>
            <w:vMerge w:val="continue"/>
            <w:tcBorders>
              <w:left w:val="single" w:color="auto" w:sz="8" w:space="0"/>
              <w:right w:val="single" w:color="auto" w:sz="8" w:space="0"/>
            </w:tcBorders>
            <w:vAlign w:val="bottom"/>
          </w:tcPr>
          <w:p>
            <w:pPr>
              <w:rPr>
                <w:sz w:val="11"/>
                <w:szCs w:val="11"/>
                <w:highlight w:val="none"/>
              </w:rPr>
            </w:pPr>
          </w:p>
        </w:tc>
        <w:tc>
          <w:tcPr>
            <w:tcW w:w="4089" w:type="pct"/>
            <w:vMerge w:val="restart"/>
            <w:tcBorders>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真实，弄虚作假</w:t>
            </w:r>
          </w:p>
        </w:tc>
        <w:tc>
          <w:tcPr>
            <w:tcW w:w="482" w:type="pct"/>
            <w:gridSpan w:val="2"/>
            <w:vMerge w:val="continue"/>
            <w:tcBorders>
              <w:right w:val="single" w:color="auto" w:sz="8" w:space="0"/>
            </w:tcBorders>
            <w:vAlign w:val="bottom"/>
          </w:tcPr>
          <w:p>
            <w:pPr>
              <w:rPr>
                <w:sz w:val="11"/>
                <w:szCs w:val="11"/>
                <w:highlight w:val="none"/>
              </w:rPr>
            </w:pPr>
          </w:p>
        </w:tc>
        <w:tc>
          <w:tcPr>
            <w:tcW w:w="8" w:type="pct"/>
            <w:vAlign w:val="bottom"/>
          </w:tcPr>
          <w:p>
            <w:pPr>
              <w:rPr>
                <w:sz w:val="1"/>
                <w:szCs w:val="1"/>
                <w:highlight w:val="none"/>
              </w:rPr>
            </w:pPr>
          </w:p>
        </w:tc>
      </w:tr>
      <w:tr>
        <w:tblPrEx>
          <w:tblCellMar>
            <w:top w:w="0" w:type="dxa"/>
            <w:left w:w="0" w:type="dxa"/>
            <w:bottom w:w="0" w:type="dxa"/>
            <w:right w:w="0" w:type="dxa"/>
          </w:tblCellMar>
        </w:tblPrEx>
        <w:trPr>
          <w:trHeight w:val="137" w:hRule="atLeast"/>
        </w:trPr>
        <w:tc>
          <w:tcPr>
            <w:tcW w:w="0" w:type="auto"/>
            <w:tcBorders>
              <w:left w:val="single" w:color="auto" w:sz="8" w:space="0"/>
              <w:bottom w:val="single" w:color="auto" w:sz="4" w:space="0"/>
              <w:right w:val="single" w:color="auto" w:sz="8" w:space="0"/>
            </w:tcBorders>
            <w:vAlign w:val="bottom"/>
          </w:tcPr>
          <w:p>
            <w:pPr>
              <w:rPr>
                <w:sz w:val="11"/>
                <w:szCs w:val="11"/>
                <w:highlight w:val="none"/>
              </w:rPr>
            </w:pPr>
          </w:p>
        </w:tc>
        <w:tc>
          <w:tcPr>
            <w:tcW w:w="4089" w:type="pct"/>
            <w:vMerge w:val="continue"/>
            <w:tcBorders>
              <w:bottom w:val="single" w:color="auto" w:sz="4" w:space="0"/>
              <w:right w:val="single" w:color="auto" w:sz="8" w:space="0"/>
            </w:tcBorders>
            <w:vAlign w:val="bottom"/>
          </w:tcPr>
          <w:p>
            <w:pPr>
              <w:rPr>
                <w:sz w:val="11"/>
                <w:szCs w:val="11"/>
                <w:highlight w:val="none"/>
              </w:rPr>
            </w:pPr>
          </w:p>
        </w:tc>
        <w:tc>
          <w:tcPr>
            <w:tcW w:w="482" w:type="pct"/>
            <w:gridSpan w:val="2"/>
            <w:tcBorders>
              <w:bottom w:val="single" w:color="auto" w:sz="4" w:space="0"/>
              <w:right w:val="single" w:color="auto" w:sz="8" w:space="0"/>
            </w:tcBorders>
            <w:vAlign w:val="bottom"/>
          </w:tcPr>
          <w:p>
            <w:pPr>
              <w:rPr>
                <w:sz w:val="11"/>
                <w:szCs w:val="11"/>
                <w:highlight w:val="none"/>
              </w:rPr>
            </w:pPr>
          </w:p>
        </w:tc>
        <w:tc>
          <w:tcPr>
            <w:tcW w:w="8" w:type="pct"/>
            <w:tcBorders>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455"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60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对检测资料未建立台帐；台账记录不详实，缺乏可追溯性或未做统计分析</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61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未建立现场试验室或委托无资质或资质不够的检测机构进行工程检测</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62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与受委托试验单位没有委托协议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63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原材料、中间产品存放及标识不满足要求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64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混凝土拌和站计量器具未定期进行检定或校准</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65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对混凝土拌和物质量控制及试验检测不满足规范要求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66</w:t>
            </w:r>
          </w:p>
        </w:tc>
        <w:tc>
          <w:tcPr>
            <w:tcW w:w="4089" w:type="pct"/>
            <w:tcBorders>
              <w:top w:val="single" w:color="auto" w:sz="4" w:space="0"/>
              <w:bottom w:val="single" w:color="auto" w:sz="4" w:space="0"/>
              <w:right w:val="single" w:color="auto" w:sz="8" w:space="0"/>
            </w:tcBorders>
            <w:vAlign w:val="bottom"/>
          </w:tcPr>
          <w:p>
            <w:pPr>
              <w:spacing w:line="300" w:lineRule="exact"/>
              <w:ind w:left="20"/>
              <w:rPr>
                <w:sz w:val="20"/>
                <w:highlight w:val="none"/>
              </w:rPr>
            </w:pPr>
            <w:r>
              <w:rPr>
                <w:rFonts w:ascii="新宋体" w:hAnsi="新宋体" w:eastAsia="新宋体" w:cs="新宋体"/>
                <w:sz w:val="23"/>
                <w:szCs w:val="23"/>
                <w:highlight w:val="none"/>
              </w:rPr>
              <w:t>单元工程（工序）质量</w:t>
            </w:r>
            <w:r>
              <w:rPr>
                <w:rFonts w:ascii="Courier New" w:hAnsi="Courier New" w:eastAsia="Courier New" w:cs="Courier New"/>
                <w:sz w:val="23"/>
                <w:szCs w:val="23"/>
                <w:highlight w:val="none"/>
              </w:rPr>
              <w:t>“</w:t>
            </w:r>
            <w:r>
              <w:rPr>
                <w:rFonts w:ascii="新宋体" w:hAnsi="新宋体" w:eastAsia="新宋体" w:cs="新宋体"/>
                <w:sz w:val="23"/>
                <w:szCs w:val="23"/>
                <w:highlight w:val="none"/>
              </w:rPr>
              <w:t>三检制</w:t>
            </w:r>
            <w:r>
              <w:rPr>
                <w:rFonts w:ascii="Courier New" w:hAnsi="Courier New" w:eastAsia="Courier New" w:cs="Courier New"/>
                <w:sz w:val="23"/>
                <w:szCs w:val="23"/>
                <w:highlight w:val="none"/>
              </w:rPr>
              <w:t>”</w:t>
            </w:r>
            <w:r>
              <w:rPr>
                <w:rFonts w:ascii="新宋体" w:hAnsi="新宋体" w:eastAsia="新宋体" w:cs="新宋体"/>
                <w:sz w:val="23"/>
                <w:szCs w:val="23"/>
                <w:highlight w:val="none"/>
              </w:rPr>
              <w:t>不落实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67</w:t>
            </w:r>
          </w:p>
        </w:tc>
        <w:tc>
          <w:tcPr>
            <w:tcW w:w="4089" w:type="pct"/>
            <w:tcBorders>
              <w:top w:val="single" w:color="auto" w:sz="4" w:space="0"/>
              <w:bottom w:val="single" w:color="auto" w:sz="4" w:space="0"/>
              <w:right w:val="single" w:color="auto" w:sz="8" w:space="0"/>
            </w:tcBorders>
            <w:vAlign w:val="bottom"/>
          </w:tcPr>
          <w:p>
            <w:pPr>
              <w:spacing w:line="300" w:lineRule="exact"/>
              <w:ind w:left="20"/>
              <w:rPr>
                <w:sz w:val="20"/>
                <w:highlight w:val="none"/>
              </w:rPr>
            </w:pPr>
            <w:r>
              <w:rPr>
                <w:rFonts w:ascii="Courier New" w:hAnsi="Courier New" w:eastAsia="Courier New" w:cs="Courier New"/>
                <w:sz w:val="23"/>
                <w:szCs w:val="23"/>
                <w:highlight w:val="none"/>
              </w:rPr>
              <w:t>“</w:t>
            </w:r>
            <w:r>
              <w:rPr>
                <w:rFonts w:ascii="新宋体" w:hAnsi="新宋体" w:eastAsia="新宋体" w:cs="新宋体"/>
                <w:sz w:val="23"/>
                <w:szCs w:val="23"/>
                <w:highlight w:val="none"/>
              </w:rPr>
              <w:t>三检制</w:t>
            </w:r>
            <w:r>
              <w:rPr>
                <w:rFonts w:ascii="Courier New" w:hAnsi="Courier New" w:eastAsia="Courier New" w:cs="Courier New"/>
                <w:sz w:val="23"/>
                <w:szCs w:val="23"/>
                <w:highlight w:val="none"/>
              </w:rPr>
              <w:t>”</w:t>
            </w:r>
            <w:r>
              <w:rPr>
                <w:rFonts w:ascii="新宋体" w:hAnsi="新宋体" w:eastAsia="新宋体" w:cs="新宋体"/>
                <w:sz w:val="23"/>
                <w:szCs w:val="23"/>
                <w:highlight w:val="none"/>
              </w:rPr>
              <w:t>数据或资料不真实，弄虚作假</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0" w:type="auto"/>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68</w:t>
            </w:r>
          </w:p>
        </w:tc>
        <w:tc>
          <w:tcPr>
            <w:tcW w:w="4089" w:type="pct"/>
            <w:tcBorders>
              <w:top w:val="single" w:color="auto" w:sz="4" w:space="0"/>
              <w:bottom w:val="single" w:color="auto" w:sz="4" w:space="0"/>
              <w:right w:val="single" w:color="auto" w:sz="8" w:space="0"/>
            </w:tcBorders>
            <w:vAlign w:val="bottom"/>
          </w:tcPr>
          <w:p>
            <w:pPr>
              <w:spacing w:line="300" w:lineRule="exact"/>
              <w:ind w:left="20"/>
              <w:rPr>
                <w:sz w:val="20"/>
                <w:highlight w:val="none"/>
              </w:rPr>
            </w:pPr>
            <w:r>
              <w:rPr>
                <w:rFonts w:ascii="Courier New" w:hAnsi="Courier New" w:eastAsia="Courier New" w:cs="Courier New"/>
                <w:sz w:val="23"/>
                <w:szCs w:val="23"/>
                <w:highlight w:val="none"/>
              </w:rPr>
              <w:t>“</w:t>
            </w:r>
            <w:r>
              <w:rPr>
                <w:rFonts w:ascii="新宋体" w:hAnsi="新宋体" w:eastAsia="新宋体" w:cs="新宋体"/>
                <w:sz w:val="23"/>
                <w:szCs w:val="23"/>
                <w:highlight w:val="none"/>
              </w:rPr>
              <w:t>三检制</w:t>
            </w:r>
            <w:r>
              <w:rPr>
                <w:rFonts w:ascii="Courier New" w:hAnsi="Courier New" w:eastAsia="Courier New" w:cs="Courier New"/>
                <w:sz w:val="23"/>
                <w:szCs w:val="23"/>
                <w:highlight w:val="none"/>
              </w:rPr>
              <w:t>”</w:t>
            </w:r>
            <w:r>
              <w:rPr>
                <w:rFonts w:ascii="新宋体" w:hAnsi="新宋体" w:eastAsia="新宋体" w:cs="新宋体"/>
                <w:sz w:val="23"/>
                <w:szCs w:val="23"/>
                <w:highlight w:val="none"/>
              </w:rPr>
              <w:t>记录不完整、填表不规范</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0" w:type="auto"/>
            <w:tcBorders>
              <w:top w:val="single" w:color="auto" w:sz="4" w:space="0"/>
              <w:left w:val="single" w:color="auto" w:sz="4" w:space="0"/>
              <w:bottom w:val="single" w:color="auto" w:sz="4" w:space="0"/>
              <w:right w:val="single" w:color="auto" w:sz="4" w:space="0"/>
            </w:tcBorders>
            <w:vAlign w:val="bottom"/>
          </w:tcPr>
          <w:p>
            <w:pPr>
              <w:jc w:val="center"/>
              <w:rPr>
                <w:sz w:val="20"/>
                <w:highlight w:val="none"/>
              </w:rPr>
            </w:pPr>
            <w:r>
              <w:rPr>
                <w:rFonts w:ascii="Courier New" w:hAnsi="Courier New" w:eastAsia="Courier New" w:cs="Courier New"/>
                <w:w w:val="79"/>
                <w:sz w:val="23"/>
                <w:szCs w:val="23"/>
                <w:highlight w:val="none"/>
              </w:rPr>
              <w:t>69</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highlight w:val="none"/>
              </w:rPr>
            </w:pPr>
            <w:r>
              <w:rPr>
                <w:rFonts w:ascii="新宋体" w:hAnsi="新宋体" w:eastAsia="新宋体" w:cs="新宋体"/>
                <w:sz w:val="23"/>
                <w:szCs w:val="23"/>
                <w:highlight w:val="none"/>
              </w:rPr>
              <w:t>评定资料、三检记录内容填写错误</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8" w:type="pct"/>
            <w:tcBorders>
              <w:top w:val="single" w:color="auto" w:sz="4" w:space="0"/>
              <w:left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highlight w:val="none"/>
              </w:rPr>
            </w:pPr>
            <w:r>
              <w:rPr>
                <w:rFonts w:ascii="Courier New" w:hAnsi="Courier New" w:eastAsia="Courier New" w:cs="Courier New"/>
                <w:w w:val="79"/>
                <w:sz w:val="23"/>
                <w:szCs w:val="23"/>
                <w:highlight w:val="none"/>
              </w:rPr>
              <w:t>70</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highlight w:val="none"/>
              </w:rPr>
            </w:pPr>
            <w:r>
              <w:rPr>
                <w:rFonts w:ascii="新宋体" w:hAnsi="新宋体" w:eastAsia="新宋体" w:cs="新宋体"/>
                <w:sz w:val="23"/>
                <w:szCs w:val="23"/>
                <w:highlight w:val="none"/>
              </w:rPr>
              <w:t>评定表填写不规范，或相关人员签字不全</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71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检验评定资料不真实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72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使用未经批准的评定表格</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73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单元工程检验评定资料不全</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74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单元工程检验与评定不符合相关规定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75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单元工程未及时进行检验与评定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76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隐蔽工程或隐蔽部位未经验收，自行隐蔽</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77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重要隐蔽（关键部位）单元工程未进行联合质量检查验收</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78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未经验收或批准就进行下一工序施工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79</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上道工序检验不合格未处理即进行下道工序施工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80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粗粒土填筑相对密度试验不规范，试验数据不准确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highlight w:val="none"/>
              </w:rPr>
            </w:pPr>
            <w:r>
              <w:rPr>
                <w:rFonts w:ascii="Courier New" w:hAnsi="Courier New" w:eastAsia="Courier New" w:cs="Courier New"/>
                <w:w w:val="79"/>
                <w:sz w:val="23"/>
                <w:szCs w:val="23"/>
                <w:highlight w:val="none"/>
              </w:rPr>
              <w:t>81</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highlight w:val="none"/>
              </w:rPr>
            </w:pPr>
            <w:r>
              <w:rPr>
                <w:rFonts w:ascii="新宋体" w:hAnsi="新宋体" w:eastAsia="新宋体" w:cs="新宋体"/>
                <w:sz w:val="23"/>
                <w:szCs w:val="23"/>
                <w:highlight w:val="none"/>
              </w:rPr>
              <w:t>碎石桩、碎石垫层及滤层等不符合设计要求</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highlight w:val="none"/>
              </w:rPr>
            </w:pPr>
            <w:r>
              <w:rPr>
                <w:rFonts w:ascii="Courier New" w:hAnsi="Courier New" w:eastAsia="Courier New" w:cs="Courier New"/>
                <w:w w:val="79"/>
                <w:sz w:val="23"/>
                <w:szCs w:val="23"/>
                <w:highlight w:val="none"/>
              </w:rPr>
              <w:t>82</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highlight w:val="none"/>
              </w:rPr>
            </w:pPr>
            <w:r>
              <w:rPr>
                <w:rFonts w:ascii="新宋体" w:hAnsi="新宋体" w:eastAsia="新宋体" w:cs="新宋体"/>
                <w:sz w:val="23"/>
                <w:szCs w:val="23"/>
                <w:highlight w:val="none"/>
              </w:rPr>
              <w:t>错误使用技术标准及规程规范</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highlight w:val="none"/>
              </w:rPr>
            </w:pPr>
            <w:r>
              <w:rPr>
                <w:rFonts w:ascii="Courier New" w:hAnsi="Courier New" w:eastAsia="Courier New" w:cs="Courier New"/>
                <w:w w:val="79"/>
                <w:sz w:val="23"/>
                <w:szCs w:val="23"/>
                <w:highlight w:val="none"/>
              </w:rPr>
              <w:t>83</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未对已完成的工程进行保护，导致损坏</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highlight w:val="none"/>
              </w:rPr>
            </w:pPr>
            <w:r>
              <w:rPr>
                <w:rFonts w:ascii="Courier New" w:hAnsi="Courier New" w:eastAsia="Courier New" w:cs="Courier New"/>
                <w:w w:val="79"/>
                <w:sz w:val="23"/>
                <w:szCs w:val="23"/>
                <w:highlight w:val="none"/>
              </w:rPr>
              <w:t>84</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highlight w:val="none"/>
              </w:rPr>
            </w:pPr>
            <w:r>
              <w:rPr>
                <w:rFonts w:ascii="新宋体" w:hAnsi="新宋体" w:eastAsia="新宋体" w:cs="新宋体"/>
                <w:sz w:val="23"/>
                <w:szCs w:val="23"/>
                <w:highlight w:val="none"/>
              </w:rPr>
              <w:t>对施工测量控制点保护不到位，导致损坏</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（四）</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质量缺陷处理</w:t>
            </w:r>
          </w:p>
        </w:tc>
        <w:tc>
          <w:tcPr>
            <w:tcW w:w="482" w:type="pct"/>
            <w:gridSpan w:val="2"/>
            <w:tcBorders>
              <w:top w:val="single" w:color="auto" w:sz="4" w:space="0"/>
              <w:bottom w:val="single" w:color="auto" w:sz="4" w:space="0"/>
              <w:right w:val="single" w:color="auto" w:sz="8" w:space="0"/>
            </w:tcBorders>
            <w:vAlign w:val="bottom"/>
          </w:tcPr>
          <w:p>
            <w:pPr>
              <w:rPr>
                <w:sz w:val="24"/>
                <w:highlight w:val="none"/>
              </w:rPr>
            </w:pP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85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质量缺陷记录内容不详细、检查人员未签字</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86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质量缺陷未绘制缺陷位置图，或缺陷图绘制标示不清楚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一般</w:t>
            </w:r>
          </w:p>
        </w:tc>
      </w:tr>
      <w:tr>
        <w:tblPrEx>
          <w:tblCellMar>
            <w:top w:w="0" w:type="dxa"/>
            <w:left w:w="0" w:type="dxa"/>
            <w:bottom w:w="0" w:type="dxa"/>
            <w:right w:w="0" w:type="dxa"/>
          </w:tblCellMar>
        </w:tblPrEx>
        <w:trPr>
          <w:gridAfter w:val="1"/>
          <w:wAfter w:w="8" w:type="pct"/>
          <w:trHeight w:val="448"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87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未对每一类质量缺陷原因进行分析，没有处理措施或处理措施缺乏针对性</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88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质量缺陷处理方案编制内容不完善，针对性不强</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89</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未按批准的处理方案进行质量缺陷处理</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90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质量缺陷处理结果不符合质量标准，未通过验收且未返工</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highlight w:val="none"/>
              </w:rPr>
            </w:pPr>
            <w:r>
              <w:rPr>
                <w:rFonts w:ascii="Courier New" w:hAnsi="Courier New" w:eastAsia="Courier New" w:cs="Courier New"/>
                <w:w w:val="79"/>
                <w:sz w:val="23"/>
                <w:szCs w:val="23"/>
                <w:highlight w:val="none"/>
              </w:rPr>
              <w:t>91</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highlight w:val="none"/>
              </w:rPr>
            </w:pPr>
            <w:r>
              <w:rPr>
                <w:rFonts w:ascii="新宋体" w:hAnsi="新宋体" w:eastAsia="新宋体" w:cs="新宋体"/>
                <w:sz w:val="23"/>
                <w:szCs w:val="23"/>
                <w:highlight w:val="none"/>
              </w:rPr>
              <w:t>质量缺陷处理和验收结果未按规定备案</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highlight w:val="none"/>
              </w:rPr>
            </w:pPr>
            <w:r>
              <w:rPr>
                <w:rFonts w:ascii="Courier New" w:hAnsi="Courier New" w:eastAsia="Courier New" w:cs="Courier New"/>
                <w:w w:val="79"/>
                <w:sz w:val="23"/>
                <w:szCs w:val="23"/>
                <w:highlight w:val="none"/>
              </w:rPr>
              <w:t>92</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highlight w:val="none"/>
              </w:rPr>
            </w:pPr>
            <w:r>
              <w:rPr>
                <w:rFonts w:ascii="新宋体" w:hAnsi="新宋体" w:eastAsia="新宋体" w:cs="新宋体"/>
                <w:sz w:val="23"/>
                <w:szCs w:val="23"/>
                <w:highlight w:val="none"/>
              </w:rPr>
              <w:t>质量缺陷修补质量检查资料不真实</w:t>
            </w:r>
          </w:p>
        </w:tc>
        <w:tc>
          <w:tcPr>
            <w:tcW w:w="467" w:type="pct"/>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4" w:type="pct"/>
            <w:tcBorders>
              <w:left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93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质量缺陷修补质量检查资料不完整</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94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擅自处理质量缺陷、或自行掩盖</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95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未建立质量缺陷档案</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（五）</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质量事故处理</w:t>
            </w:r>
          </w:p>
        </w:tc>
        <w:tc>
          <w:tcPr>
            <w:tcW w:w="467" w:type="pct"/>
            <w:tcBorders>
              <w:top w:val="single" w:color="auto" w:sz="4" w:space="0"/>
              <w:bottom w:val="single" w:color="auto" w:sz="4" w:space="0"/>
              <w:right w:val="single" w:color="auto" w:sz="8" w:space="0"/>
            </w:tcBorders>
            <w:vAlign w:val="bottom"/>
          </w:tcPr>
          <w:p>
            <w:pPr>
              <w:rPr>
                <w:sz w:val="24"/>
                <w:highlight w:val="none"/>
              </w:rPr>
            </w:pP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96</w:t>
            </w:r>
          </w:p>
        </w:tc>
        <w:tc>
          <w:tcPr>
            <w:tcW w:w="4089" w:type="pct"/>
            <w:tcBorders>
              <w:top w:val="single" w:color="auto" w:sz="4" w:space="0"/>
              <w:bottom w:val="single" w:color="auto" w:sz="4" w:space="0"/>
              <w:right w:val="single" w:color="auto" w:sz="8" w:space="0"/>
            </w:tcBorders>
            <w:vAlign w:val="bottom"/>
          </w:tcPr>
          <w:p>
            <w:pPr>
              <w:spacing w:line="300" w:lineRule="exact"/>
              <w:ind w:left="20"/>
              <w:rPr>
                <w:sz w:val="20"/>
                <w:highlight w:val="none"/>
              </w:rPr>
            </w:pPr>
            <w:r>
              <w:rPr>
                <w:rFonts w:ascii="新宋体" w:hAnsi="新宋体" w:eastAsia="新宋体" w:cs="新宋体"/>
                <w:sz w:val="23"/>
                <w:szCs w:val="23"/>
                <w:highlight w:val="none"/>
              </w:rPr>
              <w:t>未按</w:t>
            </w:r>
            <w:r>
              <w:rPr>
                <w:rFonts w:ascii="Courier New" w:hAnsi="Courier New" w:eastAsia="Courier New" w:cs="Courier New"/>
                <w:sz w:val="23"/>
                <w:szCs w:val="23"/>
                <w:highlight w:val="none"/>
              </w:rPr>
              <w:t>“</w:t>
            </w:r>
            <w:r>
              <w:rPr>
                <w:rFonts w:ascii="新宋体" w:hAnsi="新宋体" w:eastAsia="新宋体" w:cs="新宋体"/>
                <w:sz w:val="23"/>
                <w:szCs w:val="23"/>
                <w:highlight w:val="none"/>
              </w:rPr>
              <w:t>三不放过</w:t>
            </w:r>
            <w:r>
              <w:rPr>
                <w:rFonts w:ascii="Courier New" w:hAnsi="Courier New" w:eastAsia="Courier New" w:cs="Courier New"/>
                <w:sz w:val="23"/>
                <w:szCs w:val="23"/>
                <w:highlight w:val="none"/>
              </w:rPr>
              <w:t>”</w:t>
            </w:r>
            <w:r>
              <w:rPr>
                <w:rFonts w:ascii="新宋体" w:hAnsi="新宋体" w:eastAsia="新宋体" w:cs="新宋体"/>
                <w:sz w:val="23"/>
                <w:szCs w:val="23"/>
                <w:highlight w:val="none"/>
              </w:rPr>
              <w:t>原则对质量事故进行处理</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97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发生工程质量事故不按规定及时报告</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98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未建立质量事故档案</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（六）</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质量问题整改</w:t>
            </w:r>
          </w:p>
        </w:tc>
        <w:tc>
          <w:tcPr>
            <w:tcW w:w="467" w:type="pct"/>
            <w:tcBorders>
              <w:top w:val="single" w:color="auto" w:sz="4" w:space="0"/>
              <w:bottom w:val="single" w:color="auto" w:sz="4" w:space="0"/>
              <w:right w:val="single" w:color="auto" w:sz="8" w:space="0"/>
            </w:tcBorders>
            <w:vAlign w:val="bottom"/>
          </w:tcPr>
          <w:p>
            <w:pPr>
              <w:rPr>
                <w:sz w:val="24"/>
                <w:highlight w:val="none"/>
              </w:rPr>
            </w:pP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17" w:hRule="atLeast"/>
        </w:trPr>
        <w:tc>
          <w:tcPr>
            <w:tcW w:w="418" w:type="pct"/>
            <w:vMerge w:val="restart"/>
            <w:tcBorders>
              <w:top w:val="single" w:color="auto" w:sz="4" w:space="0"/>
              <w:left w:val="single" w:color="auto" w:sz="8"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99</w:t>
            </w:r>
          </w:p>
        </w:tc>
        <w:tc>
          <w:tcPr>
            <w:tcW w:w="4089" w:type="pct"/>
            <w:vMerge w:val="restart"/>
            <w:tcBorders>
              <w:top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对质量监督、监督检查、质量巡查和稽察等发现的质量问题未整改或整改不到位</w:t>
            </w:r>
          </w:p>
        </w:tc>
        <w:tc>
          <w:tcPr>
            <w:tcW w:w="467" w:type="pct"/>
            <w:vMerge w:val="restart"/>
            <w:tcBorders>
              <w:top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4" w:type="pct"/>
            <w:tcBorders>
              <w:top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137" w:hRule="atLeast"/>
        </w:trPr>
        <w:tc>
          <w:tcPr>
            <w:tcW w:w="418" w:type="pct"/>
            <w:vMerge w:val="continue"/>
            <w:tcBorders>
              <w:left w:val="single" w:color="auto" w:sz="8" w:space="0"/>
              <w:right w:val="single" w:color="auto" w:sz="8" w:space="0"/>
            </w:tcBorders>
            <w:vAlign w:val="bottom"/>
          </w:tcPr>
          <w:p>
            <w:pPr>
              <w:rPr>
                <w:sz w:val="11"/>
                <w:szCs w:val="11"/>
                <w:highlight w:val="none"/>
              </w:rPr>
            </w:pPr>
          </w:p>
        </w:tc>
        <w:tc>
          <w:tcPr>
            <w:tcW w:w="4089" w:type="pct"/>
            <w:vMerge w:val="continue"/>
            <w:tcBorders>
              <w:right w:val="single" w:color="auto" w:sz="8" w:space="0"/>
            </w:tcBorders>
            <w:vAlign w:val="bottom"/>
          </w:tcPr>
          <w:p>
            <w:pPr>
              <w:spacing w:line="263" w:lineRule="exact"/>
              <w:ind w:left="20"/>
              <w:rPr>
                <w:sz w:val="20"/>
                <w:highlight w:val="none"/>
              </w:rPr>
            </w:pPr>
          </w:p>
        </w:tc>
        <w:tc>
          <w:tcPr>
            <w:tcW w:w="467" w:type="pct"/>
            <w:vMerge w:val="continue"/>
            <w:tcBorders>
              <w:right w:val="single" w:color="auto" w:sz="8" w:space="0"/>
            </w:tcBorders>
            <w:vAlign w:val="bottom"/>
          </w:tcPr>
          <w:p>
            <w:pPr>
              <w:rPr>
                <w:sz w:val="11"/>
                <w:szCs w:val="11"/>
                <w:highlight w:val="none"/>
              </w:rPr>
            </w:pPr>
          </w:p>
        </w:tc>
        <w:tc>
          <w:tcPr>
            <w:tcW w:w="14" w:type="pct"/>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100</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对设计、建管、监理指出的质量问题未整改或整改不到位</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571" w:hRule="atLeast"/>
        </w:trPr>
        <w:tc>
          <w:tcPr>
            <w:tcW w:w="418" w:type="pct"/>
            <w:vMerge w:val="restart"/>
            <w:tcBorders>
              <w:top w:val="single" w:color="auto" w:sz="4" w:space="0"/>
              <w:left w:val="single" w:color="auto" w:sz="8"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101</w:t>
            </w:r>
          </w:p>
        </w:tc>
        <w:tc>
          <w:tcPr>
            <w:tcW w:w="4089" w:type="pct"/>
            <w:vMerge w:val="restart"/>
            <w:tcBorders>
              <w:top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对项目法人（建管单位）、设计、监理单位提出的质量改进意见未能及时落实</w:t>
            </w:r>
          </w:p>
        </w:tc>
        <w:tc>
          <w:tcPr>
            <w:tcW w:w="467" w:type="pct"/>
            <w:vMerge w:val="restart"/>
            <w:tcBorders>
              <w:top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4" w:type="pct"/>
            <w:tcBorders>
              <w:top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138" w:hRule="atLeast"/>
        </w:trPr>
        <w:tc>
          <w:tcPr>
            <w:tcW w:w="418" w:type="pct"/>
            <w:vMerge w:val="continue"/>
            <w:tcBorders>
              <w:left w:val="single" w:color="auto" w:sz="8" w:space="0"/>
              <w:right w:val="single" w:color="auto" w:sz="8" w:space="0"/>
            </w:tcBorders>
            <w:vAlign w:val="bottom"/>
          </w:tcPr>
          <w:p>
            <w:pPr>
              <w:rPr>
                <w:sz w:val="12"/>
                <w:szCs w:val="12"/>
                <w:highlight w:val="none"/>
              </w:rPr>
            </w:pPr>
          </w:p>
        </w:tc>
        <w:tc>
          <w:tcPr>
            <w:tcW w:w="4089" w:type="pct"/>
            <w:vMerge w:val="continue"/>
            <w:tcBorders>
              <w:right w:val="single" w:color="auto" w:sz="8" w:space="0"/>
            </w:tcBorders>
            <w:vAlign w:val="bottom"/>
          </w:tcPr>
          <w:p>
            <w:pPr>
              <w:spacing w:line="263" w:lineRule="exact"/>
              <w:ind w:left="20"/>
              <w:rPr>
                <w:sz w:val="20"/>
                <w:highlight w:val="none"/>
              </w:rPr>
            </w:pPr>
          </w:p>
        </w:tc>
        <w:tc>
          <w:tcPr>
            <w:tcW w:w="467" w:type="pct"/>
            <w:vMerge w:val="continue"/>
            <w:tcBorders>
              <w:right w:val="single" w:color="auto" w:sz="8" w:space="0"/>
            </w:tcBorders>
            <w:vAlign w:val="bottom"/>
          </w:tcPr>
          <w:p>
            <w:pPr>
              <w:rPr>
                <w:sz w:val="12"/>
                <w:szCs w:val="12"/>
                <w:highlight w:val="none"/>
              </w:rPr>
            </w:pPr>
          </w:p>
        </w:tc>
        <w:tc>
          <w:tcPr>
            <w:tcW w:w="14" w:type="pct"/>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（七）</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工程验收</w:t>
            </w:r>
          </w:p>
        </w:tc>
        <w:tc>
          <w:tcPr>
            <w:tcW w:w="467" w:type="pct"/>
            <w:tcBorders>
              <w:top w:val="single" w:color="auto" w:sz="4" w:space="0"/>
              <w:bottom w:val="single" w:color="auto" w:sz="4" w:space="0"/>
              <w:right w:val="single" w:color="auto" w:sz="8" w:space="0"/>
            </w:tcBorders>
            <w:vAlign w:val="bottom"/>
          </w:tcPr>
          <w:p>
            <w:pPr>
              <w:rPr>
                <w:sz w:val="24"/>
                <w:highlight w:val="none"/>
              </w:rPr>
            </w:pP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90"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102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未制定工程验收计划</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103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未及时申请分部工程验收、单位工程验收、施工合同完成验收</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104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提交的验收资料不齐全</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105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提交的验收资料不真实</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106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施工管理工作报告编制不规范</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（八）</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施工资料及其它</w:t>
            </w:r>
          </w:p>
        </w:tc>
        <w:tc>
          <w:tcPr>
            <w:tcW w:w="467" w:type="pct"/>
            <w:tcBorders>
              <w:top w:val="single" w:color="auto" w:sz="4" w:space="0"/>
              <w:bottom w:val="single" w:color="auto" w:sz="4" w:space="0"/>
              <w:right w:val="single" w:color="auto" w:sz="8" w:space="0"/>
            </w:tcBorders>
            <w:vAlign w:val="bottom"/>
          </w:tcPr>
          <w:p>
            <w:pPr>
              <w:rPr>
                <w:sz w:val="24"/>
                <w:highlight w:val="none"/>
              </w:rPr>
            </w:pP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107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施工资料收集、整理和保管不规范，不满足相关规定</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108</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文件的质量不符合归档文件的质量要求</w:t>
            </w:r>
          </w:p>
        </w:tc>
        <w:tc>
          <w:tcPr>
            <w:tcW w:w="467" w:type="pct"/>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4" w:type="pct"/>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highlight w:val="none"/>
              </w:rPr>
            </w:pPr>
            <w:r>
              <w:rPr>
                <w:rFonts w:ascii="Courier New" w:hAnsi="Courier New" w:eastAsia="Courier New" w:cs="Courier New"/>
                <w:w w:val="81"/>
                <w:sz w:val="23"/>
                <w:szCs w:val="23"/>
                <w:highlight w:val="none"/>
              </w:rPr>
              <w:t>109</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highlight w:val="none"/>
              </w:rPr>
            </w:pPr>
            <w:r>
              <w:rPr>
                <w:rFonts w:ascii="新宋体" w:hAnsi="新宋体" w:eastAsia="新宋体" w:cs="新宋体"/>
                <w:sz w:val="23"/>
                <w:szCs w:val="23"/>
                <w:highlight w:val="none"/>
              </w:rPr>
              <w:t>立卷工程文件未按档案管理规定组卷</w:t>
            </w:r>
          </w:p>
        </w:tc>
        <w:tc>
          <w:tcPr>
            <w:tcW w:w="467" w:type="pct"/>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4" w:type="pct"/>
            <w:tcBorders>
              <w:top w:val="single" w:color="auto" w:sz="4" w:space="0"/>
              <w:left w:val="single" w:color="auto" w:sz="4" w:space="0"/>
              <w:bottom w:val="single" w:color="auto" w:sz="4" w:space="0"/>
              <w:right w:val="single" w:color="auto" w:sz="4" w:space="0"/>
            </w:tcBorders>
            <w:vAlign w:val="bottom"/>
          </w:tcPr>
          <w:p>
            <w:pPr>
              <w:rPr>
                <w:sz w:val="1"/>
                <w:szCs w:val="1"/>
                <w:highlight w:val="none"/>
              </w:rPr>
            </w:pP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4" w:space="0"/>
              <w:bottom w:val="single" w:color="auto" w:sz="4" w:space="0"/>
              <w:right w:val="single" w:color="auto" w:sz="4" w:space="0"/>
            </w:tcBorders>
            <w:vAlign w:val="bottom"/>
          </w:tcPr>
          <w:p>
            <w:pPr>
              <w:jc w:val="center"/>
              <w:rPr>
                <w:sz w:val="20"/>
                <w:highlight w:val="none"/>
              </w:rPr>
            </w:pPr>
            <w:r>
              <w:rPr>
                <w:rFonts w:ascii="Courier New" w:hAnsi="Courier New" w:eastAsia="Courier New" w:cs="Courier New"/>
                <w:w w:val="81"/>
                <w:sz w:val="23"/>
                <w:szCs w:val="23"/>
                <w:highlight w:val="none"/>
              </w:rPr>
              <w:t>110</w:t>
            </w:r>
          </w:p>
        </w:tc>
        <w:tc>
          <w:tcPr>
            <w:tcW w:w="4089" w:type="pct"/>
            <w:tcBorders>
              <w:top w:val="single" w:color="auto" w:sz="4" w:space="0"/>
              <w:left w:val="single" w:color="auto" w:sz="4" w:space="0"/>
              <w:bottom w:val="single" w:color="auto" w:sz="4" w:space="0"/>
              <w:right w:val="single" w:color="auto" w:sz="4" w:space="0"/>
            </w:tcBorders>
            <w:vAlign w:val="bottom"/>
          </w:tcPr>
          <w:p>
            <w:pPr>
              <w:spacing w:line="263" w:lineRule="exact"/>
              <w:ind w:left="20"/>
              <w:rPr>
                <w:sz w:val="20"/>
                <w:highlight w:val="none"/>
              </w:rPr>
            </w:pPr>
            <w:r>
              <w:rPr>
                <w:rFonts w:ascii="新宋体" w:hAnsi="新宋体" w:eastAsia="新宋体" w:cs="新宋体"/>
                <w:sz w:val="23"/>
                <w:szCs w:val="23"/>
                <w:highlight w:val="none"/>
              </w:rPr>
              <w:t>资料不够完整、齐全</w:t>
            </w:r>
          </w:p>
        </w:tc>
        <w:tc>
          <w:tcPr>
            <w:tcW w:w="482" w:type="pct"/>
            <w:gridSpan w:val="2"/>
            <w:tcBorders>
              <w:top w:val="single" w:color="auto" w:sz="4" w:space="0"/>
              <w:left w:val="single" w:color="auto" w:sz="4" w:space="0"/>
              <w:bottom w:val="single" w:color="auto" w:sz="4" w:space="0"/>
              <w:right w:val="single" w:color="auto" w:sz="4"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111</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资料不真实、有效性差</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112</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施工记录、施工日志等填写不规范，不满足相关规范要求</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113</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施工记录、施工日志填写不真实</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114</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施工月报内容不全</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115</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质量会议记录不详、不完整</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116</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岗位技能培训不符合有关行业规定</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r>
        <w:tblPrEx>
          <w:tblCellMar>
            <w:top w:w="0" w:type="dxa"/>
            <w:left w:w="0" w:type="dxa"/>
            <w:bottom w:w="0" w:type="dxa"/>
            <w:right w:w="0" w:type="dxa"/>
          </w:tblCellMar>
        </w:tblPrEx>
        <w:trPr>
          <w:gridAfter w:val="1"/>
          <w:wAfter w:w="8" w:type="pct"/>
          <w:trHeight w:val="389" w:hRule="atLeast"/>
        </w:trPr>
        <w:tc>
          <w:tcPr>
            <w:tcW w:w="418" w:type="pct"/>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1"/>
                <w:sz w:val="23"/>
                <w:szCs w:val="23"/>
                <w:highlight w:val="none"/>
              </w:rPr>
              <w:t>117</w:t>
            </w:r>
          </w:p>
        </w:tc>
        <w:tc>
          <w:tcPr>
            <w:tcW w:w="4089" w:type="pct"/>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培训无记录、无考核、无总结；未建立培训考核档案</w:t>
            </w:r>
          </w:p>
        </w:tc>
        <w:tc>
          <w:tcPr>
            <w:tcW w:w="482" w:type="pct"/>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r>
    </w:tbl>
    <w:p>
      <w:pPr>
        <w:pStyle w:val="33"/>
        <w:spacing w:line="360" w:lineRule="auto"/>
        <w:rPr>
          <w:rFonts w:ascii="Times New Roman" w:hAnsi="Times New Roman"/>
          <w:b/>
          <w:sz w:val="24"/>
          <w:highlight w:val="none"/>
        </w:rPr>
      </w:pPr>
    </w:p>
    <w:p>
      <w:pPr>
        <w:pStyle w:val="33"/>
        <w:spacing w:line="360" w:lineRule="auto"/>
        <w:rPr>
          <w:rFonts w:ascii="Times New Roman" w:hAnsi="Times New Roman"/>
          <w:b/>
          <w:sz w:val="24"/>
          <w:highlight w:val="none"/>
        </w:rPr>
      </w:pPr>
    </w:p>
    <w:p>
      <w:pPr>
        <w:pStyle w:val="33"/>
        <w:spacing w:line="360" w:lineRule="auto"/>
        <w:rPr>
          <w:rFonts w:ascii="Times New Roman" w:hAnsi="Times New Roman"/>
          <w:b/>
          <w:sz w:val="24"/>
          <w:highlight w:val="none"/>
        </w:rPr>
      </w:pPr>
    </w:p>
    <w:p>
      <w:pPr>
        <w:pStyle w:val="33"/>
        <w:spacing w:line="360" w:lineRule="auto"/>
        <w:rPr>
          <w:rFonts w:ascii="Times New Roman" w:hAnsi="Times New Roman"/>
          <w:b/>
          <w:sz w:val="24"/>
          <w:highlight w:val="none"/>
        </w:rPr>
      </w:pPr>
    </w:p>
    <w:p>
      <w:pPr>
        <w:pStyle w:val="33"/>
        <w:spacing w:line="360" w:lineRule="auto"/>
        <w:rPr>
          <w:rFonts w:ascii="Times New Roman" w:hAnsi="Times New Roman"/>
          <w:b/>
          <w:sz w:val="24"/>
          <w:highlight w:val="none"/>
        </w:rPr>
      </w:pPr>
    </w:p>
    <w:p>
      <w:pPr>
        <w:pStyle w:val="33"/>
        <w:spacing w:line="360" w:lineRule="auto"/>
        <w:rPr>
          <w:rFonts w:ascii="Times New Roman" w:hAnsi="Times New Roman"/>
          <w:b/>
          <w:sz w:val="24"/>
          <w:highlight w:val="none"/>
        </w:rPr>
      </w:pPr>
    </w:p>
    <w:p>
      <w:pPr>
        <w:pStyle w:val="33"/>
        <w:spacing w:line="360" w:lineRule="auto"/>
        <w:rPr>
          <w:rFonts w:ascii="Times New Roman" w:hAnsi="Times New Roman"/>
          <w:b/>
          <w:sz w:val="24"/>
          <w:highlight w:val="none"/>
        </w:rPr>
      </w:pPr>
    </w:p>
    <w:p>
      <w:pPr>
        <w:pStyle w:val="33"/>
        <w:spacing w:line="360" w:lineRule="auto"/>
        <w:rPr>
          <w:rFonts w:ascii="Times New Roman" w:hAnsi="Times New Roman"/>
          <w:b/>
          <w:sz w:val="24"/>
          <w:highlight w:val="none"/>
        </w:rPr>
      </w:pPr>
    </w:p>
    <w:p>
      <w:pPr>
        <w:pStyle w:val="33"/>
        <w:spacing w:line="360" w:lineRule="auto"/>
        <w:rPr>
          <w:rFonts w:ascii="Times New Roman" w:hAnsi="Times New Roman"/>
          <w:b/>
          <w:sz w:val="24"/>
          <w:highlight w:val="none"/>
        </w:rPr>
      </w:pPr>
    </w:p>
    <w:p>
      <w:pPr>
        <w:pStyle w:val="33"/>
        <w:spacing w:line="360" w:lineRule="auto"/>
        <w:rPr>
          <w:rFonts w:ascii="Times New Roman" w:hAnsi="Times New Roman"/>
          <w:b/>
          <w:sz w:val="24"/>
          <w:highlight w:val="none"/>
        </w:rPr>
      </w:pPr>
      <w:r>
        <w:rPr>
          <w:rFonts w:hint="eastAsia" w:ascii="Times New Roman" w:hAnsi="Times New Roman"/>
          <w:b/>
          <w:sz w:val="24"/>
          <w:highlight w:val="none"/>
        </w:rPr>
        <w:t>附件</w:t>
      </w:r>
      <w:r>
        <w:rPr>
          <w:rFonts w:hint="eastAsia"/>
          <w:b/>
          <w:sz w:val="24"/>
          <w:highlight w:val="none"/>
        </w:rPr>
        <w:t>十四</w:t>
      </w:r>
      <w:r>
        <w:rPr>
          <w:rFonts w:hint="eastAsia" w:ascii="Times New Roman" w:hAnsi="Times New Roman"/>
          <w:b/>
          <w:sz w:val="24"/>
          <w:highlight w:val="none"/>
        </w:rPr>
        <w:t>：</w:t>
      </w:r>
      <w:r>
        <w:rPr>
          <w:rFonts w:ascii="Times New Roman" w:hAnsi="Times New Roman"/>
          <w:b/>
          <w:sz w:val="24"/>
          <w:highlight w:val="none"/>
        </w:rPr>
        <w:t>安全生产管理违规行为分类标准</w:t>
      </w:r>
    </w:p>
    <w:tbl>
      <w:tblPr>
        <w:tblStyle w:val="63"/>
        <w:tblW w:w="0" w:type="auto"/>
        <w:tblInd w:w="0" w:type="dxa"/>
        <w:tblLayout w:type="autofit"/>
        <w:tblCellMar>
          <w:top w:w="0" w:type="dxa"/>
          <w:left w:w="0" w:type="dxa"/>
          <w:bottom w:w="0" w:type="dxa"/>
          <w:right w:w="0" w:type="dxa"/>
        </w:tblCellMar>
      </w:tblPr>
      <w:tblGrid>
        <w:gridCol w:w="703"/>
        <w:gridCol w:w="6961"/>
        <w:gridCol w:w="626"/>
        <w:gridCol w:w="9"/>
        <w:gridCol w:w="17"/>
      </w:tblGrid>
      <w:tr>
        <w:tblPrEx>
          <w:tblCellMar>
            <w:top w:w="0" w:type="dxa"/>
            <w:left w:w="0" w:type="dxa"/>
            <w:bottom w:w="0" w:type="dxa"/>
            <w:right w:w="0" w:type="dxa"/>
          </w:tblCellMar>
        </w:tblPrEx>
        <w:trPr>
          <w:trHeight w:val="540" w:hRule="atLeast"/>
        </w:trPr>
        <w:tc>
          <w:tcPr>
            <w:tcW w:w="703" w:type="dxa"/>
            <w:tcBorders>
              <w:top w:val="single" w:color="auto" w:sz="8" w:space="0"/>
              <w:left w:val="single" w:color="auto" w:sz="8" w:space="0"/>
              <w:bottom w:val="single" w:color="auto" w:sz="4" w:space="0"/>
              <w:right w:val="single" w:color="auto" w:sz="8" w:space="0"/>
            </w:tcBorders>
            <w:vAlign w:val="bottom"/>
          </w:tcPr>
          <w:p>
            <w:pPr>
              <w:spacing w:line="286" w:lineRule="exact"/>
              <w:jc w:val="center"/>
              <w:rPr>
                <w:sz w:val="20"/>
                <w:highlight w:val="none"/>
              </w:rPr>
            </w:pPr>
            <w:r>
              <w:rPr>
                <w:rFonts w:ascii="新宋体" w:hAnsi="新宋体" w:eastAsia="新宋体" w:cs="新宋体"/>
                <w:b/>
                <w:bCs/>
                <w:w w:val="95"/>
                <w:sz w:val="25"/>
                <w:szCs w:val="25"/>
                <w:highlight w:val="none"/>
              </w:rPr>
              <w:t>序号</w:t>
            </w:r>
          </w:p>
        </w:tc>
        <w:tc>
          <w:tcPr>
            <w:tcW w:w="6961" w:type="dxa"/>
            <w:tcBorders>
              <w:top w:val="single" w:color="auto" w:sz="8" w:space="0"/>
              <w:bottom w:val="single" w:color="auto" w:sz="4" w:space="0"/>
              <w:right w:val="single" w:color="auto" w:sz="8" w:space="0"/>
            </w:tcBorders>
            <w:vAlign w:val="bottom"/>
          </w:tcPr>
          <w:p>
            <w:pPr>
              <w:spacing w:line="286" w:lineRule="exact"/>
              <w:ind w:left="2520"/>
              <w:rPr>
                <w:sz w:val="20"/>
                <w:highlight w:val="none"/>
              </w:rPr>
            </w:pPr>
            <w:r>
              <w:rPr>
                <w:rFonts w:ascii="新宋体" w:hAnsi="新宋体" w:eastAsia="新宋体" w:cs="新宋体"/>
                <w:b/>
                <w:bCs/>
                <w:sz w:val="25"/>
                <w:szCs w:val="25"/>
                <w:highlight w:val="none"/>
              </w:rPr>
              <w:t>安全生产管理违规行为</w:t>
            </w:r>
          </w:p>
        </w:tc>
        <w:tc>
          <w:tcPr>
            <w:tcW w:w="635" w:type="dxa"/>
            <w:gridSpan w:val="2"/>
            <w:tcBorders>
              <w:top w:val="single" w:color="auto" w:sz="8" w:space="0"/>
              <w:bottom w:val="single" w:color="auto" w:sz="4" w:space="0"/>
              <w:right w:val="single" w:color="auto" w:sz="8" w:space="0"/>
            </w:tcBorders>
            <w:vAlign w:val="bottom"/>
          </w:tcPr>
          <w:p>
            <w:pPr>
              <w:spacing w:line="286" w:lineRule="exact"/>
              <w:jc w:val="center"/>
              <w:rPr>
                <w:sz w:val="20"/>
                <w:highlight w:val="none"/>
              </w:rPr>
            </w:pPr>
            <w:r>
              <w:rPr>
                <w:rFonts w:ascii="新宋体" w:hAnsi="新宋体" w:eastAsia="新宋体" w:cs="新宋体"/>
                <w:b/>
                <w:bCs/>
                <w:w w:val="99"/>
                <w:sz w:val="25"/>
                <w:szCs w:val="25"/>
                <w:highlight w:val="none"/>
              </w:rPr>
              <w:t>分类</w:t>
            </w:r>
          </w:p>
        </w:tc>
        <w:tc>
          <w:tcPr>
            <w:tcW w:w="17" w:type="dxa"/>
            <w:tcBorders>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（一）</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安全控制体系</w:t>
            </w:r>
          </w:p>
        </w:tc>
        <w:tc>
          <w:tcPr>
            <w:tcW w:w="635" w:type="dxa"/>
            <w:gridSpan w:val="2"/>
            <w:tcBorders>
              <w:top w:val="single" w:color="auto" w:sz="4" w:space="0"/>
              <w:bottom w:val="single" w:color="auto" w:sz="4" w:space="0"/>
              <w:right w:val="single" w:color="auto" w:sz="8" w:space="0"/>
            </w:tcBorders>
            <w:vAlign w:val="bottom"/>
          </w:tcPr>
          <w:p>
            <w:pPr>
              <w:rPr>
                <w:sz w:val="24"/>
                <w:highlight w:val="none"/>
              </w:rPr>
            </w:pP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未建立安全生产管理机构</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2</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安全管理制度不完善、不落实</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3</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安全生产目标管理计划、安全管理制度及检查评估未报项目法人</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未逐级签订安全生产目标责任书</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5</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未按规定进行安全生产目标完成情况考核</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（二）</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安全过程控制</w:t>
            </w:r>
          </w:p>
        </w:tc>
        <w:tc>
          <w:tcPr>
            <w:tcW w:w="635" w:type="dxa"/>
            <w:gridSpan w:val="2"/>
            <w:tcBorders>
              <w:top w:val="single" w:color="auto" w:sz="4" w:space="0"/>
              <w:bottom w:val="single" w:color="auto" w:sz="4" w:space="0"/>
              <w:right w:val="single" w:color="auto" w:sz="8" w:space="0"/>
            </w:tcBorders>
            <w:vAlign w:val="bottom"/>
          </w:tcPr>
          <w:p>
            <w:pPr>
              <w:rPr>
                <w:sz w:val="24"/>
                <w:highlight w:val="none"/>
              </w:rPr>
            </w:pP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6</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未编制安全监理规划、细则</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22" w:hRule="atLeast"/>
        </w:trPr>
        <w:tc>
          <w:tcPr>
            <w:tcW w:w="703" w:type="dxa"/>
            <w:vMerge w:val="restart"/>
            <w:tcBorders>
              <w:top w:val="single" w:color="auto" w:sz="4" w:space="0"/>
              <w:left w:val="single" w:color="auto" w:sz="8"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7</w:t>
            </w:r>
          </w:p>
        </w:tc>
        <w:tc>
          <w:tcPr>
            <w:tcW w:w="6961" w:type="dxa"/>
            <w:vMerge w:val="restart"/>
            <w:tcBorders>
              <w:top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未按规定审查安全技术措施、专项施工方案，或对安全技术措施、专项施工方案审查不严</w:t>
            </w:r>
          </w:p>
        </w:tc>
        <w:tc>
          <w:tcPr>
            <w:tcW w:w="635" w:type="dxa"/>
            <w:gridSpan w:val="2"/>
            <w:vMerge w:val="restart"/>
            <w:tcBorders>
              <w:top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139" w:hRule="atLeast"/>
        </w:trPr>
        <w:tc>
          <w:tcPr>
            <w:tcW w:w="703" w:type="dxa"/>
            <w:vMerge w:val="continue"/>
            <w:tcBorders>
              <w:left w:val="single" w:color="auto" w:sz="8" w:space="0"/>
              <w:right w:val="single" w:color="auto" w:sz="8" w:space="0"/>
            </w:tcBorders>
            <w:vAlign w:val="bottom"/>
          </w:tcPr>
          <w:p>
            <w:pPr>
              <w:rPr>
                <w:sz w:val="12"/>
                <w:szCs w:val="12"/>
                <w:highlight w:val="none"/>
              </w:rPr>
            </w:pPr>
          </w:p>
        </w:tc>
        <w:tc>
          <w:tcPr>
            <w:tcW w:w="6961" w:type="dxa"/>
            <w:vMerge w:val="continue"/>
            <w:tcBorders>
              <w:right w:val="single" w:color="auto" w:sz="8" w:space="0"/>
            </w:tcBorders>
            <w:vAlign w:val="bottom"/>
          </w:tcPr>
          <w:p>
            <w:pPr>
              <w:spacing w:line="263" w:lineRule="exact"/>
              <w:ind w:left="20"/>
              <w:rPr>
                <w:sz w:val="20"/>
                <w:highlight w:val="none"/>
              </w:rPr>
            </w:pPr>
          </w:p>
        </w:tc>
        <w:tc>
          <w:tcPr>
            <w:tcW w:w="635" w:type="dxa"/>
            <w:gridSpan w:val="2"/>
            <w:vMerge w:val="continue"/>
            <w:tcBorders>
              <w:right w:val="single" w:color="auto" w:sz="8" w:space="0"/>
            </w:tcBorders>
            <w:vAlign w:val="bottom"/>
          </w:tcPr>
          <w:p>
            <w:pPr>
              <w:rPr>
                <w:sz w:val="12"/>
                <w:szCs w:val="12"/>
                <w:highlight w:val="none"/>
              </w:rPr>
            </w:pPr>
          </w:p>
        </w:tc>
        <w:tc>
          <w:tcPr>
            <w:tcW w:w="17" w:type="dxa"/>
            <w:vAlign w:val="bottom"/>
          </w:tcPr>
          <w:p>
            <w:pPr>
              <w:rPr>
                <w:sz w:val="1"/>
                <w:szCs w:val="1"/>
                <w:highlight w:val="none"/>
              </w:rPr>
            </w:pPr>
          </w:p>
        </w:tc>
      </w:tr>
      <w:tr>
        <w:tblPrEx>
          <w:tblCellMar>
            <w:top w:w="0" w:type="dxa"/>
            <w:left w:w="0" w:type="dxa"/>
            <w:bottom w:w="0" w:type="dxa"/>
            <w:right w:w="0" w:type="dxa"/>
          </w:tblCellMar>
        </w:tblPrEx>
        <w:trPr>
          <w:trHeight w:val="68" w:hRule="atLeast"/>
        </w:trPr>
        <w:tc>
          <w:tcPr>
            <w:tcW w:w="703" w:type="dxa"/>
            <w:vMerge w:val="continue"/>
            <w:tcBorders>
              <w:left w:val="single" w:color="auto" w:sz="8" w:space="0"/>
              <w:bottom w:val="single" w:color="auto" w:sz="8" w:space="0"/>
              <w:right w:val="single" w:color="auto" w:sz="8" w:space="0"/>
            </w:tcBorders>
            <w:vAlign w:val="bottom"/>
          </w:tcPr>
          <w:p>
            <w:pPr>
              <w:rPr>
                <w:sz w:val="5"/>
                <w:szCs w:val="5"/>
                <w:highlight w:val="none"/>
              </w:rPr>
            </w:pPr>
          </w:p>
        </w:tc>
        <w:tc>
          <w:tcPr>
            <w:tcW w:w="6961" w:type="dxa"/>
            <w:vMerge w:val="continue"/>
            <w:tcBorders>
              <w:bottom w:val="single" w:color="auto" w:sz="8" w:space="0"/>
              <w:right w:val="single" w:color="auto" w:sz="8" w:space="0"/>
            </w:tcBorders>
            <w:vAlign w:val="bottom"/>
          </w:tcPr>
          <w:p>
            <w:pPr>
              <w:rPr>
                <w:sz w:val="5"/>
                <w:szCs w:val="5"/>
                <w:highlight w:val="none"/>
              </w:rPr>
            </w:pPr>
          </w:p>
        </w:tc>
        <w:tc>
          <w:tcPr>
            <w:tcW w:w="635" w:type="dxa"/>
            <w:gridSpan w:val="2"/>
            <w:tcBorders>
              <w:bottom w:val="single" w:color="auto" w:sz="8" w:space="0"/>
              <w:right w:val="single" w:color="auto" w:sz="8" w:space="0"/>
            </w:tcBorders>
            <w:vAlign w:val="bottom"/>
          </w:tcPr>
          <w:p>
            <w:pPr>
              <w:rPr>
                <w:sz w:val="5"/>
                <w:szCs w:val="5"/>
                <w:highlight w:val="none"/>
              </w:rPr>
            </w:pPr>
          </w:p>
        </w:tc>
        <w:tc>
          <w:tcPr>
            <w:tcW w:w="17" w:type="dxa"/>
            <w:vAlign w:val="bottom"/>
          </w:tcPr>
          <w:p>
            <w:pPr>
              <w:rPr>
                <w:sz w:val="1"/>
                <w:szCs w:val="1"/>
                <w:highlight w:val="none"/>
              </w:rPr>
            </w:pPr>
          </w:p>
        </w:tc>
      </w:tr>
      <w:tr>
        <w:tblPrEx>
          <w:tblCellMar>
            <w:top w:w="0" w:type="dxa"/>
            <w:left w:w="0" w:type="dxa"/>
            <w:bottom w:w="0" w:type="dxa"/>
            <w:right w:w="0" w:type="dxa"/>
          </w:tblCellMar>
        </w:tblPrEx>
        <w:trPr>
          <w:trHeight w:val="395" w:hRule="atLeast"/>
        </w:trPr>
        <w:tc>
          <w:tcPr>
            <w:tcW w:w="703" w:type="dxa"/>
            <w:tcBorders>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8</w:t>
            </w:r>
          </w:p>
        </w:tc>
        <w:tc>
          <w:tcPr>
            <w:tcW w:w="6961" w:type="dxa"/>
            <w:tcBorders>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未组织、参与安全防护设施设备、危险性较大的单项工程验收</w:t>
            </w:r>
          </w:p>
        </w:tc>
        <w:tc>
          <w:tcPr>
            <w:tcW w:w="635" w:type="dxa"/>
            <w:gridSpan w:val="2"/>
            <w:tcBorders>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（三）</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安全检查</w:t>
            </w:r>
          </w:p>
        </w:tc>
        <w:tc>
          <w:tcPr>
            <w:tcW w:w="635" w:type="dxa"/>
            <w:gridSpan w:val="2"/>
            <w:tcBorders>
              <w:top w:val="single" w:color="auto" w:sz="4" w:space="0"/>
              <w:bottom w:val="single" w:color="auto" w:sz="4" w:space="0"/>
              <w:right w:val="single" w:color="auto" w:sz="8" w:space="0"/>
            </w:tcBorders>
            <w:vAlign w:val="bottom"/>
          </w:tcPr>
          <w:p>
            <w:pPr>
              <w:rPr>
                <w:sz w:val="24"/>
                <w:highlight w:val="none"/>
              </w:rPr>
            </w:pP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9</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对监理过程中的安全隐患，未及时指出并组织施工单位整改</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10</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未按规定进行各类安全检查或实施监理</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46" w:hRule="atLeast"/>
        </w:trPr>
        <w:tc>
          <w:tcPr>
            <w:tcW w:w="703" w:type="dxa"/>
            <w:vMerge w:val="restart"/>
            <w:tcBorders>
              <w:top w:val="single" w:color="auto" w:sz="4" w:space="0"/>
              <w:left w:val="single" w:color="auto" w:sz="8"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11</w:t>
            </w:r>
          </w:p>
        </w:tc>
        <w:tc>
          <w:tcPr>
            <w:tcW w:w="6961" w:type="dxa"/>
            <w:vMerge w:val="restart"/>
            <w:tcBorders>
              <w:top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未按规定对施工单位的主要负责人、项目负责人以及专职安全生产管理人员资格进行审查</w:t>
            </w:r>
          </w:p>
        </w:tc>
        <w:tc>
          <w:tcPr>
            <w:tcW w:w="635" w:type="dxa"/>
            <w:gridSpan w:val="2"/>
            <w:vMerge w:val="restart"/>
            <w:tcBorders>
              <w:top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139" w:hRule="atLeast"/>
        </w:trPr>
        <w:tc>
          <w:tcPr>
            <w:tcW w:w="703" w:type="dxa"/>
            <w:vMerge w:val="continue"/>
            <w:tcBorders>
              <w:left w:val="single" w:color="auto" w:sz="8" w:space="0"/>
              <w:right w:val="single" w:color="auto" w:sz="8" w:space="0"/>
            </w:tcBorders>
            <w:vAlign w:val="bottom"/>
          </w:tcPr>
          <w:p>
            <w:pPr>
              <w:rPr>
                <w:sz w:val="12"/>
                <w:szCs w:val="12"/>
                <w:highlight w:val="none"/>
              </w:rPr>
            </w:pPr>
          </w:p>
        </w:tc>
        <w:tc>
          <w:tcPr>
            <w:tcW w:w="6961" w:type="dxa"/>
            <w:vMerge w:val="continue"/>
            <w:tcBorders>
              <w:right w:val="single" w:color="auto" w:sz="8" w:space="0"/>
            </w:tcBorders>
            <w:vAlign w:val="bottom"/>
          </w:tcPr>
          <w:p>
            <w:pPr>
              <w:spacing w:line="263" w:lineRule="exact"/>
              <w:ind w:left="20"/>
              <w:rPr>
                <w:sz w:val="20"/>
                <w:highlight w:val="none"/>
              </w:rPr>
            </w:pPr>
          </w:p>
        </w:tc>
        <w:tc>
          <w:tcPr>
            <w:tcW w:w="635" w:type="dxa"/>
            <w:gridSpan w:val="2"/>
            <w:vMerge w:val="continue"/>
            <w:tcBorders>
              <w:right w:val="single" w:color="auto" w:sz="8" w:space="0"/>
            </w:tcBorders>
            <w:vAlign w:val="bottom"/>
          </w:tcPr>
          <w:p>
            <w:pPr>
              <w:rPr>
                <w:sz w:val="12"/>
                <w:szCs w:val="12"/>
                <w:highlight w:val="none"/>
              </w:rPr>
            </w:pPr>
          </w:p>
        </w:tc>
        <w:tc>
          <w:tcPr>
            <w:tcW w:w="17" w:type="dxa"/>
            <w:vAlign w:val="bottom"/>
          </w:tcPr>
          <w:p>
            <w:pPr>
              <w:rPr>
                <w:sz w:val="1"/>
                <w:szCs w:val="1"/>
                <w:highlight w:val="none"/>
              </w:rPr>
            </w:pPr>
          </w:p>
        </w:tc>
      </w:tr>
      <w:tr>
        <w:tblPrEx>
          <w:tblCellMar>
            <w:top w:w="0" w:type="dxa"/>
            <w:left w:w="0" w:type="dxa"/>
            <w:bottom w:w="0" w:type="dxa"/>
            <w:right w:w="0" w:type="dxa"/>
          </w:tblCellMar>
        </w:tblPrEx>
        <w:trPr>
          <w:trHeight w:val="138" w:hRule="atLeast"/>
        </w:trPr>
        <w:tc>
          <w:tcPr>
            <w:tcW w:w="703" w:type="dxa"/>
            <w:tcBorders>
              <w:left w:val="single" w:color="auto" w:sz="8" w:space="0"/>
              <w:bottom w:val="single" w:color="auto" w:sz="4" w:space="0"/>
              <w:right w:val="single" w:color="auto" w:sz="8" w:space="0"/>
            </w:tcBorders>
            <w:vAlign w:val="bottom"/>
          </w:tcPr>
          <w:p>
            <w:pPr>
              <w:rPr>
                <w:sz w:val="12"/>
                <w:szCs w:val="12"/>
                <w:highlight w:val="none"/>
              </w:rPr>
            </w:pPr>
          </w:p>
        </w:tc>
        <w:tc>
          <w:tcPr>
            <w:tcW w:w="6961" w:type="dxa"/>
            <w:vMerge w:val="continue"/>
            <w:tcBorders>
              <w:bottom w:val="single" w:color="auto" w:sz="4" w:space="0"/>
              <w:right w:val="single" w:color="auto" w:sz="8" w:space="0"/>
            </w:tcBorders>
            <w:vAlign w:val="bottom"/>
          </w:tcPr>
          <w:p>
            <w:pPr>
              <w:rPr>
                <w:sz w:val="12"/>
                <w:szCs w:val="12"/>
                <w:highlight w:val="none"/>
              </w:rPr>
            </w:pPr>
          </w:p>
        </w:tc>
        <w:tc>
          <w:tcPr>
            <w:tcW w:w="635" w:type="dxa"/>
            <w:gridSpan w:val="2"/>
            <w:tcBorders>
              <w:bottom w:val="single" w:color="auto" w:sz="4" w:space="0"/>
              <w:right w:val="single" w:color="auto" w:sz="8" w:space="0"/>
            </w:tcBorders>
            <w:vAlign w:val="bottom"/>
          </w:tcPr>
          <w:p>
            <w:pPr>
              <w:rPr>
                <w:sz w:val="12"/>
                <w:szCs w:val="12"/>
                <w:highlight w:val="none"/>
              </w:rPr>
            </w:pPr>
          </w:p>
        </w:tc>
        <w:tc>
          <w:tcPr>
            <w:tcW w:w="17" w:type="dxa"/>
            <w:tcBorders>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6"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12</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未按规定监督施工单位安全生产经费使用</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（四）</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其他</w:t>
            </w:r>
          </w:p>
        </w:tc>
        <w:tc>
          <w:tcPr>
            <w:tcW w:w="635" w:type="dxa"/>
            <w:gridSpan w:val="2"/>
            <w:tcBorders>
              <w:top w:val="single" w:color="auto" w:sz="4" w:space="0"/>
              <w:bottom w:val="single" w:color="auto" w:sz="4" w:space="0"/>
              <w:right w:val="single" w:color="auto" w:sz="8" w:space="0"/>
            </w:tcBorders>
            <w:vAlign w:val="bottom"/>
          </w:tcPr>
          <w:p>
            <w:pPr>
              <w:rPr>
                <w:sz w:val="24"/>
                <w:highlight w:val="none"/>
              </w:rPr>
            </w:pP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13</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未提供安全防护用具及服装</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5"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86"/>
                <w:sz w:val="23"/>
                <w:szCs w:val="23"/>
                <w:highlight w:val="none"/>
              </w:rPr>
              <w:t>14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未组织消防检查和消防演练</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（一）</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安全保证体系</w:t>
            </w:r>
          </w:p>
        </w:tc>
        <w:tc>
          <w:tcPr>
            <w:tcW w:w="626" w:type="dxa"/>
            <w:tcBorders>
              <w:top w:val="single" w:color="auto" w:sz="4" w:space="0"/>
              <w:bottom w:val="single" w:color="auto" w:sz="4" w:space="0"/>
              <w:right w:val="single" w:color="auto" w:sz="8" w:space="0"/>
            </w:tcBorders>
            <w:vAlign w:val="bottom"/>
          </w:tcPr>
          <w:p>
            <w:pPr>
              <w:rPr>
                <w:sz w:val="24"/>
                <w:highlight w:val="none"/>
              </w:rPr>
            </w:pP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未建立安全生产管理机构</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2</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安全管理制度、操作规程不完善、不落实</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3</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未配备专职安全生产管理人员或人员资格不符合要求</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特种作业人员未持证上岗</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5</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调减、挪用安全管理措施费用</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6</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未按规定制定、落实安全生产目标管理计划</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7</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安全生产目标管理计划未报监理审核</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8</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未逐级签订安全生产目标责任书</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（二）</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技术方案</w:t>
            </w:r>
          </w:p>
        </w:tc>
        <w:tc>
          <w:tcPr>
            <w:tcW w:w="626" w:type="dxa"/>
            <w:tcBorders>
              <w:top w:val="single" w:color="auto" w:sz="4" w:space="0"/>
              <w:bottom w:val="single" w:color="auto" w:sz="4" w:space="0"/>
              <w:right w:val="single" w:color="auto" w:sz="8" w:space="0"/>
            </w:tcBorders>
            <w:vAlign w:val="bottom"/>
          </w:tcPr>
          <w:p>
            <w:pPr>
              <w:rPr>
                <w:sz w:val="24"/>
                <w:highlight w:val="none"/>
              </w:rPr>
            </w:pP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2"/>
                <w:sz w:val="23"/>
                <w:szCs w:val="23"/>
                <w:highlight w:val="none"/>
              </w:rPr>
              <w:t>9</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未按规定制定危险性较大的专项工程施工方案</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10</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危险性较大的专项工程施工方案未组织论证</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未组织安全技术交底</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12</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未定期召开安全生产会议</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13</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未按规定进行安全生产目标完成情况考核</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（三）</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设施、设备、材料管理</w:t>
            </w:r>
          </w:p>
        </w:tc>
        <w:tc>
          <w:tcPr>
            <w:tcW w:w="626" w:type="dxa"/>
            <w:tcBorders>
              <w:top w:val="single" w:color="auto" w:sz="4" w:space="0"/>
              <w:bottom w:val="single" w:color="auto" w:sz="4" w:space="0"/>
              <w:right w:val="single" w:color="auto" w:sz="8" w:space="0"/>
            </w:tcBorders>
            <w:vAlign w:val="bottom"/>
          </w:tcPr>
          <w:p>
            <w:pPr>
              <w:rPr>
                <w:sz w:val="24"/>
                <w:highlight w:val="none"/>
              </w:rPr>
            </w:pP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未经批准，进行特种设备安装、拆除</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17" w:hRule="atLeast"/>
        </w:trPr>
        <w:tc>
          <w:tcPr>
            <w:tcW w:w="703" w:type="dxa"/>
            <w:vMerge w:val="restart"/>
            <w:tcBorders>
              <w:top w:val="single" w:color="auto" w:sz="4" w:space="0"/>
              <w:left w:val="single" w:color="auto" w:sz="8"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15</w:t>
            </w:r>
          </w:p>
        </w:tc>
        <w:tc>
          <w:tcPr>
            <w:tcW w:w="6961" w:type="dxa"/>
            <w:vMerge w:val="restart"/>
            <w:tcBorders>
              <w:top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未组织施工起重机械和整体提升脚手架、模板等自升式架设设施验收，或验收不合格，擅自使用</w:t>
            </w:r>
          </w:p>
        </w:tc>
        <w:tc>
          <w:tcPr>
            <w:tcW w:w="626" w:type="dxa"/>
            <w:vMerge w:val="restart"/>
            <w:tcBorders>
              <w:top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68" w:hRule="atLeast"/>
        </w:trPr>
        <w:tc>
          <w:tcPr>
            <w:tcW w:w="703" w:type="dxa"/>
            <w:vMerge w:val="continue"/>
            <w:tcBorders>
              <w:left w:val="single" w:color="auto" w:sz="8" w:space="0"/>
              <w:bottom w:val="single" w:color="auto" w:sz="8" w:space="0"/>
              <w:right w:val="single" w:color="auto" w:sz="8" w:space="0"/>
            </w:tcBorders>
            <w:vAlign w:val="bottom"/>
          </w:tcPr>
          <w:p>
            <w:pPr>
              <w:rPr>
                <w:sz w:val="5"/>
                <w:szCs w:val="5"/>
                <w:highlight w:val="none"/>
              </w:rPr>
            </w:pPr>
          </w:p>
        </w:tc>
        <w:tc>
          <w:tcPr>
            <w:tcW w:w="6961" w:type="dxa"/>
            <w:vMerge w:val="continue"/>
            <w:tcBorders>
              <w:bottom w:val="single" w:color="auto" w:sz="8" w:space="0"/>
              <w:right w:val="single" w:color="auto" w:sz="8" w:space="0"/>
            </w:tcBorders>
            <w:vAlign w:val="bottom"/>
          </w:tcPr>
          <w:p>
            <w:pPr>
              <w:rPr>
                <w:sz w:val="5"/>
                <w:szCs w:val="5"/>
                <w:highlight w:val="none"/>
              </w:rPr>
            </w:pPr>
          </w:p>
        </w:tc>
        <w:tc>
          <w:tcPr>
            <w:tcW w:w="626" w:type="dxa"/>
            <w:vMerge w:val="continue"/>
            <w:tcBorders>
              <w:bottom w:val="single" w:color="auto" w:sz="8" w:space="0"/>
              <w:right w:val="single" w:color="auto" w:sz="8" w:space="0"/>
            </w:tcBorders>
            <w:vAlign w:val="bottom"/>
          </w:tcPr>
          <w:p>
            <w:pPr>
              <w:rPr>
                <w:sz w:val="5"/>
                <w:szCs w:val="5"/>
                <w:highlight w:val="none"/>
              </w:rPr>
            </w:pPr>
          </w:p>
        </w:tc>
        <w:tc>
          <w:tcPr>
            <w:tcW w:w="26" w:type="dxa"/>
            <w:gridSpan w:val="2"/>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703" w:type="dxa"/>
            <w:tcBorders>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16</w:t>
            </w:r>
          </w:p>
        </w:tc>
        <w:tc>
          <w:tcPr>
            <w:tcW w:w="6961" w:type="dxa"/>
            <w:tcBorders>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租用检测不合格的机械设备、施工机具及构配件</w:t>
            </w:r>
          </w:p>
        </w:tc>
        <w:tc>
          <w:tcPr>
            <w:tcW w:w="626" w:type="dxa"/>
            <w:tcBorders>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26" w:type="dxa"/>
            <w:gridSpan w:val="2"/>
            <w:tcBorders>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17</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未按规定运输、存放、使用危险品</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18</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安全设施、设备及相应附件、管线等保护不到位</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19</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安全设施、设备使用前未进行荷载试验</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20</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未定期对设备、用具安全状况进行检查、检验、维修、保养</w:t>
            </w:r>
          </w:p>
        </w:tc>
        <w:tc>
          <w:tcPr>
            <w:tcW w:w="626" w:type="dxa"/>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26" w:type="dxa"/>
            <w:gridSpan w:val="2"/>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（四）</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施工作业</w:t>
            </w:r>
          </w:p>
        </w:tc>
        <w:tc>
          <w:tcPr>
            <w:tcW w:w="635" w:type="dxa"/>
            <w:gridSpan w:val="2"/>
            <w:tcBorders>
              <w:top w:val="single" w:color="auto" w:sz="4" w:space="0"/>
              <w:bottom w:val="single" w:color="auto" w:sz="4" w:space="0"/>
              <w:right w:val="single" w:color="auto" w:sz="8" w:space="0"/>
            </w:tcBorders>
            <w:vAlign w:val="bottom"/>
          </w:tcPr>
          <w:p>
            <w:pPr>
              <w:rPr>
                <w:sz w:val="24"/>
                <w:highlight w:val="none"/>
              </w:rPr>
            </w:pP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违章指挥、违规操作</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22</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对发现的违章指挥、违规操作未予以制止和纠正</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23</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危险性较大的专项施工无专兼职安全生产管理人员现场监督</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违规用电、用火，存在风险隐患</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25</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未按照技术方案、操作规程作业</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26</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作业人员未按规定使用安全防护用具及服装</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（五）</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施工环境</w:t>
            </w:r>
          </w:p>
        </w:tc>
        <w:tc>
          <w:tcPr>
            <w:tcW w:w="635" w:type="dxa"/>
            <w:gridSpan w:val="2"/>
            <w:tcBorders>
              <w:top w:val="single" w:color="auto" w:sz="4" w:space="0"/>
              <w:bottom w:val="single" w:color="auto" w:sz="4" w:space="0"/>
              <w:right w:val="single" w:color="auto" w:sz="8" w:space="0"/>
            </w:tcBorders>
            <w:vAlign w:val="bottom"/>
          </w:tcPr>
          <w:p>
            <w:pPr>
              <w:rPr>
                <w:sz w:val="24"/>
                <w:highlight w:val="none"/>
              </w:rPr>
            </w:pP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27</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未组织施工安全重大危险源识别、控制、管理</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28</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未按要求在危险部位、设施设备设置安全警示标示</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29</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设备、原材料、半成品、成品存放混乱、标识不清</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一般</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30</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安全间距、尺寸、电压等不符合规定</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安全防护措施不符合规定</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17" w:hRule="atLeast"/>
        </w:trPr>
        <w:tc>
          <w:tcPr>
            <w:tcW w:w="703" w:type="dxa"/>
            <w:vMerge w:val="restart"/>
            <w:tcBorders>
              <w:top w:val="single" w:color="auto" w:sz="4" w:space="0"/>
              <w:left w:val="single" w:color="auto" w:sz="8"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32</w:t>
            </w:r>
          </w:p>
        </w:tc>
        <w:tc>
          <w:tcPr>
            <w:tcW w:w="6961" w:type="dxa"/>
            <w:vMerge w:val="restart"/>
            <w:tcBorders>
              <w:top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施工照明、通风、排烟、排水、防雨、防雷、防风、防火、防辐射等不符合规定</w:t>
            </w:r>
          </w:p>
        </w:tc>
        <w:tc>
          <w:tcPr>
            <w:tcW w:w="635" w:type="dxa"/>
            <w:gridSpan w:val="2"/>
            <w:vMerge w:val="restart"/>
            <w:tcBorders>
              <w:top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138" w:hRule="atLeast"/>
        </w:trPr>
        <w:tc>
          <w:tcPr>
            <w:tcW w:w="703" w:type="dxa"/>
            <w:vMerge w:val="continue"/>
            <w:tcBorders>
              <w:left w:val="single" w:color="auto" w:sz="8" w:space="0"/>
              <w:right w:val="single" w:color="auto" w:sz="8" w:space="0"/>
            </w:tcBorders>
            <w:vAlign w:val="bottom"/>
          </w:tcPr>
          <w:p>
            <w:pPr>
              <w:rPr>
                <w:sz w:val="12"/>
                <w:szCs w:val="12"/>
                <w:highlight w:val="none"/>
              </w:rPr>
            </w:pPr>
          </w:p>
        </w:tc>
        <w:tc>
          <w:tcPr>
            <w:tcW w:w="6961" w:type="dxa"/>
            <w:vMerge w:val="continue"/>
            <w:tcBorders>
              <w:right w:val="single" w:color="auto" w:sz="8" w:space="0"/>
            </w:tcBorders>
            <w:vAlign w:val="bottom"/>
          </w:tcPr>
          <w:p>
            <w:pPr>
              <w:spacing w:line="263" w:lineRule="exact"/>
              <w:ind w:left="20"/>
              <w:rPr>
                <w:sz w:val="20"/>
                <w:highlight w:val="none"/>
              </w:rPr>
            </w:pPr>
          </w:p>
        </w:tc>
        <w:tc>
          <w:tcPr>
            <w:tcW w:w="635" w:type="dxa"/>
            <w:gridSpan w:val="2"/>
            <w:vMerge w:val="continue"/>
            <w:tcBorders>
              <w:right w:val="single" w:color="auto" w:sz="8" w:space="0"/>
            </w:tcBorders>
            <w:vAlign w:val="bottom"/>
          </w:tcPr>
          <w:p>
            <w:pPr>
              <w:rPr>
                <w:sz w:val="12"/>
                <w:szCs w:val="12"/>
                <w:highlight w:val="none"/>
              </w:rPr>
            </w:pPr>
          </w:p>
        </w:tc>
        <w:tc>
          <w:tcPr>
            <w:tcW w:w="17" w:type="dxa"/>
            <w:vAlign w:val="bottom"/>
          </w:tcPr>
          <w:p>
            <w:pPr>
              <w:rPr>
                <w:sz w:val="1"/>
                <w:szCs w:val="1"/>
                <w:highlight w:val="none"/>
              </w:rPr>
            </w:pPr>
          </w:p>
        </w:tc>
      </w:tr>
      <w:tr>
        <w:tblPrEx>
          <w:tblCellMar>
            <w:top w:w="0" w:type="dxa"/>
            <w:left w:w="0" w:type="dxa"/>
            <w:bottom w:w="0" w:type="dxa"/>
            <w:right w:w="0" w:type="dxa"/>
          </w:tblCellMar>
        </w:tblPrEx>
        <w:trPr>
          <w:trHeight w:val="68" w:hRule="atLeast"/>
        </w:trPr>
        <w:tc>
          <w:tcPr>
            <w:tcW w:w="703" w:type="dxa"/>
            <w:tcBorders>
              <w:left w:val="single" w:color="auto" w:sz="8" w:space="0"/>
              <w:bottom w:val="single" w:color="auto" w:sz="8" w:space="0"/>
              <w:right w:val="single" w:color="auto" w:sz="8" w:space="0"/>
            </w:tcBorders>
            <w:vAlign w:val="bottom"/>
          </w:tcPr>
          <w:p>
            <w:pPr>
              <w:rPr>
                <w:sz w:val="5"/>
                <w:szCs w:val="5"/>
                <w:highlight w:val="none"/>
              </w:rPr>
            </w:pPr>
          </w:p>
        </w:tc>
        <w:tc>
          <w:tcPr>
            <w:tcW w:w="6961" w:type="dxa"/>
            <w:vMerge w:val="continue"/>
            <w:tcBorders>
              <w:bottom w:val="single" w:color="auto" w:sz="8" w:space="0"/>
              <w:right w:val="single" w:color="auto" w:sz="8" w:space="0"/>
            </w:tcBorders>
            <w:vAlign w:val="bottom"/>
          </w:tcPr>
          <w:p>
            <w:pPr>
              <w:rPr>
                <w:sz w:val="5"/>
                <w:szCs w:val="5"/>
                <w:highlight w:val="none"/>
              </w:rPr>
            </w:pPr>
          </w:p>
        </w:tc>
        <w:tc>
          <w:tcPr>
            <w:tcW w:w="635" w:type="dxa"/>
            <w:gridSpan w:val="2"/>
            <w:tcBorders>
              <w:bottom w:val="single" w:color="auto" w:sz="8" w:space="0"/>
              <w:right w:val="single" w:color="auto" w:sz="8" w:space="0"/>
            </w:tcBorders>
            <w:vAlign w:val="bottom"/>
          </w:tcPr>
          <w:p>
            <w:pPr>
              <w:rPr>
                <w:sz w:val="5"/>
                <w:szCs w:val="5"/>
                <w:highlight w:val="none"/>
              </w:rPr>
            </w:pPr>
          </w:p>
        </w:tc>
        <w:tc>
          <w:tcPr>
            <w:tcW w:w="17" w:type="dxa"/>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703" w:type="dxa"/>
            <w:tcBorders>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33</w:t>
            </w:r>
          </w:p>
        </w:tc>
        <w:tc>
          <w:tcPr>
            <w:tcW w:w="6961" w:type="dxa"/>
            <w:tcBorders>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施工场内交通设置不符合规定</w:t>
            </w:r>
          </w:p>
        </w:tc>
        <w:tc>
          <w:tcPr>
            <w:tcW w:w="635" w:type="dxa"/>
            <w:gridSpan w:val="2"/>
            <w:tcBorders>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未提供安全防护用具及服装</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（六）</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安全隐患排查及安全事故处理</w:t>
            </w:r>
          </w:p>
        </w:tc>
        <w:tc>
          <w:tcPr>
            <w:tcW w:w="635" w:type="dxa"/>
            <w:gridSpan w:val="2"/>
            <w:tcBorders>
              <w:top w:val="single" w:color="auto" w:sz="4" w:space="0"/>
              <w:bottom w:val="single" w:color="auto" w:sz="4" w:space="0"/>
              <w:right w:val="single" w:color="auto" w:sz="8" w:space="0"/>
            </w:tcBorders>
            <w:vAlign w:val="bottom"/>
          </w:tcPr>
          <w:p>
            <w:pPr>
              <w:rPr>
                <w:sz w:val="24"/>
                <w:highlight w:val="none"/>
              </w:rPr>
            </w:pP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35</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未按规定组织安全生产检查</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36</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安全生产检查无记录或记录不全</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一般</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37</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安全监测发现重大异常，影响工程安全，未按规定及时报告</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38</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发现安全事故隐患，未及时报告</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39</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发生生产安全事故，未按规定上报或瞒报</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40</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未按规定对安全隐患进行整改</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（七）</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防洪度汛与应急管理</w:t>
            </w:r>
          </w:p>
        </w:tc>
        <w:tc>
          <w:tcPr>
            <w:tcW w:w="635" w:type="dxa"/>
            <w:gridSpan w:val="2"/>
            <w:tcBorders>
              <w:top w:val="single" w:color="auto" w:sz="4" w:space="0"/>
              <w:bottom w:val="single" w:color="auto" w:sz="4" w:space="0"/>
              <w:right w:val="single" w:color="auto" w:sz="8" w:space="0"/>
            </w:tcBorders>
            <w:vAlign w:val="bottom"/>
          </w:tcPr>
          <w:p>
            <w:pPr>
              <w:rPr>
                <w:sz w:val="24"/>
                <w:highlight w:val="none"/>
              </w:rPr>
            </w:pP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未编制度汛方案</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42</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未制定生产安全事故应急救援预案</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43</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未按规定配备应急救援、消防、联络通信等器材、设备</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44</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未进行生产安全事故应急救援、防汛应急、消防等演练</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（八）</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安全培训教育</w:t>
            </w:r>
          </w:p>
        </w:tc>
        <w:tc>
          <w:tcPr>
            <w:tcW w:w="635" w:type="dxa"/>
            <w:gridSpan w:val="2"/>
            <w:tcBorders>
              <w:top w:val="single" w:color="auto" w:sz="4" w:space="0"/>
              <w:bottom w:val="single" w:color="auto" w:sz="4" w:space="0"/>
              <w:right w:val="single" w:color="auto" w:sz="8" w:space="0"/>
            </w:tcBorders>
            <w:vAlign w:val="bottom"/>
          </w:tcPr>
          <w:p>
            <w:pPr>
              <w:rPr>
                <w:sz w:val="24"/>
                <w:highlight w:val="none"/>
              </w:rPr>
            </w:pP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45</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未按规定组织安全生产教育培训</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46</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人员安全教育时间、频次不满足规定</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（九）</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档案管理</w:t>
            </w:r>
          </w:p>
        </w:tc>
        <w:tc>
          <w:tcPr>
            <w:tcW w:w="635" w:type="dxa"/>
            <w:gridSpan w:val="2"/>
            <w:tcBorders>
              <w:top w:val="single" w:color="auto" w:sz="4" w:space="0"/>
              <w:bottom w:val="single" w:color="auto" w:sz="4" w:space="0"/>
              <w:right w:val="single" w:color="auto" w:sz="8" w:space="0"/>
            </w:tcBorders>
            <w:vAlign w:val="bottom"/>
          </w:tcPr>
          <w:p>
            <w:pPr>
              <w:rPr>
                <w:sz w:val="24"/>
                <w:highlight w:val="none"/>
              </w:rPr>
            </w:pP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17" w:hRule="atLeast"/>
        </w:trPr>
        <w:tc>
          <w:tcPr>
            <w:tcW w:w="703" w:type="dxa"/>
            <w:vMerge w:val="restart"/>
            <w:tcBorders>
              <w:top w:val="single" w:color="auto" w:sz="4" w:space="0"/>
              <w:left w:val="single" w:color="auto" w:sz="8"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47</w:t>
            </w:r>
          </w:p>
        </w:tc>
        <w:tc>
          <w:tcPr>
            <w:tcW w:w="6961" w:type="dxa"/>
            <w:vMerge w:val="restart"/>
            <w:tcBorders>
              <w:top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未建立安全生产、安全防护用具、特种设备安全技术等档案或档案不符合规定</w:t>
            </w:r>
          </w:p>
        </w:tc>
        <w:tc>
          <w:tcPr>
            <w:tcW w:w="635" w:type="dxa"/>
            <w:gridSpan w:val="2"/>
            <w:vMerge w:val="restart"/>
            <w:tcBorders>
              <w:top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137" w:hRule="atLeast"/>
        </w:trPr>
        <w:tc>
          <w:tcPr>
            <w:tcW w:w="703" w:type="dxa"/>
            <w:vMerge w:val="continue"/>
            <w:tcBorders>
              <w:left w:val="single" w:color="auto" w:sz="8" w:space="0"/>
              <w:right w:val="single" w:color="auto" w:sz="8" w:space="0"/>
            </w:tcBorders>
            <w:vAlign w:val="bottom"/>
          </w:tcPr>
          <w:p>
            <w:pPr>
              <w:rPr>
                <w:sz w:val="11"/>
                <w:szCs w:val="11"/>
                <w:highlight w:val="none"/>
              </w:rPr>
            </w:pPr>
          </w:p>
        </w:tc>
        <w:tc>
          <w:tcPr>
            <w:tcW w:w="6961" w:type="dxa"/>
            <w:vMerge w:val="continue"/>
            <w:tcBorders>
              <w:right w:val="single" w:color="auto" w:sz="8" w:space="0"/>
            </w:tcBorders>
            <w:vAlign w:val="bottom"/>
          </w:tcPr>
          <w:p>
            <w:pPr>
              <w:spacing w:line="263" w:lineRule="exact"/>
              <w:ind w:left="20"/>
              <w:rPr>
                <w:sz w:val="20"/>
                <w:highlight w:val="none"/>
              </w:rPr>
            </w:pPr>
          </w:p>
        </w:tc>
        <w:tc>
          <w:tcPr>
            <w:tcW w:w="635" w:type="dxa"/>
            <w:gridSpan w:val="2"/>
            <w:vMerge w:val="continue"/>
            <w:tcBorders>
              <w:right w:val="single" w:color="auto" w:sz="8" w:space="0"/>
            </w:tcBorders>
            <w:vAlign w:val="bottom"/>
          </w:tcPr>
          <w:p>
            <w:pPr>
              <w:rPr>
                <w:sz w:val="11"/>
                <w:szCs w:val="11"/>
                <w:highlight w:val="none"/>
              </w:rPr>
            </w:pPr>
          </w:p>
        </w:tc>
        <w:tc>
          <w:tcPr>
            <w:tcW w:w="17" w:type="dxa"/>
            <w:vAlign w:val="bottom"/>
          </w:tcPr>
          <w:p>
            <w:pPr>
              <w:rPr>
                <w:sz w:val="1"/>
                <w:szCs w:val="1"/>
                <w:highlight w:val="none"/>
              </w:rPr>
            </w:pPr>
          </w:p>
        </w:tc>
      </w:tr>
      <w:tr>
        <w:tblPrEx>
          <w:tblCellMar>
            <w:top w:w="0" w:type="dxa"/>
            <w:left w:w="0" w:type="dxa"/>
            <w:bottom w:w="0" w:type="dxa"/>
            <w:right w:w="0" w:type="dxa"/>
          </w:tblCellMar>
        </w:tblPrEx>
        <w:trPr>
          <w:trHeight w:val="68" w:hRule="atLeast"/>
        </w:trPr>
        <w:tc>
          <w:tcPr>
            <w:tcW w:w="703" w:type="dxa"/>
            <w:tcBorders>
              <w:left w:val="single" w:color="auto" w:sz="8" w:space="0"/>
              <w:bottom w:val="single" w:color="auto" w:sz="8" w:space="0"/>
              <w:right w:val="single" w:color="auto" w:sz="8" w:space="0"/>
            </w:tcBorders>
            <w:vAlign w:val="bottom"/>
          </w:tcPr>
          <w:p>
            <w:pPr>
              <w:rPr>
                <w:sz w:val="5"/>
                <w:szCs w:val="5"/>
                <w:highlight w:val="none"/>
              </w:rPr>
            </w:pPr>
          </w:p>
        </w:tc>
        <w:tc>
          <w:tcPr>
            <w:tcW w:w="6961" w:type="dxa"/>
            <w:vMerge w:val="continue"/>
            <w:tcBorders>
              <w:bottom w:val="single" w:color="auto" w:sz="8" w:space="0"/>
              <w:right w:val="single" w:color="auto" w:sz="8" w:space="0"/>
            </w:tcBorders>
            <w:vAlign w:val="bottom"/>
          </w:tcPr>
          <w:p>
            <w:pPr>
              <w:rPr>
                <w:sz w:val="5"/>
                <w:szCs w:val="5"/>
                <w:highlight w:val="none"/>
              </w:rPr>
            </w:pPr>
          </w:p>
        </w:tc>
        <w:tc>
          <w:tcPr>
            <w:tcW w:w="635" w:type="dxa"/>
            <w:gridSpan w:val="2"/>
            <w:tcBorders>
              <w:bottom w:val="single" w:color="auto" w:sz="8" w:space="0"/>
              <w:right w:val="single" w:color="auto" w:sz="8" w:space="0"/>
            </w:tcBorders>
            <w:vAlign w:val="bottom"/>
          </w:tcPr>
          <w:p>
            <w:pPr>
              <w:rPr>
                <w:sz w:val="5"/>
                <w:szCs w:val="5"/>
                <w:highlight w:val="none"/>
              </w:rPr>
            </w:pPr>
          </w:p>
        </w:tc>
        <w:tc>
          <w:tcPr>
            <w:tcW w:w="17" w:type="dxa"/>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48</w:t>
            </w:r>
          </w:p>
        </w:tc>
        <w:tc>
          <w:tcPr>
            <w:tcW w:w="6961" w:type="dxa"/>
            <w:tcBorders>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未设置特种设备使用登记标志、定期检验标志</w:t>
            </w:r>
          </w:p>
        </w:tc>
        <w:tc>
          <w:tcPr>
            <w:tcW w:w="635" w:type="dxa"/>
            <w:gridSpan w:val="2"/>
            <w:tcBorders>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一般</w:t>
            </w:r>
          </w:p>
        </w:tc>
        <w:tc>
          <w:tcPr>
            <w:tcW w:w="17" w:type="dxa"/>
            <w:tcBorders>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89"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49</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各类安全检查、检测记录不全</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一般</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b/>
                <w:bCs/>
                <w:w w:val="98"/>
                <w:sz w:val="23"/>
                <w:szCs w:val="23"/>
                <w:highlight w:val="none"/>
              </w:rPr>
              <w:t>（十）</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b/>
                <w:bCs/>
                <w:sz w:val="23"/>
                <w:szCs w:val="23"/>
                <w:highlight w:val="none"/>
              </w:rPr>
              <w:t>其他</w:t>
            </w:r>
          </w:p>
        </w:tc>
        <w:tc>
          <w:tcPr>
            <w:tcW w:w="635" w:type="dxa"/>
            <w:gridSpan w:val="2"/>
            <w:tcBorders>
              <w:top w:val="single" w:color="auto" w:sz="4" w:space="0"/>
              <w:bottom w:val="single" w:color="auto" w:sz="4" w:space="0"/>
              <w:right w:val="single" w:color="auto" w:sz="8" w:space="0"/>
            </w:tcBorders>
            <w:vAlign w:val="bottom"/>
          </w:tcPr>
          <w:p>
            <w:pPr>
              <w:rPr>
                <w:sz w:val="24"/>
                <w:highlight w:val="none"/>
              </w:rPr>
            </w:pP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50</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未对专项施工方案中的安全防护措施组织验收即投入使用</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较重</w:t>
            </w:r>
          </w:p>
        </w:tc>
        <w:tc>
          <w:tcPr>
            <w:tcW w:w="17" w:type="dxa"/>
            <w:tcBorders>
              <w:top w:val="single" w:color="auto" w:sz="4" w:space="0"/>
              <w:bottom w:val="single" w:color="auto" w:sz="4" w:space="0"/>
            </w:tcBorders>
            <w:vAlign w:val="bottom"/>
          </w:tcPr>
          <w:p>
            <w:pPr>
              <w:rPr>
                <w:sz w:val="1"/>
                <w:szCs w:val="1"/>
                <w:highlight w:val="none"/>
              </w:rPr>
            </w:pPr>
          </w:p>
        </w:tc>
      </w:tr>
      <w:tr>
        <w:tblPrEx>
          <w:tblCellMar>
            <w:top w:w="0" w:type="dxa"/>
            <w:left w:w="0" w:type="dxa"/>
            <w:bottom w:w="0" w:type="dxa"/>
            <w:right w:w="0" w:type="dxa"/>
          </w:tblCellMar>
        </w:tblPrEx>
        <w:trPr>
          <w:trHeight w:val="390" w:hRule="atLeast"/>
        </w:trPr>
        <w:tc>
          <w:tcPr>
            <w:tcW w:w="703" w:type="dxa"/>
            <w:tcBorders>
              <w:top w:val="single" w:color="auto" w:sz="4" w:space="0"/>
              <w:left w:val="single" w:color="auto" w:sz="8" w:space="0"/>
              <w:bottom w:val="single" w:color="auto" w:sz="4" w:space="0"/>
              <w:right w:val="single" w:color="auto" w:sz="8" w:space="0"/>
            </w:tcBorders>
            <w:vAlign w:val="bottom"/>
          </w:tcPr>
          <w:p>
            <w:pPr>
              <w:jc w:val="center"/>
              <w:rPr>
                <w:sz w:val="20"/>
                <w:highlight w:val="none"/>
              </w:rPr>
            </w:pPr>
            <w:r>
              <w:rPr>
                <w:rFonts w:ascii="Courier New" w:hAnsi="Courier New" w:eastAsia="Courier New" w:cs="Courier New"/>
                <w:w w:val="79"/>
                <w:sz w:val="23"/>
                <w:szCs w:val="23"/>
                <w:highlight w:val="none"/>
              </w:rPr>
              <w:t>51</w:t>
            </w:r>
          </w:p>
        </w:tc>
        <w:tc>
          <w:tcPr>
            <w:tcW w:w="6961" w:type="dxa"/>
            <w:tcBorders>
              <w:top w:val="single" w:color="auto" w:sz="4" w:space="0"/>
              <w:bottom w:val="single" w:color="auto" w:sz="4" w:space="0"/>
              <w:right w:val="single" w:color="auto" w:sz="8" w:space="0"/>
            </w:tcBorders>
            <w:vAlign w:val="bottom"/>
          </w:tcPr>
          <w:p>
            <w:pPr>
              <w:spacing w:line="263" w:lineRule="exact"/>
              <w:ind w:left="20"/>
              <w:rPr>
                <w:sz w:val="20"/>
                <w:highlight w:val="none"/>
              </w:rPr>
            </w:pPr>
            <w:r>
              <w:rPr>
                <w:rFonts w:ascii="新宋体" w:hAnsi="新宋体" w:eastAsia="新宋体" w:cs="新宋体"/>
                <w:sz w:val="23"/>
                <w:szCs w:val="23"/>
                <w:highlight w:val="none"/>
              </w:rPr>
              <w:t>使用国家明令淘汰、禁止使用工艺、设备、材料</w:t>
            </w:r>
          </w:p>
        </w:tc>
        <w:tc>
          <w:tcPr>
            <w:tcW w:w="635" w:type="dxa"/>
            <w:gridSpan w:val="2"/>
            <w:tcBorders>
              <w:top w:val="single" w:color="auto" w:sz="4" w:space="0"/>
              <w:bottom w:val="single" w:color="auto" w:sz="4" w:space="0"/>
              <w:right w:val="single" w:color="auto" w:sz="8" w:space="0"/>
            </w:tcBorders>
            <w:vAlign w:val="bottom"/>
          </w:tcPr>
          <w:p>
            <w:pPr>
              <w:spacing w:line="263" w:lineRule="exact"/>
              <w:jc w:val="center"/>
              <w:rPr>
                <w:sz w:val="20"/>
                <w:highlight w:val="none"/>
              </w:rPr>
            </w:pPr>
            <w:r>
              <w:rPr>
                <w:rFonts w:ascii="新宋体" w:hAnsi="新宋体" w:eastAsia="新宋体" w:cs="新宋体"/>
                <w:w w:val="95"/>
                <w:sz w:val="23"/>
                <w:szCs w:val="23"/>
                <w:highlight w:val="none"/>
              </w:rPr>
              <w:t>严重</w:t>
            </w:r>
          </w:p>
        </w:tc>
        <w:tc>
          <w:tcPr>
            <w:tcW w:w="17" w:type="dxa"/>
            <w:tcBorders>
              <w:top w:val="single" w:color="auto" w:sz="4" w:space="0"/>
              <w:bottom w:val="single" w:color="auto" w:sz="4" w:space="0"/>
            </w:tcBorders>
            <w:vAlign w:val="bottom"/>
          </w:tcPr>
          <w:p>
            <w:pPr>
              <w:rPr>
                <w:sz w:val="1"/>
                <w:szCs w:val="1"/>
                <w:highlight w:val="none"/>
              </w:rPr>
            </w:pPr>
          </w:p>
        </w:tc>
      </w:tr>
    </w:tbl>
    <w:p>
      <w:pPr>
        <w:widowControl/>
        <w:jc w:val="left"/>
        <w:rPr>
          <w:rFonts w:ascii="宋体" w:hAnsi="宋体" w:cs="宋体"/>
          <w:kern w:val="0"/>
          <w:szCs w:val="21"/>
          <w:highlight w:val="none"/>
        </w:rPr>
      </w:pPr>
      <w:r>
        <w:rPr>
          <w:rFonts w:ascii="宋体" w:hAnsi="宋体" w:cs="宋体"/>
          <w:kern w:val="0"/>
          <w:szCs w:val="21"/>
          <w:highlight w:val="none"/>
        </w:rPr>
        <w:br w:type="page"/>
      </w:r>
    </w:p>
    <w:p>
      <w:pPr>
        <w:widowControl/>
        <w:jc w:val="left"/>
        <w:rPr>
          <w:rFonts w:ascii="宋体" w:hAnsi="宋体" w:cs="宋体"/>
          <w:kern w:val="0"/>
          <w:szCs w:val="21"/>
          <w:highlight w:val="none"/>
        </w:rPr>
        <w:sectPr>
          <w:footerReference r:id="rId7" w:type="default"/>
          <w:pgSz w:w="11906" w:h="16838"/>
          <w:pgMar w:top="1440" w:right="1440" w:bottom="1440" w:left="1440" w:header="851" w:footer="992" w:gutter="0"/>
          <w:cols w:space="720" w:num="1"/>
          <w:docGrid w:linePitch="312" w:charSpace="0"/>
        </w:sectPr>
      </w:pPr>
    </w:p>
    <w:p>
      <w:pPr>
        <w:spacing w:line="360" w:lineRule="auto"/>
        <w:rPr>
          <w:rFonts w:ascii="宋体" w:hAnsi="宋体"/>
          <w:b/>
          <w:sz w:val="24"/>
          <w:highlight w:val="none"/>
        </w:rPr>
      </w:pPr>
      <w:r>
        <w:rPr>
          <w:rFonts w:hint="eastAsia" w:ascii="宋体" w:hAnsi="宋体"/>
          <w:b/>
          <w:sz w:val="24"/>
          <w:highlight w:val="none"/>
        </w:rPr>
        <w:t>附件十五：承包人违约责任明细表</w:t>
      </w:r>
    </w:p>
    <w:p>
      <w:pPr>
        <w:spacing w:line="360" w:lineRule="auto"/>
        <w:jc w:val="center"/>
        <w:rPr>
          <w:rFonts w:ascii="宋体" w:hAnsi="宋体"/>
          <w:sz w:val="24"/>
          <w:szCs w:val="24"/>
          <w:highlight w:val="none"/>
        </w:rPr>
      </w:pPr>
      <w:r>
        <w:rPr>
          <w:rFonts w:hint="eastAsia" w:ascii="宋体" w:hAnsi="宋体" w:cs="宋体"/>
          <w:b/>
          <w:bCs/>
          <w:kern w:val="0"/>
          <w:sz w:val="24"/>
          <w:szCs w:val="24"/>
          <w:highlight w:val="none"/>
        </w:rPr>
        <w:t>承包人违约责任明细表</w:t>
      </w:r>
    </w:p>
    <w:tbl>
      <w:tblPr>
        <w:tblStyle w:val="63"/>
        <w:tblW w:w="15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945"/>
        <w:gridCol w:w="5460"/>
        <w:gridCol w:w="1924"/>
        <w:gridCol w:w="1940"/>
        <w:gridCol w:w="178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Merge w:val="restart"/>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序号</w:t>
            </w:r>
          </w:p>
        </w:tc>
        <w:tc>
          <w:tcPr>
            <w:tcW w:w="1945" w:type="dxa"/>
            <w:vMerge w:val="restart"/>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项目名称</w:t>
            </w:r>
          </w:p>
        </w:tc>
        <w:tc>
          <w:tcPr>
            <w:tcW w:w="5460" w:type="dxa"/>
            <w:vMerge w:val="restart"/>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工程违约条款内容</w:t>
            </w:r>
          </w:p>
        </w:tc>
        <w:tc>
          <w:tcPr>
            <w:tcW w:w="7124" w:type="dxa"/>
            <w:gridSpan w:val="4"/>
          </w:tcPr>
          <w:p>
            <w:pPr>
              <w:spacing w:line="360" w:lineRule="auto"/>
              <w:jc w:val="center"/>
              <w:rPr>
                <w:rFonts w:ascii="宋体" w:hAnsi="宋体" w:cs="宋体"/>
                <w:b/>
                <w:bCs/>
                <w:kern w:val="0"/>
                <w:szCs w:val="21"/>
                <w:highlight w:val="none"/>
              </w:rPr>
            </w:pPr>
            <w:r>
              <w:rPr>
                <w:rFonts w:hint="eastAsia" w:ascii="宋体" w:hAnsi="宋体" w:cs="宋体"/>
                <w:b/>
                <w:bCs/>
                <w:kern w:val="0"/>
                <w:szCs w:val="21"/>
                <w:highlight w:val="none"/>
              </w:rPr>
              <w:t>工程项目合同金额等级及违约金额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Merge w:val="continue"/>
            <w:vAlign w:val="center"/>
          </w:tcPr>
          <w:p>
            <w:pPr>
              <w:spacing w:line="360" w:lineRule="auto"/>
              <w:rPr>
                <w:rFonts w:ascii="宋体" w:hAnsi="宋体" w:cs="宋体"/>
                <w:b/>
                <w:bCs/>
                <w:kern w:val="0"/>
                <w:szCs w:val="21"/>
                <w:highlight w:val="none"/>
              </w:rPr>
            </w:pPr>
          </w:p>
        </w:tc>
        <w:tc>
          <w:tcPr>
            <w:tcW w:w="1945" w:type="dxa"/>
            <w:vMerge w:val="continue"/>
            <w:vAlign w:val="center"/>
          </w:tcPr>
          <w:p>
            <w:pPr>
              <w:spacing w:line="360" w:lineRule="auto"/>
              <w:rPr>
                <w:rFonts w:ascii="宋体" w:hAnsi="宋体" w:cs="宋体"/>
                <w:b/>
                <w:bCs/>
                <w:kern w:val="0"/>
                <w:szCs w:val="21"/>
                <w:highlight w:val="none"/>
              </w:rPr>
            </w:pPr>
          </w:p>
        </w:tc>
        <w:tc>
          <w:tcPr>
            <w:tcW w:w="5460" w:type="dxa"/>
            <w:vMerge w:val="continue"/>
            <w:vAlign w:val="center"/>
          </w:tcPr>
          <w:p>
            <w:pPr>
              <w:spacing w:line="360" w:lineRule="auto"/>
              <w:rPr>
                <w:rFonts w:ascii="宋体" w:hAnsi="宋体" w:cs="宋体"/>
                <w:b/>
                <w:bCs/>
                <w:kern w:val="0"/>
                <w:szCs w:val="21"/>
                <w:highlight w:val="none"/>
              </w:rPr>
            </w:pPr>
          </w:p>
        </w:tc>
        <w:tc>
          <w:tcPr>
            <w:tcW w:w="1924" w:type="dxa"/>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5000万元以内</w:t>
            </w:r>
          </w:p>
        </w:tc>
        <w:tc>
          <w:tcPr>
            <w:tcW w:w="1940" w:type="dxa"/>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5000万元（含）-10000万元</w:t>
            </w:r>
          </w:p>
        </w:tc>
        <w:tc>
          <w:tcPr>
            <w:tcW w:w="1780" w:type="dxa"/>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10000万元（含）-30000万元</w:t>
            </w:r>
          </w:p>
        </w:tc>
        <w:tc>
          <w:tcPr>
            <w:tcW w:w="1480" w:type="dxa"/>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30000万元或以上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一</w:t>
            </w: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设计违约责任</w:t>
            </w:r>
          </w:p>
        </w:tc>
        <w:tc>
          <w:tcPr>
            <w:tcW w:w="5460"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（详见专用条款约定）</w:t>
            </w: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二</w:t>
            </w: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施工违约责任</w:t>
            </w:r>
          </w:p>
        </w:tc>
        <w:tc>
          <w:tcPr>
            <w:tcW w:w="5460" w:type="dxa"/>
            <w:vAlign w:val="center"/>
          </w:tcPr>
          <w:p>
            <w:pPr>
              <w:spacing w:line="360" w:lineRule="auto"/>
              <w:rPr>
                <w:rFonts w:ascii="宋体" w:hAnsi="宋体" w:cs="宋体"/>
                <w:b/>
                <w:bCs/>
                <w:kern w:val="0"/>
                <w:szCs w:val="21"/>
                <w:highlight w:val="none"/>
              </w:rPr>
            </w:pP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1</w:t>
            </w:r>
          </w:p>
        </w:tc>
        <w:tc>
          <w:tcPr>
            <w:tcW w:w="1945" w:type="dxa"/>
            <w:vAlign w:val="center"/>
          </w:tcPr>
          <w:p>
            <w:pPr>
              <w:spacing w:line="360" w:lineRule="auto"/>
              <w:rPr>
                <w:rFonts w:ascii="宋体" w:hAnsi="宋体" w:cs="宋体"/>
                <w:b/>
                <w:bCs/>
                <w:kern w:val="0"/>
                <w:szCs w:val="21"/>
                <w:highlight w:val="none"/>
              </w:rPr>
            </w:pPr>
            <w:r>
              <w:rPr>
                <w:rFonts w:hint="eastAsia" w:ascii="宋体" w:hAnsi="宋体"/>
                <w:b/>
                <w:szCs w:val="21"/>
                <w:highlight w:val="none"/>
              </w:rPr>
              <w:t>合同履约</w:t>
            </w:r>
          </w:p>
        </w:tc>
        <w:tc>
          <w:tcPr>
            <w:tcW w:w="5460" w:type="dxa"/>
            <w:vAlign w:val="center"/>
          </w:tcPr>
          <w:p>
            <w:pPr>
              <w:spacing w:line="360" w:lineRule="auto"/>
              <w:rPr>
                <w:rFonts w:ascii="宋体" w:hAnsi="宋体" w:cs="宋体"/>
                <w:b/>
                <w:bCs/>
                <w:kern w:val="0"/>
                <w:szCs w:val="21"/>
                <w:highlight w:val="none"/>
              </w:rPr>
            </w:pP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1.1</w:t>
            </w: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人员管理</w:t>
            </w:r>
          </w:p>
        </w:tc>
        <w:tc>
          <w:tcPr>
            <w:tcW w:w="5460"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（详见专用条款约定）</w:t>
            </w: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书面警告及限期改正</w:t>
            </w:r>
          </w:p>
        </w:tc>
        <w:tc>
          <w:tcPr>
            <w:tcW w:w="5460" w:type="dxa"/>
            <w:vAlign w:val="center"/>
          </w:tcPr>
          <w:p>
            <w:pPr>
              <w:spacing w:line="360" w:lineRule="auto"/>
              <w:rPr>
                <w:rFonts w:ascii="宋体" w:hAnsi="宋体" w:cs="宋体"/>
                <w:b/>
                <w:bCs/>
                <w:kern w:val="0"/>
                <w:szCs w:val="21"/>
                <w:highlight w:val="none"/>
              </w:rPr>
            </w:pP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1.1.1</w:t>
            </w:r>
          </w:p>
        </w:tc>
        <w:tc>
          <w:tcPr>
            <w:tcW w:w="1945" w:type="dxa"/>
            <w:vAlign w:val="center"/>
          </w:tcPr>
          <w:p>
            <w:pPr>
              <w:spacing w:line="360" w:lineRule="auto"/>
              <w:rPr>
                <w:rFonts w:ascii="宋体" w:hAnsi="宋体"/>
                <w:szCs w:val="21"/>
                <w:highlight w:val="none"/>
              </w:rPr>
            </w:pPr>
            <w:r>
              <w:rPr>
                <w:rFonts w:hint="eastAsia" w:ascii="宋体" w:hAnsi="宋体"/>
                <w:szCs w:val="21"/>
                <w:highlight w:val="none"/>
              </w:rPr>
              <w:t>更换项目经理、设计负责人</w:t>
            </w:r>
          </w:p>
        </w:tc>
        <w:tc>
          <w:tcPr>
            <w:tcW w:w="5460" w:type="dxa"/>
            <w:vAlign w:val="center"/>
          </w:tcPr>
          <w:p>
            <w:pPr>
              <w:spacing w:line="360" w:lineRule="auto"/>
              <w:rPr>
                <w:rFonts w:ascii="宋体" w:hAnsi="宋体" w:cs="宋体"/>
                <w:b/>
                <w:bCs/>
                <w:kern w:val="0"/>
                <w:szCs w:val="21"/>
                <w:highlight w:val="none"/>
              </w:rPr>
            </w:pPr>
            <w:r>
              <w:rPr>
                <w:rFonts w:hint="eastAsia" w:ascii="宋体" w:hAnsi="宋体"/>
                <w:szCs w:val="21"/>
                <w:highlight w:val="none"/>
              </w:rPr>
              <w:t>未得到发包人批准更换项目经理、设计负责人，</w:t>
            </w:r>
            <w:r>
              <w:rPr>
                <w:rFonts w:hint="eastAsia" w:ascii="宋体" w:hAnsi="宋体" w:cs="宋体"/>
                <w:kern w:val="0"/>
                <w:szCs w:val="21"/>
                <w:highlight w:val="none"/>
              </w:rPr>
              <w:t>发包人有权按相对应等级标准处罚承建单位（在每月进度款内扣除或在投标单位递交的履约保函内扣除）。</w:t>
            </w:r>
            <w:r>
              <w:rPr>
                <w:rFonts w:hint="eastAsia" w:ascii="宋体" w:hAnsi="宋体"/>
                <w:szCs w:val="21"/>
                <w:highlight w:val="none"/>
              </w:rPr>
              <w:t>连续两次更换的，暂停在</w:t>
            </w:r>
            <w:r>
              <w:rPr>
                <w:rFonts w:hint="eastAsia" w:ascii="宋体" w:hAnsi="宋体"/>
                <w:bCs/>
                <w:szCs w:val="21"/>
                <w:highlight w:val="none"/>
              </w:rPr>
              <w:t>发包人所负责的工程</w:t>
            </w:r>
            <w:r>
              <w:rPr>
                <w:rFonts w:hint="eastAsia" w:ascii="宋体" w:hAnsi="宋体"/>
                <w:szCs w:val="21"/>
                <w:highlight w:val="none"/>
              </w:rPr>
              <w:t>系统内投标资格3年。发包人要求更换项目经理、设计负责人的，承包人应服从，该情形下无需罚款，不计入更换次数。</w:t>
            </w:r>
          </w:p>
          <w:p>
            <w:pPr>
              <w:spacing w:line="360" w:lineRule="auto"/>
              <w:rPr>
                <w:rFonts w:ascii="宋体" w:hAnsi="宋体"/>
                <w:szCs w:val="21"/>
                <w:highlight w:val="none"/>
              </w:rPr>
            </w:pP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40万元每人次</w:t>
            </w:r>
          </w:p>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100万元每人次</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200万元每人次</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400万元每人次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Cs/>
                <w:kern w:val="0"/>
                <w:szCs w:val="21"/>
                <w:highlight w:val="none"/>
              </w:rPr>
              <w:t>1.1.1</w:t>
            </w:r>
          </w:p>
        </w:tc>
        <w:tc>
          <w:tcPr>
            <w:tcW w:w="1945" w:type="dxa"/>
            <w:vAlign w:val="center"/>
          </w:tcPr>
          <w:p>
            <w:pPr>
              <w:spacing w:line="360" w:lineRule="auto"/>
              <w:rPr>
                <w:rFonts w:ascii="宋体" w:hAnsi="宋体"/>
                <w:b/>
                <w:szCs w:val="21"/>
                <w:highlight w:val="none"/>
              </w:rPr>
            </w:pPr>
            <w:r>
              <w:rPr>
                <w:rFonts w:hint="eastAsia" w:ascii="宋体" w:hAnsi="宋体"/>
                <w:szCs w:val="21"/>
                <w:highlight w:val="none"/>
              </w:rPr>
              <w:t>更换施工负责人</w:t>
            </w:r>
          </w:p>
        </w:tc>
        <w:tc>
          <w:tcPr>
            <w:tcW w:w="5460" w:type="dxa"/>
            <w:vAlign w:val="center"/>
          </w:tcPr>
          <w:p>
            <w:pPr>
              <w:spacing w:line="360" w:lineRule="auto"/>
              <w:rPr>
                <w:rFonts w:ascii="宋体" w:hAnsi="宋体" w:cs="宋体"/>
                <w:b/>
                <w:bCs/>
                <w:kern w:val="0"/>
                <w:szCs w:val="21"/>
                <w:highlight w:val="none"/>
              </w:rPr>
            </w:pPr>
            <w:r>
              <w:rPr>
                <w:rFonts w:hint="eastAsia" w:ascii="宋体" w:hAnsi="宋体"/>
                <w:szCs w:val="21"/>
                <w:highlight w:val="none"/>
              </w:rPr>
              <w:t>未得到发包人批准更换施工负责人，</w:t>
            </w:r>
            <w:r>
              <w:rPr>
                <w:rFonts w:hint="eastAsia" w:ascii="宋体" w:hAnsi="宋体" w:cs="宋体"/>
                <w:kern w:val="0"/>
                <w:szCs w:val="21"/>
                <w:highlight w:val="none"/>
              </w:rPr>
              <w:t>发包人有权按相对应等级标准处罚承建单位（在每月进度款内扣除或在投标单位递交的履约保函内扣除）。</w:t>
            </w:r>
            <w:r>
              <w:rPr>
                <w:rFonts w:hint="eastAsia" w:ascii="宋体" w:hAnsi="宋体"/>
                <w:szCs w:val="21"/>
                <w:highlight w:val="none"/>
              </w:rPr>
              <w:t>连续两次更换的，暂停在</w:t>
            </w:r>
            <w:r>
              <w:rPr>
                <w:rFonts w:hint="eastAsia" w:ascii="宋体" w:hAnsi="宋体"/>
                <w:bCs/>
                <w:szCs w:val="21"/>
                <w:highlight w:val="none"/>
              </w:rPr>
              <w:t>发包人所负责的工程</w:t>
            </w:r>
            <w:r>
              <w:rPr>
                <w:rFonts w:hint="eastAsia" w:ascii="宋体" w:hAnsi="宋体"/>
                <w:szCs w:val="21"/>
                <w:highlight w:val="none"/>
              </w:rPr>
              <w:t>系统内投标资格3年。发包人要求更换施工负责人的，承包人应服从，该情形下无需罚款，不计入更换次数。</w:t>
            </w:r>
          </w:p>
        </w:tc>
        <w:tc>
          <w:tcPr>
            <w:tcW w:w="1924" w:type="dxa"/>
          </w:tcPr>
          <w:p>
            <w:pPr>
              <w:spacing w:line="360" w:lineRule="auto"/>
              <w:rPr>
                <w:rFonts w:ascii="宋体" w:hAnsi="宋体" w:cs="宋体"/>
                <w:b/>
                <w:bCs/>
                <w:kern w:val="0"/>
                <w:szCs w:val="21"/>
                <w:highlight w:val="none"/>
              </w:rPr>
            </w:pPr>
            <w:r>
              <w:rPr>
                <w:rFonts w:hint="eastAsia" w:ascii="宋体" w:hAnsi="宋体" w:cs="宋体"/>
                <w:kern w:val="0"/>
                <w:szCs w:val="21"/>
                <w:highlight w:val="none"/>
              </w:rPr>
              <w:t>20万元每人次</w:t>
            </w:r>
          </w:p>
        </w:tc>
        <w:tc>
          <w:tcPr>
            <w:tcW w:w="1940" w:type="dxa"/>
          </w:tcPr>
          <w:p>
            <w:pPr>
              <w:spacing w:line="360" w:lineRule="auto"/>
              <w:rPr>
                <w:rFonts w:ascii="宋体" w:hAnsi="宋体" w:cs="宋体"/>
                <w:b/>
                <w:bCs/>
                <w:kern w:val="0"/>
                <w:szCs w:val="21"/>
                <w:highlight w:val="none"/>
              </w:rPr>
            </w:pPr>
            <w:r>
              <w:rPr>
                <w:rFonts w:hint="eastAsia" w:ascii="宋体" w:hAnsi="宋体" w:cs="宋体"/>
                <w:kern w:val="0"/>
                <w:szCs w:val="21"/>
                <w:highlight w:val="none"/>
              </w:rPr>
              <w:t>50万元每人次</w:t>
            </w:r>
          </w:p>
        </w:tc>
        <w:tc>
          <w:tcPr>
            <w:tcW w:w="1780" w:type="dxa"/>
          </w:tcPr>
          <w:p>
            <w:pPr>
              <w:spacing w:line="360" w:lineRule="auto"/>
              <w:rPr>
                <w:rFonts w:ascii="宋体" w:hAnsi="宋体" w:cs="宋体"/>
                <w:b/>
                <w:bCs/>
                <w:kern w:val="0"/>
                <w:szCs w:val="21"/>
                <w:highlight w:val="none"/>
              </w:rPr>
            </w:pPr>
            <w:r>
              <w:rPr>
                <w:rFonts w:hint="eastAsia" w:ascii="宋体" w:hAnsi="宋体" w:cs="宋体"/>
                <w:kern w:val="0"/>
                <w:szCs w:val="21"/>
                <w:highlight w:val="none"/>
              </w:rPr>
              <w:t>100万元每人次</w:t>
            </w:r>
          </w:p>
        </w:tc>
        <w:tc>
          <w:tcPr>
            <w:tcW w:w="1480" w:type="dxa"/>
          </w:tcPr>
          <w:p>
            <w:pPr>
              <w:spacing w:line="360" w:lineRule="auto"/>
              <w:rPr>
                <w:rFonts w:ascii="宋体" w:hAnsi="宋体" w:cs="宋体"/>
                <w:b/>
                <w:bCs/>
                <w:kern w:val="0"/>
                <w:szCs w:val="21"/>
                <w:highlight w:val="none"/>
              </w:rPr>
            </w:pPr>
            <w:r>
              <w:rPr>
                <w:rFonts w:hint="eastAsia" w:ascii="宋体" w:hAnsi="宋体" w:cs="宋体"/>
                <w:kern w:val="0"/>
                <w:szCs w:val="21"/>
                <w:highlight w:val="none"/>
              </w:rPr>
              <w:t>200万元每人次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Cs/>
                <w:kern w:val="0"/>
                <w:szCs w:val="21"/>
                <w:highlight w:val="none"/>
              </w:rPr>
              <w:t>1.1.2</w:t>
            </w:r>
          </w:p>
        </w:tc>
        <w:tc>
          <w:tcPr>
            <w:tcW w:w="1945" w:type="dxa"/>
            <w:vAlign w:val="center"/>
          </w:tcPr>
          <w:p>
            <w:pPr>
              <w:spacing w:line="360" w:lineRule="auto"/>
              <w:rPr>
                <w:rFonts w:ascii="宋体" w:hAnsi="宋体"/>
                <w:b/>
                <w:szCs w:val="21"/>
                <w:highlight w:val="none"/>
              </w:rPr>
            </w:pPr>
            <w:r>
              <w:rPr>
                <w:rFonts w:hint="eastAsia" w:ascii="宋体" w:hAnsi="宋体"/>
                <w:szCs w:val="21"/>
                <w:highlight w:val="none"/>
              </w:rPr>
              <w:t>主要管理人员驻场管理</w:t>
            </w:r>
          </w:p>
        </w:tc>
        <w:tc>
          <w:tcPr>
            <w:tcW w:w="5460" w:type="dxa"/>
            <w:vAlign w:val="center"/>
          </w:tcPr>
          <w:p>
            <w:pPr>
              <w:spacing w:line="360" w:lineRule="auto"/>
              <w:rPr>
                <w:rFonts w:ascii="宋体" w:hAnsi="宋体" w:cs="宋体"/>
                <w:b/>
                <w:bCs/>
                <w:kern w:val="0"/>
                <w:szCs w:val="21"/>
                <w:highlight w:val="none"/>
              </w:rPr>
            </w:pPr>
            <w:r>
              <w:rPr>
                <w:rFonts w:hint="eastAsia" w:ascii="宋体" w:hAnsi="宋体"/>
                <w:szCs w:val="21"/>
                <w:highlight w:val="none"/>
              </w:rPr>
              <w:t>项目主要管理人员长期不驻场管理（每月累计7天或连续5天以内），或每月3次以上未参加会议，</w:t>
            </w:r>
            <w:r>
              <w:rPr>
                <w:rFonts w:hint="eastAsia" w:ascii="宋体" w:hAnsi="宋体" w:cs="宋体"/>
                <w:kern w:val="0"/>
                <w:szCs w:val="21"/>
                <w:highlight w:val="none"/>
              </w:rPr>
              <w:t>发包人有权按</w:t>
            </w:r>
            <w:r>
              <w:rPr>
                <w:rFonts w:hint="eastAsia" w:ascii="宋体" w:hAnsi="宋体"/>
                <w:szCs w:val="21"/>
                <w:highlight w:val="none"/>
              </w:rPr>
              <w:t>超过天（次）数的每人每次（天）及</w:t>
            </w:r>
            <w:r>
              <w:rPr>
                <w:rFonts w:hint="eastAsia" w:ascii="宋体" w:hAnsi="宋体" w:cs="宋体"/>
                <w:kern w:val="0"/>
                <w:szCs w:val="21"/>
                <w:highlight w:val="none"/>
              </w:rPr>
              <w:t>相对应等级①对承包人进行处罚</w:t>
            </w:r>
            <w:r>
              <w:rPr>
                <w:rFonts w:hint="eastAsia" w:ascii="宋体" w:hAnsi="宋体"/>
                <w:szCs w:val="21"/>
                <w:highlight w:val="none"/>
              </w:rPr>
              <w:t>，分项负责工程师超过天（次）数的每人每次（天）及</w:t>
            </w:r>
            <w:r>
              <w:rPr>
                <w:rFonts w:hint="eastAsia" w:ascii="宋体" w:hAnsi="宋体" w:cs="宋体"/>
                <w:kern w:val="0"/>
                <w:szCs w:val="21"/>
                <w:highlight w:val="none"/>
              </w:rPr>
              <w:t>相对应等级②对承包人进行处罚。</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①1万元；</w:t>
            </w:r>
          </w:p>
          <w:p>
            <w:pPr>
              <w:spacing w:line="360" w:lineRule="auto"/>
              <w:rPr>
                <w:rFonts w:ascii="宋体" w:hAnsi="宋体" w:cs="宋体"/>
                <w:kern w:val="0"/>
                <w:szCs w:val="21"/>
                <w:highlight w:val="none"/>
              </w:rPr>
            </w:pPr>
            <w:r>
              <w:rPr>
                <w:rFonts w:hint="eastAsia" w:ascii="宋体" w:hAnsi="宋体" w:cs="宋体"/>
                <w:kern w:val="0"/>
                <w:szCs w:val="21"/>
                <w:highlight w:val="none"/>
              </w:rPr>
              <w:t>②0.5万元；</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①2万元；</w:t>
            </w:r>
          </w:p>
          <w:p>
            <w:pPr>
              <w:spacing w:line="360" w:lineRule="auto"/>
              <w:rPr>
                <w:rFonts w:ascii="宋体" w:hAnsi="宋体" w:cs="宋体"/>
                <w:b/>
                <w:bCs/>
                <w:kern w:val="0"/>
                <w:szCs w:val="21"/>
                <w:highlight w:val="none"/>
              </w:rPr>
            </w:pPr>
            <w:r>
              <w:rPr>
                <w:rFonts w:hint="eastAsia" w:ascii="宋体" w:hAnsi="宋体" w:cs="宋体"/>
                <w:kern w:val="0"/>
                <w:szCs w:val="21"/>
                <w:highlight w:val="none"/>
              </w:rPr>
              <w:t>②1万元；</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①5万元；</w:t>
            </w:r>
          </w:p>
          <w:p>
            <w:pPr>
              <w:spacing w:line="360" w:lineRule="auto"/>
              <w:rPr>
                <w:rFonts w:ascii="宋体" w:hAnsi="宋体" w:cs="宋体"/>
                <w:b/>
                <w:bCs/>
                <w:kern w:val="0"/>
                <w:szCs w:val="21"/>
                <w:highlight w:val="none"/>
              </w:rPr>
            </w:pPr>
            <w:r>
              <w:rPr>
                <w:rFonts w:hint="eastAsia" w:ascii="宋体" w:hAnsi="宋体" w:cs="宋体"/>
                <w:kern w:val="0"/>
                <w:szCs w:val="21"/>
                <w:highlight w:val="none"/>
              </w:rPr>
              <w:t>②2万元；</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①10万元；</w:t>
            </w:r>
          </w:p>
          <w:p>
            <w:pPr>
              <w:spacing w:line="360" w:lineRule="auto"/>
              <w:rPr>
                <w:rFonts w:ascii="宋体" w:hAnsi="宋体" w:cs="宋体"/>
                <w:b/>
                <w:bCs/>
                <w:kern w:val="0"/>
                <w:szCs w:val="21"/>
                <w:highlight w:val="none"/>
              </w:rPr>
            </w:pPr>
            <w:r>
              <w:rPr>
                <w:rFonts w:hint="eastAsia" w:ascii="宋体" w:hAnsi="宋体" w:cs="宋体"/>
                <w:kern w:val="0"/>
                <w:szCs w:val="21"/>
                <w:highlight w:val="none"/>
              </w:rPr>
              <w:t>②5万元；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Cs/>
                <w:kern w:val="0"/>
                <w:szCs w:val="21"/>
                <w:highlight w:val="none"/>
              </w:rPr>
              <w:t>1.1.3</w:t>
            </w:r>
          </w:p>
        </w:tc>
        <w:tc>
          <w:tcPr>
            <w:tcW w:w="1945" w:type="dxa"/>
            <w:vAlign w:val="center"/>
          </w:tcPr>
          <w:p>
            <w:pPr>
              <w:spacing w:line="360" w:lineRule="auto"/>
              <w:rPr>
                <w:rFonts w:ascii="宋体" w:hAnsi="宋体"/>
                <w:b/>
                <w:szCs w:val="21"/>
                <w:highlight w:val="none"/>
              </w:rPr>
            </w:pPr>
            <w:r>
              <w:rPr>
                <w:rFonts w:hint="eastAsia" w:ascii="宋体" w:hAnsi="宋体" w:cs="宋体"/>
                <w:kern w:val="0"/>
                <w:szCs w:val="21"/>
                <w:highlight w:val="none"/>
              </w:rPr>
              <w:t>相关管理人员到位情况</w:t>
            </w:r>
          </w:p>
        </w:tc>
        <w:tc>
          <w:tcPr>
            <w:tcW w:w="5460" w:type="dxa"/>
            <w:vAlign w:val="center"/>
          </w:tcPr>
          <w:p>
            <w:pPr>
              <w:spacing w:line="360" w:lineRule="auto"/>
              <w:rPr>
                <w:rFonts w:ascii="宋体" w:hAnsi="宋体"/>
                <w:szCs w:val="21"/>
                <w:highlight w:val="none"/>
              </w:rPr>
            </w:pPr>
            <w:r>
              <w:rPr>
                <w:rFonts w:hint="eastAsia" w:ascii="宋体" w:hAnsi="宋体" w:cs="宋体"/>
                <w:kern w:val="0"/>
                <w:szCs w:val="21"/>
                <w:highlight w:val="none"/>
              </w:rPr>
              <w:t>在发包人下发进场通知书的三天内项目经理、施工负责人及其主要管理和技术人员须驻场管理，否则，延迟一天罚款5万元；发包人保留向建设主管部门通报的权利。</w:t>
            </w: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p>
        </w:tc>
        <w:tc>
          <w:tcPr>
            <w:tcW w:w="1945" w:type="dxa"/>
            <w:vAlign w:val="center"/>
          </w:tcPr>
          <w:p>
            <w:pPr>
              <w:spacing w:line="360" w:lineRule="auto"/>
              <w:rPr>
                <w:rFonts w:ascii="宋体" w:hAnsi="宋体"/>
                <w:b/>
                <w:szCs w:val="21"/>
                <w:highlight w:val="none"/>
              </w:rPr>
            </w:pPr>
            <w:r>
              <w:rPr>
                <w:rFonts w:hint="eastAsia" w:ascii="宋体" w:hAnsi="宋体" w:cs="宋体"/>
                <w:b/>
                <w:kern w:val="0"/>
                <w:szCs w:val="21"/>
                <w:highlight w:val="none"/>
              </w:rPr>
              <w:t>一般违约及严重违约</w:t>
            </w:r>
          </w:p>
        </w:tc>
        <w:tc>
          <w:tcPr>
            <w:tcW w:w="5460" w:type="dxa"/>
            <w:vAlign w:val="center"/>
          </w:tcPr>
          <w:p>
            <w:pPr>
              <w:spacing w:line="360" w:lineRule="auto"/>
              <w:rPr>
                <w:rFonts w:ascii="宋体" w:hAnsi="宋体"/>
                <w:szCs w:val="21"/>
                <w:highlight w:val="none"/>
              </w:rPr>
            </w:pP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Cs/>
                <w:kern w:val="0"/>
                <w:szCs w:val="21"/>
                <w:highlight w:val="none"/>
              </w:rPr>
              <w:t>1.1.4</w:t>
            </w:r>
          </w:p>
        </w:tc>
        <w:tc>
          <w:tcPr>
            <w:tcW w:w="1945" w:type="dxa"/>
            <w:vAlign w:val="center"/>
          </w:tcPr>
          <w:p>
            <w:pPr>
              <w:spacing w:line="360" w:lineRule="auto"/>
              <w:rPr>
                <w:rFonts w:ascii="宋体" w:hAnsi="宋体"/>
                <w:b/>
                <w:szCs w:val="21"/>
                <w:highlight w:val="none"/>
              </w:rPr>
            </w:pPr>
            <w:r>
              <w:rPr>
                <w:rFonts w:hint="eastAsia" w:ascii="宋体" w:hAnsi="宋体" w:cs="宋体"/>
                <w:kern w:val="0"/>
                <w:szCs w:val="21"/>
                <w:highlight w:val="none"/>
              </w:rPr>
              <w:t>相关管理人员驻场情况</w:t>
            </w:r>
          </w:p>
        </w:tc>
        <w:tc>
          <w:tcPr>
            <w:tcW w:w="5460" w:type="dxa"/>
            <w:vAlign w:val="center"/>
          </w:tcPr>
          <w:p>
            <w:pPr>
              <w:spacing w:line="360" w:lineRule="auto"/>
              <w:rPr>
                <w:rFonts w:ascii="宋体" w:hAnsi="宋体"/>
                <w:szCs w:val="21"/>
                <w:highlight w:val="none"/>
              </w:rPr>
            </w:pPr>
            <w:r>
              <w:rPr>
                <w:rFonts w:hint="eastAsia" w:ascii="宋体" w:hAnsi="宋体" w:cs="宋体"/>
                <w:kern w:val="0"/>
                <w:szCs w:val="21"/>
                <w:highlight w:val="none"/>
              </w:rPr>
              <w:t>承包人的项目经理、副经理以及主要行政与技术领导等，必须长驻工地，不得兼职。如离开工地，需向总监理工程师和发包人驻地代表请假，经其批准确认后才能离开。否则发包人有权按相对应等级标准处罚承建单位（在每月进度款内扣除或在投标单位递交的履约保函内扣除）。</w:t>
            </w:r>
          </w:p>
        </w:tc>
        <w:tc>
          <w:tcPr>
            <w:tcW w:w="1924" w:type="dxa"/>
          </w:tcPr>
          <w:p>
            <w:pPr>
              <w:spacing w:line="360" w:lineRule="auto"/>
              <w:rPr>
                <w:rFonts w:ascii="宋体" w:hAnsi="宋体" w:cs="宋体"/>
                <w:b/>
                <w:bCs/>
                <w:kern w:val="0"/>
                <w:szCs w:val="21"/>
                <w:highlight w:val="none"/>
              </w:rPr>
            </w:pPr>
            <w:r>
              <w:rPr>
                <w:rFonts w:hint="eastAsia" w:ascii="宋体" w:hAnsi="宋体" w:cs="宋体"/>
                <w:kern w:val="0"/>
                <w:szCs w:val="21"/>
                <w:highlight w:val="none"/>
              </w:rPr>
              <w:t>20万元每天每人</w:t>
            </w:r>
          </w:p>
        </w:tc>
        <w:tc>
          <w:tcPr>
            <w:tcW w:w="1940" w:type="dxa"/>
          </w:tcPr>
          <w:p>
            <w:pPr>
              <w:spacing w:line="360" w:lineRule="auto"/>
              <w:rPr>
                <w:rFonts w:ascii="宋体" w:hAnsi="宋体" w:cs="宋体"/>
                <w:b/>
                <w:bCs/>
                <w:kern w:val="0"/>
                <w:szCs w:val="21"/>
                <w:highlight w:val="none"/>
              </w:rPr>
            </w:pPr>
            <w:r>
              <w:rPr>
                <w:rFonts w:hint="eastAsia" w:ascii="宋体" w:hAnsi="宋体" w:cs="宋体"/>
                <w:kern w:val="0"/>
                <w:szCs w:val="21"/>
                <w:highlight w:val="none"/>
              </w:rPr>
              <w:t>30万元每天每人</w:t>
            </w:r>
          </w:p>
        </w:tc>
        <w:tc>
          <w:tcPr>
            <w:tcW w:w="1780" w:type="dxa"/>
          </w:tcPr>
          <w:p>
            <w:pPr>
              <w:spacing w:line="360" w:lineRule="auto"/>
              <w:rPr>
                <w:rFonts w:ascii="宋体" w:hAnsi="宋体" w:cs="宋体"/>
                <w:b/>
                <w:bCs/>
                <w:kern w:val="0"/>
                <w:szCs w:val="21"/>
                <w:highlight w:val="none"/>
              </w:rPr>
            </w:pPr>
            <w:r>
              <w:rPr>
                <w:rFonts w:hint="eastAsia" w:ascii="宋体" w:hAnsi="宋体" w:cs="宋体"/>
                <w:kern w:val="0"/>
                <w:szCs w:val="21"/>
                <w:highlight w:val="none"/>
              </w:rPr>
              <w:t>40万元每天每人</w:t>
            </w:r>
          </w:p>
        </w:tc>
        <w:tc>
          <w:tcPr>
            <w:tcW w:w="1480" w:type="dxa"/>
          </w:tcPr>
          <w:p>
            <w:pPr>
              <w:spacing w:line="360" w:lineRule="auto"/>
              <w:rPr>
                <w:rFonts w:ascii="宋体" w:hAnsi="宋体" w:cs="宋体"/>
                <w:b/>
                <w:bCs/>
                <w:kern w:val="0"/>
                <w:szCs w:val="21"/>
                <w:highlight w:val="none"/>
              </w:rPr>
            </w:pPr>
            <w:r>
              <w:rPr>
                <w:rFonts w:hint="eastAsia" w:ascii="宋体" w:hAnsi="宋体" w:cs="宋体"/>
                <w:kern w:val="0"/>
                <w:szCs w:val="21"/>
                <w:highlight w:val="none"/>
              </w:rPr>
              <w:t>50万元每天每人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Cs/>
                <w:kern w:val="0"/>
                <w:szCs w:val="21"/>
                <w:highlight w:val="none"/>
              </w:rPr>
              <w:t>1.1.5</w:t>
            </w:r>
          </w:p>
        </w:tc>
        <w:tc>
          <w:tcPr>
            <w:tcW w:w="1945" w:type="dxa"/>
            <w:vAlign w:val="center"/>
          </w:tcPr>
          <w:p>
            <w:pPr>
              <w:spacing w:line="360" w:lineRule="auto"/>
              <w:rPr>
                <w:rFonts w:ascii="宋体" w:hAnsi="宋体"/>
                <w:b/>
                <w:szCs w:val="21"/>
                <w:highlight w:val="none"/>
              </w:rPr>
            </w:pPr>
            <w:r>
              <w:rPr>
                <w:rFonts w:hint="eastAsia" w:ascii="宋体" w:hAnsi="宋体" w:cs="宋体"/>
                <w:kern w:val="0"/>
                <w:szCs w:val="21"/>
                <w:highlight w:val="none"/>
              </w:rPr>
              <w:t>相关管理人员与投标承诺一致情况</w:t>
            </w:r>
          </w:p>
        </w:tc>
        <w:tc>
          <w:tcPr>
            <w:tcW w:w="5460" w:type="dxa"/>
            <w:vAlign w:val="center"/>
          </w:tcPr>
          <w:p>
            <w:pPr>
              <w:spacing w:line="360" w:lineRule="auto"/>
              <w:rPr>
                <w:rFonts w:ascii="宋体" w:hAnsi="宋体"/>
                <w:szCs w:val="21"/>
                <w:highlight w:val="none"/>
              </w:rPr>
            </w:pPr>
            <w:r>
              <w:rPr>
                <w:rFonts w:hint="eastAsia" w:ascii="宋体" w:hAnsi="宋体" w:cs="宋体"/>
                <w:kern w:val="0"/>
                <w:szCs w:val="21"/>
                <w:highlight w:val="none"/>
              </w:rPr>
              <w:t>项目经理、副经理、项目总工程师，安全主任，施工计划、物资机械、合同计量及财务负责人，必须与投标文件一致。以上管理人员姓名、近期照片、身份证、手机号码须上墙公布，随时接受检查。若项目经理与投标文件不一致或长期不驻场管理（每月累计7天或连续5天，或每月要求参加会议累计未到5次，发包人有权按相对应等级①对承包人进行处罚；且发包人保留向水行政主管部门取消项目经理年度备案权利。若项目技术负责人与投标文件不一致或长期不驻场技术负责（每月累计7天或连续5天，或每月要求参加会议累计未到5次），发包人有权按相对应等级②对承包人进行处罚；且发包人保留向有关行业注册单位或职称评定机构进行投诉与建议取消注册、职称评定权利。若项目安全负责人与投标文件不一致或长期不驻场技术负责（每月累计7天或连续5天，或每月要求参加会议累计未到5次，发包人有权按相对应等级③对承包人进行处罚；且发包人保留向水行政主管部门与安监行政主管部门通报权利。承包人项目经理、副经理、项目总工程师，安全主任等主要管理人员经查实如与投标文件不一致或提供虚假材料，发包人和发包人除按相对应等级④给予经济处罚外，发包人有权解除合同，有权向上级主管机关举报建议降低承包资质直至吊销资质证书，</w:t>
            </w:r>
            <w:r>
              <w:rPr>
                <w:rFonts w:hint="eastAsia" w:ascii="宋体" w:hAnsi="宋体"/>
                <w:bCs/>
                <w:szCs w:val="21"/>
                <w:highlight w:val="none"/>
              </w:rPr>
              <w:t>并有权书面通知承包人或者在相关网站上公示并抄送行政监督部门，拒绝承包人参与以后发包人所负责的工程投标资格。</w:t>
            </w:r>
            <w:r>
              <w:rPr>
                <w:rFonts w:hint="eastAsia" w:ascii="宋体" w:hAnsi="宋体" w:cs="宋体"/>
                <w:kern w:val="0"/>
                <w:szCs w:val="21"/>
                <w:highlight w:val="none"/>
              </w:rPr>
              <w:t>。</w:t>
            </w:r>
          </w:p>
        </w:tc>
        <w:tc>
          <w:tcPr>
            <w:tcW w:w="1924" w:type="dxa"/>
          </w:tcPr>
          <w:p>
            <w:pPr>
              <w:spacing w:line="360" w:lineRule="auto"/>
              <w:rPr>
                <w:rFonts w:ascii="宋体" w:hAnsi="宋体" w:cs="宋体"/>
                <w:b/>
                <w:bCs/>
                <w:kern w:val="0"/>
                <w:szCs w:val="21"/>
                <w:highlight w:val="none"/>
              </w:rPr>
            </w:pPr>
            <w:r>
              <w:rPr>
                <w:rFonts w:hint="eastAsia" w:ascii="宋体" w:hAnsi="宋体" w:cs="宋体"/>
                <w:kern w:val="0"/>
                <w:szCs w:val="21"/>
                <w:highlight w:val="none"/>
              </w:rPr>
              <w:t>①50万元每人次；               ②50万元每人次；               ③50万元每人次；               ④50万元每人次。</w:t>
            </w:r>
          </w:p>
        </w:tc>
        <w:tc>
          <w:tcPr>
            <w:tcW w:w="1940" w:type="dxa"/>
          </w:tcPr>
          <w:p>
            <w:pPr>
              <w:spacing w:line="360" w:lineRule="auto"/>
              <w:rPr>
                <w:rFonts w:ascii="宋体" w:hAnsi="宋体" w:cs="宋体"/>
                <w:b/>
                <w:bCs/>
                <w:kern w:val="0"/>
                <w:szCs w:val="21"/>
                <w:highlight w:val="none"/>
              </w:rPr>
            </w:pPr>
            <w:r>
              <w:rPr>
                <w:rFonts w:hint="eastAsia" w:ascii="宋体" w:hAnsi="宋体" w:cs="宋体"/>
                <w:kern w:val="0"/>
                <w:szCs w:val="21"/>
                <w:highlight w:val="none"/>
              </w:rPr>
              <w:t>①100万元每人次；               ②100万元每人次；               ③100万元每人次；               ④100万元每人次。</w:t>
            </w:r>
          </w:p>
        </w:tc>
        <w:tc>
          <w:tcPr>
            <w:tcW w:w="1780" w:type="dxa"/>
          </w:tcPr>
          <w:p>
            <w:pPr>
              <w:spacing w:line="360" w:lineRule="auto"/>
              <w:rPr>
                <w:rFonts w:ascii="宋体" w:hAnsi="宋体" w:cs="宋体"/>
                <w:b/>
                <w:bCs/>
                <w:kern w:val="0"/>
                <w:szCs w:val="21"/>
                <w:highlight w:val="none"/>
              </w:rPr>
            </w:pPr>
            <w:r>
              <w:rPr>
                <w:rFonts w:hint="eastAsia" w:ascii="宋体" w:hAnsi="宋体" w:cs="宋体"/>
                <w:kern w:val="0"/>
                <w:szCs w:val="21"/>
                <w:highlight w:val="none"/>
              </w:rPr>
              <w:t>①150万元每人次；               ②150万元每人次；               ③150万元每人次；               ④150万元每人次。</w:t>
            </w:r>
          </w:p>
        </w:tc>
        <w:tc>
          <w:tcPr>
            <w:tcW w:w="1480" w:type="dxa"/>
          </w:tcPr>
          <w:p>
            <w:pPr>
              <w:spacing w:line="360" w:lineRule="auto"/>
              <w:rPr>
                <w:rFonts w:ascii="宋体" w:hAnsi="宋体" w:cs="宋体"/>
                <w:b/>
                <w:bCs/>
                <w:kern w:val="0"/>
                <w:szCs w:val="21"/>
                <w:highlight w:val="none"/>
              </w:rPr>
            </w:pPr>
            <w:r>
              <w:rPr>
                <w:rFonts w:hint="eastAsia" w:ascii="宋体" w:hAnsi="宋体" w:cs="宋体"/>
                <w:kern w:val="0"/>
                <w:szCs w:val="21"/>
                <w:highlight w:val="none"/>
              </w:rPr>
              <w:t>①200万元每人次；               ②200万元每人次；               ③200万元每人次；               ④200万元每人次。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1.1.6</w:t>
            </w: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劳动合同及社会保险</w:t>
            </w: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承包人未提交主要管理人员劳动合同，以及没有为项目经理缴纳社会保险证明的违约责任：</w:t>
            </w:r>
            <w:r>
              <w:rPr>
                <w:rFonts w:hint="eastAsia" w:ascii="宋体" w:hAnsi="宋体"/>
                <w:szCs w:val="21"/>
                <w:highlight w:val="none"/>
                <w:u w:val="single"/>
              </w:rPr>
              <w:t>按1000元/天向发包人支付违约金</w:t>
            </w:r>
            <w:r>
              <w:rPr>
                <w:rFonts w:hint="eastAsia" w:ascii="宋体" w:hAnsi="宋体"/>
                <w:szCs w:val="21"/>
                <w:highlight w:val="none"/>
              </w:rPr>
              <w:t>。</w:t>
            </w: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1.6.7</w:t>
            </w: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不合格人员更换</w:t>
            </w: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发包人有权要求承包人撤换擅自离开施工现场或工作不力的项目经理及主要施工管理人员，承包人无正当理由拒绝更换项目经理的</w:t>
            </w:r>
            <w:r>
              <w:rPr>
                <w:rFonts w:hint="eastAsia" w:ascii="宋体" w:hAnsi="宋体" w:cs="宋体"/>
                <w:kern w:val="0"/>
                <w:szCs w:val="21"/>
                <w:highlight w:val="none"/>
              </w:rPr>
              <w:t>发包人有权按相对应等级①对承包人进行处罚</w:t>
            </w:r>
            <w:r>
              <w:rPr>
                <w:rFonts w:hint="eastAsia" w:ascii="宋体" w:hAnsi="宋体"/>
                <w:szCs w:val="21"/>
                <w:highlight w:val="none"/>
              </w:rPr>
              <w:t>，承包人无正当理由拒绝撤换主要施工管理人员的</w:t>
            </w:r>
            <w:r>
              <w:rPr>
                <w:rFonts w:hint="eastAsia" w:ascii="宋体" w:hAnsi="宋体" w:cs="宋体"/>
                <w:kern w:val="0"/>
                <w:szCs w:val="21"/>
                <w:highlight w:val="none"/>
              </w:rPr>
              <w:t>包人有权按相对应等级②对承包人进行处罚</w:t>
            </w:r>
            <w:r>
              <w:rPr>
                <w:rFonts w:hint="eastAsia" w:ascii="宋体" w:hAnsi="宋体"/>
                <w:bCs/>
                <w:szCs w:val="21"/>
                <w:highlight w:val="none"/>
              </w:rPr>
              <w:t>，并有权书面通知承包人或者在相关网站上公示并抄送行政监督部门，拒绝承包人参与以后发包人所负责的工程投标资格。</w:t>
            </w:r>
          </w:p>
        </w:tc>
        <w:tc>
          <w:tcPr>
            <w:tcW w:w="1924" w:type="dxa"/>
          </w:tcPr>
          <w:p>
            <w:pPr>
              <w:numPr>
                <w:ilvl w:val="0"/>
                <w:numId w:val="1"/>
              </w:numPr>
              <w:spacing w:line="360" w:lineRule="auto"/>
              <w:rPr>
                <w:rFonts w:ascii="宋体" w:hAnsi="宋体" w:cs="宋体"/>
                <w:b/>
                <w:bCs/>
                <w:kern w:val="0"/>
                <w:szCs w:val="21"/>
                <w:highlight w:val="none"/>
              </w:rPr>
            </w:pPr>
            <w:r>
              <w:rPr>
                <w:rFonts w:hint="eastAsia" w:ascii="宋体" w:hAnsi="宋体" w:cs="宋体"/>
                <w:kern w:val="0"/>
                <w:szCs w:val="21"/>
                <w:highlight w:val="none"/>
              </w:rPr>
              <w:t>20万元每人次；</w:t>
            </w:r>
          </w:p>
          <w:p>
            <w:pPr>
              <w:numPr>
                <w:ilvl w:val="0"/>
                <w:numId w:val="1"/>
              </w:numPr>
              <w:spacing w:line="360" w:lineRule="auto"/>
              <w:rPr>
                <w:rFonts w:ascii="宋体" w:hAnsi="宋体" w:cs="宋体"/>
                <w:b/>
                <w:bCs/>
                <w:kern w:val="0"/>
                <w:szCs w:val="21"/>
                <w:highlight w:val="none"/>
              </w:rPr>
            </w:pPr>
            <w:r>
              <w:rPr>
                <w:rFonts w:hint="eastAsia" w:ascii="宋体" w:hAnsi="宋体" w:cs="宋体"/>
                <w:kern w:val="0"/>
                <w:szCs w:val="21"/>
                <w:highlight w:val="none"/>
              </w:rPr>
              <w:t>10万元每人次；</w:t>
            </w:r>
          </w:p>
        </w:tc>
        <w:tc>
          <w:tcPr>
            <w:tcW w:w="1940" w:type="dxa"/>
          </w:tcPr>
          <w:p>
            <w:pPr>
              <w:numPr>
                <w:ilvl w:val="0"/>
                <w:numId w:val="1"/>
              </w:numPr>
              <w:spacing w:line="360" w:lineRule="auto"/>
              <w:rPr>
                <w:rFonts w:ascii="宋体" w:hAnsi="宋体" w:cs="宋体"/>
                <w:b/>
                <w:bCs/>
                <w:kern w:val="0"/>
                <w:szCs w:val="21"/>
                <w:highlight w:val="none"/>
              </w:rPr>
            </w:pPr>
            <w:r>
              <w:rPr>
                <w:rFonts w:hint="eastAsia" w:ascii="宋体" w:hAnsi="宋体" w:cs="宋体"/>
                <w:kern w:val="0"/>
                <w:szCs w:val="21"/>
                <w:highlight w:val="none"/>
              </w:rPr>
              <w:t>50万元每人次；</w:t>
            </w:r>
          </w:p>
          <w:p>
            <w:pPr>
              <w:numPr>
                <w:ilvl w:val="0"/>
                <w:numId w:val="1"/>
              </w:numPr>
              <w:spacing w:line="360" w:lineRule="auto"/>
              <w:rPr>
                <w:rFonts w:ascii="宋体" w:hAnsi="宋体" w:cs="宋体"/>
                <w:b/>
                <w:bCs/>
                <w:kern w:val="0"/>
                <w:szCs w:val="21"/>
                <w:highlight w:val="none"/>
              </w:rPr>
            </w:pPr>
            <w:r>
              <w:rPr>
                <w:rFonts w:hint="eastAsia" w:ascii="宋体" w:hAnsi="宋体" w:cs="宋体"/>
                <w:kern w:val="0"/>
                <w:szCs w:val="21"/>
                <w:highlight w:val="none"/>
              </w:rPr>
              <w:t>30万元每人次；</w:t>
            </w:r>
          </w:p>
        </w:tc>
        <w:tc>
          <w:tcPr>
            <w:tcW w:w="1780" w:type="dxa"/>
          </w:tcPr>
          <w:p>
            <w:pPr>
              <w:numPr>
                <w:ilvl w:val="0"/>
                <w:numId w:val="2"/>
              </w:numPr>
              <w:spacing w:line="360" w:lineRule="auto"/>
              <w:rPr>
                <w:rFonts w:ascii="宋体" w:hAnsi="宋体" w:cs="宋体"/>
                <w:b/>
                <w:bCs/>
                <w:kern w:val="0"/>
                <w:szCs w:val="21"/>
                <w:highlight w:val="none"/>
              </w:rPr>
            </w:pPr>
            <w:r>
              <w:rPr>
                <w:rFonts w:hint="eastAsia" w:ascii="宋体" w:hAnsi="宋体" w:cs="宋体"/>
                <w:kern w:val="0"/>
                <w:szCs w:val="21"/>
                <w:highlight w:val="none"/>
              </w:rPr>
              <w:t>100万元每人次；</w:t>
            </w:r>
          </w:p>
          <w:p>
            <w:pPr>
              <w:numPr>
                <w:ilvl w:val="0"/>
                <w:numId w:val="2"/>
              </w:numPr>
              <w:spacing w:line="360" w:lineRule="auto"/>
              <w:rPr>
                <w:rFonts w:ascii="宋体" w:hAnsi="宋体" w:cs="宋体"/>
                <w:b/>
                <w:bCs/>
                <w:kern w:val="0"/>
                <w:szCs w:val="21"/>
                <w:highlight w:val="none"/>
              </w:rPr>
            </w:pPr>
            <w:r>
              <w:rPr>
                <w:rFonts w:hint="eastAsia" w:ascii="宋体" w:hAnsi="宋体" w:cs="宋体"/>
                <w:kern w:val="0"/>
                <w:szCs w:val="21"/>
                <w:highlight w:val="none"/>
              </w:rPr>
              <w:t>50万元每人次；</w:t>
            </w:r>
          </w:p>
        </w:tc>
        <w:tc>
          <w:tcPr>
            <w:tcW w:w="1480" w:type="dxa"/>
          </w:tcPr>
          <w:p>
            <w:pPr>
              <w:numPr>
                <w:ilvl w:val="0"/>
                <w:numId w:val="3"/>
              </w:numPr>
              <w:spacing w:line="360" w:lineRule="auto"/>
              <w:rPr>
                <w:rFonts w:ascii="宋体" w:hAnsi="宋体" w:cs="宋体"/>
                <w:b/>
                <w:bCs/>
                <w:kern w:val="0"/>
                <w:szCs w:val="21"/>
                <w:highlight w:val="none"/>
              </w:rPr>
            </w:pPr>
            <w:r>
              <w:rPr>
                <w:rFonts w:hint="eastAsia" w:ascii="宋体" w:hAnsi="宋体" w:cs="宋体"/>
                <w:kern w:val="0"/>
                <w:szCs w:val="21"/>
                <w:highlight w:val="none"/>
              </w:rPr>
              <w:t>200万元每人次；</w:t>
            </w:r>
          </w:p>
          <w:p>
            <w:pPr>
              <w:numPr>
                <w:ilvl w:val="0"/>
                <w:numId w:val="3"/>
              </w:numPr>
              <w:spacing w:line="360" w:lineRule="auto"/>
              <w:rPr>
                <w:rFonts w:ascii="宋体" w:hAnsi="宋体" w:cs="宋体"/>
                <w:b/>
                <w:bCs/>
                <w:kern w:val="0"/>
                <w:szCs w:val="21"/>
                <w:highlight w:val="none"/>
              </w:rPr>
            </w:pPr>
            <w:r>
              <w:rPr>
                <w:rFonts w:hint="eastAsia" w:ascii="宋体" w:hAnsi="宋体" w:cs="宋体"/>
                <w:kern w:val="0"/>
                <w:szCs w:val="21"/>
                <w:highlight w:val="none"/>
              </w:rPr>
              <w:t>100万元每人次；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1.</w:t>
            </w:r>
            <w:r>
              <w:rPr>
                <w:rFonts w:hint="eastAsia" w:ascii="宋体" w:hAnsi="宋体"/>
                <w:szCs w:val="21"/>
                <w:highlight w:val="none"/>
              </w:rPr>
              <w:t>6.8</w:t>
            </w: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约见承包人法人代表</w:t>
            </w:r>
          </w:p>
        </w:tc>
        <w:tc>
          <w:tcPr>
            <w:tcW w:w="5460" w:type="dxa"/>
            <w:vAlign w:val="center"/>
          </w:tcPr>
          <w:p>
            <w:pPr>
              <w:spacing w:line="360" w:lineRule="auto"/>
              <w:rPr>
                <w:rFonts w:ascii="宋体" w:hAnsi="宋体"/>
                <w:szCs w:val="21"/>
                <w:highlight w:val="none"/>
              </w:rPr>
            </w:pPr>
            <w:r>
              <w:rPr>
                <w:rFonts w:hint="eastAsia" w:ascii="宋体" w:hAnsi="宋体" w:cs="宋体"/>
                <w:kern w:val="0"/>
                <w:szCs w:val="21"/>
                <w:highlight w:val="none"/>
              </w:rPr>
              <w:t>合同履行过程中，发包人有权随时发函约见承包人的法定代表人，并要求法定代表人驻场施工现场协调及安排工作，直至工程保质、保量顺利推进。承包人的法定代表人无正当理由拒绝约见的，承包人的违约赔偿责任。承包人的法定代表人无正当理由拒绝约见累计3次及以上的，发包人有权解除合同，将本工程另行发包，并不免除承包人的违约赔偿责任，</w:t>
            </w:r>
            <w:r>
              <w:rPr>
                <w:rFonts w:hint="eastAsia" w:ascii="宋体" w:hAnsi="宋体"/>
                <w:bCs/>
                <w:szCs w:val="21"/>
                <w:highlight w:val="none"/>
              </w:rPr>
              <w:t>并有权书面通知承包人或者在相关网站上公示并抄送行政监督部门，拒绝承包人参与以后发包人所负责的工程投标资格</w:t>
            </w:r>
            <w:r>
              <w:rPr>
                <w:rFonts w:hint="eastAsia" w:ascii="宋体" w:hAnsi="宋体" w:cs="宋体"/>
                <w:kern w:val="0"/>
                <w:szCs w:val="21"/>
                <w:highlight w:val="none"/>
              </w:rPr>
              <w:t>。</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10万元每人次</w:t>
            </w:r>
          </w:p>
        </w:tc>
        <w:tc>
          <w:tcPr>
            <w:tcW w:w="1940" w:type="dxa"/>
          </w:tcPr>
          <w:p>
            <w:pPr>
              <w:spacing w:line="360" w:lineRule="auto"/>
              <w:ind w:left="360"/>
              <w:rPr>
                <w:rFonts w:ascii="宋体" w:hAnsi="宋体" w:cs="宋体"/>
                <w:kern w:val="0"/>
                <w:szCs w:val="21"/>
                <w:highlight w:val="none"/>
              </w:rPr>
            </w:pPr>
            <w:r>
              <w:rPr>
                <w:rFonts w:hint="eastAsia" w:ascii="宋体" w:hAnsi="宋体" w:cs="宋体"/>
                <w:kern w:val="0"/>
                <w:szCs w:val="21"/>
                <w:highlight w:val="none"/>
              </w:rPr>
              <w:t>20万元每人次</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50万元每人次</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100万元每人次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1.2</w:t>
            </w: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设备管理</w:t>
            </w:r>
          </w:p>
        </w:tc>
        <w:tc>
          <w:tcPr>
            <w:tcW w:w="5460" w:type="dxa"/>
            <w:vAlign w:val="center"/>
          </w:tcPr>
          <w:p>
            <w:pPr>
              <w:spacing w:line="360" w:lineRule="auto"/>
              <w:rPr>
                <w:rFonts w:ascii="宋体" w:hAnsi="宋体"/>
                <w:szCs w:val="21"/>
                <w:highlight w:val="none"/>
              </w:rPr>
            </w:pP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p>
        </w:tc>
        <w:tc>
          <w:tcPr>
            <w:tcW w:w="1945" w:type="dxa"/>
            <w:vAlign w:val="center"/>
          </w:tcPr>
          <w:p>
            <w:pPr>
              <w:spacing w:line="360" w:lineRule="auto"/>
              <w:rPr>
                <w:rFonts w:ascii="宋体" w:hAnsi="宋体"/>
                <w:szCs w:val="21"/>
                <w:highlight w:val="none"/>
              </w:rPr>
            </w:pPr>
            <w:r>
              <w:rPr>
                <w:rFonts w:hint="eastAsia" w:ascii="宋体" w:hAnsi="宋体"/>
                <w:b/>
                <w:szCs w:val="21"/>
                <w:highlight w:val="none"/>
              </w:rPr>
              <w:t>书面警告及限期改正</w:t>
            </w:r>
          </w:p>
        </w:tc>
        <w:tc>
          <w:tcPr>
            <w:tcW w:w="5460" w:type="dxa"/>
            <w:vAlign w:val="center"/>
          </w:tcPr>
          <w:p>
            <w:pPr>
              <w:spacing w:line="360" w:lineRule="auto"/>
              <w:rPr>
                <w:rFonts w:ascii="宋体" w:hAnsi="宋体"/>
                <w:szCs w:val="21"/>
                <w:highlight w:val="none"/>
              </w:rPr>
            </w:pP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1.2.1</w:t>
            </w:r>
          </w:p>
        </w:tc>
        <w:tc>
          <w:tcPr>
            <w:tcW w:w="1945" w:type="dxa"/>
            <w:vAlign w:val="center"/>
          </w:tcPr>
          <w:p>
            <w:pPr>
              <w:spacing w:line="360" w:lineRule="auto"/>
              <w:rPr>
                <w:rFonts w:ascii="宋体" w:hAnsi="宋体"/>
                <w:szCs w:val="21"/>
                <w:highlight w:val="none"/>
              </w:rPr>
            </w:pPr>
            <w:r>
              <w:rPr>
                <w:rFonts w:hint="eastAsia" w:ascii="宋体" w:hAnsi="宋体"/>
                <w:szCs w:val="21"/>
                <w:highlight w:val="none"/>
              </w:rPr>
              <w:t>主要机械设备、材料到场管理</w:t>
            </w:r>
          </w:p>
        </w:tc>
        <w:tc>
          <w:tcPr>
            <w:tcW w:w="5460" w:type="dxa"/>
            <w:vAlign w:val="center"/>
          </w:tcPr>
          <w:p>
            <w:pPr>
              <w:spacing w:line="360" w:lineRule="auto"/>
              <w:rPr>
                <w:rFonts w:ascii="宋体" w:hAnsi="宋体" w:cs="宋体"/>
                <w:b/>
                <w:bCs/>
                <w:kern w:val="0"/>
                <w:szCs w:val="21"/>
                <w:highlight w:val="none"/>
              </w:rPr>
            </w:pPr>
            <w:r>
              <w:rPr>
                <w:rFonts w:hint="eastAsia" w:ascii="宋体" w:hAnsi="宋体"/>
                <w:szCs w:val="21"/>
                <w:highlight w:val="none"/>
              </w:rPr>
              <w:t>在具备施工条件情况下，主要机械设备、材料未按合同文件及发包人要求及时到场或擅自更换、调整，每台每天处违约金5000元，并限期整改。</w:t>
            </w: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1.2.2</w:t>
            </w:r>
          </w:p>
        </w:tc>
        <w:tc>
          <w:tcPr>
            <w:tcW w:w="1945" w:type="dxa"/>
            <w:vAlign w:val="center"/>
          </w:tcPr>
          <w:p>
            <w:pPr>
              <w:spacing w:line="360" w:lineRule="auto"/>
              <w:rPr>
                <w:rFonts w:ascii="宋体" w:hAnsi="宋体"/>
                <w:szCs w:val="21"/>
                <w:highlight w:val="none"/>
              </w:rPr>
            </w:pPr>
            <w:r>
              <w:rPr>
                <w:rFonts w:hint="eastAsia" w:ascii="宋体" w:hAnsi="宋体"/>
                <w:szCs w:val="21"/>
                <w:highlight w:val="none"/>
              </w:rPr>
              <w:t>试验设备</w:t>
            </w: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试验设备不全，未建立试验台帐的，每次处违约金5000元，并限期纠正。</w:t>
            </w: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2</w:t>
            </w:r>
          </w:p>
        </w:tc>
        <w:tc>
          <w:tcPr>
            <w:tcW w:w="1945"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工期</w:t>
            </w:r>
          </w:p>
        </w:tc>
        <w:tc>
          <w:tcPr>
            <w:tcW w:w="5460" w:type="dxa"/>
            <w:vAlign w:val="center"/>
          </w:tcPr>
          <w:p>
            <w:pPr>
              <w:spacing w:line="360" w:lineRule="auto"/>
              <w:rPr>
                <w:rFonts w:ascii="宋体" w:hAnsi="宋体" w:cs="宋体"/>
                <w:b/>
                <w:bCs/>
                <w:kern w:val="0"/>
                <w:szCs w:val="21"/>
                <w:highlight w:val="none"/>
              </w:rPr>
            </w:pP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p>
        </w:tc>
        <w:tc>
          <w:tcPr>
            <w:tcW w:w="1945"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一般违约及严重违约</w:t>
            </w:r>
          </w:p>
        </w:tc>
        <w:tc>
          <w:tcPr>
            <w:tcW w:w="5460" w:type="dxa"/>
            <w:vAlign w:val="center"/>
          </w:tcPr>
          <w:p>
            <w:pPr>
              <w:spacing w:line="360" w:lineRule="auto"/>
              <w:rPr>
                <w:rFonts w:ascii="宋体" w:hAnsi="宋体" w:cs="宋体"/>
                <w:b/>
                <w:bCs/>
                <w:kern w:val="0"/>
                <w:szCs w:val="21"/>
                <w:highlight w:val="none"/>
              </w:rPr>
            </w:pP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2.1</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延期开工</w:t>
            </w:r>
          </w:p>
        </w:tc>
        <w:tc>
          <w:tcPr>
            <w:tcW w:w="5460" w:type="dxa"/>
            <w:vAlign w:val="center"/>
          </w:tcPr>
          <w:p>
            <w:pPr>
              <w:spacing w:line="360" w:lineRule="auto"/>
              <w:rPr>
                <w:rFonts w:ascii="宋体" w:hAnsi="宋体" w:cs="宋体"/>
                <w:kern w:val="0"/>
                <w:szCs w:val="21"/>
                <w:highlight w:val="none"/>
              </w:rPr>
            </w:pPr>
            <w:r>
              <w:rPr>
                <w:rFonts w:hint="eastAsia" w:ascii="宋体" w:hAnsi="宋体"/>
                <w:szCs w:val="21"/>
                <w:highlight w:val="none"/>
              </w:rPr>
              <w:t>承包人在接到发包人的书面开工令后，必须按开工令要求无条件开工。如有异议，可在收到开工令后48小时内书面向发包人提出，但这并不能成为承包人拖延开工的理由。</w:t>
            </w:r>
            <w:r>
              <w:rPr>
                <w:rFonts w:hint="eastAsia" w:ascii="宋体" w:hAnsi="宋体" w:cs="宋体"/>
                <w:kern w:val="0"/>
                <w:szCs w:val="21"/>
                <w:highlight w:val="none"/>
              </w:rPr>
              <w:t>每迟延开工1天，应给发包人支付相对应等级的违约金；迟延开工超过10天的，发包人通知承包人拒不开工的，发包人有权解除合同，将本工程另行发包，并不免除承包人的违约赔偿责任。</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10万元/天</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25万元/天</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40万元/天</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2.2</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单方停工</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每单方停工1天，应给发包人支付相对应等级的违约金；单方停工超过10天的，发包人通知承包人拒不开工的，发包人有权解除合同，将本工程另行发包，并不免除承包人的违约赔偿责任。</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10万元/天</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25万元/天</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40万元/天</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80万元/天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2.3</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关键节点工期延误</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bCs/>
                <w:kern w:val="0"/>
                <w:szCs w:val="21"/>
                <w:highlight w:val="none"/>
              </w:rPr>
              <w:t>承包人原因造成关键节点工期延误的，工期延误在3天至10天内，承包人有权暂停支付当月的工程进度款；关键节点工期延误10天或以上的，承包人每延误1天，应向发包人支付签约合同价款1‰的违约金。</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2.4</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逾期竣工</w:t>
            </w:r>
          </w:p>
        </w:tc>
        <w:tc>
          <w:tcPr>
            <w:tcW w:w="5460"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承包人原因造成逾期竣工的，每逾期1天，承包人必须按签约合同价款的3‰向发包人支付违约金。</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b/>
                <w:bCs/>
                <w:kern w:val="0"/>
                <w:szCs w:val="21"/>
                <w:highlight w:val="none"/>
              </w:rPr>
              <w:t>3</w:t>
            </w:r>
          </w:p>
        </w:tc>
        <w:tc>
          <w:tcPr>
            <w:tcW w:w="1945" w:type="dxa"/>
            <w:vAlign w:val="center"/>
          </w:tcPr>
          <w:p>
            <w:pPr>
              <w:spacing w:line="360" w:lineRule="auto"/>
              <w:rPr>
                <w:rFonts w:ascii="宋体" w:hAnsi="宋体" w:cs="宋体"/>
                <w:b/>
                <w:kern w:val="0"/>
                <w:szCs w:val="21"/>
                <w:highlight w:val="none"/>
              </w:rPr>
            </w:pPr>
            <w:r>
              <w:rPr>
                <w:rFonts w:hint="eastAsia" w:ascii="宋体" w:hAnsi="宋体" w:cs="宋体"/>
                <w:b/>
                <w:kern w:val="0"/>
                <w:szCs w:val="21"/>
                <w:highlight w:val="none"/>
              </w:rPr>
              <w:t>质量管理</w:t>
            </w:r>
          </w:p>
        </w:tc>
        <w:tc>
          <w:tcPr>
            <w:tcW w:w="5460" w:type="dxa"/>
            <w:vAlign w:val="center"/>
          </w:tcPr>
          <w:p>
            <w:pPr>
              <w:spacing w:line="360" w:lineRule="auto"/>
              <w:rPr>
                <w:rFonts w:ascii="宋体" w:hAnsi="宋体" w:cs="宋体"/>
                <w:kern w:val="0"/>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3.1</w:t>
            </w: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材料管理</w:t>
            </w:r>
          </w:p>
        </w:tc>
        <w:tc>
          <w:tcPr>
            <w:tcW w:w="5460" w:type="dxa"/>
            <w:vAlign w:val="center"/>
          </w:tcPr>
          <w:p>
            <w:pPr>
              <w:spacing w:line="360" w:lineRule="auto"/>
              <w:rPr>
                <w:rFonts w:ascii="宋体" w:hAnsi="宋体"/>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p>
        </w:tc>
        <w:tc>
          <w:tcPr>
            <w:tcW w:w="1945" w:type="dxa"/>
            <w:vAlign w:val="center"/>
          </w:tcPr>
          <w:p>
            <w:pPr>
              <w:spacing w:line="360" w:lineRule="auto"/>
              <w:rPr>
                <w:rFonts w:ascii="宋体" w:hAnsi="宋体" w:cs="宋体"/>
                <w:kern w:val="0"/>
                <w:szCs w:val="21"/>
                <w:highlight w:val="none"/>
              </w:rPr>
            </w:pPr>
            <w:r>
              <w:rPr>
                <w:rFonts w:hint="eastAsia" w:ascii="宋体" w:hAnsi="宋体"/>
                <w:b/>
                <w:szCs w:val="21"/>
                <w:highlight w:val="none"/>
              </w:rPr>
              <w:t>书面警告及限期改正</w:t>
            </w:r>
          </w:p>
        </w:tc>
        <w:tc>
          <w:tcPr>
            <w:tcW w:w="5460" w:type="dxa"/>
            <w:vAlign w:val="center"/>
          </w:tcPr>
          <w:p>
            <w:pPr>
              <w:spacing w:line="360" w:lineRule="auto"/>
              <w:rPr>
                <w:rFonts w:ascii="宋体" w:hAnsi="宋体" w:cs="宋体"/>
                <w:kern w:val="0"/>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3.1.1</w:t>
            </w:r>
          </w:p>
        </w:tc>
        <w:tc>
          <w:tcPr>
            <w:tcW w:w="1945" w:type="dxa"/>
            <w:vAlign w:val="center"/>
          </w:tcPr>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水泥、钢筋、钢筋笼的存放不满足规范技术要求的，每次处违约金10000元，并限期纠正。</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3.1.2</w:t>
            </w:r>
          </w:p>
        </w:tc>
        <w:tc>
          <w:tcPr>
            <w:tcW w:w="1945" w:type="dxa"/>
            <w:vAlign w:val="center"/>
          </w:tcPr>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原材料送检或其他自检项目的试验（如钢筋焊接、土的重击试验）不及时，频率未达到规定要求，每次处违约金20000元，并限期纠正。</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3.1.3</w:t>
            </w:r>
          </w:p>
        </w:tc>
        <w:tc>
          <w:tcPr>
            <w:tcW w:w="1945" w:type="dxa"/>
            <w:vAlign w:val="center"/>
          </w:tcPr>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使用未经检验合格的材料（原材料、锚具等）用于施工的，每次处违约金50000元，并限期纠正。</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3.1.4</w:t>
            </w:r>
          </w:p>
        </w:tc>
        <w:tc>
          <w:tcPr>
            <w:tcW w:w="1945" w:type="dxa"/>
            <w:vAlign w:val="center"/>
          </w:tcPr>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经查实，工程材料的各种证明材料属弄虚作假的，每批次处违约金200000元，并限期整改。</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一般违约及严重违约</w:t>
            </w:r>
          </w:p>
        </w:tc>
        <w:tc>
          <w:tcPr>
            <w:tcW w:w="5460" w:type="dxa"/>
            <w:vAlign w:val="center"/>
          </w:tcPr>
          <w:p>
            <w:pPr>
              <w:spacing w:line="360" w:lineRule="auto"/>
              <w:rPr>
                <w:rFonts w:ascii="宋体" w:hAnsi="宋体"/>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 xml:space="preserve"> 3.1.5</w:t>
            </w:r>
          </w:p>
        </w:tc>
        <w:tc>
          <w:tcPr>
            <w:tcW w:w="1945" w:type="dxa"/>
            <w:vAlign w:val="center"/>
          </w:tcPr>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发现所检查的材料不符合时,所有不符合条件材料必须更换为合格材料。</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3.1.6</w:t>
            </w:r>
          </w:p>
        </w:tc>
        <w:tc>
          <w:tcPr>
            <w:tcW w:w="1945" w:type="dxa"/>
            <w:vAlign w:val="center"/>
          </w:tcPr>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单宗或批次材料价值在人民币10万元以上100万元以下（含100万元）承包人承担一次一般违约责任。</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3.1.7</w:t>
            </w:r>
          </w:p>
        </w:tc>
        <w:tc>
          <w:tcPr>
            <w:tcW w:w="1945" w:type="dxa"/>
            <w:vAlign w:val="center"/>
          </w:tcPr>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单宗或批次材料价值人民币100-200万元（含200万元）承包人承担一次严重违约责任。</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3.1.8</w:t>
            </w:r>
          </w:p>
        </w:tc>
        <w:tc>
          <w:tcPr>
            <w:tcW w:w="1945" w:type="dxa"/>
            <w:vAlign w:val="center"/>
          </w:tcPr>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单宗或批次材料价值在人民币200万元以上的,承包人承担两次严重违约责任。</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3.1.9</w:t>
            </w:r>
          </w:p>
        </w:tc>
        <w:tc>
          <w:tcPr>
            <w:tcW w:w="1945" w:type="dxa"/>
            <w:vAlign w:val="center"/>
          </w:tcPr>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对于单宗或批次材料价值不高于人民币10万元的（含10万元），但累计抽检不合格达5次,承包人承担1次一般违约责任。</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kern w:val="0"/>
                <w:szCs w:val="21"/>
                <w:highlight w:val="none"/>
              </w:rPr>
            </w:pPr>
            <w:r>
              <w:rPr>
                <w:rFonts w:hint="eastAsia" w:ascii="宋体" w:hAnsi="宋体" w:cs="宋体"/>
                <w:b/>
                <w:kern w:val="0"/>
                <w:szCs w:val="21"/>
                <w:highlight w:val="none"/>
              </w:rPr>
              <w:t>3.2</w:t>
            </w:r>
          </w:p>
        </w:tc>
        <w:tc>
          <w:tcPr>
            <w:tcW w:w="1945" w:type="dxa"/>
            <w:vAlign w:val="center"/>
          </w:tcPr>
          <w:p>
            <w:pPr>
              <w:spacing w:line="360" w:lineRule="auto"/>
              <w:rPr>
                <w:rFonts w:ascii="宋体" w:hAnsi="宋体" w:cs="宋体"/>
                <w:b/>
                <w:kern w:val="0"/>
                <w:szCs w:val="21"/>
                <w:highlight w:val="none"/>
              </w:rPr>
            </w:pPr>
            <w:r>
              <w:rPr>
                <w:rFonts w:hint="eastAsia" w:ascii="宋体" w:hAnsi="宋体" w:cs="宋体"/>
                <w:b/>
                <w:kern w:val="0"/>
                <w:szCs w:val="21"/>
                <w:highlight w:val="none"/>
              </w:rPr>
              <w:t>工程质量管理</w:t>
            </w:r>
          </w:p>
        </w:tc>
        <w:tc>
          <w:tcPr>
            <w:tcW w:w="5460" w:type="dxa"/>
            <w:vAlign w:val="center"/>
          </w:tcPr>
          <w:p>
            <w:pPr>
              <w:spacing w:line="360" w:lineRule="auto"/>
              <w:rPr>
                <w:rFonts w:ascii="宋体" w:hAnsi="宋体" w:cs="宋体"/>
                <w:kern w:val="0"/>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kern w:val="0"/>
                <w:szCs w:val="21"/>
                <w:highlight w:val="none"/>
              </w:rPr>
            </w:pPr>
          </w:p>
        </w:tc>
        <w:tc>
          <w:tcPr>
            <w:tcW w:w="1945" w:type="dxa"/>
            <w:vAlign w:val="center"/>
          </w:tcPr>
          <w:p>
            <w:pPr>
              <w:spacing w:line="360" w:lineRule="auto"/>
              <w:rPr>
                <w:rFonts w:ascii="宋体" w:hAnsi="宋体" w:cs="宋体"/>
                <w:b/>
                <w:kern w:val="0"/>
                <w:szCs w:val="21"/>
                <w:highlight w:val="none"/>
              </w:rPr>
            </w:pPr>
            <w:r>
              <w:rPr>
                <w:rFonts w:hint="eastAsia" w:ascii="宋体" w:hAnsi="宋体" w:cs="宋体"/>
                <w:b/>
                <w:kern w:val="0"/>
                <w:szCs w:val="21"/>
                <w:highlight w:val="none"/>
              </w:rPr>
              <w:t>书面警告及限期改正</w:t>
            </w:r>
          </w:p>
        </w:tc>
        <w:tc>
          <w:tcPr>
            <w:tcW w:w="5460" w:type="dxa"/>
            <w:vAlign w:val="center"/>
          </w:tcPr>
          <w:p>
            <w:pPr>
              <w:spacing w:line="360" w:lineRule="auto"/>
              <w:rPr>
                <w:rFonts w:ascii="宋体" w:hAnsi="宋体" w:cs="宋体"/>
                <w:kern w:val="0"/>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3.2.1</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工程通过自检而抽检不合格，每次处违约金50000元，并限期改正，工期不得顺延。</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3.2.2</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承包单位接到水行政主管单位、发包人或质监站的工程整改通知后，未按要求在限期内进行整改并回复的，每次处违约金10000～50000元。</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一般违约及严重违约</w:t>
            </w:r>
          </w:p>
        </w:tc>
        <w:tc>
          <w:tcPr>
            <w:tcW w:w="5460" w:type="dxa"/>
            <w:vAlign w:val="center"/>
          </w:tcPr>
          <w:p>
            <w:pPr>
              <w:spacing w:line="360" w:lineRule="auto"/>
              <w:rPr>
                <w:rFonts w:ascii="宋体" w:hAnsi="宋体"/>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3.2.3</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如承包人申请报验后，经总监理工程师或发包人检查发现存在较大质量问题（如存在质量问题的部分超过检查部分工程的10％的）</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必须对不合格部分进行返工，返工后经检查合格才准进入下一工序，工期不予顺延。复检的结果，按每一分项工程计算，总计发现3次或连续发现2次质量控制点不合格的，承包人承担一次一般违约责任；总计发现3次以上（不含本数）或连续发现2次以上（不含本数）质量控制点不合格的，承包人承担一次严重违约责任；承包人采取整改措施后效果仍不明显的，发包人有权部分解除合同，将该分项工程另行发包，并不免除承包人应承担的违约赔偿责任。</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3.2.4</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工程达不到合同约定的质量目标或创优目标的</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结算时工程质量创优费用不予计算，并且承包人向发包人交纳审定工程费部分结算总价3％的违约金，且须确保达到合同约定的质量等级。（发包人扣除审定结算工程费部分总价3％的违约金）</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3.2.5</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在施工过程中工程发现重大质量问题或在工程保修期内发现重大质量不合格问题（该重大质量问题应界定为达不到要求的质量标准，属质量保修的问题除外）</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承包人必须在规定的期限整改或返工达到合同约定的质量等级，并按该项目所处分项工程造价5％计算向发包人承担支付违约金的责任。</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3.2.6</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工程达不到环境管理目标</w:t>
            </w:r>
          </w:p>
        </w:tc>
        <w:tc>
          <w:tcPr>
            <w:tcW w:w="5460" w:type="dxa"/>
            <w:vAlign w:val="center"/>
          </w:tcPr>
          <w:p>
            <w:pPr>
              <w:spacing w:line="360" w:lineRule="auto"/>
              <w:rPr>
                <w:rFonts w:ascii="宋体" w:hAnsi="宋体" w:cs="宋体"/>
                <w:kern w:val="0"/>
                <w:szCs w:val="21"/>
                <w:highlight w:val="none"/>
              </w:rPr>
            </w:pPr>
            <w:r>
              <w:rPr>
                <w:rFonts w:hint="eastAsia" w:ascii="宋体" w:hAnsi="宋体"/>
                <w:bCs/>
                <w:snapToGrid w:val="0"/>
                <w:kern w:val="0"/>
                <w:szCs w:val="21"/>
                <w:highlight w:val="none"/>
              </w:rPr>
              <w:t>结算时绿色施工措施费不予计算，</w:t>
            </w:r>
            <w:r>
              <w:rPr>
                <w:rFonts w:hint="eastAsia" w:ascii="宋体" w:hAnsi="宋体" w:cs="宋体"/>
                <w:kern w:val="0"/>
                <w:szCs w:val="21"/>
                <w:highlight w:val="none"/>
              </w:rPr>
              <w:t>并且承包人向发包人交纳审定工程费部分结算总价1％的违约金。</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3.2.7</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设计质量达不到合同要求或创优目标的</w:t>
            </w:r>
          </w:p>
        </w:tc>
        <w:tc>
          <w:tcPr>
            <w:tcW w:w="5460" w:type="dxa"/>
            <w:vAlign w:val="center"/>
          </w:tcPr>
          <w:p>
            <w:pPr>
              <w:spacing w:line="360" w:lineRule="auto"/>
              <w:rPr>
                <w:rFonts w:ascii="宋体" w:hAnsi="宋体"/>
                <w:bCs/>
                <w:snapToGrid w:val="0"/>
                <w:kern w:val="0"/>
                <w:szCs w:val="21"/>
                <w:highlight w:val="none"/>
              </w:rPr>
            </w:pPr>
            <w:r>
              <w:rPr>
                <w:rFonts w:hint="eastAsia" w:ascii="宋体" w:hAnsi="宋体" w:cs="宋体"/>
                <w:kern w:val="0"/>
                <w:szCs w:val="21"/>
                <w:highlight w:val="none"/>
              </w:rPr>
              <w:t>承包人向发包人交纳审定设计费部分结算总价3％的违约金。</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4</w:t>
            </w:r>
          </w:p>
        </w:tc>
        <w:tc>
          <w:tcPr>
            <w:tcW w:w="1945" w:type="dxa"/>
            <w:vAlign w:val="center"/>
          </w:tcPr>
          <w:p>
            <w:pPr>
              <w:spacing w:line="360" w:lineRule="auto"/>
              <w:rPr>
                <w:rFonts w:ascii="宋体" w:hAnsi="宋体"/>
                <w:szCs w:val="21"/>
                <w:highlight w:val="none"/>
              </w:rPr>
            </w:pPr>
            <w:r>
              <w:rPr>
                <w:rFonts w:hint="eastAsia" w:ascii="宋体" w:hAnsi="宋体"/>
                <w:b/>
                <w:szCs w:val="21"/>
                <w:highlight w:val="none"/>
              </w:rPr>
              <w:t>内业资料及其他事项</w:t>
            </w:r>
          </w:p>
        </w:tc>
        <w:tc>
          <w:tcPr>
            <w:tcW w:w="5460" w:type="dxa"/>
            <w:vAlign w:val="center"/>
          </w:tcPr>
          <w:p>
            <w:pPr>
              <w:spacing w:line="360" w:lineRule="auto"/>
              <w:rPr>
                <w:rFonts w:ascii="宋体" w:hAnsi="宋体"/>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书面警告及限期改正</w:t>
            </w:r>
          </w:p>
        </w:tc>
        <w:tc>
          <w:tcPr>
            <w:tcW w:w="5460" w:type="dxa"/>
            <w:vAlign w:val="center"/>
          </w:tcPr>
          <w:p>
            <w:pPr>
              <w:spacing w:line="360" w:lineRule="auto"/>
              <w:rPr>
                <w:rFonts w:ascii="宋体" w:hAnsi="宋体"/>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4.1</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内业原始资料故意弄虚作假的，每次处违约金2000元，并限期纠正。</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 xml:space="preserve">4.2 </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内业原始资料和整理资料未按要求及时归档，每次处违约金500元，并限期纠正</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4.3</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上一道工序未经过监理工程师签认就进行下一道工序施工的，每次处违约金5000元，并限期整改。</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4.4</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承包单位未按有关规定派驻施工现场管理人员（施工员）的，每次处违约金1000元，超过24小时没有施工员在场而继续施工，每次处违约金5000元。</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5</w:t>
            </w: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安全生产管理</w:t>
            </w:r>
          </w:p>
        </w:tc>
        <w:tc>
          <w:tcPr>
            <w:tcW w:w="5460" w:type="dxa"/>
            <w:vAlign w:val="center"/>
          </w:tcPr>
          <w:p>
            <w:pPr>
              <w:spacing w:line="360" w:lineRule="auto"/>
              <w:rPr>
                <w:rFonts w:ascii="宋体" w:hAnsi="宋体"/>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书面警告及限期改正</w:t>
            </w:r>
          </w:p>
        </w:tc>
        <w:tc>
          <w:tcPr>
            <w:tcW w:w="5460" w:type="dxa"/>
            <w:vAlign w:val="center"/>
          </w:tcPr>
          <w:p>
            <w:pPr>
              <w:spacing w:line="360" w:lineRule="auto"/>
              <w:rPr>
                <w:rFonts w:ascii="宋体" w:hAnsi="宋体"/>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5.1</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kern w:val="0"/>
                <w:szCs w:val="21"/>
                <w:highlight w:val="none"/>
              </w:rPr>
              <w:t>施工现场没有设立工地安全员（要有书面的岗位职责，有明确的人员名牌挂在工地的指挥部）</w:t>
            </w:r>
          </w:p>
        </w:tc>
        <w:tc>
          <w:tcPr>
            <w:tcW w:w="1924" w:type="dxa"/>
          </w:tcPr>
          <w:p>
            <w:pPr>
              <w:spacing w:line="360" w:lineRule="auto"/>
              <w:rPr>
                <w:rFonts w:ascii="宋体" w:hAnsi="宋体" w:cs="宋体"/>
                <w:kern w:val="0"/>
                <w:szCs w:val="21"/>
                <w:highlight w:val="none"/>
              </w:rPr>
            </w:pPr>
            <w:r>
              <w:rPr>
                <w:rFonts w:hint="eastAsia" w:ascii="宋体" w:hAnsi="宋体"/>
                <w:kern w:val="0"/>
                <w:szCs w:val="21"/>
                <w:highlight w:val="none"/>
              </w:rPr>
              <w:t>500元</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500元</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1000元</w:t>
            </w:r>
          </w:p>
        </w:tc>
        <w:tc>
          <w:tcPr>
            <w:tcW w:w="1480" w:type="dxa"/>
          </w:tcPr>
          <w:p>
            <w:pPr>
              <w:spacing w:line="360" w:lineRule="auto"/>
              <w:rPr>
                <w:rFonts w:ascii="宋体" w:hAnsi="宋体"/>
                <w:b/>
                <w:szCs w:val="21"/>
                <w:highlight w:val="none"/>
              </w:rPr>
            </w:pPr>
            <w:r>
              <w:rPr>
                <w:rFonts w:hint="eastAsia" w:ascii="宋体" w:hAnsi="宋体"/>
                <w:kern w:val="0"/>
                <w:szCs w:val="21"/>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5.2</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kern w:val="0"/>
                <w:szCs w:val="21"/>
                <w:highlight w:val="none"/>
              </w:rPr>
              <w:t>没有按规定报批并发送安全生产、文明施工技术措施方案或特殊工程（部位）没有编写专项的安全生产技术措施并经批准</w:t>
            </w:r>
          </w:p>
        </w:tc>
        <w:tc>
          <w:tcPr>
            <w:tcW w:w="1924" w:type="dxa"/>
          </w:tcPr>
          <w:p>
            <w:pPr>
              <w:spacing w:line="360" w:lineRule="auto"/>
              <w:rPr>
                <w:rFonts w:ascii="宋体" w:hAnsi="宋体" w:cs="宋体"/>
                <w:kern w:val="0"/>
                <w:szCs w:val="21"/>
                <w:highlight w:val="none"/>
              </w:rPr>
            </w:pPr>
            <w:r>
              <w:rPr>
                <w:rFonts w:hint="eastAsia" w:ascii="宋体" w:hAnsi="宋体"/>
                <w:kern w:val="0"/>
                <w:szCs w:val="21"/>
                <w:highlight w:val="none"/>
              </w:rPr>
              <w:t>500元</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500元</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1000元</w:t>
            </w:r>
          </w:p>
        </w:tc>
        <w:tc>
          <w:tcPr>
            <w:tcW w:w="1480" w:type="dxa"/>
          </w:tcPr>
          <w:p>
            <w:pPr>
              <w:spacing w:line="360" w:lineRule="auto"/>
              <w:rPr>
                <w:rFonts w:ascii="宋体" w:hAnsi="宋体"/>
                <w:b/>
                <w:szCs w:val="21"/>
                <w:highlight w:val="none"/>
              </w:rPr>
            </w:pPr>
            <w:r>
              <w:rPr>
                <w:rFonts w:hint="eastAsia" w:ascii="宋体" w:hAnsi="宋体"/>
                <w:kern w:val="0"/>
                <w:szCs w:val="21"/>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5.3</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kern w:val="0"/>
                <w:szCs w:val="21"/>
                <w:highlight w:val="none"/>
              </w:rPr>
              <w:t>没有各级管理人员、施工人员的安全生产技术措施交底记录</w:t>
            </w:r>
          </w:p>
        </w:tc>
        <w:tc>
          <w:tcPr>
            <w:tcW w:w="1924" w:type="dxa"/>
          </w:tcPr>
          <w:p>
            <w:pPr>
              <w:spacing w:line="360" w:lineRule="auto"/>
              <w:rPr>
                <w:rFonts w:ascii="宋体" w:hAnsi="宋体" w:cs="宋体"/>
                <w:kern w:val="0"/>
                <w:szCs w:val="21"/>
                <w:highlight w:val="none"/>
              </w:rPr>
            </w:pPr>
            <w:r>
              <w:rPr>
                <w:rFonts w:hint="eastAsia" w:ascii="宋体" w:hAnsi="宋体"/>
                <w:kern w:val="0"/>
                <w:szCs w:val="21"/>
                <w:highlight w:val="none"/>
              </w:rPr>
              <w:t>300元</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300元</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500元</w:t>
            </w:r>
          </w:p>
        </w:tc>
        <w:tc>
          <w:tcPr>
            <w:tcW w:w="1480" w:type="dxa"/>
          </w:tcPr>
          <w:p>
            <w:pPr>
              <w:spacing w:line="360" w:lineRule="auto"/>
              <w:rPr>
                <w:rFonts w:ascii="宋体" w:hAnsi="宋体" w:cs="宋体"/>
                <w:kern w:val="0"/>
                <w:szCs w:val="21"/>
                <w:highlight w:val="none"/>
              </w:rPr>
            </w:pPr>
            <w:r>
              <w:rPr>
                <w:rFonts w:hint="eastAsia" w:ascii="宋体" w:hAnsi="宋体"/>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5.4</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没有工地现场各级人员的安全生产岗位责任制资料</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500元</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500元</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1000元</w:t>
            </w:r>
          </w:p>
        </w:tc>
        <w:tc>
          <w:tcPr>
            <w:tcW w:w="1480" w:type="dxa"/>
          </w:tcPr>
          <w:p>
            <w:pPr>
              <w:spacing w:line="360" w:lineRule="auto"/>
              <w:rPr>
                <w:rFonts w:ascii="宋体" w:hAnsi="宋体" w:cs="宋体"/>
                <w:kern w:val="0"/>
                <w:szCs w:val="21"/>
                <w:highlight w:val="none"/>
              </w:rPr>
            </w:pPr>
            <w:r>
              <w:rPr>
                <w:rFonts w:hint="eastAsia" w:ascii="宋体" w:hAnsi="宋体"/>
                <w:kern w:val="0"/>
                <w:szCs w:val="21"/>
                <w:highlight w:val="none"/>
              </w:rPr>
              <w:t>2000元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5.5</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施工机械没有按规定送审取得合格证；特种作业人员没有持合格上岗证；劳务工人未取得安全教育合格证</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500元/每人或每机</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500元/每人或每机</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1000元/每人或每机</w:t>
            </w:r>
          </w:p>
        </w:tc>
        <w:tc>
          <w:tcPr>
            <w:tcW w:w="1480" w:type="dxa"/>
          </w:tcPr>
          <w:p>
            <w:pPr>
              <w:spacing w:line="360" w:lineRule="auto"/>
              <w:rPr>
                <w:rFonts w:ascii="宋体" w:hAnsi="宋体" w:cs="宋体"/>
                <w:kern w:val="0"/>
                <w:szCs w:val="21"/>
                <w:highlight w:val="none"/>
              </w:rPr>
            </w:pPr>
            <w:r>
              <w:rPr>
                <w:rFonts w:hint="eastAsia" w:ascii="宋体" w:hAnsi="宋体"/>
                <w:kern w:val="0"/>
                <w:szCs w:val="21"/>
                <w:highlight w:val="none"/>
              </w:rPr>
              <w:t>2000元/每人或每机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5.6</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管坑或模板棚架支撑围规</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300元/每处</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300元/每处</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500元/每处</w:t>
            </w:r>
          </w:p>
        </w:tc>
        <w:tc>
          <w:tcPr>
            <w:tcW w:w="1480" w:type="dxa"/>
          </w:tcPr>
          <w:p>
            <w:pPr>
              <w:spacing w:line="360" w:lineRule="auto"/>
              <w:rPr>
                <w:rFonts w:ascii="宋体" w:hAnsi="宋体" w:cs="宋体"/>
                <w:kern w:val="0"/>
                <w:szCs w:val="21"/>
                <w:highlight w:val="none"/>
              </w:rPr>
            </w:pPr>
            <w:r>
              <w:rPr>
                <w:rFonts w:hint="eastAsia" w:ascii="宋体" w:hAnsi="宋体"/>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5.7</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工地现场危险孔、洞、边沟、电屏、热沥青混合材料等危险部位无防护栏、盖板或警示标志</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300元/每处</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300元/每处</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500元/每处</w:t>
            </w:r>
          </w:p>
        </w:tc>
        <w:tc>
          <w:tcPr>
            <w:tcW w:w="1480" w:type="dxa"/>
          </w:tcPr>
          <w:p>
            <w:pPr>
              <w:spacing w:line="360" w:lineRule="auto"/>
              <w:rPr>
                <w:rFonts w:ascii="宋体" w:hAnsi="宋体" w:cs="宋体"/>
                <w:kern w:val="0"/>
                <w:szCs w:val="21"/>
                <w:highlight w:val="none"/>
              </w:rPr>
            </w:pPr>
            <w:r>
              <w:rPr>
                <w:rFonts w:hint="eastAsia" w:ascii="宋体" w:hAnsi="宋体"/>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5.8</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脚手架、支模没有经安全员以上技术员验收或发现有倾斜、摇晃、松脱及柱脚悬空等危险现象</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300元/每处</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300元/每处</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500元/每处</w:t>
            </w:r>
          </w:p>
        </w:tc>
        <w:tc>
          <w:tcPr>
            <w:tcW w:w="1480" w:type="dxa"/>
          </w:tcPr>
          <w:p>
            <w:pPr>
              <w:spacing w:line="360" w:lineRule="auto"/>
              <w:rPr>
                <w:rFonts w:ascii="宋体" w:hAnsi="宋体" w:cs="宋体"/>
                <w:kern w:val="0"/>
                <w:szCs w:val="21"/>
                <w:highlight w:val="none"/>
              </w:rPr>
            </w:pPr>
            <w:r>
              <w:rPr>
                <w:rFonts w:hint="eastAsia" w:ascii="宋体" w:hAnsi="宋体"/>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5.9</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发现有工人没签定法定的劳动合同或没有受过“三级安全教育“，即没有安全教育登记卡</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500元/每人</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500元/每人</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1000元/每人</w:t>
            </w:r>
          </w:p>
        </w:tc>
        <w:tc>
          <w:tcPr>
            <w:tcW w:w="1480" w:type="dxa"/>
          </w:tcPr>
          <w:p>
            <w:pPr>
              <w:spacing w:line="360" w:lineRule="auto"/>
              <w:rPr>
                <w:rFonts w:ascii="宋体" w:hAnsi="宋体" w:cs="宋体"/>
                <w:kern w:val="0"/>
                <w:szCs w:val="21"/>
                <w:highlight w:val="none"/>
              </w:rPr>
            </w:pPr>
            <w:r>
              <w:rPr>
                <w:rFonts w:hint="eastAsia" w:ascii="宋体" w:hAnsi="宋体"/>
                <w:kern w:val="0"/>
                <w:szCs w:val="21"/>
                <w:highlight w:val="none"/>
              </w:rPr>
              <w:t>2000元/每人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5.10</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施工机械或电气设备发现有危险故障仍运行或作业现场危险未采取措施</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300元/每台</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300元/每台</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500元/每台</w:t>
            </w:r>
          </w:p>
        </w:tc>
        <w:tc>
          <w:tcPr>
            <w:tcW w:w="1480" w:type="dxa"/>
          </w:tcPr>
          <w:p>
            <w:pPr>
              <w:spacing w:line="360" w:lineRule="auto"/>
              <w:rPr>
                <w:rFonts w:ascii="宋体" w:hAnsi="宋体" w:cs="宋体"/>
                <w:kern w:val="0"/>
                <w:szCs w:val="21"/>
                <w:highlight w:val="none"/>
              </w:rPr>
            </w:pPr>
            <w:r>
              <w:rPr>
                <w:rFonts w:hint="eastAsia" w:ascii="宋体" w:hAnsi="宋体"/>
                <w:kern w:val="0"/>
                <w:szCs w:val="21"/>
                <w:highlight w:val="none"/>
              </w:rPr>
              <w:t>1000元/每台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5.11</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电缆不按规定（一般2.5米高，车道6米高）架设或电缆靠近危险地方或拖地设置等违规</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300元/每处</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300元/每处</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500元/每处</w:t>
            </w:r>
          </w:p>
        </w:tc>
        <w:tc>
          <w:tcPr>
            <w:tcW w:w="1480" w:type="dxa"/>
          </w:tcPr>
          <w:p>
            <w:pPr>
              <w:spacing w:line="360" w:lineRule="auto"/>
              <w:rPr>
                <w:rFonts w:ascii="宋体" w:hAnsi="宋体" w:cs="宋体"/>
                <w:kern w:val="0"/>
                <w:szCs w:val="21"/>
                <w:highlight w:val="none"/>
              </w:rPr>
            </w:pPr>
            <w:r>
              <w:rPr>
                <w:rFonts w:hint="eastAsia" w:ascii="宋体" w:hAnsi="宋体"/>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5.12</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用电设备不按规定配备漏电保护开关或其金属外壳不接保护地线或地线装设违规</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300元/每台</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300元/每台</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500元/每台</w:t>
            </w:r>
          </w:p>
        </w:tc>
        <w:tc>
          <w:tcPr>
            <w:tcW w:w="1480" w:type="dxa"/>
          </w:tcPr>
          <w:p>
            <w:pPr>
              <w:spacing w:line="360" w:lineRule="auto"/>
              <w:rPr>
                <w:rFonts w:ascii="宋体" w:hAnsi="宋体" w:cs="宋体"/>
                <w:kern w:val="0"/>
                <w:szCs w:val="21"/>
                <w:highlight w:val="none"/>
              </w:rPr>
            </w:pPr>
            <w:r>
              <w:rPr>
                <w:rFonts w:hint="eastAsia" w:ascii="宋体" w:hAnsi="宋体"/>
                <w:kern w:val="0"/>
                <w:szCs w:val="21"/>
                <w:highlight w:val="none"/>
              </w:rPr>
              <w:t>1000元/每台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5.13</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用电设备带故障运行，插头，制盖破烂、导线接头违规、电制箱破烂或没有离地0.6米以上放置等</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300元/每处</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300元/每处</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500元/每处</w:t>
            </w:r>
          </w:p>
        </w:tc>
        <w:tc>
          <w:tcPr>
            <w:tcW w:w="1480" w:type="dxa"/>
          </w:tcPr>
          <w:p>
            <w:pPr>
              <w:spacing w:line="360" w:lineRule="auto"/>
              <w:rPr>
                <w:rFonts w:ascii="宋体" w:hAnsi="宋体" w:cs="宋体"/>
                <w:kern w:val="0"/>
                <w:szCs w:val="21"/>
                <w:highlight w:val="none"/>
              </w:rPr>
            </w:pPr>
            <w:r>
              <w:rPr>
                <w:rFonts w:hint="eastAsia" w:ascii="宋体" w:hAnsi="宋体"/>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5.14</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发现有违规使用压力气瓶（乙炔瓶、氧气瓶、液化气瓶等），例如：被阳光暴晒、离火源少于10米、卧放、没有装乙炔回火防止器、气瓶及配套设备有故障等</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300元/每处</w:t>
            </w:r>
          </w:p>
        </w:tc>
        <w:tc>
          <w:tcPr>
            <w:tcW w:w="1940" w:type="dxa"/>
          </w:tcPr>
          <w:p>
            <w:pPr>
              <w:spacing w:line="360" w:lineRule="auto"/>
              <w:rPr>
                <w:rFonts w:ascii="宋体" w:hAnsi="宋体" w:cs="宋体"/>
                <w:kern w:val="0"/>
                <w:szCs w:val="21"/>
                <w:highlight w:val="none"/>
              </w:rPr>
            </w:pPr>
            <w:r>
              <w:rPr>
                <w:rFonts w:hint="eastAsia" w:ascii="宋体" w:hAnsi="宋体"/>
                <w:kern w:val="0"/>
                <w:szCs w:val="21"/>
                <w:highlight w:val="none"/>
              </w:rPr>
              <w:t>300元/每处</w:t>
            </w:r>
          </w:p>
        </w:tc>
        <w:tc>
          <w:tcPr>
            <w:tcW w:w="1780" w:type="dxa"/>
          </w:tcPr>
          <w:p>
            <w:pPr>
              <w:spacing w:line="360" w:lineRule="auto"/>
              <w:rPr>
                <w:rFonts w:ascii="宋体" w:hAnsi="宋体" w:cs="宋体"/>
                <w:kern w:val="0"/>
                <w:szCs w:val="21"/>
                <w:highlight w:val="none"/>
              </w:rPr>
            </w:pPr>
            <w:r>
              <w:rPr>
                <w:rFonts w:hint="eastAsia" w:ascii="宋体" w:hAnsi="宋体"/>
                <w:kern w:val="0"/>
                <w:szCs w:val="21"/>
                <w:highlight w:val="none"/>
              </w:rPr>
              <w:t>500元/每处</w:t>
            </w:r>
          </w:p>
        </w:tc>
        <w:tc>
          <w:tcPr>
            <w:tcW w:w="1480" w:type="dxa"/>
          </w:tcPr>
          <w:p>
            <w:pPr>
              <w:spacing w:line="360" w:lineRule="auto"/>
              <w:rPr>
                <w:rFonts w:ascii="宋体" w:hAnsi="宋体" w:cs="宋体"/>
                <w:kern w:val="0"/>
                <w:szCs w:val="21"/>
                <w:highlight w:val="none"/>
              </w:rPr>
            </w:pPr>
            <w:r>
              <w:rPr>
                <w:rFonts w:hint="eastAsia" w:ascii="宋体" w:hAnsi="宋体"/>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5.15</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发生轻、重伤，处罚承包人项目经理RMB1000-2000元，处罚项目部RMB10000-20000元</w:t>
            </w:r>
          </w:p>
        </w:tc>
        <w:tc>
          <w:tcPr>
            <w:tcW w:w="1924" w:type="dxa"/>
          </w:tcPr>
          <w:p>
            <w:pPr>
              <w:spacing w:line="360" w:lineRule="auto"/>
              <w:rPr>
                <w:rFonts w:ascii="宋体" w:hAnsi="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5.17</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施工现场人员出现以下情况，每人每次处违约金1000元：（1）不戴安全帽；（2）高空作业不系安全带；（3）水上作业不穿救生衣；（4）赤脚或穿拖鞋；（5）管理人员不佩带工作证。</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5.18</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未按规定设置电箱、漏电开关等电器设备，不按有关规定用电的；施工现场未设安全警示标志，每处罚款500元，并限期纠正。</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5.19</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高空作业未设置稳固爬梯；不设围栏、安全网、每处处违约金10000元。</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5.20</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拖欠工人劳务工资受到投诉，一经核实每次处违约金10000－100000元，并限期纠正。</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5.21</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凡工程质量、安全管理、文明施工、地方协调、环境卫生等受到地方、个人或有关部门投诉，一经核实每次处违约金1000～10000元，并限期纠正。</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5.22</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承包人在政府行政主管部门或发包人或项目管理单位组织的质量安全检查中，被发现存在严重的安全隐患，被通报批评，或被新闻媒体曝光造成不良影响的，每次处违约金20000元，并限期整改；施工场地被评为不合格工地的，或者被通报批评的，或者被新闻媒体曝光的，每次处违约金20000元，并限期整改。</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一般违约及严重违约</w:t>
            </w:r>
          </w:p>
        </w:tc>
        <w:tc>
          <w:tcPr>
            <w:tcW w:w="5460" w:type="dxa"/>
            <w:vAlign w:val="center"/>
          </w:tcPr>
          <w:p>
            <w:pPr>
              <w:spacing w:line="360" w:lineRule="auto"/>
              <w:rPr>
                <w:rFonts w:ascii="宋体" w:hAnsi="宋体"/>
                <w:kern w:val="0"/>
                <w:szCs w:val="21"/>
                <w:highlight w:val="none"/>
              </w:rPr>
            </w:pPr>
          </w:p>
        </w:tc>
        <w:tc>
          <w:tcPr>
            <w:tcW w:w="1924" w:type="dxa"/>
          </w:tcPr>
          <w:p>
            <w:pPr>
              <w:spacing w:line="360" w:lineRule="auto"/>
              <w:rPr>
                <w:rFonts w:ascii="宋体" w:hAnsi="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5.23.</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承包人在政府行政主管部门组织的质量安全检查中，被发现存在严重的安全隐患，被通报批评，或被新闻媒体曝光造成不良影响的</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被通报或被曝光1次，承包人必须承担严重违约责任；造成严重社会影响或累计被通报或被曝光3次以上（含本数）的，发包人有权解除合同，将本工程另行发包，并不免除承包人应承担的违约赔偿责任。</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5.24</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承包人在发包人、总监理工程师进行的日常质量安全检查中，被发现存在安全隐患的</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承包人应限期改正。若同样问题被发现2次的或累计类似问题被发现3次，承包人必须承担一般违约责任1次；此类问题的认定，以发包人、总监理工程师书面通知、指令、通报和会议纪要为准。</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5.25</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承包人因自身原因造成的重大安全事故（含工程质量事故）的</w:t>
            </w:r>
          </w:p>
        </w:tc>
        <w:tc>
          <w:tcPr>
            <w:tcW w:w="5460" w:type="dxa"/>
            <w:vAlign w:val="center"/>
          </w:tcPr>
          <w:p>
            <w:pPr>
              <w:spacing w:line="360" w:lineRule="auto"/>
              <w:rPr>
                <w:rFonts w:ascii="宋体" w:hAnsi="宋体" w:cs="宋体"/>
                <w:kern w:val="0"/>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5.25.1</w:t>
            </w:r>
          </w:p>
        </w:tc>
        <w:tc>
          <w:tcPr>
            <w:tcW w:w="1945" w:type="dxa"/>
            <w:vAlign w:val="center"/>
          </w:tcPr>
          <w:p>
            <w:pPr>
              <w:adjustRightInd w:val="0"/>
              <w:snapToGrid w:val="0"/>
              <w:spacing w:line="360" w:lineRule="auto"/>
              <w:rPr>
                <w:rFonts w:ascii="宋体" w:hAnsi="宋体"/>
                <w:bCs/>
                <w:snapToGrid w:val="0"/>
                <w:kern w:val="0"/>
                <w:szCs w:val="21"/>
                <w:highlight w:val="none"/>
              </w:rPr>
            </w:pPr>
            <w:r>
              <w:rPr>
                <w:rFonts w:hint="eastAsia" w:ascii="宋体" w:hAnsi="宋体"/>
                <w:bCs/>
                <w:snapToGrid w:val="0"/>
                <w:kern w:val="0"/>
                <w:szCs w:val="21"/>
                <w:highlight w:val="none"/>
              </w:rPr>
              <w:t>发生特别重大事故（造成30人以</w:t>
            </w:r>
            <w:bookmarkStart w:id="1351" w:name="修改1"/>
            <w:bookmarkEnd w:id="1351"/>
            <w:r>
              <w:rPr>
                <w:rFonts w:hint="eastAsia" w:ascii="宋体" w:hAnsi="宋体"/>
                <w:bCs/>
                <w:snapToGrid w:val="0"/>
                <w:kern w:val="0"/>
                <w:szCs w:val="21"/>
                <w:highlight w:val="none"/>
              </w:rPr>
              <w:t>上死亡，或者100人以上重伤，或者1亿元以上直接经济损失的事故）</w:t>
            </w:r>
          </w:p>
          <w:p>
            <w:pPr>
              <w:spacing w:line="360" w:lineRule="auto"/>
              <w:ind w:firstLine="420"/>
              <w:rPr>
                <w:rFonts w:ascii="宋体" w:hAnsi="宋体" w:cs="宋体"/>
                <w:kern w:val="0"/>
                <w:szCs w:val="21"/>
                <w:highlight w:val="none"/>
              </w:rPr>
            </w:pP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必须积极补救消除隐患和影响，所需费用自负。如造成人员死亡的，承包人须向发包人支付违约金，违约金从相对应等级金额①起计，死亡的人数多于30人时，每增加死亡1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①100万元；        ②10万元/人；      ③50万元。</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①500万元；         ②30万元/人；      ③80万元。</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①1000万元；       ②50万元/人；      ③100万元。</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①3000万元；       ②100万元/人；     ③150万元。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5.25.2</w:t>
            </w:r>
          </w:p>
        </w:tc>
        <w:tc>
          <w:tcPr>
            <w:tcW w:w="1945" w:type="dxa"/>
            <w:vAlign w:val="center"/>
          </w:tcPr>
          <w:p>
            <w:pPr>
              <w:spacing w:line="360" w:lineRule="auto"/>
              <w:rPr>
                <w:rFonts w:ascii="宋体" w:hAnsi="宋体" w:cs="宋体"/>
                <w:kern w:val="0"/>
                <w:szCs w:val="21"/>
                <w:highlight w:val="none"/>
              </w:rPr>
            </w:pPr>
            <w:r>
              <w:rPr>
                <w:rFonts w:hint="eastAsia" w:ascii="宋体" w:hAnsi="宋体"/>
                <w:bCs/>
                <w:snapToGrid w:val="0"/>
                <w:kern w:val="0"/>
                <w:szCs w:val="21"/>
                <w:highlight w:val="none"/>
              </w:rPr>
              <w:t>发生重大事故（造成10人以上30人以下死亡，或者50人以上100人以下重伤，或者5000万元以上1亿元以下直接经济损失的事故）</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必须积极补救消除隐患和影响，所需费用自负。如造成人员死亡的，承包人须向发包人支付违约金，违约金从相对应等级金额①起计，死亡的人数多于10人时，每增加死亡1人，承包人除支付上述违约金外还须再向发包人支付相对应等级的违约金②；如无造成人员死亡的，承包人除赔偿因此而给发包人造成的全部损失外，还应向发包人支付相对应等级的违约金③，同时承担严重违约责任三次。</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①80万元；         ②10万元/人；      ③40万元。</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①300万元；        ②30万元/人；      ③60万元。</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①500万元；        ②50万元/人；      ③80万元。</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①1000万元；       ②100万元/人；     ③100万元。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5.25.3</w:t>
            </w:r>
          </w:p>
        </w:tc>
        <w:tc>
          <w:tcPr>
            <w:tcW w:w="1945" w:type="dxa"/>
            <w:vAlign w:val="center"/>
          </w:tcPr>
          <w:p>
            <w:pPr>
              <w:spacing w:line="360" w:lineRule="auto"/>
              <w:rPr>
                <w:rFonts w:ascii="宋体" w:hAnsi="宋体" w:cs="宋体"/>
                <w:kern w:val="0"/>
                <w:szCs w:val="21"/>
                <w:highlight w:val="none"/>
              </w:rPr>
            </w:pPr>
            <w:r>
              <w:rPr>
                <w:rFonts w:hint="eastAsia" w:ascii="宋体" w:hAnsi="宋体"/>
                <w:bCs/>
                <w:snapToGrid w:val="0"/>
                <w:kern w:val="0"/>
                <w:szCs w:val="21"/>
                <w:highlight w:val="none"/>
              </w:rPr>
              <w:t>发生较大事故（造成3人以上10人以下死亡，或者10人以上50人以下重伤，或者1000万元以上5000万元以下直接经济损失的事故）</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如造成人员死亡或重伤的，承包人须向发包人支付违约金，违约金从相应等级金额①起计，死亡的人数多于3人或重伤的人数多于20人时，每增加死亡1人或重伤3人，承包人除支付上述违约金外还须再向发包人支付相对应等级的违约金②，本条违约金最多不超过相对应等级的金额③；如无造成人员死亡或重伤的，承包人除赔偿因此而给发包人造成的全部损失外，还应向发包人支付相对应等级的违约金④，同时承担严重违约责任两次。</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①60万元；         ②10万元；         ③200万元；        ④30万元。</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①150万元；        ②30万元；         ③400万元；        ④50万元。</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①300万元；        ②50万元；         ③600万元；        ④60万元。</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①500万元；        ②100万元；        ③900万元；        ④80万元。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5.25.4</w:t>
            </w:r>
          </w:p>
        </w:tc>
        <w:tc>
          <w:tcPr>
            <w:tcW w:w="1945" w:type="dxa"/>
            <w:vAlign w:val="center"/>
          </w:tcPr>
          <w:p>
            <w:pPr>
              <w:adjustRightInd w:val="0"/>
              <w:snapToGrid w:val="0"/>
              <w:spacing w:line="360" w:lineRule="auto"/>
              <w:rPr>
                <w:rFonts w:ascii="宋体" w:hAnsi="宋体"/>
                <w:bCs/>
                <w:snapToGrid w:val="0"/>
                <w:kern w:val="0"/>
                <w:szCs w:val="21"/>
                <w:highlight w:val="none"/>
              </w:rPr>
            </w:pPr>
            <w:r>
              <w:rPr>
                <w:rFonts w:hint="eastAsia" w:ascii="宋体" w:hAnsi="宋体" w:cs="宋体"/>
                <w:kern w:val="0"/>
                <w:szCs w:val="21"/>
                <w:highlight w:val="none"/>
              </w:rPr>
              <w:t>发生</w:t>
            </w:r>
            <w:r>
              <w:rPr>
                <w:rFonts w:hint="eastAsia" w:ascii="宋体" w:hAnsi="宋体"/>
                <w:bCs/>
                <w:snapToGrid w:val="0"/>
                <w:kern w:val="0"/>
                <w:szCs w:val="21"/>
                <w:highlight w:val="none"/>
              </w:rPr>
              <w:t>一般事故（3人以下死亡，或者10人以下重伤，或者100万元以上1000万元以下直接经济损失的事故。）</w:t>
            </w:r>
          </w:p>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如造成人员死亡或重伤的，承包人须向发包人支付违约金，违约金从相应等级金额①起计，死亡的人数多于1人或重伤的人数多于3人时，每增加死亡1人或重伤4人，承包人除支付上述违约金外还须再向发包人支付相对应等级的违约金②，本条违约金最多不超过相对应等级的金额③；如无造成人员死亡或重伤的，承包人除赔偿因此而给发包人造成的全部损失外，还应向发包人支付相对应等级的违约金④，同时承担严重违约责任两次。</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①40万元；         ②10万元；         ③150万元；        ④20万元。</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①60万元；         ②30万元；         ③200万元；        ④30万元。</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①80万元；         ②50万元；         ③300万元；        ④40万元。</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①100万元；        ②100万元；        ③400万元；        ④50万元。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6</w:t>
            </w:r>
          </w:p>
        </w:tc>
        <w:tc>
          <w:tcPr>
            <w:tcW w:w="1945" w:type="dxa"/>
            <w:vAlign w:val="center"/>
          </w:tcPr>
          <w:p>
            <w:pPr>
              <w:spacing w:line="360" w:lineRule="auto"/>
              <w:rPr>
                <w:rFonts w:ascii="宋体" w:hAnsi="宋体"/>
                <w:szCs w:val="21"/>
                <w:highlight w:val="none"/>
              </w:rPr>
            </w:pPr>
            <w:r>
              <w:rPr>
                <w:rFonts w:hint="eastAsia" w:ascii="宋体" w:hAnsi="宋体"/>
                <w:b/>
                <w:szCs w:val="21"/>
                <w:highlight w:val="none"/>
              </w:rPr>
              <w:t>安全文明施工</w:t>
            </w:r>
          </w:p>
        </w:tc>
        <w:tc>
          <w:tcPr>
            <w:tcW w:w="5460" w:type="dxa"/>
            <w:vAlign w:val="center"/>
          </w:tcPr>
          <w:p>
            <w:pPr>
              <w:spacing w:line="360" w:lineRule="auto"/>
              <w:rPr>
                <w:rFonts w:ascii="宋体" w:hAnsi="宋体"/>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p>
        </w:tc>
        <w:tc>
          <w:tcPr>
            <w:tcW w:w="1945" w:type="dxa"/>
            <w:vAlign w:val="center"/>
          </w:tcPr>
          <w:p>
            <w:pPr>
              <w:spacing w:line="360" w:lineRule="auto"/>
              <w:rPr>
                <w:rFonts w:ascii="宋体" w:hAnsi="宋体"/>
                <w:b/>
                <w:szCs w:val="21"/>
                <w:highlight w:val="none"/>
              </w:rPr>
            </w:pPr>
            <w:r>
              <w:rPr>
                <w:rFonts w:hint="eastAsia" w:ascii="宋体" w:hAnsi="宋体"/>
                <w:b/>
                <w:szCs w:val="21"/>
                <w:highlight w:val="none"/>
              </w:rPr>
              <w:t>书面警告及限期改正</w:t>
            </w:r>
          </w:p>
        </w:tc>
        <w:tc>
          <w:tcPr>
            <w:tcW w:w="5460" w:type="dxa"/>
            <w:vAlign w:val="center"/>
          </w:tcPr>
          <w:p>
            <w:pPr>
              <w:spacing w:line="360" w:lineRule="auto"/>
              <w:rPr>
                <w:rFonts w:ascii="宋体" w:hAnsi="宋体"/>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6.1</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施工前没召集有关构筑物、管线、市政设施等管理部门研究防护措施，</w:t>
            </w:r>
          </w:p>
          <w:p>
            <w:pPr>
              <w:spacing w:line="360" w:lineRule="auto"/>
              <w:rPr>
                <w:rFonts w:ascii="宋体" w:hAnsi="宋体"/>
                <w:kern w:val="0"/>
                <w:szCs w:val="21"/>
                <w:highlight w:val="none"/>
              </w:rPr>
            </w:pPr>
            <w:r>
              <w:rPr>
                <w:rFonts w:hint="eastAsia" w:ascii="宋体" w:hAnsi="宋体"/>
                <w:kern w:val="0"/>
                <w:szCs w:val="21"/>
                <w:highlight w:val="none"/>
              </w:rPr>
              <w:t>无会议记录。</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300元</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6.2</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没有在现场标注地下管线的位置</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300元</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6.3</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工地上没有“文明施工技术措施计划” 的文件或没有将计划送到质安科</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300元</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6.4</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没有现场“文明施工技术措施计划”三级交底记录</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300元</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6.5</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没有现场落实“文明施工技术措施计划”有关的各类人员责任状书</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300元</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6.6</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没有按规定悬挂开挖证、或交通导向牌或施工告示牌</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300元/每块</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300元/每块</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500元/每块</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1000元/每块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6.7</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没有按规定围蔽施工，每缺或每翻倒2米以下围栏以及每缺一盏警示灯</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300元/处</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300元/处</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500元/处</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6.8</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工棚没有批准或在危险地方搭建</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500元/每处</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500元/每处</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1000元/每处</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6.9</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工棚宿舍有蚊虫的洼积水、或有乱抛烟头落地、物资堆放凌乱、或环境卫生差的</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500元/每处</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500元/每处</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1000元/每处</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6.10</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临时便道、施工通道不符合规定要求</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500元/每处</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500元/每处</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1000元/每处</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6.11</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违规现场搅拌混凝土</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500元/每处</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500元/每处</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1000元/每处</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6.12</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工地的污水、余泥污染围蔽范围以外的地方</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500元/每处</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500元/每处</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1000元/每处</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6.13</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余泥堆放违规或物料放在围蔽范围之外</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500元/每处</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500元/每处</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1000元/每处</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6.14</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运输车辆没有清洗或其中物料散落市区、无证运输余泥</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500元/每处</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500元/每处</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1000元/每处</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6.15</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完工撤场后遗留物料在现场或损坏绿化、市政构筑物和建筑物等</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500元/每处</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500元/每处</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1000元/每处</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2000元/每处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6.16</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流动清疏车辆没有按规定放置、警示锥筒每缺一个或闪灯每缺一盏</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200元/个,盏</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200元/个,盏</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500元/个,盏</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1000元/个,盏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6.17</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电闸开关、机电设备、压力气瓶、消防器材等设备前没有留出通道或吊挂放置其它杂物</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300元/每处</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300元/每处</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500元/每处</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Cs/>
                <w:kern w:val="0"/>
                <w:szCs w:val="21"/>
                <w:highlight w:val="none"/>
              </w:rPr>
            </w:pPr>
            <w:r>
              <w:rPr>
                <w:rFonts w:hint="eastAsia" w:ascii="宋体" w:hAnsi="宋体" w:cs="宋体"/>
                <w:bCs/>
                <w:kern w:val="0"/>
                <w:szCs w:val="21"/>
                <w:highlight w:val="none"/>
              </w:rPr>
              <w:t>6.18</w:t>
            </w:r>
          </w:p>
        </w:tc>
        <w:tc>
          <w:tcPr>
            <w:tcW w:w="1945" w:type="dxa"/>
            <w:vAlign w:val="center"/>
          </w:tcPr>
          <w:p>
            <w:pPr>
              <w:spacing w:line="360" w:lineRule="auto"/>
              <w:rPr>
                <w:rFonts w:ascii="宋体" w:hAnsi="宋体"/>
                <w:szCs w:val="21"/>
                <w:highlight w:val="none"/>
              </w:rPr>
            </w:pPr>
          </w:p>
        </w:tc>
        <w:tc>
          <w:tcPr>
            <w:tcW w:w="5460" w:type="dxa"/>
            <w:vAlign w:val="center"/>
          </w:tcPr>
          <w:p>
            <w:pPr>
              <w:spacing w:line="360" w:lineRule="auto"/>
              <w:rPr>
                <w:rFonts w:ascii="宋体" w:hAnsi="宋体"/>
                <w:kern w:val="0"/>
                <w:szCs w:val="21"/>
                <w:highlight w:val="none"/>
              </w:rPr>
            </w:pPr>
            <w:r>
              <w:rPr>
                <w:rFonts w:hint="eastAsia" w:ascii="宋体" w:hAnsi="宋体"/>
                <w:kern w:val="0"/>
                <w:szCs w:val="21"/>
                <w:highlight w:val="none"/>
              </w:rPr>
              <w:t>作业场所内有积油、积水或物资堆放脏乱的现场</w:t>
            </w:r>
          </w:p>
        </w:tc>
        <w:tc>
          <w:tcPr>
            <w:tcW w:w="1924" w:type="dxa"/>
          </w:tcPr>
          <w:p>
            <w:pPr>
              <w:spacing w:line="360" w:lineRule="auto"/>
              <w:rPr>
                <w:rFonts w:ascii="宋体" w:hAnsi="宋体"/>
                <w:kern w:val="0"/>
                <w:szCs w:val="21"/>
                <w:highlight w:val="none"/>
              </w:rPr>
            </w:pPr>
            <w:r>
              <w:rPr>
                <w:rFonts w:hint="eastAsia" w:ascii="宋体" w:hAnsi="宋体"/>
                <w:kern w:val="0"/>
                <w:szCs w:val="21"/>
                <w:highlight w:val="none"/>
              </w:rPr>
              <w:t>300元/每处</w:t>
            </w:r>
          </w:p>
        </w:tc>
        <w:tc>
          <w:tcPr>
            <w:tcW w:w="194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300元/每处</w:t>
            </w:r>
          </w:p>
        </w:tc>
        <w:tc>
          <w:tcPr>
            <w:tcW w:w="17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500元/每处</w:t>
            </w:r>
          </w:p>
        </w:tc>
        <w:tc>
          <w:tcPr>
            <w:tcW w:w="1480" w:type="dxa"/>
          </w:tcPr>
          <w:p>
            <w:pPr>
              <w:spacing w:line="360" w:lineRule="auto"/>
              <w:rPr>
                <w:rFonts w:ascii="宋体" w:hAnsi="宋体" w:cs="宋体"/>
                <w:kern w:val="0"/>
                <w:szCs w:val="21"/>
                <w:highlight w:val="none"/>
                <w:shd w:val="pct10" w:color="auto" w:fill="FFFFFF"/>
              </w:rPr>
            </w:pPr>
            <w:r>
              <w:rPr>
                <w:rFonts w:hint="eastAsia" w:ascii="宋体" w:hAnsi="宋体"/>
                <w:kern w:val="0"/>
                <w:szCs w:val="21"/>
                <w:highlight w:val="none"/>
              </w:rPr>
              <w:t>1000元/每处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kern w:val="0"/>
                <w:szCs w:val="21"/>
                <w:highlight w:val="none"/>
              </w:rPr>
              <w:t>6.19</w:t>
            </w:r>
          </w:p>
        </w:tc>
        <w:tc>
          <w:tcPr>
            <w:tcW w:w="1945" w:type="dxa"/>
            <w:vAlign w:val="center"/>
          </w:tcPr>
          <w:p>
            <w:pPr>
              <w:spacing w:line="360" w:lineRule="auto"/>
              <w:rPr>
                <w:rFonts w:ascii="宋体" w:hAnsi="宋体" w:cs="宋体"/>
                <w:b/>
                <w:bCs/>
                <w:kern w:val="0"/>
                <w:szCs w:val="21"/>
                <w:highlight w:val="none"/>
              </w:rPr>
            </w:pPr>
          </w:p>
        </w:tc>
        <w:tc>
          <w:tcPr>
            <w:tcW w:w="5460" w:type="dxa"/>
            <w:vAlign w:val="center"/>
          </w:tcPr>
          <w:p>
            <w:pPr>
              <w:spacing w:line="360" w:lineRule="auto"/>
              <w:rPr>
                <w:rFonts w:ascii="宋体" w:hAnsi="宋体" w:cs="宋体"/>
                <w:b/>
                <w:bCs/>
                <w:kern w:val="0"/>
                <w:szCs w:val="21"/>
                <w:highlight w:val="none"/>
              </w:rPr>
            </w:pPr>
            <w:r>
              <w:rPr>
                <w:rFonts w:hint="eastAsia" w:ascii="宋体" w:hAnsi="宋体"/>
                <w:szCs w:val="21"/>
                <w:highlight w:val="none"/>
              </w:rPr>
              <w:t>承包人工程施工使用的工程设备、车辆的尾气排放要达标。若因尾气污染而受到个人或有关部门投诉，发包人经核实每次处罚承包人违约金5000元并限期改正</w:t>
            </w: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6.20</w:t>
            </w:r>
          </w:p>
        </w:tc>
        <w:tc>
          <w:tcPr>
            <w:tcW w:w="1945" w:type="dxa"/>
            <w:vAlign w:val="center"/>
          </w:tcPr>
          <w:p>
            <w:pPr>
              <w:spacing w:line="360" w:lineRule="auto"/>
              <w:rPr>
                <w:rFonts w:ascii="宋体" w:hAnsi="宋体" w:cs="宋体"/>
                <w:b/>
                <w:bCs/>
                <w:kern w:val="0"/>
                <w:szCs w:val="21"/>
                <w:highlight w:val="none"/>
              </w:rPr>
            </w:pPr>
          </w:p>
        </w:tc>
        <w:tc>
          <w:tcPr>
            <w:tcW w:w="5460" w:type="dxa"/>
            <w:vAlign w:val="center"/>
          </w:tcPr>
          <w:p>
            <w:pPr>
              <w:spacing w:line="360" w:lineRule="auto"/>
              <w:rPr>
                <w:rFonts w:ascii="宋体" w:hAnsi="宋体" w:cs="宋体"/>
                <w:b/>
                <w:bCs/>
                <w:kern w:val="0"/>
                <w:szCs w:val="21"/>
                <w:highlight w:val="none"/>
              </w:rPr>
            </w:pPr>
            <w:r>
              <w:rPr>
                <w:rFonts w:hint="eastAsia" w:ascii="宋体" w:hAnsi="宋体"/>
                <w:szCs w:val="21"/>
                <w:highlight w:val="none"/>
              </w:rPr>
              <w:t>在施工过程中，承包人应严格控制工地扬尘。若因扬尘而受到个人或有关部门投诉，发包人经核实每次处罚承包人违约金5000元并限期改正</w:t>
            </w: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kern w:val="0"/>
                <w:szCs w:val="21"/>
                <w:highlight w:val="none"/>
              </w:rPr>
              <w:t>6.21</w:t>
            </w:r>
          </w:p>
        </w:tc>
        <w:tc>
          <w:tcPr>
            <w:tcW w:w="1945" w:type="dxa"/>
            <w:vAlign w:val="center"/>
          </w:tcPr>
          <w:p>
            <w:pPr>
              <w:spacing w:line="360" w:lineRule="auto"/>
              <w:rPr>
                <w:rFonts w:ascii="宋体" w:hAnsi="宋体" w:cs="宋体"/>
                <w:b/>
                <w:bCs/>
                <w:kern w:val="0"/>
                <w:szCs w:val="21"/>
                <w:highlight w:val="none"/>
              </w:rPr>
            </w:pPr>
          </w:p>
        </w:tc>
        <w:tc>
          <w:tcPr>
            <w:tcW w:w="5460" w:type="dxa"/>
            <w:vAlign w:val="center"/>
          </w:tcPr>
          <w:p>
            <w:pPr>
              <w:spacing w:line="360" w:lineRule="auto"/>
              <w:rPr>
                <w:rFonts w:ascii="宋体" w:hAnsi="宋体" w:cs="宋体"/>
                <w:b/>
                <w:bCs/>
                <w:kern w:val="0"/>
                <w:szCs w:val="21"/>
                <w:highlight w:val="none"/>
              </w:rPr>
            </w:pPr>
            <w:r>
              <w:rPr>
                <w:rFonts w:hint="eastAsia" w:ascii="宋体" w:hAnsi="宋体"/>
                <w:szCs w:val="21"/>
                <w:highlight w:val="none"/>
              </w:rPr>
              <w:t>施工车辆进出施工场地，应当采取喷淋或者冲洗等措施。如因措施不力导致污染环境而受到个人或有关部门投诉或处罚，发包人经核实每次处罚承包人违约金5000元并限期整改</w:t>
            </w: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p>
        </w:tc>
        <w:tc>
          <w:tcPr>
            <w:tcW w:w="1945"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一般违约及严重违约</w:t>
            </w:r>
          </w:p>
        </w:tc>
        <w:tc>
          <w:tcPr>
            <w:tcW w:w="5460" w:type="dxa"/>
            <w:vAlign w:val="center"/>
          </w:tcPr>
          <w:p>
            <w:pPr>
              <w:spacing w:line="360" w:lineRule="auto"/>
              <w:rPr>
                <w:rFonts w:ascii="宋体" w:hAnsi="宋体" w:cs="宋体"/>
                <w:b/>
                <w:bCs/>
                <w:kern w:val="0"/>
                <w:szCs w:val="21"/>
                <w:highlight w:val="none"/>
              </w:rPr>
            </w:pP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6.19</w:t>
            </w:r>
          </w:p>
        </w:tc>
        <w:tc>
          <w:tcPr>
            <w:tcW w:w="1945"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整个施工现场检查</w:t>
            </w:r>
          </w:p>
        </w:tc>
        <w:tc>
          <w:tcPr>
            <w:tcW w:w="5460" w:type="dxa"/>
            <w:vAlign w:val="center"/>
          </w:tcPr>
          <w:p>
            <w:pPr>
              <w:spacing w:line="360" w:lineRule="auto"/>
              <w:rPr>
                <w:rFonts w:ascii="宋体" w:hAnsi="宋体" w:cs="宋体"/>
                <w:b/>
                <w:bCs/>
                <w:kern w:val="0"/>
                <w:szCs w:val="21"/>
                <w:highlight w:val="none"/>
              </w:rPr>
            </w:pP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6.19.1</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第一次检查达不到标准</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对承包人给予一次限期改正。</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6.19.2</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同一内容第二次检查达不到标准</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承包人须向发包人支付相对应等级的违约金。</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2万元</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5万元</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10万元</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6.19.3</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同一内容第三次检查达不到标准</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承包人须向发包人支付相对应等级的违约金。</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4万元</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10万元</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20万元</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6.19.4</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同一内容第四次检查达不到标准</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承包人须向发包人支付相对应等级的违约金。</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6万元</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15万元</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30万元</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6.19.5</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同一内容第五次检查达不到标准</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承包人须向发包人支付相对应等级的违约金①。如此类推，每次检查达不到标准，违约金额比上一次检查支付的违约金额递增相对应等级的金额②（违约金额上限不大于合同造价的1％），直至达到标准。</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①8万元；          ②2万元。</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①20万元；         ②5万元。</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①40万元；         ②10万元。</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①80万元；         ②人20万元。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6.19.6</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在政府行政主管部门的检查中，承包人的施工场地被评为不合格工地的，或者被通报批评的</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承包人必须承担一般违约责任一次，并立即采取切实有效措施予以整改；拒不采取切实有效的措施整改的，或整改效果不明显的，发包人将加重处罚力度，并要求承包人赔偿由此造成的损失。</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6.19.7</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承包人在施工过程中因其自身原因造成周围环境卫生状况较差，被周围居民投诉的</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必须在当天内整改。若故意拖延或同一问题累计被投诉2次，或累计被投诉3次，经查实确为承包人原因造成的周围环境卫生问题，承包人应承担一般违约责任1次。以后每增加一次投诉经查实的，承包人应承担一次一般违约责任。</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p>
        </w:tc>
        <w:tc>
          <w:tcPr>
            <w:tcW w:w="1945" w:type="dxa"/>
            <w:vAlign w:val="center"/>
          </w:tcPr>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cs="宋体"/>
                <w:kern w:val="0"/>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kern w:val="0"/>
                <w:szCs w:val="21"/>
                <w:highlight w:val="none"/>
              </w:rPr>
            </w:pPr>
            <w:r>
              <w:rPr>
                <w:rFonts w:hint="eastAsia" w:ascii="宋体" w:hAnsi="宋体" w:cs="宋体"/>
                <w:b/>
                <w:kern w:val="0"/>
                <w:szCs w:val="21"/>
                <w:highlight w:val="none"/>
              </w:rPr>
              <w:t>7</w:t>
            </w:r>
          </w:p>
        </w:tc>
        <w:tc>
          <w:tcPr>
            <w:tcW w:w="1945" w:type="dxa"/>
            <w:vAlign w:val="center"/>
          </w:tcPr>
          <w:p>
            <w:pPr>
              <w:spacing w:line="360" w:lineRule="auto"/>
              <w:rPr>
                <w:rFonts w:ascii="宋体" w:hAnsi="宋体" w:cs="宋体"/>
                <w:b/>
                <w:kern w:val="0"/>
                <w:szCs w:val="21"/>
                <w:highlight w:val="none"/>
              </w:rPr>
            </w:pPr>
            <w:r>
              <w:rPr>
                <w:rFonts w:hint="eastAsia" w:ascii="宋体" w:hAnsi="宋体" w:cs="宋体"/>
                <w:b/>
                <w:kern w:val="0"/>
                <w:szCs w:val="21"/>
                <w:highlight w:val="none"/>
              </w:rPr>
              <w:t>结算</w:t>
            </w:r>
          </w:p>
        </w:tc>
        <w:tc>
          <w:tcPr>
            <w:tcW w:w="5460" w:type="dxa"/>
            <w:vAlign w:val="center"/>
          </w:tcPr>
          <w:p>
            <w:pPr>
              <w:spacing w:line="360" w:lineRule="auto"/>
              <w:rPr>
                <w:rFonts w:ascii="宋体" w:hAnsi="宋体" w:cs="宋体"/>
                <w:kern w:val="0"/>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p>
        </w:tc>
        <w:tc>
          <w:tcPr>
            <w:tcW w:w="1945" w:type="dxa"/>
            <w:vAlign w:val="center"/>
          </w:tcPr>
          <w:p>
            <w:pPr>
              <w:spacing w:line="360" w:lineRule="auto"/>
              <w:rPr>
                <w:rFonts w:ascii="宋体" w:hAnsi="宋体" w:cs="宋体"/>
                <w:b/>
                <w:kern w:val="0"/>
                <w:szCs w:val="21"/>
                <w:highlight w:val="none"/>
              </w:rPr>
            </w:pPr>
            <w:r>
              <w:rPr>
                <w:rFonts w:hint="eastAsia" w:ascii="宋体" w:hAnsi="宋体" w:cs="宋体"/>
                <w:b/>
                <w:kern w:val="0"/>
                <w:szCs w:val="21"/>
                <w:highlight w:val="none"/>
              </w:rPr>
              <w:t>书面警告及限期改正</w:t>
            </w:r>
          </w:p>
        </w:tc>
        <w:tc>
          <w:tcPr>
            <w:tcW w:w="5460" w:type="dxa"/>
            <w:vAlign w:val="center"/>
          </w:tcPr>
          <w:p>
            <w:pPr>
              <w:spacing w:line="360" w:lineRule="auto"/>
              <w:rPr>
                <w:rFonts w:ascii="宋体" w:hAnsi="宋体" w:cs="宋体"/>
                <w:kern w:val="0"/>
                <w:szCs w:val="21"/>
                <w:highlight w:val="none"/>
              </w:rPr>
            </w:pP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7.1</w:t>
            </w:r>
          </w:p>
        </w:tc>
        <w:tc>
          <w:tcPr>
            <w:tcW w:w="1945" w:type="dxa"/>
            <w:vAlign w:val="center"/>
          </w:tcPr>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承包人不按时移交竣工档案，或者移交的竣工档案不完整且在发包人规定的期限内不补充完整的，承包人承担20万元的违约金。</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7.1</w:t>
            </w:r>
          </w:p>
        </w:tc>
        <w:tc>
          <w:tcPr>
            <w:tcW w:w="1945" w:type="dxa"/>
            <w:vAlign w:val="center"/>
          </w:tcPr>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cs="宋体"/>
                <w:kern w:val="0"/>
                <w:szCs w:val="21"/>
                <w:highlight w:val="none"/>
              </w:rPr>
            </w:pPr>
            <w:r>
              <w:rPr>
                <w:rFonts w:hint="eastAsia" w:ascii="宋体" w:hAnsi="宋体"/>
                <w:szCs w:val="21"/>
                <w:highlight w:val="none"/>
              </w:rPr>
              <w:t>若承包人未按合同约定的期限提交结算时，则以5000元/天计罚，最高不超履约保证金（现金部分）的20%，发包人直接从履约保证金中扣除，发包人同意延期的除外。</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7.2</w:t>
            </w:r>
          </w:p>
        </w:tc>
        <w:tc>
          <w:tcPr>
            <w:tcW w:w="1945" w:type="dxa"/>
            <w:vAlign w:val="center"/>
          </w:tcPr>
          <w:p>
            <w:pPr>
              <w:spacing w:line="360" w:lineRule="auto"/>
              <w:rPr>
                <w:rFonts w:ascii="宋体" w:hAnsi="宋体" w:cs="宋体"/>
                <w:kern w:val="0"/>
                <w:szCs w:val="21"/>
                <w:highlight w:val="none"/>
              </w:rPr>
            </w:pPr>
          </w:p>
        </w:tc>
        <w:tc>
          <w:tcPr>
            <w:tcW w:w="5460" w:type="dxa"/>
            <w:vAlign w:val="center"/>
          </w:tcPr>
          <w:p>
            <w:pPr>
              <w:spacing w:line="360" w:lineRule="auto"/>
              <w:rPr>
                <w:rFonts w:ascii="宋体" w:hAnsi="宋体"/>
                <w:szCs w:val="21"/>
                <w:highlight w:val="none"/>
              </w:rPr>
            </w:pPr>
            <w:r>
              <w:rPr>
                <w:rFonts w:hint="eastAsia" w:ascii="宋体" w:hAnsi="宋体"/>
                <w:szCs w:val="21"/>
                <w:highlight w:val="none"/>
              </w:rPr>
              <w:t>工程师收到承包人递交的竣工结算报告及符合发包人要求的结算资料后进行核实，提出审核意见后半个月内送交发包人，承包人应在竣工验收完成后二个月内提交工程结算资料，承包人延误提交结算资料，按5000元/天处以罚款。发包人按照广州市财政局关于我市财政性资金投资项目工程预决算审核工作的有关要求进行结算送审，承包人应派专人配合发包人的结算工作，工程结算经区财政部门审核后作为合同结算价款。</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8</w:t>
            </w:r>
          </w:p>
        </w:tc>
        <w:tc>
          <w:tcPr>
            <w:tcW w:w="1945"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备注</w:t>
            </w:r>
          </w:p>
        </w:tc>
        <w:tc>
          <w:tcPr>
            <w:tcW w:w="5460" w:type="dxa"/>
            <w:vAlign w:val="center"/>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上述条款中如列出违约金额的，按违约金额处罚。如只列出责任的按备注条款处罚。如同时列出违约金额和责任的，需按违约金额和备注条款一并处罚。</w:t>
            </w:r>
          </w:p>
        </w:tc>
        <w:tc>
          <w:tcPr>
            <w:tcW w:w="1924" w:type="dxa"/>
          </w:tcPr>
          <w:p>
            <w:pPr>
              <w:spacing w:line="360" w:lineRule="auto"/>
              <w:rPr>
                <w:rFonts w:ascii="宋体" w:hAnsi="宋体" w:cs="宋体"/>
                <w:b/>
                <w:bCs/>
                <w:kern w:val="0"/>
                <w:szCs w:val="21"/>
                <w:highlight w:val="none"/>
              </w:rPr>
            </w:pPr>
          </w:p>
        </w:tc>
        <w:tc>
          <w:tcPr>
            <w:tcW w:w="1940" w:type="dxa"/>
          </w:tcPr>
          <w:p>
            <w:pPr>
              <w:spacing w:line="360" w:lineRule="auto"/>
              <w:rPr>
                <w:rFonts w:ascii="宋体" w:hAnsi="宋体" w:cs="宋体"/>
                <w:b/>
                <w:bCs/>
                <w:kern w:val="0"/>
                <w:szCs w:val="21"/>
                <w:highlight w:val="none"/>
              </w:rPr>
            </w:pPr>
          </w:p>
        </w:tc>
        <w:tc>
          <w:tcPr>
            <w:tcW w:w="1780" w:type="dxa"/>
          </w:tcPr>
          <w:p>
            <w:pPr>
              <w:spacing w:line="360" w:lineRule="auto"/>
              <w:rPr>
                <w:rFonts w:ascii="宋体" w:hAnsi="宋体" w:cs="宋体"/>
                <w:b/>
                <w:bCs/>
                <w:kern w:val="0"/>
                <w:szCs w:val="21"/>
                <w:highlight w:val="none"/>
              </w:rPr>
            </w:pPr>
          </w:p>
        </w:tc>
        <w:tc>
          <w:tcPr>
            <w:tcW w:w="1480" w:type="dxa"/>
          </w:tcPr>
          <w:p>
            <w:pPr>
              <w:spacing w:line="360" w:lineRule="auto"/>
              <w:rPr>
                <w:rFonts w:ascii="宋体" w:hAnsi="宋体" w:cs="宋体"/>
                <w:b/>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8.1</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书面警告</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承包人未履行、未按时履行或未按质履行义务时，监理工程师或发包人有权向承包人发出书面警告。</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并且承包人应当交纳违约金1万元给发包人。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8.2</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限期改正</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受到书面警告后仍不改正，监理工程师或发包人有权向承包人发出《违约责任通知书》，要求承包人必须在监理工程师或发包人限定的时间内履行义务，同时，承包人应当向发包人交纳相对应等级的违约金。</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1万元</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1万元</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1万元</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8.3</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一般违约责任</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承包人违反本合同的约定须承担一般违约责任时，必须向发包人交纳相对应等级的违约金①；若承包人再犯同一的违约行为，第2次缴纳②，2次以上（不含本数）缴纳③。</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①1万元/次；       ②3万元/次；       ③4万元/次。</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①2万元/次；       ②4万元/次；       ③人6万元/次。</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①3万元/次；       ②6万元/次；       ③9万元/次。</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①6万元/次；        ②12万元/次；       ③18万元/次。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8.4</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严重违约责任</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承包人违反本合同的约定须承担严重违约责任时，必须向发包人交纳相对应等级的违约金</w:t>
            </w:r>
            <w:r>
              <w:rPr>
                <w:rFonts w:hint="eastAsia" w:ascii="宋体" w:hAnsi="宋体" w:cs="宋体"/>
                <w:b/>
                <w:kern w:val="0"/>
                <w:szCs w:val="21"/>
                <w:highlight w:val="none"/>
                <w:u w:val="single"/>
              </w:rPr>
              <w:t>，且发包人可以拒绝承包人在3年内参与发包人其他项目的投标</w:t>
            </w:r>
            <w:r>
              <w:rPr>
                <w:rFonts w:hint="eastAsia" w:ascii="宋体" w:hAnsi="宋体" w:cs="宋体"/>
                <w:kern w:val="0"/>
                <w:szCs w:val="21"/>
                <w:highlight w:val="none"/>
              </w:rPr>
              <w:t>。</w:t>
            </w:r>
          </w:p>
        </w:tc>
        <w:tc>
          <w:tcPr>
            <w:tcW w:w="1924" w:type="dxa"/>
          </w:tcPr>
          <w:p>
            <w:pPr>
              <w:spacing w:line="360" w:lineRule="auto"/>
              <w:rPr>
                <w:rFonts w:ascii="宋体" w:hAnsi="宋体" w:cs="宋体"/>
                <w:kern w:val="0"/>
                <w:szCs w:val="21"/>
                <w:highlight w:val="none"/>
              </w:rPr>
            </w:pPr>
            <w:r>
              <w:rPr>
                <w:rFonts w:hint="eastAsia" w:ascii="宋体" w:hAnsi="宋体" w:cs="宋体"/>
                <w:kern w:val="0"/>
                <w:szCs w:val="21"/>
                <w:highlight w:val="none"/>
              </w:rPr>
              <w:t>4万元/次</w:t>
            </w:r>
          </w:p>
        </w:tc>
        <w:tc>
          <w:tcPr>
            <w:tcW w:w="1940" w:type="dxa"/>
          </w:tcPr>
          <w:p>
            <w:pPr>
              <w:spacing w:line="360" w:lineRule="auto"/>
              <w:rPr>
                <w:rFonts w:ascii="宋体" w:hAnsi="宋体" w:cs="宋体"/>
                <w:kern w:val="0"/>
                <w:szCs w:val="21"/>
                <w:highlight w:val="none"/>
              </w:rPr>
            </w:pPr>
            <w:r>
              <w:rPr>
                <w:rFonts w:hint="eastAsia" w:ascii="宋体" w:hAnsi="宋体" w:cs="宋体"/>
                <w:kern w:val="0"/>
                <w:szCs w:val="21"/>
                <w:highlight w:val="none"/>
              </w:rPr>
              <w:t>6万元/次</w:t>
            </w:r>
          </w:p>
        </w:tc>
        <w:tc>
          <w:tcPr>
            <w:tcW w:w="17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9万元/次</w:t>
            </w:r>
          </w:p>
        </w:tc>
        <w:tc>
          <w:tcPr>
            <w:tcW w:w="1480" w:type="dxa"/>
          </w:tcPr>
          <w:p>
            <w:pPr>
              <w:spacing w:line="360" w:lineRule="auto"/>
              <w:rPr>
                <w:rFonts w:ascii="宋体" w:hAnsi="宋体" w:cs="宋体"/>
                <w:kern w:val="0"/>
                <w:szCs w:val="21"/>
                <w:highlight w:val="none"/>
              </w:rPr>
            </w:pPr>
            <w:r>
              <w:rPr>
                <w:rFonts w:hint="eastAsia" w:ascii="宋体" w:hAnsi="宋体" w:cs="宋体"/>
                <w:kern w:val="0"/>
                <w:szCs w:val="21"/>
                <w:highlight w:val="none"/>
              </w:rPr>
              <w:t>18万元/次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1"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8.5</w:t>
            </w:r>
          </w:p>
        </w:tc>
        <w:tc>
          <w:tcPr>
            <w:tcW w:w="1945"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赔偿损失</w:t>
            </w:r>
          </w:p>
        </w:tc>
        <w:tc>
          <w:tcPr>
            <w:tcW w:w="5460" w:type="dxa"/>
            <w:vAlign w:val="center"/>
          </w:tcPr>
          <w:p>
            <w:pPr>
              <w:spacing w:line="360" w:lineRule="auto"/>
              <w:rPr>
                <w:rFonts w:ascii="宋体" w:hAnsi="宋体" w:cs="宋体"/>
                <w:kern w:val="0"/>
                <w:szCs w:val="21"/>
                <w:highlight w:val="none"/>
              </w:rPr>
            </w:pPr>
            <w:r>
              <w:rPr>
                <w:rFonts w:hint="eastAsia" w:ascii="宋体" w:hAnsi="宋体" w:cs="宋体"/>
                <w:kern w:val="0"/>
                <w:szCs w:val="21"/>
                <w:highlight w:val="none"/>
              </w:rPr>
              <w:t>因承包人违约造成发包人经济损失的，承包人在按照前述标准承担违约责任的同时，还应赔偿发包人因此造成的全部损失。</w:t>
            </w:r>
          </w:p>
        </w:tc>
        <w:tc>
          <w:tcPr>
            <w:tcW w:w="1924" w:type="dxa"/>
          </w:tcPr>
          <w:p>
            <w:pPr>
              <w:spacing w:line="360" w:lineRule="auto"/>
              <w:rPr>
                <w:rFonts w:ascii="宋体" w:hAnsi="宋体" w:cs="宋体"/>
                <w:kern w:val="0"/>
                <w:szCs w:val="21"/>
                <w:highlight w:val="none"/>
              </w:rPr>
            </w:pPr>
          </w:p>
        </w:tc>
        <w:tc>
          <w:tcPr>
            <w:tcW w:w="1940" w:type="dxa"/>
          </w:tcPr>
          <w:p>
            <w:pPr>
              <w:spacing w:line="360" w:lineRule="auto"/>
              <w:rPr>
                <w:rFonts w:ascii="宋体" w:hAnsi="宋体" w:cs="宋体"/>
                <w:kern w:val="0"/>
                <w:szCs w:val="21"/>
                <w:highlight w:val="none"/>
              </w:rPr>
            </w:pPr>
          </w:p>
        </w:tc>
        <w:tc>
          <w:tcPr>
            <w:tcW w:w="1780" w:type="dxa"/>
          </w:tcPr>
          <w:p>
            <w:pPr>
              <w:spacing w:line="360" w:lineRule="auto"/>
              <w:rPr>
                <w:rFonts w:ascii="宋体" w:hAnsi="宋体" w:cs="宋体"/>
                <w:kern w:val="0"/>
                <w:szCs w:val="21"/>
                <w:highlight w:val="none"/>
              </w:rPr>
            </w:pPr>
          </w:p>
        </w:tc>
        <w:tc>
          <w:tcPr>
            <w:tcW w:w="1480" w:type="dxa"/>
          </w:tcPr>
          <w:p>
            <w:pPr>
              <w:spacing w:line="360" w:lineRule="auto"/>
              <w:rPr>
                <w:rFonts w:ascii="宋体" w:hAnsi="宋体" w:cs="宋体"/>
                <w:kern w:val="0"/>
                <w:szCs w:val="21"/>
                <w:highlight w:val="none"/>
              </w:rPr>
            </w:pPr>
          </w:p>
        </w:tc>
      </w:tr>
    </w:tbl>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p>
      <w:pPr>
        <w:spacing w:line="360" w:lineRule="auto"/>
        <w:rPr>
          <w:rFonts w:ascii="宋体" w:hAnsi="宋体"/>
          <w:highlight w:val="none"/>
        </w:rPr>
      </w:pPr>
    </w:p>
    <w:sectPr>
      <w:footerReference r:id="rId8" w:type="default"/>
      <w:pgSz w:w="16838" w:h="11906" w:orient="landscape"/>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CG Times (W1)">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体">
    <w:altName w:val="仿宋"/>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MS UI Gothic">
    <w:panose1 w:val="020B0600070205080204"/>
    <w:charset w:val="80"/>
    <w:family w:val="swiss"/>
    <w:pitch w:val="default"/>
    <w:sig w:usb0="E00002FF" w:usb1="6AC7FDFB" w:usb2="08000012" w:usb3="00000000" w:csb0="4002009F" w:csb1="DFD70000"/>
  </w:font>
  <w:font w:name="DejaVu Sans">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8"/>
      </w:rPr>
    </w:pPr>
    <w:r>
      <w:fldChar w:fldCharType="begin"/>
    </w:r>
    <w:r>
      <w:rPr>
        <w:rStyle w:val="68"/>
      </w:rPr>
      <w:instrText xml:space="preserve">PAGE  </w:instrText>
    </w:r>
    <w:r>
      <w:fldChar w:fldCharType="separate"/>
    </w:r>
    <w:r>
      <w:rPr>
        <w:rStyle w:val="68"/>
      </w:rPr>
      <w:t>88</w:t>
    </w:r>
    <w:r>
      <w:fldChar w:fldCharType="end"/>
    </w:r>
  </w:p>
  <w:p>
    <w:pPr>
      <w:pStyle w:val="3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8"/>
      </w:rPr>
    </w:pPr>
    <w:r>
      <w:fldChar w:fldCharType="begin"/>
    </w:r>
    <w:r>
      <w:rPr>
        <w:rStyle w:val="68"/>
      </w:rPr>
      <w:instrText xml:space="preserve">PAGE  </w:instrText>
    </w:r>
    <w:r>
      <w:fldChar w:fldCharType="end"/>
    </w:r>
  </w:p>
  <w:p>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8"/>
      </w:rPr>
    </w:pPr>
    <w:r>
      <w:fldChar w:fldCharType="begin"/>
    </w:r>
    <w:r>
      <w:rPr>
        <w:rStyle w:val="68"/>
      </w:rPr>
      <w:instrText xml:space="preserve">PAGE  </w:instrText>
    </w:r>
    <w:r>
      <w:fldChar w:fldCharType="separate"/>
    </w:r>
    <w:r>
      <w:rPr>
        <w:rStyle w:val="68"/>
      </w:rPr>
      <w:t>135</w:t>
    </w:r>
    <w:r>
      <w:fldChar w:fldCharType="end"/>
    </w:r>
  </w:p>
  <w:p>
    <w:pPr>
      <w:pStyle w:val="3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center" w:y="1"/>
      <w:rPr>
        <w:rStyle w:val="68"/>
      </w:rPr>
    </w:pPr>
    <w:r>
      <w:fldChar w:fldCharType="begin"/>
    </w:r>
    <w:r>
      <w:rPr>
        <w:rStyle w:val="68"/>
      </w:rPr>
      <w:instrText xml:space="preserve">PAGE  </w:instrText>
    </w:r>
    <w:r>
      <w:fldChar w:fldCharType="separate"/>
    </w:r>
    <w:r>
      <w:rPr>
        <w:rStyle w:val="68"/>
      </w:rPr>
      <w:t>154</w:t>
    </w:r>
    <w:r>
      <w:fldChar w:fldCharType="end"/>
    </w:r>
  </w:p>
  <w:p>
    <w:pPr>
      <w:pStyle w:val="3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7012F"/>
    <w:multiLevelType w:val="multilevel"/>
    <w:tmpl w:val="1A27012F"/>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BA075E"/>
    <w:multiLevelType w:val="multilevel"/>
    <w:tmpl w:val="2DBA075E"/>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DF57C3"/>
    <w:multiLevelType w:val="multilevel"/>
    <w:tmpl w:val="35DF57C3"/>
    <w:lvl w:ilvl="0" w:tentative="0">
      <w:start w:val="1"/>
      <w:numFmt w:val="decimalEnclosedCircle"/>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6D6"/>
    <w:rsid w:val="00000FA5"/>
    <w:rsid w:val="00000FFE"/>
    <w:rsid w:val="00005496"/>
    <w:rsid w:val="00010C93"/>
    <w:rsid w:val="00013ADE"/>
    <w:rsid w:val="00014580"/>
    <w:rsid w:val="00014E11"/>
    <w:rsid w:val="00016515"/>
    <w:rsid w:val="00016F1D"/>
    <w:rsid w:val="0001793B"/>
    <w:rsid w:val="00017AA6"/>
    <w:rsid w:val="00022576"/>
    <w:rsid w:val="00024B0D"/>
    <w:rsid w:val="00024C63"/>
    <w:rsid w:val="000267AE"/>
    <w:rsid w:val="00027A61"/>
    <w:rsid w:val="00030BC3"/>
    <w:rsid w:val="00033269"/>
    <w:rsid w:val="00035961"/>
    <w:rsid w:val="00036034"/>
    <w:rsid w:val="00043964"/>
    <w:rsid w:val="00050A86"/>
    <w:rsid w:val="0005256E"/>
    <w:rsid w:val="00052EE0"/>
    <w:rsid w:val="00053F6B"/>
    <w:rsid w:val="0005591A"/>
    <w:rsid w:val="000561FE"/>
    <w:rsid w:val="00057CDF"/>
    <w:rsid w:val="000626FC"/>
    <w:rsid w:val="00067265"/>
    <w:rsid w:val="00071EF0"/>
    <w:rsid w:val="000730D4"/>
    <w:rsid w:val="000736A2"/>
    <w:rsid w:val="000743B0"/>
    <w:rsid w:val="00077C01"/>
    <w:rsid w:val="00080A47"/>
    <w:rsid w:val="00083A63"/>
    <w:rsid w:val="00086B51"/>
    <w:rsid w:val="00094005"/>
    <w:rsid w:val="0009564E"/>
    <w:rsid w:val="00096DE8"/>
    <w:rsid w:val="00097E49"/>
    <w:rsid w:val="000A1B46"/>
    <w:rsid w:val="000A3823"/>
    <w:rsid w:val="000A3915"/>
    <w:rsid w:val="000A5DE8"/>
    <w:rsid w:val="000A73DB"/>
    <w:rsid w:val="000A7445"/>
    <w:rsid w:val="000B17E6"/>
    <w:rsid w:val="000C01C5"/>
    <w:rsid w:val="000C0C2B"/>
    <w:rsid w:val="000C0FD2"/>
    <w:rsid w:val="000C3E5B"/>
    <w:rsid w:val="000C433E"/>
    <w:rsid w:val="000D061C"/>
    <w:rsid w:val="000D0EE9"/>
    <w:rsid w:val="000D46E6"/>
    <w:rsid w:val="000D5A53"/>
    <w:rsid w:val="000D5C62"/>
    <w:rsid w:val="000E66DB"/>
    <w:rsid w:val="000E78E4"/>
    <w:rsid w:val="00110C7C"/>
    <w:rsid w:val="001160D6"/>
    <w:rsid w:val="001239C7"/>
    <w:rsid w:val="00130A73"/>
    <w:rsid w:val="00132AA3"/>
    <w:rsid w:val="00134476"/>
    <w:rsid w:val="0013574E"/>
    <w:rsid w:val="001460F3"/>
    <w:rsid w:val="00146CF1"/>
    <w:rsid w:val="00147A4A"/>
    <w:rsid w:val="001522CF"/>
    <w:rsid w:val="00152934"/>
    <w:rsid w:val="001631B2"/>
    <w:rsid w:val="00170E0A"/>
    <w:rsid w:val="00171B3B"/>
    <w:rsid w:val="00172761"/>
    <w:rsid w:val="0017298D"/>
    <w:rsid w:val="00174FC2"/>
    <w:rsid w:val="00176110"/>
    <w:rsid w:val="001776C8"/>
    <w:rsid w:val="00181B90"/>
    <w:rsid w:val="00183820"/>
    <w:rsid w:val="00183E74"/>
    <w:rsid w:val="001843EE"/>
    <w:rsid w:val="0018639D"/>
    <w:rsid w:val="00187336"/>
    <w:rsid w:val="00187ACA"/>
    <w:rsid w:val="001929A5"/>
    <w:rsid w:val="001946BF"/>
    <w:rsid w:val="00194F57"/>
    <w:rsid w:val="001A55EC"/>
    <w:rsid w:val="001B3371"/>
    <w:rsid w:val="001C0306"/>
    <w:rsid w:val="001C2527"/>
    <w:rsid w:val="001C2F02"/>
    <w:rsid w:val="001C6296"/>
    <w:rsid w:val="001C6DA6"/>
    <w:rsid w:val="001D295C"/>
    <w:rsid w:val="001E4A8B"/>
    <w:rsid w:val="001F158B"/>
    <w:rsid w:val="001F5ECB"/>
    <w:rsid w:val="00200858"/>
    <w:rsid w:val="002103A8"/>
    <w:rsid w:val="0021128E"/>
    <w:rsid w:val="002112C4"/>
    <w:rsid w:val="00215C5F"/>
    <w:rsid w:val="00221209"/>
    <w:rsid w:val="00222812"/>
    <w:rsid w:val="0023030A"/>
    <w:rsid w:val="00232CAC"/>
    <w:rsid w:val="002337CA"/>
    <w:rsid w:val="002368F4"/>
    <w:rsid w:val="0024294D"/>
    <w:rsid w:val="00244277"/>
    <w:rsid w:val="00246BBF"/>
    <w:rsid w:val="00250A28"/>
    <w:rsid w:val="002573F4"/>
    <w:rsid w:val="00260F46"/>
    <w:rsid w:val="002702C2"/>
    <w:rsid w:val="0028041F"/>
    <w:rsid w:val="002826D4"/>
    <w:rsid w:val="002831A5"/>
    <w:rsid w:val="00284A5A"/>
    <w:rsid w:val="002855CE"/>
    <w:rsid w:val="0029009B"/>
    <w:rsid w:val="00290877"/>
    <w:rsid w:val="00290D77"/>
    <w:rsid w:val="00290EC5"/>
    <w:rsid w:val="00294394"/>
    <w:rsid w:val="002A13F6"/>
    <w:rsid w:val="002A18EF"/>
    <w:rsid w:val="002A3DF4"/>
    <w:rsid w:val="002A56E6"/>
    <w:rsid w:val="002B7DA4"/>
    <w:rsid w:val="002C1CE4"/>
    <w:rsid w:val="002C21DE"/>
    <w:rsid w:val="002D0696"/>
    <w:rsid w:val="002D101D"/>
    <w:rsid w:val="002D7A80"/>
    <w:rsid w:val="002D7BF3"/>
    <w:rsid w:val="002E4141"/>
    <w:rsid w:val="002E5BC4"/>
    <w:rsid w:val="002F2A10"/>
    <w:rsid w:val="002F7342"/>
    <w:rsid w:val="003024E3"/>
    <w:rsid w:val="00302A35"/>
    <w:rsid w:val="00310C28"/>
    <w:rsid w:val="00311615"/>
    <w:rsid w:val="00312CFC"/>
    <w:rsid w:val="00315E09"/>
    <w:rsid w:val="00315E39"/>
    <w:rsid w:val="00316C60"/>
    <w:rsid w:val="00322E1A"/>
    <w:rsid w:val="003241BA"/>
    <w:rsid w:val="00331242"/>
    <w:rsid w:val="00333FB7"/>
    <w:rsid w:val="003340A2"/>
    <w:rsid w:val="0033641A"/>
    <w:rsid w:val="00336B3B"/>
    <w:rsid w:val="00340C7B"/>
    <w:rsid w:val="003459D1"/>
    <w:rsid w:val="00350885"/>
    <w:rsid w:val="00353A7A"/>
    <w:rsid w:val="00353EA0"/>
    <w:rsid w:val="00354720"/>
    <w:rsid w:val="0036218C"/>
    <w:rsid w:val="00372CBC"/>
    <w:rsid w:val="00373A94"/>
    <w:rsid w:val="0037567D"/>
    <w:rsid w:val="0038139B"/>
    <w:rsid w:val="00382E88"/>
    <w:rsid w:val="0038453A"/>
    <w:rsid w:val="00390413"/>
    <w:rsid w:val="003929C2"/>
    <w:rsid w:val="00397373"/>
    <w:rsid w:val="003A0EDF"/>
    <w:rsid w:val="003A239C"/>
    <w:rsid w:val="003A23E8"/>
    <w:rsid w:val="003A6AA9"/>
    <w:rsid w:val="003B163F"/>
    <w:rsid w:val="003B426E"/>
    <w:rsid w:val="003B64CF"/>
    <w:rsid w:val="003B7211"/>
    <w:rsid w:val="003C005E"/>
    <w:rsid w:val="003C11B4"/>
    <w:rsid w:val="003C1B26"/>
    <w:rsid w:val="003C314A"/>
    <w:rsid w:val="003C4887"/>
    <w:rsid w:val="003D3A85"/>
    <w:rsid w:val="003D5079"/>
    <w:rsid w:val="003E122C"/>
    <w:rsid w:val="003E6D3C"/>
    <w:rsid w:val="003E788A"/>
    <w:rsid w:val="003F6524"/>
    <w:rsid w:val="00402073"/>
    <w:rsid w:val="004027CB"/>
    <w:rsid w:val="00407DD9"/>
    <w:rsid w:val="00410967"/>
    <w:rsid w:val="00411CA0"/>
    <w:rsid w:val="00412C02"/>
    <w:rsid w:val="00412E45"/>
    <w:rsid w:val="00414464"/>
    <w:rsid w:val="00415AFE"/>
    <w:rsid w:val="00416A5F"/>
    <w:rsid w:val="004237C4"/>
    <w:rsid w:val="00423834"/>
    <w:rsid w:val="00423E86"/>
    <w:rsid w:val="00425683"/>
    <w:rsid w:val="004265B0"/>
    <w:rsid w:val="0042668B"/>
    <w:rsid w:val="004307C9"/>
    <w:rsid w:val="00434384"/>
    <w:rsid w:val="00442B16"/>
    <w:rsid w:val="00443164"/>
    <w:rsid w:val="00443F14"/>
    <w:rsid w:val="004455E3"/>
    <w:rsid w:val="00446D6C"/>
    <w:rsid w:val="004559C5"/>
    <w:rsid w:val="004601A9"/>
    <w:rsid w:val="00460327"/>
    <w:rsid w:val="004625BD"/>
    <w:rsid w:val="0046457A"/>
    <w:rsid w:val="00464904"/>
    <w:rsid w:val="004653B6"/>
    <w:rsid w:val="00471A05"/>
    <w:rsid w:val="00472B12"/>
    <w:rsid w:val="004749FD"/>
    <w:rsid w:val="00482690"/>
    <w:rsid w:val="004856B2"/>
    <w:rsid w:val="00487031"/>
    <w:rsid w:val="0049061A"/>
    <w:rsid w:val="00491633"/>
    <w:rsid w:val="004923CB"/>
    <w:rsid w:val="00492D7B"/>
    <w:rsid w:val="004958EA"/>
    <w:rsid w:val="004977BA"/>
    <w:rsid w:val="004A370A"/>
    <w:rsid w:val="004A53B6"/>
    <w:rsid w:val="004A6E0A"/>
    <w:rsid w:val="004A707B"/>
    <w:rsid w:val="004B4154"/>
    <w:rsid w:val="004C13FD"/>
    <w:rsid w:val="004C3691"/>
    <w:rsid w:val="004C7CCF"/>
    <w:rsid w:val="004D1293"/>
    <w:rsid w:val="004D2C84"/>
    <w:rsid w:val="004D455E"/>
    <w:rsid w:val="004E4DDA"/>
    <w:rsid w:val="004E65A2"/>
    <w:rsid w:val="004F1A76"/>
    <w:rsid w:val="004F5DB4"/>
    <w:rsid w:val="004F7C80"/>
    <w:rsid w:val="0050411D"/>
    <w:rsid w:val="005055F5"/>
    <w:rsid w:val="005063EF"/>
    <w:rsid w:val="005102E8"/>
    <w:rsid w:val="00514171"/>
    <w:rsid w:val="00515F12"/>
    <w:rsid w:val="0052628F"/>
    <w:rsid w:val="00530170"/>
    <w:rsid w:val="00536466"/>
    <w:rsid w:val="00536AA0"/>
    <w:rsid w:val="00537419"/>
    <w:rsid w:val="005376B4"/>
    <w:rsid w:val="00541214"/>
    <w:rsid w:val="00542783"/>
    <w:rsid w:val="00543D9B"/>
    <w:rsid w:val="00545AC5"/>
    <w:rsid w:val="00547244"/>
    <w:rsid w:val="0055135F"/>
    <w:rsid w:val="005538CD"/>
    <w:rsid w:val="0055577A"/>
    <w:rsid w:val="00561C71"/>
    <w:rsid w:val="00564403"/>
    <w:rsid w:val="005646D1"/>
    <w:rsid w:val="00565AA4"/>
    <w:rsid w:val="005709FA"/>
    <w:rsid w:val="005722A4"/>
    <w:rsid w:val="00574135"/>
    <w:rsid w:val="005744E5"/>
    <w:rsid w:val="00574634"/>
    <w:rsid w:val="00577F89"/>
    <w:rsid w:val="00581F9B"/>
    <w:rsid w:val="005849A2"/>
    <w:rsid w:val="00584C19"/>
    <w:rsid w:val="0058549F"/>
    <w:rsid w:val="00586111"/>
    <w:rsid w:val="00590577"/>
    <w:rsid w:val="00594AE7"/>
    <w:rsid w:val="005977F8"/>
    <w:rsid w:val="005A1649"/>
    <w:rsid w:val="005A38B9"/>
    <w:rsid w:val="005A3A6B"/>
    <w:rsid w:val="005A7D50"/>
    <w:rsid w:val="005B34AE"/>
    <w:rsid w:val="005C032B"/>
    <w:rsid w:val="005C24DA"/>
    <w:rsid w:val="005C26B0"/>
    <w:rsid w:val="005C35D7"/>
    <w:rsid w:val="005C4CD2"/>
    <w:rsid w:val="005C70E8"/>
    <w:rsid w:val="005D279B"/>
    <w:rsid w:val="005D4C80"/>
    <w:rsid w:val="005D5DC8"/>
    <w:rsid w:val="005D659E"/>
    <w:rsid w:val="005D7D15"/>
    <w:rsid w:val="005E2670"/>
    <w:rsid w:val="005F1078"/>
    <w:rsid w:val="005F56EF"/>
    <w:rsid w:val="005F74BD"/>
    <w:rsid w:val="00603EA5"/>
    <w:rsid w:val="00604DE5"/>
    <w:rsid w:val="00617574"/>
    <w:rsid w:val="00624502"/>
    <w:rsid w:val="006258F4"/>
    <w:rsid w:val="00625A1A"/>
    <w:rsid w:val="00634FED"/>
    <w:rsid w:val="00640493"/>
    <w:rsid w:val="0064096E"/>
    <w:rsid w:val="00641CD0"/>
    <w:rsid w:val="00641D88"/>
    <w:rsid w:val="00642C59"/>
    <w:rsid w:val="0064335F"/>
    <w:rsid w:val="00643847"/>
    <w:rsid w:val="00645316"/>
    <w:rsid w:val="00651840"/>
    <w:rsid w:val="00651DA3"/>
    <w:rsid w:val="00652475"/>
    <w:rsid w:val="0065297F"/>
    <w:rsid w:val="00656D47"/>
    <w:rsid w:val="00661578"/>
    <w:rsid w:val="006651AD"/>
    <w:rsid w:val="00665430"/>
    <w:rsid w:val="0066561B"/>
    <w:rsid w:val="00665673"/>
    <w:rsid w:val="006752FC"/>
    <w:rsid w:val="00682E1F"/>
    <w:rsid w:val="00684172"/>
    <w:rsid w:val="00685ABD"/>
    <w:rsid w:val="00692477"/>
    <w:rsid w:val="006927AE"/>
    <w:rsid w:val="00692A59"/>
    <w:rsid w:val="006A59D8"/>
    <w:rsid w:val="006A642F"/>
    <w:rsid w:val="006A7F20"/>
    <w:rsid w:val="006B5960"/>
    <w:rsid w:val="006B7A55"/>
    <w:rsid w:val="006C7C35"/>
    <w:rsid w:val="006F1890"/>
    <w:rsid w:val="006F3A75"/>
    <w:rsid w:val="006F3AEC"/>
    <w:rsid w:val="0070185B"/>
    <w:rsid w:val="00702390"/>
    <w:rsid w:val="00702732"/>
    <w:rsid w:val="00702DD7"/>
    <w:rsid w:val="007042D0"/>
    <w:rsid w:val="007050CA"/>
    <w:rsid w:val="007070B4"/>
    <w:rsid w:val="00707F12"/>
    <w:rsid w:val="00714388"/>
    <w:rsid w:val="00721D86"/>
    <w:rsid w:val="0072278C"/>
    <w:rsid w:val="00725844"/>
    <w:rsid w:val="00725CD7"/>
    <w:rsid w:val="0072696B"/>
    <w:rsid w:val="00730907"/>
    <w:rsid w:val="00742EBB"/>
    <w:rsid w:val="00745C53"/>
    <w:rsid w:val="007507F3"/>
    <w:rsid w:val="00754F3C"/>
    <w:rsid w:val="00755874"/>
    <w:rsid w:val="00756B16"/>
    <w:rsid w:val="007571B4"/>
    <w:rsid w:val="00760DD8"/>
    <w:rsid w:val="00770AEE"/>
    <w:rsid w:val="00772988"/>
    <w:rsid w:val="00773C28"/>
    <w:rsid w:val="007820D7"/>
    <w:rsid w:val="0078329D"/>
    <w:rsid w:val="007837D1"/>
    <w:rsid w:val="0078458E"/>
    <w:rsid w:val="007871D1"/>
    <w:rsid w:val="00792F4A"/>
    <w:rsid w:val="007A0CD4"/>
    <w:rsid w:val="007A4430"/>
    <w:rsid w:val="007B235A"/>
    <w:rsid w:val="007B3F04"/>
    <w:rsid w:val="007B5601"/>
    <w:rsid w:val="007B662B"/>
    <w:rsid w:val="007B7951"/>
    <w:rsid w:val="007C2F7E"/>
    <w:rsid w:val="007C5FB1"/>
    <w:rsid w:val="007D43A8"/>
    <w:rsid w:val="007E0C93"/>
    <w:rsid w:val="007E19B1"/>
    <w:rsid w:val="007E501A"/>
    <w:rsid w:val="007F0CC3"/>
    <w:rsid w:val="007F1B52"/>
    <w:rsid w:val="007F4E04"/>
    <w:rsid w:val="007F4F31"/>
    <w:rsid w:val="008073BD"/>
    <w:rsid w:val="00811411"/>
    <w:rsid w:val="008133B2"/>
    <w:rsid w:val="0081598A"/>
    <w:rsid w:val="0081721E"/>
    <w:rsid w:val="008202DE"/>
    <w:rsid w:val="00821FD3"/>
    <w:rsid w:val="0082250E"/>
    <w:rsid w:val="00823BF9"/>
    <w:rsid w:val="008256D0"/>
    <w:rsid w:val="00825E6D"/>
    <w:rsid w:val="008271F5"/>
    <w:rsid w:val="00827325"/>
    <w:rsid w:val="008315CD"/>
    <w:rsid w:val="008319DA"/>
    <w:rsid w:val="00840AEF"/>
    <w:rsid w:val="0084184B"/>
    <w:rsid w:val="00844A1F"/>
    <w:rsid w:val="008451A6"/>
    <w:rsid w:val="00851413"/>
    <w:rsid w:val="008523F3"/>
    <w:rsid w:val="00854081"/>
    <w:rsid w:val="008546E8"/>
    <w:rsid w:val="00856B48"/>
    <w:rsid w:val="00856D51"/>
    <w:rsid w:val="00861AB6"/>
    <w:rsid w:val="00866AA6"/>
    <w:rsid w:val="00870501"/>
    <w:rsid w:val="00875EF3"/>
    <w:rsid w:val="00885551"/>
    <w:rsid w:val="00886E61"/>
    <w:rsid w:val="00887F35"/>
    <w:rsid w:val="008915E9"/>
    <w:rsid w:val="00891EFE"/>
    <w:rsid w:val="00892C36"/>
    <w:rsid w:val="008A4C28"/>
    <w:rsid w:val="008A545B"/>
    <w:rsid w:val="008A69CF"/>
    <w:rsid w:val="008A7427"/>
    <w:rsid w:val="008B20E7"/>
    <w:rsid w:val="008B34AD"/>
    <w:rsid w:val="008C3637"/>
    <w:rsid w:val="008C4204"/>
    <w:rsid w:val="008C4229"/>
    <w:rsid w:val="008C45C0"/>
    <w:rsid w:val="008C5791"/>
    <w:rsid w:val="008C68D6"/>
    <w:rsid w:val="008E0126"/>
    <w:rsid w:val="008E5ED5"/>
    <w:rsid w:val="008F3C3C"/>
    <w:rsid w:val="008F6EAF"/>
    <w:rsid w:val="008F7F3C"/>
    <w:rsid w:val="00901431"/>
    <w:rsid w:val="0090303F"/>
    <w:rsid w:val="00904CE2"/>
    <w:rsid w:val="009157A6"/>
    <w:rsid w:val="00915FC6"/>
    <w:rsid w:val="0091679A"/>
    <w:rsid w:val="00920371"/>
    <w:rsid w:val="0092054E"/>
    <w:rsid w:val="0093041D"/>
    <w:rsid w:val="009313C2"/>
    <w:rsid w:val="009353D0"/>
    <w:rsid w:val="00936E91"/>
    <w:rsid w:val="00940F13"/>
    <w:rsid w:val="00941228"/>
    <w:rsid w:val="009425BB"/>
    <w:rsid w:val="0094775B"/>
    <w:rsid w:val="00951FCA"/>
    <w:rsid w:val="00953824"/>
    <w:rsid w:val="00954F7E"/>
    <w:rsid w:val="00955962"/>
    <w:rsid w:val="009651DA"/>
    <w:rsid w:val="00967384"/>
    <w:rsid w:val="00967A1E"/>
    <w:rsid w:val="009757FC"/>
    <w:rsid w:val="00976089"/>
    <w:rsid w:val="00981241"/>
    <w:rsid w:val="00992797"/>
    <w:rsid w:val="00995FE5"/>
    <w:rsid w:val="009A1D85"/>
    <w:rsid w:val="009A78CD"/>
    <w:rsid w:val="009B0136"/>
    <w:rsid w:val="009B11B6"/>
    <w:rsid w:val="009B6FF5"/>
    <w:rsid w:val="009C3191"/>
    <w:rsid w:val="009E049A"/>
    <w:rsid w:val="009E24B7"/>
    <w:rsid w:val="009E61A6"/>
    <w:rsid w:val="009E74A5"/>
    <w:rsid w:val="009F1A58"/>
    <w:rsid w:val="009F4C21"/>
    <w:rsid w:val="00A025B7"/>
    <w:rsid w:val="00A02B20"/>
    <w:rsid w:val="00A05FA2"/>
    <w:rsid w:val="00A0778C"/>
    <w:rsid w:val="00A11439"/>
    <w:rsid w:val="00A120E3"/>
    <w:rsid w:val="00A12892"/>
    <w:rsid w:val="00A147B1"/>
    <w:rsid w:val="00A22F9C"/>
    <w:rsid w:val="00A33B84"/>
    <w:rsid w:val="00A35934"/>
    <w:rsid w:val="00A50C1B"/>
    <w:rsid w:val="00A521EC"/>
    <w:rsid w:val="00A5614F"/>
    <w:rsid w:val="00A60A23"/>
    <w:rsid w:val="00A63819"/>
    <w:rsid w:val="00A639E5"/>
    <w:rsid w:val="00A71F67"/>
    <w:rsid w:val="00A744D7"/>
    <w:rsid w:val="00A77DD6"/>
    <w:rsid w:val="00A8022B"/>
    <w:rsid w:val="00A80F94"/>
    <w:rsid w:val="00A81201"/>
    <w:rsid w:val="00A818D4"/>
    <w:rsid w:val="00A82483"/>
    <w:rsid w:val="00A82D4E"/>
    <w:rsid w:val="00A904AB"/>
    <w:rsid w:val="00A908BB"/>
    <w:rsid w:val="00A93AB7"/>
    <w:rsid w:val="00A95D9E"/>
    <w:rsid w:val="00A965FD"/>
    <w:rsid w:val="00A978D7"/>
    <w:rsid w:val="00AA1648"/>
    <w:rsid w:val="00AA2C34"/>
    <w:rsid w:val="00AA44A8"/>
    <w:rsid w:val="00AA5172"/>
    <w:rsid w:val="00AA5B77"/>
    <w:rsid w:val="00AA702E"/>
    <w:rsid w:val="00AB52C7"/>
    <w:rsid w:val="00AC2026"/>
    <w:rsid w:val="00AD0BCD"/>
    <w:rsid w:val="00AD46B8"/>
    <w:rsid w:val="00AD4EB5"/>
    <w:rsid w:val="00AD6891"/>
    <w:rsid w:val="00AE03DE"/>
    <w:rsid w:val="00AE1568"/>
    <w:rsid w:val="00AE23C0"/>
    <w:rsid w:val="00AE338D"/>
    <w:rsid w:val="00AF0593"/>
    <w:rsid w:val="00AF0D2C"/>
    <w:rsid w:val="00AF1B30"/>
    <w:rsid w:val="00AF38DF"/>
    <w:rsid w:val="00AF4904"/>
    <w:rsid w:val="00AF5DDA"/>
    <w:rsid w:val="00B00D07"/>
    <w:rsid w:val="00B035E3"/>
    <w:rsid w:val="00B042E4"/>
    <w:rsid w:val="00B155C7"/>
    <w:rsid w:val="00B155E7"/>
    <w:rsid w:val="00B1654D"/>
    <w:rsid w:val="00B20E56"/>
    <w:rsid w:val="00B2234B"/>
    <w:rsid w:val="00B36E83"/>
    <w:rsid w:val="00B42B05"/>
    <w:rsid w:val="00B459F1"/>
    <w:rsid w:val="00B46B29"/>
    <w:rsid w:val="00B4772B"/>
    <w:rsid w:val="00B5012A"/>
    <w:rsid w:val="00B56AD0"/>
    <w:rsid w:val="00B60AB8"/>
    <w:rsid w:val="00B61F7E"/>
    <w:rsid w:val="00B62D08"/>
    <w:rsid w:val="00B64E71"/>
    <w:rsid w:val="00B657CE"/>
    <w:rsid w:val="00B664B5"/>
    <w:rsid w:val="00B71626"/>
    <w:rsid w:val="00B719E1"/>
    <w:rsid w:val="00B72AD4"/>
    <w:rsid w:val="00B72E06"/>
    <w:rsid w:val="00B752A3"/>
    <w:rsid w:val="00B81DC7"/>
    <w:rsid w:val="00BA307B"/>
    <w:rsid w:val="00BA55AA"/>
    <w:rsid w:val="00BB4AF6"/>
    <w:rsid w:val="00BB514A"/>
    <w:rsid w:val="00BC2C9C"/>
    <w:rsid w:val="00BC625B"/>
    <w:rsid w:val="00BD62FF"/>
    <w:rsid w:val="00BD6C5C"/>
    <w:rsid w:val="00BE1E70"/>
    <w:rsid w:val="00BE7862"/>
    <w:rsid w:val="00BE7C53"/>
    <w:rsid w:val="00BF1022"/>
    <w:rsid w:val="00BF4B63"/>
    <w:rsid w:val="00BF7A09"/>
    <w:rsid w:val="00C02CE2"/>
    <w:rsid w:val="00C063A8"/>
    <w:rsid w:val="00C11165"/>
    <w:rsid w:val="00C12FDE"/>
    <w:rsid w:val="00C16712"/>
    <w:rsid w:val="00C20DEE"/>
    <w:rsid w:val="00C20F2B"/>
    <w:rsid w:val="00C22D8E"/>
    <w:rsid w:val="00C33B33"/>
    <w:rsid w:val="00C366D6"/>
    <w:rsid w:val="00C40A0F"/>
    <w:rsid w:val="00C429A3"/>
    <w:rsid w:val="00C45789"/>
    <w:rsid w:val="00C470C6"/>
    <w:rsid w:val="00C51AD3"/>
    <w:rsid w:val="00C521D0"/>
    <w:rsid w:val="00C57070"/>
    <w:rsid w:val="00C57C74"/>
    <w:rsid w:val="00C6447C"/>
    <w:rsid w:val="00C67E62"/>
    <w:rsid w:val="00C71289"/>
    <w:rsid w:val="00C75619"/>
    <w:rsid w:val="00C77F21"/>
    <w:rsid w:val="00C87D5A"/>
    <w:rsid w:val="00C90F8A"/>
    <w:rsid w:val="00C924E8"/>
    <w:rsid w:val="00C97D9A"/>
    <w:rsid w:val="00CA266F"/>
    <w:rsid w:val="00CA322E"/>
    <w:rsid w:val="00CA4D48"/>
    <w:rsid w:val="00CA7452"/>
    <w:rsid w:val="00CB3406"/>
    <w:rsid w:val="00CB7C87"/>
    <w:rsid w:val="00CB7D19"/>
    <w:rsid w:val="00CC000B"/>
    <w:rsid w:val="00CC0AFF"/>
    <w:rsid w:val="00CC6E6D"/>
    <w:rsid w:val="00CD078B"/>
    <w:rsid w:val="00CD0C54"/>
    <w:rsid w:val="00CD4728"/>
    <w:rsid w:val="00CE3C5C"/>
    <w:rsid w:val="00CF0413"/>
    <w:rsid w:val="00CF219B"/>
    <w:rsid w:val="00CF5D7A"/>
    <w:rsid w:val="00D1342E"/>
    <w:rsid w:val="00D161A6"/>
    <w:rsid w:val="00D21391"/>
    <w:rsid w:val="00D2528F"/>
    <w:rsid w:val="00D27D4C"/>
    <w:rsid w:val="00D31680"/>
    <w:rsid w:val="00D31F78"/>
    <w:rsid w:val="00D33701"/>
    <w:rsid w:val="00D42243"/>
    <w:rsid w:val="00D44896"/>
    <w:rsid w:val="00D51E60"/>
    <w:rsid w:val="00D543C3"/>
    <w:rsid w:val="00D64323"/>
    <w:rsid w:val="00D645DA"/>
    <w:rsid w:val="00D65916"/>
    <w:rsid w:val="00D75E12"/>
    <w:rsid w:val="00D77408"/>
    <w:rsid w:val="00D80505"/>
    <w:rsid w:val="00D81E8B"/>
    <w:rsid w:val="00D90B1A"/>
    <w:rsid w:val="00D913C5"/>
    <w:rsid w:val="00D95368"/>
    <w:rsid w:val="00DA3A69"/>
    <w:rsid w:val="00DA476D"/>
    <w:rsid w:val="00DA7E6C"/>
    <w:rsid w:val="00DB0E2C"/>
    <w:rsid w:val="00DB5531"/>
    <w:rsid w:val="00DB625B"/>
    <w:rsid w:val="00DC004E"/>
    <w:rsid w:val="00DC5CA2"/>
    <w:rsid w:val="00DC7159"/>
    <w:rsid w:val="00DC7E06"/>
    <w:rsid w:val="00DD0401"/>
    <w:rsid w:val="00DD1544"/>
    <w:rsid w:val="00DD3403"/>
    <w:rsid w:val="00DD3A69"/>
    <w:rsid w:val="00DD61D7"/>
    <w:rsid w:val="00DD62AD"/>
    <w:rsid w:val="00DD73D5"/>
    <w:rsid w:val="00DE0CDB"/>
    <w:rsid w:val="00DE237F"/>
    <w:rsid w:val="00DE2CFE"/>
    <w:rsid w:val="00DE35E1"/>
    <w:rsid w:val="00DE7128"/>
    <w:rsid w:val="00DF75C6"/>
    <w:rsid w:val="00DF7816"/>
    <w:rsid w:val="00E035C0"/>
    <w:rsid w:val="00E04FD9"/>
    <w:rsid w:val="00E0623A"/>
    <w:rsid w:val="00E1091F"/>
    <w:rsid w:val="00E11208"/>
    <w:rsid w:val="00E12249"/>
    <w:rsid w:val="00E14C85"/>
    <w:rsid w:val="00E17C2E"/>
    <w:rsid w:val="00E21AB3"/>
    <w:rsid w:val="00E22F5F"/>
    <w:rsid w:val="00E230FE"/>
    <w:rsid w:val="00E26679"/>
    <w:rsid w:val="00E27F98"/>
    <w:rsid w:val="00E3071F"/>
    <w:rsid w:val="00E3087B"/>
    <w:rsid w:val="00E32165"/>
    <w:rsid w:val="00E32D55"/>
    <w:rsid w:val="00E40A5F"/>
    <w:rsid w:val="00E45B5E"/>
    <w:rsid w:val="00E45F5D"/>
    <w:rsid w:val="00E46BDD"/>
    <w:rsid w:val="00E47A5F"/>
    <w:rsid w:val="00E5054E"/>
    <w:rsid w:val="00E5088A"/>
    <w:rsid w:val="00E50E36"/>
    <w:rsid w:val="00E579F5"/>
    <w:rsid w:val="00E63B3B"/>
    <w:rsid w:val="00E65540"/>
    <w:rsid w:val="00E7211D"/>
    <w:rsid w:val="00E83AF9"/>
    <w:rsid w:val="00E85932"/>
    <w:rsid w:val="00E91B9D"/>
    <w:rsid w:val="00E935DA"/>
    <w:rsid w:val="00E94579"/>
    <w:rsid w:val="00E97ED9"/>
    <w:rsid w:val="00EA161C"/>
    <w:rsid w:val="00EA4335"/>
    <w:rsid w:val="00EB7224"/>
    <w:rsid w:val="00EC0140"/>
    <w:rsid w:val="00EC1FEA"/>
    <w:rsid w:val="00EC4237"/>
    <w:rsid w:val="00EC445E"/>
    <w:rsid w:val="00EC53DA"/>
    <w:rsid w:val="00ED3DE5"/>
    <w:rsid w:val="00EE0AA1"/>
    <w:rsid w:val="00EE2629"/>
    <w:rsid w:val="00EE30F2"/>
    <w:rsid w:val="00EE350F"/>
    <w:rsid w:val="00EE3D0F"/>
    <w:rsid w:val="00EE4FC5"/>
    <w:rsid w:val="00EE538D"/>
    <w:rsid w:val="00EF1A3B"/>
    <w:rsid w:val="00F005EA"/>
    <w:rsid w:val="00F014C2"/>
    <w:rsid w:val="00F01558"/>
    <w:rsid w:val="00F02642"/>
    <w:rsid w:val="00F02A77"/>
    <w:rsid w:val="00F039D2"/>
    <w:rsid w:val="00F0664E"/>
    <w:rsid w:val="00F067A0"/>
    <w:rsid w:val="00F12836"/>
    <w:rsid w:val="00F128AE"/>
    <w:rsid w:val="00F145BC"/>
    <w:rsid w:val="00F15F7E"/>
    <w:rsid w:val="00F16FEB"/>
    <w:rsid w:val="00F3167C"/>
    <w:rsid w:val="00F34B4B"/>
    <w:rsid w:val="00F35B80"/>
    <w:rsid w:val="00F36702"/>
    <w:rsid w:val="00F42722"/>
    <w:rsid w:val="00F436DD"/>
    <w:rsid w:val="00F4588B"/>
    <w:rsid w:val="00F45AB2"/>
    <w:rsid w:val="00F47026"/>
    <w:rsid w:val="00F562DE"/>
    <w:rsid w:val="00F5637D"/>
    <w:rsid w:val="00F56FAE"/>
    <w:rsid w:val="00F604FC"/>
    <w:rsid w:val="00F629B4"/>
    <w:rsid w:val="00F63388"/>
    <w:rsid w:val="00F63711"/>
    <w:rsid w:val="00F65534"/>
    <w:rsid w:val="00F66EEC"/>
    <w:rsid w:val="00F716CC"/>
    <w:rsid w:val="00F76C11"/>
    <w:rsid w:val="00F76DAC"/>
    <w:rsid w:val="00F80805"/>
    <w:rsid w:val="00F81CB4"/>
    <w:rsid w:val="00F83A15"/>
    <w:rsid w:val="00F83B5A"/>
    <w:rsid w:val="00F84728"/>
    <w:rsid w:val="00F86DB1"/>
    <w:rsid w:val="00F87F66"/>
    <w:rsid w:val="00F97073"/>
    <w:rsid w:val="00FA0DBF"/>
    <w:rsid w:val="00FA1700"/>
    <w:rsid w:val="00FA215F"/>
    <w:rsid w:val="00FA2DB5"/>
    <w:rsid w:val="00FA6BDD"/>
    <w:rsid w:val="00FB03C1"/>
    <w:rsid w:val="00FB0C6D"/>
    <w:rsid w:val="00FB3712"/>
    <w:rsid w:val="00FB52BE"/>
    <w:rsid w:val="00FB5543"/>
    <w:rsid w:val="00FC0AD9"/>
    <w:rsid w:val="00FC288B"/>
    <w:rsid w:val="00FC3E84"/>
    <w:rsid w:val="00FC49CE"/>
    <w:rsid w:val="00FD443A"/>
    <w:rsid w:val="00FD5A50"/>
    <w:rsid w:val="00FD6634"/>
    <w:rsid w:val="00FD74E0"/>
    <w:rsid w:val="00FE260D"/>
    <w:rsid w:val="00FE7022"/>
    <w:rsid w:val="00FE70D8"/>
    <w:rsid w:val="00FE738F"/>
    <w:rsid w:val="00FF1119"/>
    <w:rsid w:val="00FF1408"/>
    <w:rsid w:val="00FF3459"/>
    <w:rsid w:val="00FF3AF2"/>
    <w:rsid w:val="00FF4579"/>
    <w:rsid w:val="016C3C6F"/>
    <w:rsid w:val="01FD30B1"/>
    <w:rsid w:val="0313618D"/>
    <w:rsid w:val="035D70BC"/>
    <w:rsid w:val="04853622"/>
    <w:rsid w:val="05401CF9"/>
    <w:rsid w:val="05AB3FB1"/>
    <w:rsid w:val="05F82DB8"/>
    <w:rsid w:val="063264A4"/>
    <w:rsid w:val="06520B42"/>
    <w:rsid w:val="067D4A0E"/>
    <w:rsid w:val="09115043"/>
    <w:rsid w:val="092137D7"/>
    <w:rsid w:val="09797DBA"/>
    <w:rsid w:val="09F42D85"/>
    <w:rsid w:val="0AD22E4F"/>
    <w:rsid w:val="0F432790"/>
    <w:rsid w:val="0F874ED8"/>
    <w:rsid w:val="0FEC68F2"/>
    <w:rsid w:val="0FFC4967"/>
    <w:rsid w:val="109A023F"/>
    <w:rsid w:val="12427124"/>
    <w:rsid w:val="138A13F6"/>
    <w:rsid w:val="13BF20F9"/>
    <w:rsid w:val="13F15680"/>
    <w:rsid w:val="143B2AE1"/>
    <w:rsid w:val="14ED5AE0"/>
    <w:rsid w:val="15434729"/>
    <w:rsid w:val="15773A4F"/>
    <w:rsid w:val="15B634CD"/>
    <w:rsid w:val="167A62D6"/>
    <w:rsid w:val="167E6535"/>
    <w:rsid w:val="16BA75D5"/>
    <w:rsid w:val="187253F8"/>
    <w:rsid w:val="18804A71"/>
    <w:rsid w:val="19232D64"/>
    <w:rsid w:val="1A06357D"/>
    <w:rsid w:val="1A680547"/>
    <w:rsid w:val="1A682D53"/>
    <w:rsid w:val="1AB0282A"/>
    <w:rsid w:val="1AD91D5A"/>
    <w:rsid w:val="1AFE1184"/>
    <w:rsid w:val="1B074E40"/>
    <w:rsid w:val="1C0A21C2"/>
    <w:rsid w:val="1D8F5447"/>
    <w:rsid w:val="1DBF37C5"/>
    <w:rsid w:val="1EBE310C"/>
    <w:rsid w:val="1F436889"/>
    <w:rsid w:val="203E1D64"/>
    <w:rsid w:val="206006A5"/>
    <w:rsid w:val="211B4879"/>
    <w:rsid w:val="217C7F39"/>
    <w:rsid w:val="21A83FDC"/>
    <w:rsid w:val="21C55569"/>
    <w:rsid w:val="222825CC"/>
    <w:rsid w:val="22E96ACE"/>
    <w:rsid w:val="23450DDD"/>
    <w:rsid w:val="23A809D8"/>
    <w:rsid w:val="24E76B9B"/>
    <w:rsid w:val="24F14CB0"/>
    <w:rsid w:val="25127803"/>
    <w:rsid w:val="262C6756"/>
    <w:rsid w:val="27E664BF"/>
    <w:rsid w:val="284C5712"/>
    <w:rsid w:val="28572F46"/>
    <w:rsid w:val="2BCE5DC1"/>
    <w:rsid w:val="2D01047E"/>
    <w:rsid w:val="2D8B6196"/>
    <w:rsid w:val="2DFB0D42"/>
    <w:rsid w:val="2E843C95"/>
    <w:rsid w:val="2F2345FF"/>
    <w:rsid w:val="2F3C3DF6"/>
    <w:rsid w:val="2F4936B4"/>
    <w:rsid w:val="2FBB2B3E"/>
    <w:rsid w:val="30953C93"/>
    <w:rsid w:val="310D05AD"/>
    <w:rsid w:val="31A1230E"/>
    <w:rsid w:val="32096AB6"/>
    <w:rsid w:val="32BA5D09"/>
    <w:rsid w:val="334A0EC4"/>
    <w:rsid w:val="335225EC"/>
    <w:rsid w:val="35EA3E2D"/>
    <w:rsid w:val="36351137"/>
    <w:rsid w:val="36860731"/>
    <w:rsid w:val="36C613BC"/>
    <w:rsid w:val="36FE6E2F"/>
    <w:rsid w:val="37604D15"/>
    <w:rsid w:val="376451C3"/>
    <w:rsid w:val="37842A45"/>
    <w:rsid w:val="37914DD0"/>
    <w:rsid w:val="37A05DFD"/>
    <w:rsid w:val="37C16142"/>
    <w:rsid w:val="37DA474F"/>
    <w:rsid w:val="39757448"/>
    <w:rsid w:val="397C22D4"/>
    <w:rsid w:val="39F2304E"/>
    <w:rsid w:val="3A6431A1"/>
    <w:rsid w:val="3A7F269C"/>
    <w:rsid w:val="3A93658E"/>
    <w:rsid w:val="3CC64F73"/>
    <w:rsid w:val="3CCF3FC3"/>
    <w:rsid w:val="3D1D2D00"/>
    <w:rsid w:val="3D7D04B9"/>
    <w:rsid w:val="3E354B13"/>
    <w:rsid w:val="3FB704D3"/>
    <w:rsid w:val="3FB84DEE"/>
    <w:rsid w:val="3FE51544"/>
    <w:rsid w:val="3FEC042A"/>
    <w:rsid w:val="3FF65D9A"/>
    <w:rsid w:val="4245218F"/>
    <w:rsid w:val="424F6846"/>
    <w:rsid w:val="42FA18F7"/>
    <w:rsid w:val="44E67B47"/>
    <w:rsid w:val="450F5E55"/>
    <w:rsid w:val="45411076"/>
    <w:rsid w:val="45882659"/>
    <w:rsid w:val="46EA7674"/>
    <w:rsid w:val="4810342B"/>
    <w:rsid w:val="483E38E0"/>
    <w:rsid w:val="48571FD0"/>
    <w:rsid w:val="491B44CF"/>
    <w:rsid w:val="493673C2"/>
    <w:rsid w:val="49611C80"/>
    <w:rsid w:val="4C8661E0"/>
    <w:rsid w:val="4D285579"/>
    <w:rsid w:val="4D293872"/>
    <w:rsid w:val="4D3A3AE2"/>
    <w:rsid w:val="4D5E5B3D"/>
    <w:rsid w:val="4E2D0AA8"/>
    <w:rsid w:val="50502654"/>
    <w:rsid w:val="507A7D49"/>
    <w:rsid w:val="50F67631"/>
    <w:rsid w:val="513C29FD"/>
    <w:rsid w:val="51F12288"/>
    <w:rsid w:val="53BC1818"/>
    <w:rsid w:val="547C7A3D"/>
    <w:rsid w:val="54EB5B82"/>
    <w:rsid w:val="55626111"/>
    <w:rsid w:val="55664F2F"/>
    <w:rsid w:val="55F7249F"/>
    <w:rsid w:val="57946C28"/>
    <w:rsid w:val="57D24D3A"/>
    <w:rsid w:val="59696635"/>
    <w:rsid w:val="59D87C32"/>
    <w:rsid w:val="5BF9498B"/>
    <w:rsid w:val="5CB14FE0"/>
    <w:rsid w:val="5CD806AA"/>
    <w:rsid w:val="5D301087"/>
    <w:rsid w:val="5D5D63F2"/>
    <w:rsid w:val="5DAB5514"/>
    <w:rsid w:val="5E25452A"/>
    <w:rsid w:val="5E620B66"/>
    <w:rsid w:val="5EC70ABE"/>
    <w:rsid w:val="5ECA21CC"/>
    <w:rsid w:val="5EE23ED1"/>
    <w:rsid w:val="5FA819A9"/>
    <w:rsid w:val="60592474"/>
    <w:rsid w:val="60616E66"/>
    <w:rsid w:val="60F0097B"/>
    <w:rsid w:val="612F5B5B"/>
    <w:rsid w:val="62522306"/>
    <w:rsid w:val="62831844"/>
    <w:rsid w:val="633D76C1"/>
    <w:rsid w:val="64085987"/>
    <w:rsid w:val="6497162F"/>
    <w:rsid w:val="66C26C6E"/>
    <w:rsid w:val="679A4D99"/>
    <w:rsid w:val="685C7BAA"/>
    <w:rsid w:val="68C0269C"/>
    <w:rsid w:val="6929027D"/>
    <w:rsid w:val="69603D66"/>
    <w:rsid w:val="69D77FFF"/>
    <w:rsid w:val="6B046F2F"/>
    <w:rsid w:val="6B2710D5"/>
    <w:rsid w:val="6CD80396"/>
    <w:rsid w:val="6CF65160"/>
    <w:rsid w:val="6D5F25D2"/>
    <w:rsid w:val="6DB445D2"/>
    <w:rsid w:val="6E061FFA"/>
    <w:rsid w:val="6E465281"/>
    <w:rsid w:val="6EDC187E"/>
    <w:rsid w:val="700147AE"/>
    <w:rsid w:val="70C16D34"/>
    <w:rsid w:val="70C461F8"/>
    <w:rsid w:val="715C3177"/>
    <w:rsid w:val="71652ECD"/>
    <w:rsid w:val="73DF0DAA"/>
    <w:rsid w:val="764C65AE"/>
    <w:rsid w:val="76812750"/>
    <w:rsid w:val="772948B8"/>
    <w:rsid w:val="787600FF"/>
    <w:rsid w:val="793C2965"/>
    <w:rsid w:val="7AC34887"/>
    <w:rsid w:val="7BBF3CFD"/>
    <w:rsid w:val="7BD90B14"/>
    <w:rsid w:val="7BDC33A3"/>
    <w:rsid w:val="7C8920A3"/>
    <w:rsid w:val="7D794D63"/>
    <w:rsid w:val="7DDE2D8A"/>
    <w:rsid w:val="7DF41CB0"/>
    <w:rsid w:val="7E6F7EDF"/>
    <w:rsid w:val="7F417C89"/>
    <w:rsid w:val="7F463AB6"/>
    <w:rsid w:val="7FB201AB"/>
    <w:rsid w:val="7FB85DB1"/>
    <w:rsid w:val="7FDC5C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0"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2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8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92"/>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paragraph" w:styleId="6">
    <w:name w:val="heading 4"/>
    <w:basedOn w:val="1"/>
    <w:next w:val="1"/>
    <w:link w:val="77"/>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5"/>
    <w:basedOn w:val="6"/>
    <w:next w:val="8"/>
    <w:link w:val="127"/>
    <w:qFormat/>
    <w:uiPriority w:val="0"/>
    <w:pPr>
      <w:spacing w:beforeLines="100" w:afterLines="100" w:line="240" w:lineRule="exact"/>
      <w:ind w:left="284" w:hanging="284"/>
      <w:jc w:val="center"/>
      <w:outlineLvl w:val="4"/>
    </w:pPr>
    <w:rPr>
      <w:rFonts w:eastAsia="宋体"/>
      <w:b w:val="0"/>
      <w:bCs w:val="0"/>
      <w:color w:val="000000"/>
      <w:sz w:val="24"/>
      <w:szCs w:val="24"/>
    </w:rPr>
  </w:style>
  <w:style w:type="paragraph" w:styleId="9">
    <w:name w:val="heading 6"/>
    <w:basedOn w:val="1"/>
    <w:next w:val="1"/>
    <w:link w:val="16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0">
    <w:name w:val="heading 7"/>
    <w:basedOn w:val="1"/>
    <w:next w:val="1"/>
    <w:link w:val="104"/>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1">
    <w:name w:val="heading 8"/>
    <w:basedOn w:val="1"/>
    <w:next w:val="1"/>
    <w:link w:val="95"/>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2">
    <w:name w:val="heading 9"/>
    <w:basedOn w:val="1"/>
    <w:next w:val="1"/>
    <w:link w:val="88"/>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65">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10"/>
      <w:jc w:val="left"/>
    </w:pPr>
    <w:rPr>
      <w:smallCaps/>
      <w:sz w:val="20"/>
      <w:szCs w:val="20"/>
    </w:rPr>
  </w:style>
  <w:style w:type="paragraph" w:styleId="8">
    <w:name w:val="Normal Indent"/>
    <w:basedOn w:val="1"/>
    <w:link w:val="123"/>
    <w:qFormat/>
    <w:uiPriority w:val="0"/>
    <w:pPr>
      <w:ind w:firstLine="420" w:firstLineChars="200"/>
    </w:pPr>
    <w:rPr>
      <w:kern w:val="0"/>
      <w:sz w:val="20"/>
      <w:szCs w:val="24"/>
    </w:rPr>
  </w:style>
  <w:style w:type="paragraph" w:styleId="13">
    <w:name w:val="List 3"/>
    <w:basedOn w:val="1"/>
    <w:unhideWhenUsed/>
    <w:qFormat/>
    <w:uiPriority w:val="0"/>
    <w:pPr>
      <w:adjustRightInd w:val="0"/>
      <w:spacing w:line="312" w:lineRule="atLeast"/>
      <w:ind w:left="100" w:leftChars="400" w:hanging="200" w:hangingChars="200"/>
    </w:pPr>
    <w:rPr>
      <w:kern w:val="0"/>
      <w:szCs w:val="20"/>
    </w:rPr>
  </w:style>
  <w:style w:type="paragraph" w:styleId="14">
    <w:name w:val="toc 7"/>
    <w:basedOn w:val="1"/>
    <w:next w:val="1"/>
    <w:qFormat/>
    <w:uiPriority w:val="0"/>
    <w:pPr>
      <w:ind w:left="1260"/>
      <w:jc w:val="left"/>
    </w:pPr>
    <w:rPr>
      <w:sz w:val="18"/>
      <w:szCs w:val="18"/>
    </w:rPr>
  </w:style>
  <w:style w:type="paragraph" w:styleId="15">
    <w:name w:val="List Number 2"/>
    <w:basedOn w:val="1"/>
    <w:qFormat/>
    <w:uiPriority w:val="0"/>
    <w:pPr>
      <w:tabs>
        <w:tab w:val="left" w:pos="960"/>
      </w:tabs>
      <w:ind w:left="960" w:hanging="465"/>
    </w:pPr>
    <w:rPr>
      <w:szCs w:val="20"/>
    </w:rPr>
  </w:style>
  <w:style w:type="paragraph" w:styleId="16">
    <w:name w:val="List Bullet 4"/>
    <w:basedOn w:val="1"/>
    <w:unhideWhenUsed/>
    <w:qFormat/>
    <w:uiPriority w:val="0"/>
    <w:pPr>
      <w:tabs>
        <w:tab w:val="left" w:pos="1620"/>
      </w:tabs>
    </w:pPr>
    <w:rPr>
      <w:szCs w:val="20"/>
    </w:rPr>
  </w:style>
  <w:style w:type="paragraph" w:styleId="17">
    <w:name w:val="List Number"/>
    <w:basedOn w:val="1"/>
    <w:unhideWhenUsed/>
    <w:qFormat/>
    <w:uiPriority w:val="0"/>
    <w:pPr>
      <w:adjustRightInd w:val="0"/>
      <w:spacing w:line="360" w:lineRule="auto"/>
      <w:ind w:left="850" w:hanging="425"/>
    </w:pPr>
    <w:rPr>
      <w:color w:val="000000"/>
      <w:kern w:val="0"/>
      <w:szCs w:val="20"/>
    </w:rPr>
  </w:style>
  <w:style w:type="paragraph" w:styleId="18">
    <w:name w:val="caption"/>
    <w:basedOn w:val="1"/>
    <w:next w:val="1"/>
    <w:qFormat/>
    <w:uiPriority w:val="0"/>
    <w:pPr>
      <w:adjustRightInd w:val="0"/>
      <w:spacing w:line="312" w:lineRule="atLeast"/>
    </w:pPr>
    <w:rPr>
      <w:rFonts w:ascii="Arial" w:hAnsi="Arial" w:eastAsia="黑体" w:cs="Arial"/>
      <w:kern w:val="0"/>
      <w:sz w:val="20"/>
      <w:szCs w:val="20"/>
    </w:rPr>
  </w:style>
  <w:style w:type="paragraph" w:styleId="19">
    <w:name w:val="List Bullet"/>
    <w:basedOn w:val="1"/>
    <w:unhideWhenUsed/>
    <w:qFormat/>
    <w:uiPriority w:val="0"/>
    <w:pPr>
      <w:ind w:left="567" w:hanging="279"/>
    </w:pPr>
    <w:rPr>
      <w:szCs w:val="24"/>
    </w:rPr>
  </w:style>
  <w:style w:type="paragraph" w:styleId="20">
    <w:name w:val="Document Map"/>
    <w:basedOn w:val="1"/>
    <w:link w:val="153"/>
    <w:qFormat/>
    <w:uiPriority w:val="0"/>
    <w:pPr>
      <w:shd w:val="clear" w:color="auto" w:fill="000080"/>
    </w:pPr>
    <w:rPr>
      <w:kern w:val="0"/>
      <w:sz w:val="20"/>
      <w:szCs w:val="24"/>
    </w:rPr>
  </w:style>
  <w:style w:type="paragraph" w:styleId="21">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2">
    <w:name w:val="annotation text"/>
    <w:basedOn w:val="1"/>
    <w:link w:val="172"/>
    <w:unhideWhenUsed/>
    <w:qFormat/>
    <w:uiPriority w:val="0"/>
    <w:pPr>
      <w:jc w:val="left"/>
    </w:pPr>
    <w:rPr>
      <w:rFonts w:ascii="Calibri" w:hAnsi="Calibri"/>
      <w:kern w:val="0"/>
      <w:sz w:val="20"/>
      <w:szCs w:val="20"/>
    </w:rPr>
  </w:style>
  <w:style w:type="paragraph" w:styleId="23">
    <w:name w:val="Body Text 3"/>
    <w:basedOn w:val="1"/>
    <w:link w:val="84"/>
    <w:qFormat/>
    <w:uiPriority w:val="0"/>
    <w:rPr>
      <w:rFonts w:ascii="宋体"/>
      <w:kern w:val="0"/>
      <w:sz w:val="24"/>
      <w:szCs w:val="20"/>
    </w:rPr>
  </w:style>
  <w:style w:type="paragraph" w:styleId="24">
    <w:name w:val="List Bullet 3"/>
    <w:basedOn w:val="1"/>
    <w:unhideWhenUsed/>
    <w:qFormat/>
    <w:uiPriority w:val="0"/>
    <w:pPr>
      <w:tabs>
        <w:tab w:val="left" w:pos="1200"/>
      </w:tabs>
    </w:pPr>
    <w:rPr>
      <w:szCs w:val="20"/>
    </w:rPr>
  </w:style>
  <w:style w:type="paragraph" w:styleId="25">
    <w:name w:val="Body Text"/>
    <w:basedOn w:val="1"/>
    <w:link w:val="109"/>
    <w:unhideWhenUsed/>
    <w:qFormat/>
    <w:uiPriority w:val="0"/>
    <w:pPr>
      <w:spacing w:after="120"/>
    </w:pPr>
    <w:rPr>
      <w:rFonts w:ascii="Calibri" w:hAnsi="Calibri"/>
      <w:kern w:val="0"/>
      <w:sz w:val="20"/>
      <w:szCs w:val="20"/>
    </w:rPr>
  </w:style>
  <w:style w:type="paragraph" w:styleId="26">
    <w:name w:val="Body Text Indent"/>
    <w:basedOn w:val="1"/>
    <w:link w:val="191"/>
    <w:qFormat/>
    <w:uiPriority w:val="0"/>
    <w:pPr>
      <w:spacing w:after="120"/>
      <w:ind w:left="420" w:leftChars="200"/>
    </w:pPr>
    <w:rPr>
      <w:kern w:val="0"/>
      <w:sz w:val="20"/>
      <w:szCs w:val="24"/>
    </w:rPr>
  </w:style>
  <w:style w:type="paragraph" w:styleId="27">
    <w:name w:val="List Number 3"/>
    <w:basedOn w:val="1"/>
    <w:qFormat/>
    <w:uiPriority w:val="0"/>
    <w:pPr>
      <w:tabs>
        <w:tab w:val="left" w:pos="0"/>
      </w:tabs>
      <w:ind w:left="567" w:hanging="279"/>
    </w:pPr>
    <w:rPr>
      <w:szCs w:val="20"/>
    </w:rPr>
  </w:style>
  <w:style w:type="paragraph" w:styleId="28">
    <w:name w:val="List 2"/>
    <w:basedOn w:val="1"/>
    <w:unhideWhenUsed/>
    <w:qFormat/>
    <w:uiPriority w:val="0"/>
    <w:pPr>
      <w:ind w:left="100" w:leftChars="200" w:hanging="200" w:hangingChars="200"/>
    </w:pPr>
    <w:rPr>
      <w:rFonts w:eastAsia="楷体_GB2312"/>
      <w:szCs w:val="20"/>
    </w:rPr>
  </w:style>
  <w:style w:type="paragraph" w:styleId="29">
    <w:name w:val="List Bullet 2"/>
    <w:basedOn w:val="19"/>
    <w:unhideWhenUsed/>
    <w:qFormat/>
    <w:uiPriority w:val="0"/>
    <w:pPr>
      <w:widowControl/>
      <w:tabs>
        <w:tab w:val="left" w:pos="1350"/>
      </w:tabs>
      <w:spacing w:after="220" w:line="220" w:lineRule="atLeast"/>
      <w:ind w:left="2160" w:right="720" w:hanging="870"/>
      <w:jc w:val="left"/>
    </w:pPr>
    <w:rPr>
      <w:kern w:val="0"/>
      <w:szCs w:val="20"/>
    </w:rPr>
  </w:style>
  <w:style w:type="paragraph" w:styleId="30">
    <w:name w:val="index 4"/>
    <w:basedOn w:val="1"/>
    <w:next w:val="1"/>
    <w:qFormat/>
    <w:uiPriority w:val="0"/>
    <w:pPr>
      <w:ind w:left="600" w:leftChars="600"/>
    </w:pPr>
    <w:rPr>
      <w:szCs w:val="24"/>
    </w:rPr>
  </w:style>
  <w:style w:type="paragraph" w:styleId="31">
    <w:name w:val="toc 5"/>
    <w:basedOn w:val="1"/>
    <w:next w:val="1"/>
    <w:qFormat/>
    <w:uiPriority w:val="0"/>
    <w:pPr>
      <w:ind w:left="840"/>
      <w:jc w:val="left"/>
    </w:pPr>
    <w:rPr>
      <w:sz w:val="18"/>
      <w:szCs w:val="18"/>
    </w:rPr>
  </w:style>
  <w:style w:type="paragraph" w:styleId="32">
    <w:name w:val="toc 3"/>
    <w:basedOn w:val="1"/>
    <w:next w:val="1"/>
    <w:qFormat/>
    <w:uiPriority w:val="0"/>
    <w:pPr>
      <w:ind w:left="420"/>
      <w:jc w:val="left"/>
    </w:pPr>
    <w:rPr>
      <w:iCs/>
      <w:sz w:val="20"/>
      <w:szCs w:val="20"/>
    </w:rPr>
  </w:style>
  <w:style w:type="paragraph" w:styleId="33">
    <w:name w:val="Plain Text"/>
    <w:basedOn w:val="1"/>
    <w:link w:val="168"/>
    <w:qFormat/>
    <w:uiPriority w:val="0"/>
    <w:rPr>
      <w:rFonts w:ascii="宋体" w:hAnsi="Courier New"/>
      <w:kern w:val="0"/>
      <w:sz w:val="20"/>
      <w:szCs w:val="20"/>
    </w:rPr>
  </w:style>
  <w:style w:type="paragraph" w:styleId="34">
    <w:name w:val="toc 8"/>
    <w:basedOn w:val="1"/>
    <w:next w:val="1"/>
    <w:qFormat/>
    <w:uiPriority w:val="0"/>
    <w:pPr>
      <w:ind w:left="1470"/>
      <w:jc w:val="left"/>
    </w:pPr>
    <w:rPr>
      <w:sz w:val="18"/>
      <w:szCs w:val="18"/>
    </w:rPr>
  </w:style>
  <w:style w:type="paragraph" w:styleId="35">
    <w:name w:val="Date"/>
    <w:basedOn w:val="1"/>
    <w:next w:val="1"/>
    <w:link w:val="218"/>
    <w:qFormat/>
    <w:uiPriority w:val="0"/>
    <w:rPr>
      <w:kern w:val="0"/>
      <w:sz w:val="24"/>
      <w:szCs w:val="20"/>
    </w:rPr>
  </w:style>
  <w:style w:type="paragraph" w:styleId="36">
    <w:name w:val="Body Text Indent 2"/>
    <w:basedOn w:val="1"/>
    <w:link w:val="83"/>
    <w:qFormat/>
    <w:uiPriority w:val="0"/>
    <w:pPr>
      <w:spacing w:after="120" w:line="480" w:lineRule="auto"/>
      <w:ind w:left="420" w:leftChars="200"/>
    </w:pPr>
    <w:rPr>
      <w:kern w:val="0"/>
      <w:sz w:val="20"/>
      <w:szCs w:val="24"/>
    </w:rPr>
  </w:style>
  <w:style w:type="paragraph" w:styleId="37">
    <w:name w:val="endnote text"/>
    <w:basedOn w:val="1"/>
    <w:link w:val="142"/>
    <w:qFormat/>
    <w:uiPriority w:val="0"/>
    <w:pPr>
      <w:snapToGrid w:val="0"/>
      <w:jc w:val="left"/>
    </w:pPr>
    <w:rPr>
      <w:kern w:val="0"/>
      <w:sz w:val="20"/>
      <w:szCs w:val="20"/>
    </w:rPr>
  </w:style>
  <w:style w:type="paragraph" w:styleId="38">
    <w:name w:val="Balloon Text"/>
    <w:basedOn w:val="1"/>
    <w:link w:val="102"/>
    <w:qFormat/>
    <w:uiPriority w:val="0"/>
    <w:rPr>
      <w:kern w:val="0"/>
      <w:sz w:val="18"/>
      <w:szCs w:val="18"/>
    </w:rPr>
  </w:style>
  <w:style w:type="paragraph" w:styleId="39">
    <w:name w:val="footer"/>
    <w:basedOn w:val="1"/>
    <w:link w:val="215"/>
    <w:qFormat/>
    <w:uiPriority w:val="99"/>
    <w:pPr>
      <w:tabs>
        <w:tab w:val="center" w:pos="4153"/>
        <w:tab w:val="right" w:pos="8306"/>
      </w:tabs>
      <w:snapToGrid w:val="0"/>
      <w:jc w:val="left"/>
    </w:pPr>
    <w:rPr>
      <w:kern w:val="0"/>
      <w:sz w:val="18"/>
      <w:szCs w:val="18"/>
    </w:rPr>
  </w:style>
  <w:style w:type="paragraph" w:styleId="40">
    <w:name w:val="header"/>
    <w:basedOn w:val="1"/>
    <w:link w:val="152"/>
    <w:qFormat/>
    <w:uiPriority w:val="0"/>
    <w:pPr>
      <w:pBdr>
        <w:bottom w:val="single" w:color="auto" w:sz="6" w:space="1"/>
      </w:pBdr>
      <w:tabs>
        <w:tab w:val="center" w:pos="4153"/>
        <w:tab w:val="right" w:pos="8306"/>
      </w:tabs>
      <w:snapToGrid w:val="0"/>
      <w:jc w:val="center"/>
    </w:pPr>
    <w:rPr>
      <w:kern w:val="0"/>
      <w:sz w:val="18"/>
      <w:szCs w:val="18"/>
    </w:rPr>
  </w:style>
  <w:style w:type="paragraph" w:styleId="41">
    <w:name w:val="toc 1"/>
    <w:basedOn w:val="1"/>
    <w:next w:val="1"/>
    <w:qFormat/>
    <w:uiPriority w:val="0"/>
    <w:pPr>
      <w:spacing w:before="120" w:after="120"/>
      <w:jc w:val="left"/>
    </w:pPr>
    <w:rPr>
      <w:b/>
      <w:bCs/>
      <w:caps/>
      <w:sz w:val="20"/>
      <w:szCs w:val="20"/>
    </w:rPr>
  </w:style>
  <w:style w:type="paragraph" w:styleId="42">
    <w:name w:val="List Continue 4"/>
    <w:basedOn w:val="1"/>
    <w:qFormat/>
    <w:uiPriority w:val="0"/>
    <w:pPr>
      <w:adjustRightInd w:val="0"/>
      <w:spacing w:after="120" w:line="312" w:lineRule="atLeast"/>
      <w:ind w:left="1680"/>
    </w:pPr>
    <w:rPr>
      <w:rFonts w:ascii="Arial" w:hAnsi="Arial"/>
      <w:kern w:val="0"/>
      <w:sz w:val="24"/>
      <w:szCs w:val="20"/>
    </w:rPr>
  </w:style>
  <w:style w:type="paragraph" w:styleId="43">
    <w:name w:val="toc 4"/>
    <w:basedOn w:val="1"/>
    <w:next w:val="1"/>
    <w:qFormat/>
    <w:uiPriority w:val="0"/>
    <w:pPr>
      <w:ind w:left="630"/>
      <w:jc w:val="left"/>
    </w:pPr>
    <w:rPr>
      <w:sz w:val="18"/>
      <w:szCs w:val="18"/>
    </w:rPr>
  </w:style>
  <w:style w:type="paragraph" w:styleId="44">
    <w:name w:val="index heading"/>
    <w:basedOn w:val="1"/>
    <w:next w:val="45"/>
    <w:qFormat/>
    <w:uiPriority w:val="0"/>
    <w:rPr>
      <w:szCs w:val="24"/>
    </w:rPr>
  </w:style>
  <w:style w:type="paragraph" w:styleId="45">
    <w:name w:val="index 1"/>
    <w:basedOn w:val="1"/>
    <w:next w:val="1"/>
    <w:qFormat/>
    <w:uiPriority w:val="0"/>
    <w:pPr>
      <w:spacing w:line="220" w:lineRule="exact"/>
      <w:jc w:val="center"/>
    </w:pPr>
    <w:rPr>
      <w:rFonts w:ascii="仿宋_GB2312" w:eastAsia="仿宋_GB2312"/>
      <w:szCs w:val="21"/>
    </w:rPr>
  </w:style>
  <w:style w:type="paragraph" w:styleId="46">
    <w:name w:val="Subtitle"/>
    <w:basedOn w:val="1"/>
    <w:next w:val="1"/>
    <w:link w:val="236"/>
    <w:qFormat/>
    <w:uiPriority w:val="0"/>
    <w:pPr>
      <w:spacing w:before="240" w:after="60" w:line="312" w:lineRule="auto"/>
      <w:jc w:val="center"/>
      <w:outlineLvl w:val="1"/>
    </w:pPr>
    <w:rPr>
      <w:rFonts w:ascii="Cambria" w:hAnsi="Cambria"/>
      <w:b/>
      <w:bCs/>
      <w:kern w:val="28"/>
      <w:sz w:val="32"/>
      <w:szCs w:val="32"/>
    </w:rPr>
  </w:style>
  <w:style w:type="paragraph" w:styleId="47">
    <w:name w:val="List"/>
    <w:basedOn w:val="25"/>
    <w:unhideWhenUsed/>
    <w:qFormat/>
    <w:uiPriority w:val="0"/>
    <w:pPr>
      <w:suppressAutoHyphens/>
      <w:spacing w:after="0"/>
    </w:pPr>
    <w:rPr>
      <w:rFonts w:ascii="Times New Roman" w:hAnsi="Times New Roman" w:eastAsia="黑体"/>
      <w:sz w:val="24"/>
      <w:lang w:eastAsia="ar-SA"/>
    </w:rPr>
  </w:style>
  <w:style w:type="paragraph" w:styleId="48">
    <w:name w:val="footnote text"/>
    <w:basedOn w:val="1"/>
    <w:link w:val="237"/>
    <w:qFormat/>
    <w:uiPriority w:val="0"/>
    <w:pPr>
      <w:snapToGrid w:val="0"/>
      <w:jc w:val="left"/>
    </w:pPr>
    <w:rPr>
      <w:sz w:val="18"/>
      <w:szCs w:val="20"/>
    </w:rPr>
  </w:style>
  <w:style w:type="paragraph" w:styleId="49">
    <w:name w:val="toc 6"/>
    <w:basedOn w:val="1"/>
    <w:next w:val="1"/>
    <w:qFormat/>
    <w:uiPriority w:val="0"/>
    <w:pPr>
      <w:ind w:left="1050"/>
      <w:jc w:val="left"/>
    </w:pPr>
    <w:rPr>
      <w:sz w:val="18"/>
      <w:szCs w:val="18"/>
    </w:rPr>
  </w:style>
  <w:style w:type="paragraph" w:styleId="50">
    <w:name w:val="List 5"/>
    <w:basedOn w:val="1"/>
    <w:unhideWhenUsed/>
    <w:qFormat/>
    <w:uiPriority w:val="0"/>
    <w:pPr>
      <w:adjustRightInd w:val="0"/>
      <w:spacing w:line="312" w:lineRule="atLeast"/>
      <w:ind w:left="100" w:leftChars="800" w:hanging="200" w:hangingChars="200"/>
    </w:pPr>
    <w:rPr>
      <w:kern w:val="0"/>
      <w:szCs w:val="20"/>
    </w:rPr>
  </w:style>
  <w:style w:type="paragraph" w:styleId="51">
    <w:name w:val="Body Text Indent 3"/>
    <w:basedOn w:val="1"/>
    <w:link w:val="166"/>
    <w:qFormat/>
    <w:uiPriority w:val="0"/>
    <w:pPr>
      <w:spacing w:after="120"/>
      <w:ind w:left="420" w:leftChars="200"/>
    </w:pPr>
    <w:rPr>
      <w:kern w:val="0"/>
      <w:sz w:val="16"/>
      <w:szCs w:val="16"/>
    </w:rPr>
  </w:style>
  <w:style w:type="paragraph" w:styleId="52">
    <w:name w:val="table of figures"/>
    <w:basedOn w:val="1"/>
    <w:next w:val="1"/>
    <w:link w:val="581"/>
    <w:unhideWhenUsed/>
    <w:qFormat/>
    <w:uiPriority w:val="0"/>
    <w:pPr>
      <w:ind w:left="400" w:leftChars="200" w:hanging="200" w:hangingChars="200"/>
    </w:pPr>
    <w:rPr>
      <w:sz w:val="28"/>
      <w:szCs w:val="24"/>
    </w:rPr>
  </w:style>
  <w:style w:type="paragraph" w:styleId="53">
    <w:name w:val="toc 9"/>
    <w:basedOn w:val="1"/>
    <w:next w:val="1"/>
    <w:qFormat/>
    <w:uiPriority w:val="0"/>
    <w:pPr>
      <w:ind w:left="1680"/>
      <w:jc w:val="left"/>
    </w:pPr>
    <w:rPr>
      <w:sz w:val="18"/>
      <w:szCs w:val="18"/>
    </w:rPr>
  </w:style>
  <w:style w:type="paragraph" w:styleId="54">
    <w:name w:val="Body Text 2"/>
    <w:basedOn w:val="1"/>
    <w:link w:val="90"/>
    <w:qFormat/>
    <w:uiPriority w:val="0"/>
    <w:pPr>
      <w:spacing w:after="120" w:line="480" w:lineRule="auto"/>
    </w:pPr>
    <w:rPr>
      <w:kern w:val="0"/>
      <w:sz w:val="20"/>
      <w:szCs w:val="24"/>
    </w:rPr>
  </w:style>
  <w:style w:type="paragraph" w:styleId="55">
    <w:name w:val="List 4"/>
    <w:basedOn w:val="1"/>
    <w:unhideWhenUsed/>
    <w:qFormat/>
    <w:uiPriority w:val="0"/>
    <w:pPr>
      <w:adjustRightInd w:val="0"/>
      <w:spacing w:line="312" w:lineRule="atLeast"/>
      <w:ind w:left="100" w:leftChars="600" w:hanging="200" w:hangingChars="200"/>
    </w:pPr>
    <w:rPr>
      <w:kern w:val="0"/>
      <w:szCs w:val="20"/>
    </w:rPr>
  </w:style>
  <w:style w:type="paragraph" w:styleId="56">
    <w:name w:val="HTML Preformatted"/>
    <w:basedOn w:val="1"/>
    <w:link w:val="114"/>
    <w:qFormat/>
    <w:uiPriority w:val="0"/>
    <w:rPr>
      <w:rFonts w:ascii="Courier New" w:hAnsi="Courier New"/>
      <w:kern w:val="0"/>
      <w:sz w:val="20"/>
      <w:szCs w:val="20"/>
    </w:rPr>
  </w:style>
  <w:style w:type="paragraph" w:styleId="5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8">
    <w:name w:val="List Continue 3"/>
    <w:basedOn w:val="1"/>
    <w:qFormat/>
    <w:uiPriority w:val="0"/>
    <w:pPr>
      <w:adjustRightInd w:val="0"/>
      <w:spacing w:after="120" w:line="312" w:lineRule="atLeast"/>
      <w:ind w:left="1260"/>
    </w:pPr>
    <w:rPr>
      <w:rFonts w:ascii="Arial" w:hAnsi="Arial"/>
      <w:kern w:val="0"/>
      <w:sz w:val="24"/>
      <w:szCs w:val="20"/>
    </w:rPr>
  </w:style>
  <w:style w:type="paragraph" w:styleId="59">
    <w:name w:val="Title"/>
    <w:basedOn w:val="1"/>
    <w:link w:val="18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60">
    <w:name w:val="annotation subject"/>
    <w:basedOn w:val="22"/>
    <w:next w:val="22"/>
    <w:link w:val="145"/>
    <w:qFormat/>
    <w:uiPriority w:val="0"/>
    <w:pPr>
      <w:jc w:val="both"/>
    </w:pPr>
    <w:rPr>
      <w:rFonts w:ascii="Times New Roman" w:hAnsi="Times New Roman"/>
      <w:b/>
      <w:bCs/>
      <w:szCs w:val="24"/>
    </w:rPr>
  </w:style>
  <w:style w:type="paragraph" w:styleId="61">
    <w:name w:val="Body Text First Indent"/>
    <w:basedOn w:val="1"/>
    <w:link w:val="199"/>
    <w:qFormat/>
    <w:uiPriority w:val="0"/>
    <w:pPr>
      <w:spacing w:line="312" w:lineRule="auto"/>
      <w:ind w:firstLine="420"/>
    </w:pPr>
    <w:rPr>
      <w:kern w:val="0"/>
      <w:sz w:val="20"/>
      <w:szCs w:val="24"/>
    </w:rPr>
  </w:style>
  <w:style w:type="paragraph" w:styleId="62">
    <w:name w:val="Body Text First Indent 2"/>
    <w:basedOn w:val="26"/>
    <w:link w:val="208"/>
    <w:unhideWhenUsed/>
    <w:qFormat/>
    <w:uiPriority w:val="0"/>
    <w:pPr>
      <w:adjustRightInd w:val="0"/>
      <w:spacing w:line="360" w:lineRule="auto"/>
      <w:ind w:left="0" w:leftChars="0" w:firstLine="420"/>
    </w:pPr>
    <w:rPr>
      <w:color w:val="000000"/>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qFormat/>
    <w:uiPriority w:val="0"/>
    <w:rPr>
      <w:color w:val="800080"/>
      <w:u w:val="single"/>
    </w:rPr>
  </w:style>
  <w:style w:type="character" w:styleId="70">
    <w:name w:val="Emphasis"/>
    <w:qFormat/>
    <w:uiPriority w:val="20"/>
    <w:rPr>
      <w:rFonts w:eastAsia="宋体"/>
      <w:color w:val="CC0000"/>
      <w:kern w:val="2"/>
      <w:sz w:val="24"/>
      <w:szCs w:val="24"/>
      <w:lang w:val="en-US" w:eastAsia="zh-CN" w:bidi="ar-SA"/>
    </w:rPr>
  </w:style>
  <w:style w:type="character" w:styleId="71">
    <w:name w:val="Hyperlink"/>
    <w:qFormat/>
    <w:uiPriority w:val="0"/>
    <w:rPr>
      <w:color w:val="0000FF"/>
      <w:u w:val="single"/>
    </w:rPr>
  </w:style>
  <w:style w:type="character" w:styleId="72">
    <w:name w:val="annotation reference"/>
    <w:unhideWhenUsed/>
    <w:qFormat/>
    <w:uiPriority w:val="0"/>
    <w:rPr>
      <w:sz w:val="21"/>
      <w:szCs w:val="21"/>
    </w:rPr>
  </w:style>
  <w:style w:type="character" w:styleId="73">
    <w:name w:val="footnote reference"/>
    <w:qFormat/>
    <w:uiPriority w:val="0"/>
    <w:rPr>
      <w:vertAlign w:val="superscript"/>
    </w:rPr>
  </w:style>
  <w:style w:type="character" w:customStyle="1" w:styleId="74">
    <w:name w:val="批注主题 Char2"/>
    <w:qFormat/>
    <w:uiPriority w:val="0"/>
    <w:rPr>
      <w:rFonts w:ascii="Calibri" w:hAnsi="Calibri" w:eastAsia="宋体" w:cs="Times New Roman"/>
      <w:b/>
      <w:bCs/>
    </w:rPr>
  </w:style>
  <w:style w:type="character" w:customStyle="1" w:styleId="75">
    <w:name w:val="specifications1"/>
    <w:qFormat/>
    <w:uiPriority w:val="0"/>
    <w:rPr>
      <w:color w:val="FF3300"/>
      <w:u w:val="none"/>
    </w:rPr>
  </w:style>
  <w:style w:type="character" w:customStyle="1" w:styleId="76">
    <w:name w:val="书籍标题1"/>
    <w:qFormat/>
    <w:uiPriority w:val="0"/>
    <w:rPr>
      <w:b/>
      <w:bCs/>
      <w:smallCaps/>
      <w:spacing w:val="5"/>
    </w:rPr>
  </w:style>
  <w:style w:type="character" w:customStyle="1" w:styleId="77">
    <w:name w:val="标题 4 Char"/>
    <w:link w:val="6"/>
    <w:qFormat/>
    <w:uiPriority w:val="0"/>
    <w:rPr>
      <w:rFonts w:ascii="Arial" w:hAnsi="Arial" w:eastAsia="黑体" w:cs="Times New Roman"/>
      <w:b/>
      <w:bCs/>
      <w:sz w:val="28"/>
      <w:szCs w:val="28"/>
    </w:rPr>
  </w:style>
  <w:style w:type="character" w:customStyle="1" w:styleId="78">
    <w:name w:val="标题2 Char"/>
    <w:link w:val="79"/>
    <w:qFormat/>
    <w:locked/>
    <w:uiPriority w:val="0"/>
    <w:rPr>
      <w:rFonts w:ascii="黑体" w:hAnsi="黑体" w:eastAsia="黑体"/>
      <w:b/>
      <w:bCs/>
      <w:sz w:val="28"/>
      <w:szCs w:val="32"/>
    </w:rPr>
  </w:style>
  <w:style w:type="paragraph" w:customStyle="1" w:styleId="79">
    <w:name w:val="标题2"/>
    <w:basedOn w:val="4"/>
    <w:link w:val="78"/>
    <w:qFormat/>
    <w:uiPriority w:val="0"/>
    <w:pPr>
      <w:tabs>
        <w:tab w:val="left" w:pos="840"/>
      </w:tabs>
      <w:adjustRightInd w:val="0"/>
      <w:snapToGrid w:val="0"/>
      <w:spacing w:before="0" w:after="0" w:line="360" w:lineRule="auto"/>
      <w:ind w:left="840" w:hanging="420"/>
    </w:pPr>
    <w:rPr>
      <w:rFonts w:ascii="黑体" w:hAnsi="黑体"/>
      <w:sz w:val="28"/>
    </w:rPr>
  </w:style>
  <w:style w:type="character" w:customStyle="1" w:styleId="80">
    <w:name w:val="textcontents"/>
    <w:qFormat/>
    <w:uiPriority w:val="0"/>
    <w:rPr>
      <w:rFonts w:cs="Times New Roman"/>
    </w:rPr>
  </w:style>
  <w:style w:type="character" w:customStyle="1" w:styleId="81">
    <w:name w:val="111 Char Char"/>
    <w:link w:val="82"/>
    <w:qFormat/>
    <w:uiPriority w:val="0"/>
    <w:rPr>
      <w:rFonts w:eastAsia="黑体"/>
      <w:b/>
      <w:color w:val="000000"/>
      <w:sz w:val="24"/>
      <w:szCs w:val="24"/>
    </w:rPr>
  </w:style>
  <w:style w:type="paragraph" w:customStyle="1" w:styleId="82">
    <w:name w:val="111"/>
    <w:basedOn w:val="5"/>
    <w:link w:val="81"/>
    <w:qFormat/>
    <w:uiPriority w:val="0"/>
    <w:pPr>
      <w:spacing w:before="0" w:after="0" w:line="400" w:lineRule="exact"/>
      <w:ind w:firstLine="0" w:firstLineChars="0"/>
    </w:pPr>
    <w:rPr>
      <w:rFonts w:ascii="Times New Roman" w:hAnsi="Times New Roman"/>
      <w:b/>
      <w:bCs w:val="0"/>
      <w:color w:val="000000"/>
      <w:sz w:val="24"/>
      <w:szCs w:val="24"/>
    </w:rPr>
  </w:style>
  <w:style w:type="character" w:customStyle="1" w:styleId="83">
    <w:name w:val="正文文本缩进 2 Char"/>
    <w:link w:val="36"/>
    <w:qFormat/>
    <w:uiPriority w:val="0"/>
    <w:rPr>
      <w:szCs w:val="24"/>
    </w:rPr>
  </w:style>
  <w:style w:type="character" w:customStyle="1" w:styleId="84">
    <w:name w:val="正文文本 3 Char"/>
    <w:link w:val="23"/>
    <w:qFormat/>
    <w:uiPriority w:val="0"/>
    <w:rPr>
      <w:rFonts w:ascii="宋体"/>
      <w:sz w:val="24"/>
    </w:rPr>
  </w:style>
  <w:style w:type="character" w:customStyle="1" w:styleId="85">
    <w:name w:val="正文首行缩进 Char2"/>
    <w:semiHidden/>
    <w:qFormat/>
    <w:uiPriority w:val="99"/>
    <w:rPr>
      <w:rFonts w:ascii="Calibri" w:hAnsi="Calibri" w:eastAsia="宋体" w:cs="Times New Roman"/>
    </w:rPr>
  </w:style>
  <w:style w:type="character" w:customStyle="1" w:styleId="86">
    <w:name w:val="Char Char101"/>
    <w:qFormat/>
    <w:uiPriority w:val="0"/>
    <w:rPr>
      <w:rFonts w:ascii="Arial" w:hAnsi="Arial" w:eastAsia="黑体"/>
      <w:b/>
      <w:bCs/>
      <w:kern w:val="2"/>
      <w:sz w:val="32"/>
      <w:szCs w:val="32"/>
      <w:lang w:val="en-US" w:eastAsia="zh-CN" w:bidi="ar-SA"/>
    </w:rPr>
  </w:style>
  <w:style w:type="character" w:customStyle="1" w:styleId="87">
    <w:name w:val="标题 2 Char"/>
    <w:link w:val="4"/>
    <w:qFormat/>
    <w:uiPriority w:val="0"/>
    <w:rPr>
      <w:rFonts w:ascii="Arial" w:hAnsi="Arial" w:eastAsia="黑体" w:cs="Times New Roman"/>
      <w:b/>
      <w:bCs/>
      <w:sz w:val="32"/>
      <w:szCs w:val="32"/>
    </w:rPr>
  </w:style>
  <w:style w:type="character" w:customStyle="1" w:styleId="88">
    <w:name w:val="标题 9 Char"/>
    <w:link w:val="12"/>
    <w:qFormat/>
    <w:uiPriority w:val="0"/>
    <w:rPr>
      <w:rFonts w:ascii="Arial" w:hAnsi="Arial" w:eastAsia="黑体" w:cs="Times New Roman"/>
      <w:kern w:val="0"/>
      <w:szCs w:val="21"/>
    </w:rPr>
  </w:style>
  <w:style w:type="character" w:customStyle="1" w:styleId="89">
    <w:name w:val="批注文字 Char Char"/>
    <w:qFormat/>
    <w:uiPriority w:val="0"/>
    <w:rPr>
      <w:rFonts w:ascii="宋体" w:hAnsi="Times New Roman" w:eastAsia="宋体" w:cs="Times New Roman"/>
      <w:sz w:val="28"/>
      <w:szCs w:val="20"/>
    </w:rPr>
  </w:style>
  <w:style w:type="character" w:customStyle="1" w:styleId="90">
    <w:name w:val="正文文本 2 Char"/>
    <w:link w:val="54"/>
    <w:qFormat/>
    <w:uiPriority w:val="0"/>
    <w:rPr>
      <w:szCs w:val="24"/>
    </w:rPr>
  </w:style>
  <w:style w:type="character" w:customStyle="1" w:styleId="91">
    <w:name w:val="文档结构图 Char1"/>
    <w:qFormat/>
    <w:uiPriority w:val="0"/>
    <w:rPr>
      <w:rFonts w:hint="eastAsia" w:ascii="宋体" w:hAnsi="宋体" w:eastAsia="宋体"/>
      <w:kern w:val="2"/>
      <w:sz w:val="18"/>
      <w:szCs w:val="18"/>
    </w:rPr>
  </w:style>
  <w:style w:type="character" w:customStyle="1" w:styleId="92">
    <w:name w:val="标题 3 Char"/>
    <w:link w:val="5"/>
    <w:qFormat/>
    <w:uiPriority w:val="0"/>
    <w:rPr>
      <w:rFonts w:ascii="黑体" w:hAnsi="宋体" w:eastAsia="黑体" w:cs="Times New Roman"/>
      <w:bCs/>
      <w:sz w:val="28"/>
      <w:szCs w:val="28"/>
    </w:rPr>
  </w:style>
  <w:style w:type="character" w:customStyle="1" w:styleId="93">
    <w:name w:val="正文首行缩进 2 Char1"/>
    <w:semiHidden/>
    <w:qFormat/>
    <w:uiPriority w:val="99"/>
  </w:style>
  <w:style w:type="character" w:customStyle="1" w:styleId="94">
    <w:name w:val="big1"/>
    <w:qFormat/>
    <w:uiPriority w:val="0"/>
    <w:rPr>
      <w:sz w:val="30"/>
      <w:szCs w:val="30"/>
    </w:rPr>
  </w:style>
  <w:style w:type="character" w:customStyle="1" w:styleId="95">
    <w:name w:val="标题 8 Char"/>
    <w:link w:val="11"/>
    <w:qFormat/>
    <w:uiPriority w:val="0"/>
    <w:rPr>
      <w:rFonts w:ascii="Arial" w:hAnsi="Arial" w:eastAsia="黑体" w:cs="Times New Roman"/>
      <w:kern w:val="0"/>
      <w:sz w:val="24"/>
      <w:szCs w:val="24"/>
    </w:rPr>
  </w:style>
  <w:style w:type="character" w:customStyle="1" w:styleId="96">
    <w:name w:val="页脚 Char2"/>
    <w:semiHidden/>
    <w:qFormat/>
    <w:uiPriority w:val="99"/>
    <w:rPr>
      <w:rFonts w:ascii="Calibri" w:hAnsi="Calibri" w:eastAsia="宋体" w:cs="Times New Roman"/>
      <w:sz w:val="18"/>
      <w:szCs w:val="18"/>
    </w:rPr>
  </w:style>
  <w:style w:type="character" w:customStyle="1" w:styleId="97">
    <w:name w:val="HTML Markup"/>
    <w:qFormat/>
    <w:uiPriority w:val="0"/>
    <w:rPr>
      <w:vanish/>
      <w:color w:val="FF0000"/>
    </w:rPr>
  </w:style>
  <w:style w:type="character" w:customStyle="1" w:styleId="98">
    <w:name w:val="正文文本 Char1"/>
    <w:qFormat/>
    <w:uiPriority w:val="0"/>
    <w:rPr>
      <w:kern w:val="2"/>
      <w:sz w:val="21"/>
      <w:szCs w:val="24"/>
    </w:rPr>
  </w:style>
  <w:style w:type="character" w:customStyle="1" w:styleId="99">
    <w:name w:val="不明显参考1"/>
    <w:qFormat/>
    <w:uiPriority w:val="0"/>
    <w:rPr>
      <w:smallCaps/>
      <w:color w:val="C0504D"/>
      <w:u w:val="single"/>
    </w:rPr>
  </w:style>
  <w:style w:type="character" w:customStyle="1" w:styleId="100">
    <w:name w:val="附件 Char Char"/>
    <w:link w:val="101"/>
    <w:qFormat/>
    <w:uiPriority w:val="0"/>
    <w:rPr>
      <w:rFonts w:ascii="黑体" w:hAnsi="黑体" w:eastAsia="黑体"/>
      <w:b/>
      <w:color w:val="000000"/>
      <w:sz w:val="24"/>
      <w:szCs w:val="32"/>
    </w:rPr>
  </w:style>
  <w:style w:type="paragraph" w:customStyle="1" w:styleId="101">
    <w:name w:val="附件"/>
    <w:basedOn w:val="4"/>
    <w:link w:val="100"/>
    <w:qFormat/>
    <w:uiPriority w:val="0"/>
    <w:pPr>
      <w:spacing w:line="416" w:lineRule="auto"/>
    </w:pPr>
    <w:rPr>
      <w:rFonts w:ascii="黑体" w:hAnsi="黑体"/>
      <w:bCs w:val="0"/>
      <w:color w:val="000000"/>
      <w:sz w:val="24"/>
    </w:rPr>
  </w:style>
  <w:style w:type="character" w:customStyle="1" w:styleId="102">
    <w:name w:val="批注框文本 Char"/>
    <w:link w:val="38"/>
    <w:qFormat/>
    <w:uiPriority w:val="0"/>
    <w:rPr>
      <w:sz w:val="18"/>
      <w:szCs w:val="18"/>
    </w:rPr>
  </w:style>
  <w:style w:type="character" w:customStyle="1" w:styleId="103">
    <w:name w:val="Char Char11"/>
    <w:qFormat/>
    <w:uiPriority w:val="0"/>
    <w:rPr>
      <w:rFonts w:hint="eastAsia" w:ascii="宋体" w:hAnsi="宋体" w:eastAsia="宋体"/>
      <w:b/>
      <w:bCs/>
      <w:kern w:val="44"/>
      <w:sz w:val="44"/>
      <w:szCs w:val="44"/>
      <w:lang w:val="en-US" w:eastAsia="zh-CN" w:bidi="ar-SA"/>
    </w:rPr>
  </w:style>
  <w:style w:type="character" w:customStyle="1" w:styleId="104">
    <w:name w:val="标题 7 Char"/>
    <w:link w:val="10"/>
    <w:qFormat/>
    <w:uiPriority w:val="0"/>
    <w:rPr>
      <w:rFonts w:ascii="Times New Roman" w:hAnsi="Times New Roman" w:eastAsia="宋体" w:cs="Times New Roman"/>
      <w:b/>
      <w:bCs/>
      <w:kern w:val="0"/>
      <w:sz w:val="24"/>
      <w:szCs w:val="24"/>
    </w:rPr>
  </w:style>
  <w:style w:type="character" w:customStyle="1" w:styleId="105">
    <w:name w:val="标题3 Char"/>
    <w:link w:val="106"/>
    <w:qFormat/>
    <w:locked/>
    <w:uiPriority w:val="0"/>
    <w:rPr>
      <w:rFonts w:ascii="黑体" w:hAnsi="黑体" w:eastAsia="黑体"/>
      <w:b/>
      <w:bCs/>
      <w:sz w:val="26"/>
      <w:szCs w:val="32"/>
    </w:rPr>
  </w:style>
  <w:style w:type="paragraph" w:customStyle="1" w:styleId="106">
    <w:name w:val="标题3"/>
    <w:basedOn w:val="5"/>
    <w:link w:val="105"/>
    <w:qFormat/>
    <w:uiPriority w:val="0"/>
    <w:pPr>
      <w:tabs>
        <w:tab w:val="left" w:pos="1875"/>
      </w:tabs>
      <w:adjustRightInd w:val="0"/>
      <w:snapToGrid w:val="0"/>
      <w:spacing w:before="0" w:after="0" w:line="360" w:lineRule="auto"/>
      <w:ind w:left="1875" w:hanging="1035" w:firstLineChars="0"/>
    </w:pPr>
    <w:rPr>
      <w:rFonts w:hAnsi="黑体"/>
      <w:b/>
      <w:sz w:val="26"/>
      <w:szCs w:val="32"/>
    </w:rPr>
  </w:style>
  <w:style w:type="character" w:customStyle="1" w:styleId="107">
    <w:name w:val="标题4 Char Char"/>
    <w:link w:val="108"/>
    <w:qFormat/>
    <w:uiPriority w:val="0"/>
    <w:rPr>
      <w:rFonts w:ascii="Arial" w:hAnsi="Arial"/>
      <w:b/>
      <w:bCs/>
      <w:sz w:val="24"/>
      <w:szCs w:val="32"/>
    </w:rPr>
  </w:style>
  <w:style w:type="paragraph" w:customStyle="1" w:styleId="108">
    <w:name w:val="标题4"/>
    <w:basedOn w:val="4"/>
    <w:next w:val="30"/>
    <w:link w:val="107"/>
    <w:qFormat/>
    <w:uiPriority w:val="0"/>
    <w:pPr>
      <w:spacing w:line="413" w:lineRule="auto"/>
    </w:pPr>
    <w:rPr>
      <w:rFonts w:eastAsia="宋体"/>
      <w:sz w:val="24"/>
    </w:rPr>
  </w:style>
  <w:style w:type="character" w:customStyle="1" w:styleId="109">
    <w:name w:val="正文文本 Char2"/>
    <w:link w:val="25"/>
    <w:qFormat/>
    <w:uiPriority w:val="0"/>
    <w:rPr>
      <w:rFonts w:ascii="Calibri" w:hAnsi="Calibri" w:eastAsia="宋体" w:cs="Times New Roman"/>
    </w:rPr>
  </w:style>
  <w:style w:type="character" w:customStyle="1" w:styleId="110">
    <w:name w:val="正文文本缩进 Char3"/>
    <w:semiHidden/>
    <w:qFormat/>
    <w:uiPriority w:val="99"/>
    <w:rPr>
      <w:rFonts w:ascii="Calibri" w:hAnsi="Calibri" w:eastAsia="宋体" w:cs="Times New Roman"/>
    </w:rPr>
  </w:style>
  <w:style w:type="character" w:customStyle="1" w:styleId="111">
    <w:name w:val="副标题 Char1"/>
    <w:qFormat/>
    <w:uiPriority w:val="0"/>
    <w:rPr>
      <w:rFonts w:ascii="Cambria" w:hAnsi="Cambria" w:eastAsia="宋体" w:cs="Times New Roman"/>
      <w:b/>
      <w:bCs/>
      <w:kern w:val="28"/>
      <w:sz w:val="32"/>
      <w:szCs w:val="32"/>
    </w:rPr>
  </w:style>
  <w:style w:type="character" w:customStyle="1" w:styleId="112">
    <w:name w:val="引用 Char"/>
    <w:link w:val="113"/>
    <w:qFormat/>
    <w:uiPriority w:val="0"/>
    <w:rPr>
      <w:i/>
      <w:iCs/>
      <w:color w:val="000000"/>
      <w:kern w:val="2"/>
      <w:sz w:val="21"/>
      <w:szCs w:val="22"/>
    </w:rPr>
  </w:style>
  <w:style w:type="paragraph" w:customStyle="1" w:styleId="113">
    <w:name w:val="引用1"/>
    <w:basedOn w:val="1"/>
    <w:next w:val="1"/>
    <w:link w:val="112"/>
    <w:qFormat/>
    <w:uiPriority w:val="0"/>
    <w:rPr>
      <w:i/>
      <w:iCs/>
      <w:color w:val="000000"/>
    </w:rPr>
  </w:style>
  <w:style w:type="character" w:customStyle="1" w:styleId="114">
    <w:name w:val="HTML 预设格式 Char"/>
    <w:link w:val="56"/>
    <w:qFormat/>
    <w:uiPriority w:val="0"/>
    <w:rPr>
      <w:rFonts w:ascii="Courier New" w:hAnsi="Courier New" w:cs="Courier New"/>
    </w:rPr>
  </w:style>
  <w:style w:type="character" w:customStyle="1" w:styleId="115">
    <w:name w:val="Char Char10"/>
    <w:qFormat/>
    <w:uiPriority w:val="0"/>
    <w:rPr>
      <w:rFonts w:hint="default" w:ascii="Arial" w:hAnsi="Arial" w:eastAsia="黑体" w:cs="Arial"/>
      <w:b/>
      <w:bCs/>
      <w:kern w:val="2"/>
      <w:sz w:val="32"/>
      <w:szCs w:val="32"/>
      <w:lang w:val="en-US" w:eastAsia="zh-CN" w:bidi="ar-SA"/>
    </w:rPr>
  </w:style>
  <w:style w:type="character" w:customStyle="1" w:styleId="116">
    <w:name w:val="正 文 1 Char Char"/>
    <w:qFormat/>
    <w:uiPriority w:val="0"/>
    <w:rPr>
      <w:rFonts w:ascii="宋体" w:hAnsi="Courier New" w:eastAsia="宋体"/>
      <w:kern w:val="2"/>
      <w:sz w:val="21"/>
      <w:szCs w:val="24"/>
      <w:lang w:val="en-US" w:eastAsia="zh-CN" w:bidi="ar-SA"/>
    </w:rPr>
  </w:style>
  <w:style w:type="character" w:customStyle="1" w:styleId="117">
    <w:name w:val="尾注文本 Char2"/>
    <w:semiHidden/>
    <w:qFormat/>
    <w:uiPriority w:val="99"/>
    <w:rPr>
      <w:rFonts w:ascii="Calibri" w:hAnsi="Calibri" w:eastAsia="宋体" w:cs="Times New Roman"/>
    </w:rPr>
  </w:style>
  <w:style w:type="character" w:customStyle="1" w:styleId="118">
    <w:name w:val="Char Char9"/>
    <w:qFormat/>
    <w:uiPriority w:val="0"/>
    <w:rPr>
      <w:rFonts w:ascii="黑体" w:hAnsi="宋体" w:eastAsia="黑体"/>
      <w:bCs/>
      <w:kern w:val="2"/>
      <w:sz w:val="28"/>
      <w:szCs w:val="28"/>
      <w:lang w:val="en-US" w:eastAsia="zh-CN" w:bidi="ar-SA"/>
    </w:rPr>
  </w:style>
  <w:style w:type="character" w:customStyle="1" w:styleId="119">
    <w:name w:val="标题 2 Char Char"/>
    <w:qFormat/>
    <w:uiPriority w:val="0"/>
    <w:rPr>
      <w:rFonts w:ascii="Arial" w:hAnsi="Arial" w:eastAsia="黑体"/>
      <w:b/>
      <w:bCs/>
      <w:kern w:val="2"/>
      <w:sz w:val="32"/>
      <w:szCs w:val="32"/>
      <w:lang w:val="en-US" w:eastAsia="zh-CN" w:bidi="ar-SA"/>
    </w:rPr>
  </w:style>
  <w:style w:type="character" w:customStyle="1" w:styleId="120">
    <w:name w:val="Char Char151"/>
    <w:qFormat/>
    <w:uiPriority w:val="0"/>
    <w:rPr>
      <w:sz w:val="18"/>
      <w:szCs w:val="18"/>
    </w:rPr>
  </w:style>
  <w:style w:type="character" w:customStyle="1" w:styleId="121">
    <w:name w:val="txt1"/>
    <w:qFormat/>
    <w:uiPriority w:val="0"/>
    <w:rPr>
      <w:color w:val="000099"/>
      <w:sz w:val="20"/>
      <w:szCs w:val="20"/>
      <w:u w:val="none"/>
    </w:rPr>
  </w:style>
  <w:style w:type="character" w:customStyle="1" w:styleId="122">
    <w:name w:val="普通文字 Char1"/>
    <w:qFormat/>
    <w:locked/>
    <w:uiPriority w:val="0"/>
    <w:rPr>
      <w:rFonts w:ascii="宋体" w:hAnsi="Courier New" w:eastAsia="宋体"/>
      <w:kern w:val="2"/>
      <w:sz w:val="21"/>
      <w:lang w:val="en-US" w:eastAsia="zh-CN" w:bidi="ar-SA"/>
    </w:rPr>
  </w:style>
  <w:style w:type="character" w:customStyle="1" w:styleId="123">
    <w:name w:val="正文缩进 Char"/>
    <w:link w:val="8"/>
    <w:qFormat/>
    <w:locked/>
    <w:uiPriority w:val="0"/>
    <w:rPr>
      <w:szCs w:val="24"/>
    </w:rPr>
  </w:style>
  <w:style w:type="character" w:customStyle="1" w:styleId="124">
    <w:name w:val="引用 Char1"/>
    <w:qFormat/>
    <w:uiPriority w:val="29"/>
    <w:rPr>
      <w:rFonts w:ascii="Calibri" w:hAnsi="Calibri" w:eastAsia="宋体" w:cs="Times New Roman"/>
      <w:i/>
      <w:iCs/>
      <w:color w:val="000000"/>
    </w:rPr>
  </w:style>
  <w:style w:type="character" w:customStyle="1" w:styleId="125">
    <w:name w:val="font161"/>
    <w:qFormat/>
    <w:uiPriority w:val="0"/>
    <w:rPr>
      <w:b/>
      <w:bCs/>
      <w:sz w:val="32"/>
      <w:szCs w:val="32"/>
    </w:rPr>
  </w:style>
  <w:style w:type="character" w:customStyle="1" w:styleId="126">
    <w:name w:val="正文文本 3 Char2"/>
    <w:qFormat/>
    <w:uiPriority w:val="0"/>
    <w:rPr>
      <w:rFonts w:ascii="Calibri" w:hAnsi="Calibri" w:eastAsia="宋体" w:cs="Times New Roman"/>
      <w:sz w:val="16"/>
      <w:szCs w:val="16"/>
    </w:rPr>
  </w:style>
  <w:style w:type="character" w:customStyle="1" w:styleId="127">
    <w:name w:val="标题 5 Char"/>
    <w:link w:val="7"/>
    <w:qFormat/>
    <w:uiPriority w:val="0"/>
    <w:rPr>
      <w:rFonts w:ascii="Arial" w:hAnsi="Arial" w:eastAsia="宋体" w:cs="Times New Roman"/>
      <w:color w:val="000000"/>
      <w:sz w:val="24"/>
      <w:szCs w:val="24"/>
    </w:rPr>
  </w:style>
  <w:style w:type="character" w:customStyle="1" w:styleId="128">
    <w:name w:val="标题 1 Char"/>
    <w:link w:val="3"/>
    <w:qFormat/>
    <w:uiPriority w:val="0"/>
    <w:rPr>
      <w:rFonts w:ascii="Times New Roman" w:hAnsi="Times New Roman" w:eastAsia="宋体" w:cs="Times New Roman"/>
      <w:b/>
      <w:bCs/>
      <w:kern w:val="44"/>
      <w:sz w:val="44"/>
      <w:szCs w:val="44"/>
    </w:rPr>
  </w:style>
  <w:style w:type="character" w:customStyle="1" w:styleId="129">
    <w:name w:val="列表2 Char Char"/>
    <w:link w:val="130"/>
    <w:qFormat/>
    <w:locked/>
    <w:uiPriority w:val="0"/>
    <w:rPr>
      <w:rFonts w:ascii="宋体" w:hAnsi="宋体"/>
      <w:sz w:val="26"/>
    </w:rPr>
  </w:style>
  <w:style w:type="paragraph" w:customStyle="1" w:styleId="130">
    <w:name w:val="列表2"/>
    <w:basedOn w:val="1"/>
    <w:link w:val="129"/>
    <w:qFormat/>
    <w:uiPriority w:val="0"/>
    <w:pPr>
      <w:tabs>
        <w:tab w:val="left" w:pos="420"/>
      </w:tabs>
      <w:adjustRightInd w:val="0"/>
      <w:snapToGrid w:val="0"/>
      <w:spacing w:line="360" w:lineRule="auto"/>
      <w:ind w:firstLine="420"/>
    </w:pPr>
    <w:rPr>
      <w:rFonts w:ascii="宋体" w:hAnsi="宋体"/>
      <w:kern w:val="0"/>
      <w:sz w:val="26"/>
      <w:szCs w:val="20"/>
    </w:rPr>
  </w:style>
  <w:style w:type="character" w:customStyle="1" w:styleId="131">
    <w:name w:val="标题 Char1"/>
    <w:qFormat/>
    <w:uiPriority w:val="0"/>
    <w:rPr>
      <w:rFonts w:hint="default" w:ascii="Arial" w:hAnsi="Arial" w:cs="Arial"/>
      <w:b/>
      <w:sz w:val="32"/>
    </w:rPr>
  </w:style>
  <w:style w:type="character" w:customStyle="1" w:styleId="132">
    <w:name w:val="unnamed21"/>
    <w:qFormat/>
    <w:uiPriority w:val="0"/>
    <w:rPr>
      <w:rFonts w:hint="eastAsia" w:ascii="宋体" w:hAnsi="宋体" w:eastAsia="宋体"/>
      <w:sz w:val="24"/>
      <w:szCs w:val="24"/>
    </w:rPr>
  </w:style>
  <w:style w:type="character" w:customStyle="1" w:styleId="133">
    <w:name w:val="Char Char Char"/>
    <w:qFormat/>
    <w:uiPriority w:val="0"/>
    <w:rPr>
      <w:rFonts w:hint="eastAsia" w:ascii="楷体_GB2312" w:eastAsia="楷体_GB2312"/>
      <w:b/>
      <w:kern w:val="2"/>
      <w:sz w:val="21"/>
    </w:rPr>
  </w:style>
  <w:style w:type="character" w:customStyle="1" w:styleId="134">
    <w:name w:val="文一 Char Char"/>
    <w:qFormat/>
    <w:uiPriority w:val="0"/>
    <w:rPr>
      <w:snapToGrid w:val="0"/>
      <w:spacing w:val="4"/>
      <w:sz w:val="24"/>
      <w:szCs w:val="24"/>
    </w:rPr>
  </w:style>
  <w:style w:type="character" w:customStyle="1" w:styleId="135">
    <w:name w:val="纯文本 Char1"/>
    <w:qFormat/>
    <w:locked/>
    <w:uiPriority w:val="0"/>
    <w:rPr>
      <w:rFonts w:ascii="宋体" w:hAnsi="Courier New" w:eastAsia="宋体"/>
      <w:kern w:val="2"/>
      <w:sz w:val="21"/>
      <w:lang w:val="en-US" w:eastAsia="zh-CN" w:bidi="ar-SA"/>
    </w:rPr>
  </w:style>
  <w:style w:type="character" w:customStyle="1" w:styleId="136">
    <w:name w:val="批注主题 Char1"/>
    <w:qFormat/>
    <w:uiPriority w:val="0"/>
    <w:rPr>
      <w:b/>
      <w:bCs/>
      <w:kern w:val="2"/>
      <w:sz w:val="21"/>
      <w:szCs w:val="24"/>
    </w:rPr>
  </w:style>
  <w:style w:type="character" w:customStyle="1" w:styleId="137">
    <w:name w:val="纯文本 Char2"/>
    <w:qFormat/>
    <w:uiPriority w:val="0"/>
    <w:rPr>
      <w:rFonts w:ascii="宋体" w:hAnsi="Courier New" w:eastAsia="宋体" w:cs="Courier New"/>
      <w:szCs w:val="21"/>
    </w:rPr>
  </w:style>
  <w:style w:type="character" w:customStyle="1" w:styleId="138">
    <w:name w:val="apple-style-span"/>
    <w:qFormat/>
    <w:uiPriority w:val="0"/>
    <w:rPr>
      <w:rFonts w:eastAsia="宋体"/>
      <w:kern w:val="2"/>
      <w:sz w:val="24"/>
      <w:szCs w:val="24"/>
      <w:lang w:val="en-US" w:eastAsia="zh-CN" w:bidi="ar-SA"/>
    </w:rPr>
  </w:style>
  <w:style w:type="character" w:customStyle="1" w:styleId="139">
    <w:name w:val="Char Char91"/>
    <w:qFormat/>
    <w:uiPriority w:val="0"/>
    <w:rPr>
      <w:rFonts w:hint="eastAsia" w:ascii="黑体" w:hAnsi="宋体" w:eastAsia="黑体"/>
      <w:bCs/>
      <w:kern w:val="2"/>
      <w:sz w:val="28"/>
      <w:szCs w:val="28"/>
      <w:lang w:val="en-US" w:eastAsia="zh-CN" w:bidi="ar-SA"/>
    </w:rPr>
  </w:style>
  <w:style w:type="character" w:customStyle="1" w:styleId="140">
    <w:name w:val="正文文本缩进 Char2"/>
    <w:semiHidden/>
    <w:qFormat/>
    <w:uiPriority w:val="99"/>
    <w:rPr>
      <w:kern w:val="2"/>
      <w:sz w:val="21"/>
      <w:szCs w:val="24"/>
    </w:rPr>
  </w:style>
  <w:style w:type="character" w:customStyle="1" w:styleId="141">
    <w:name w:val="WW8Num1z0"/>
    <w:qFormat/>
    <w:uiPriority w:val="0"/>
    <w:rPr>
      <w:sz w:val="24"/>
    </w:rPr>
  </w:style>
  <w:style w:type="character" w:customStyle="1" w:styleId="142">
    <w:name w:val="尾注文本 Char"/>
    <w:link w:val="37"/>
    <w:qFormat/>
    <w:uiPriority w:val="0"/>
  </w:style>
  <w:style w:type="character" w:customStyle="1" w:styleId="143">
    <w:name w:val="批注文字 Char1"/>
    <w:qFormat/>
    <w:locked/>
    <w:uiPriority w:val="0"/>
    <w:rPr>
      <w:kern w:val="2"/>
      <w:sz w:val="21"/>
      <w:szCs w:val="24"/>
    </w:rPr>
  </w:style>
  <w:style w:type="character" w:customStyle="1" w:styleId="144">
    <w:name w:val="正文首行缩进 Char1"/>
    <w:qFormat/>
    <w:uiPriority w:val="0"/>
  </w:style>
  <w:style w:type="character" w:customStyle="1" w:styleId="145">
    <w:name w:val="批注主题 Char"/>
    <w:link w:val="60"/>
    <w:qFormat/>
    <w:uiPriority w:val="0"/>
    <w:rPr>
      <w:b/>
      <w:bCs/>
      <w:szCs w:val="24"/>
    </w:rPr>
  </w:style>
  <w:style w:type="character" w:customStyle="1" w:styleId="146">
    <w:name w:val="WW8Num9z0"/>
    <w:qFormat/>
    <w:uiPriority w:val="0"/>
    <w:rPr>
      <w:rFonts w:hint="default" w:ascii="Wingdings" w:hAnsi="Wingdings"/>
    </w:rPr>
  </w:style>
  <w:style w:type="character" w:customStyle="1" w:styleId="147">
    <w:name w:val="文一 Char"/>
    <w:link w:val="148"/>
    <w:qFormat/>
    <w:uiPriority w:val="0"/>
    <w:rPr>
      <w:snapToGrid w:val="0"/>
      <w:spacing w:val="4"/>
      <w:sz w:val="24"/>
      <w:szCs w:val="24"/>
    </w:rPr>
  </w:style>
  <w:style w:type="paragraph" w:customStyle="1" w:styleId="148">
    <w:name w:val="文一"/>
    <w:basedOn w:val="1"/>
    <w:link w:val="147"/>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149">
    <w:name w:val="默认段落字体1"/>
    <w:qFormat/>
    <w:uiPriority w:val="0"/>
  </w:style>
  <w:style w:type="character" w:customStyle="1" w:styleId="150">
    <w:name w:val="正文文本缩进 3 Char2"/>
    <w:semiHidden/>
    <w:qFormat/>
    <w:uiPriority w:val="99"/>
    <w:rPr>
      <w:rFonts w:ascii="Calibri" w:hAnsi="Calibri" w:eastAsia="宋体" w:cs="Times New Roman"/>
      <w:sz w:val="16"/>
      <w:szCs w:val="16"/>
    </w:rPr>
  </w:style>
  <w:style w:type="character" w:customStyle="1" w:styleId="151">
    <w:name w:val="textcontents1"/>
    <w:qFormat/>
    <w:uiPriority w:val="0"/>
    <w:rPr>
      <w:rFonts w:hint="eastAsia" w:ascii="宋体" w:hAnsi="宋体" w:eastAsia="宋体"/>
      <w:color w:val="000000"/>
      <w:kern w:val="2"/>
      <w:sz w:val="22"/>
      <w:szCs w:val="22"/>
      <w:lang w:val="en-US" w:eastAsia="zh-CN" w:bidi="ar-SA"/>
    </w:rPr>
  </w:style>
  <w:style w:type="character" w:customStyle="1" w:styleId="152">
    <w:name w:val="页眉 Char"/>
    <w:link w:val="40"/>
    <w:qFormat/>
    <w:uiPriority w:val="0"/>
    <w:rPr>
      <w:sz w:val="18"/>
      <w:szCs w:val="18"/>
    </w:rPr>
  </w:style>
  <w:style w:type="character" w:customStyle="1" w:styleId="153">
    <w:name w:val="文档结构图 Char"/>
    <w:link w:val="20"/>
    <w:qFormat/>
    <w:uiPriority w:val="0"/>
    <w:rPr>
      <w:szCs w:val="24"/>
      <w:shd w:val="clear" w:color="auto" w:fill="000080"/>
    </w:rPr>
  </w:style>
  <w:style w:type="character" w:customStyle="1" w:styleId="154">
    <w:name w:val="尾注文本 Char Char"/>
    <w:qFormat/>
    <w:uiPriority w:val="0"/>
    <w:rPr>
      <w:rFonts w:hint="eastAsia" w:ascii="宋体" w:hAnsi="宋体" w:eastAsia="宋体"/>
      <w:kern w:val="2"/>
      <w:sz w:val="21"/>
      <w:szCs w:val="24"/>
      <w:lang w:val="en-US" w:eastAsia="zh-CN" w:bidi="ar-SA"/>
    </w:rPr>
  </w:style>
  <w:style w:type="character" w:customStyle="1" w:styleId="155">
    <w:name w:val="Char Char111"/>
    <w:qFormat/>
    <w:uiPriority w:val="0"/>
    <w:rPr>
      <w:rFonts w:eastAsia="宋体"/>
      <w:b/>
      <w:bCs/>
      <w:kern w:val="44"/>
      <w:sz w:val="44"/>
      <w:szCs w:val="44"/>
      <w:lang w:val="en-US" w:eastAsia="zh-CN" w:bidi="ar-SA"/>
    </w:rPr>
  </w:style>
  <w:style w:type="character" w:customStyle="1" w:styleId="156">
    <w:name w:val="Char Char2"/>
    <w:qFormat/>
    <w:uiPriority w:val="0"/>
    <w:rPr>
      <w:rFonts w:ascii="宋体" w:hAnsi="Courier New" w:cs="宋体"/>
      <w:color w:val="000000"/>
      <w:kern w:val="2"/>
      <w:sz w:val="21"/>
      <w:szCs w:val="21"/>
    </w:rPr>
  </w:style>
  <w:style w:type="character" w:customStyle="1" w:styleId="157">
    <w:name w:val="style261"/>
    <w:qFormat/>
    <w:uiPriority w:val="0"/>
    <w:rPr>
      <w:rFonts w:eastAsia="宋体"/>
      <w:kern w:val="2"/>
      <w:sz w:val="20"/>
      <w:szCs w:val="20"/>
      <w:lang w:val="en-US" w:eastAsia="zh-CN" w:bidi="ar-SA"/>
    </w:rPr>
  </w:style>
  <w:style w:type="character" w:customStyle="1" w:styleId="158">
    <w:name w:val="+正文 Char"/>
    <w:qFormat/>
    <w:uiPriority w:val="0"/>
    <w:rPr>
      <w:rFonts w:hint="eastAsia" w:ascii="宋体" w:hAnsi="宋体" w:eastAsia="宋体"/>
      <w:kern w:val="2"/>
      <w:sz w:val="24"/>
      <w:szCs w:val="28"/>
      <w:lang w:val="en-US" w:eastAsia="zh-CN" w:bidi="ar-SA"/>
    </w:rPr>
  </w:style>
  <w:style w:type="character" w:customStyle="1" w:styleId="159">
    <w:name w:val="文档结构图 Char2"/>
    <w:qFormat/>
    <w:uiPriority w:val="0"/>
    <w:rPr>
      <w:rFonts w:ascii="宋体" w:hAnsi="Calibri" w:eastAsia="宋体" w:cs="Times New Roman"/>
      <w:sz w:val="18"/>
      <w:szCs w:val="18"/>
    </w:rPr>
  </w:style>
  <w:style w:type="character" w:customStyle="1" w:styleId="160">
    <w:name w:val="日期 Char2"/>
    <w:semiHidden/>
    <w:qFormat/>
    <w:uiPriority w:val="99"/>
    <w:rPr>
      <w:rFonts w:ascii="Calibri" w:hAnsi="Calibri" w:eastAsia="宋体" w:cs="Times New Roman"/>
    </w:rPr>
  </w:style>
  <w:style w:type="character" w:customStyle="1" w:styleId="161">
    <w:name w:val="节标 Char Char"/>
    <w:link w:val="162"/>
    <w:qFormat/>
    <w:uiPriority w:val="0"/>
    <w:rPr>
      <w:rFonts w:ascii="Times New Roman" w:hAnsi="Times New Roman" w:eastAsia="黑体" w:cs="Times New Roman"/>
      <w:sz w:val="28"/>
      <w:szCs w:val="20"/>
    </w:rPr>
  </w:style>
  <w:style w:type="paragraph" w:customStyle="1" w:styleId="162">
    <w:name w:val="节标"/>
    <w:basedOn w:val="163"/>
    <w:link w:val="161"/>
    <w:qFormat/>
    <w:uiPriority w:val="0"/>
    <w:pPr>
      <w:spacing w:before="0" w:after="156" w:line="300" w:lineRule="auto"/>
      <w:jc w:val="center"/>
    </w:pPr>
  </w:style>
  <w:style w:type="paragraph" w:customStyle="1" w:styleId="163">
    <w:name w:val="样式 标题 2 + Times New Roman 四号 非加粗 段前: 5 磅 段后: 0 磅 行距: 固定值 20..."/>
    <w:basedOn w:val="4"/>
    <w:link w:val="229"/>
    <w:qFormat/>
    <w:uiPriority w:val="0"/>
    <w:pPr>
      <w:spacing w:before="100" w:after="0" w:line="400" w:lineRule="exact"/>
    </w:pPr>
    <w:rPr>
      <w:rFonts w:ascii="Times New Roman" w:hAnsi="Times New Roman"/>
      <w:b w:val="0"/>
      <w:bCs w:val="0"/>
      <w:sz w:val="28"/>
      <w:szCs w:val="20"/>
    </w:rPr>
  </w:style>
  <w:style w:type="character" w:customStyle="1" w:styleId="164">
    <w:name w:val="明显强调1"/>
    <w:qFormat/>
    <w:uiPriority w:val="0"/>
    <w:rPr>
      <w:b/>
      <w:bCs/>
      <w:i/>
      <w:iCs/>
      <w:color w:val="4F81BD"/>
    </w:rPr>
  </w:style>
  <w:style w:type="character" w:customStyle="1" w:styleId="165">
    <w:name w:val="标题 1 Char1"/>
    <w:qFormat/>
    <w:uiPriority w:val="0"/>
    <w:rPr>
      <w:rFonts w:eastAsia="宋体"/>
      <w:b/>
      <w:bCs/>
      <w:kern w:val="44"/>
      <w:sz w:val="44"/>
      <w:szCs w:val="44"/>
      <w:lang w:val="en-US" w:eastAsia="zh-CN" w:bidi="ar-SA"/>
    </w:rPr>
  </w:style>
  <w:style w:type="character" w:customStyle="1" w:styleId="166">
    <w:name w:val="正文文本缩进 3 Char"/>
    <w:link w:val="51"/>
    <w:qFormat/>
    <w:uiPriority w:val="0"/>
    <w:rPr>
      <w:sz w:val="16"/>
      <w:szCs w:val="16"/>
    </w:rPr>
  </w:style>
  <w:style w:type="character" w:customStyle="1" w:styleId="167">
    <w:name w:val="批注框文本 Char1"/>
    <w:qFormat/>
    <w:uiPriority w:val="0"/>
    <w:rPr>
      <w:kern w:val="2"/>
      <w:sz w:val="18"/>
      <w:szCs w:val="18"/>
    </w:rPr>
  </w:style>
  <w:style w:type="character" w:customStyle="1" w:styleId="168">
    <w:name w:val="纯文本 Char"/>
    <w:link w:val="33"/>
    <w:qFormat/>
    <w:locked/>
    <w:uiPriority w:val="0"/>
    <w:rPr>
      <w:rFonts w:ascii="宋体" w:hAnsi="Courier New"/>
    </w:rPr>
  </w:style>
  <w:style w:type="character" w:customStyle="1" w:styleId="169">
    <w:name w:val="标题 6 Char"/>
    <w:link w:val="9"/>
    <w:qFormat/>
    <w:uiPriority w:val="0"/>
    <w:rPr>
      <w:rFonts w:ascii="Arial" w:hAnsi="Arial" w:eastAsia="黑体" w:cs="Times New Roman"/>
      <w:b/>
      <w:bCs/>
      <w:kern w:val="0"/>
      <w:sz w:val="24"/>
      <w:szCs w:val="24"/>
    </w:rPr>
  </w:style>
  <w:style w:type="character" w:customStyle="1" w:styleId="170">
    <w:name w:val="huei12b1"/>
    <w:qFormat/>
    <w:uiPriority w:val="0"/>
    <w:rPr>
      <w:b/>
      <w:bCs/>
      <w:color w:val="333333"/>
      <w:sz w:val="18"/>
      <w:szCs w:val="18"/>
    </w:rPr>
  </w:style>
  <w:style w:type="character" w:customStyle="1" w:styleId="171">
    <w:name w:val="正文文本 2 Char1"/>
    <w:qFormat/>
    <w:uiPriority w:val="0"/>
    <w:rPr>
      <w:kern w:val="2"/>
      <w:sz w:val="21"/>
      <w:szCs w:val="24"/>
    </w:rPr>
  </w:style>
  <w:style w:type="character" w:customStyle="1" w:styleId="172">
    <w:name w:val="批注文字 Char2"/>
    <w:link w:val="22"/>
    <w:qFormat/>
    <w:uiPriority w:val="0"/>
    <w:rPr>
      <w:rFonts w:ascii="Calibri" w:hAnsi="Calibri" w:eastAsia="宋体" w:cs="Times New Roman"/>
    </w:rPr>
  </w:style>
  <w:style w:type="character" w:customStyle="1" w:styleId="173">
    <w:name w:val="不明显强调1"/>
    <w:qFormat/>
    <w:uiPriority w:val="0"/>
    <w:rPr>
      <w:i/>
      <w:iCs/>
      <w:color w:val="808080"/>
    </w:rPr>
  </w:style>
  <w:style w:type="character" w:customStyle="1" w:styleId="174">
    <w:name w:val="标题 2 Char1"/>
    <w:qFormat/>
    <w:uiPriority w:val="0"/>
    <w:rPr>
      <w:rFonts w:ascii="Arial" w:hAnsi="Arial" w:eastAsia="黑体"/>
      <w:b/>
      <w:bCs/>
      <w:kern w:val="2"/>
      <w:sz w:val="32"/>
      <w:szCs w:val="32"/>
      <w:lang w:val="en-US" w:eastAsia="zh-CN" w:bidi="ar-SA"/>
    </w:rPr>
  </w:style>
  <w:style w:type="character" w:customStyle="1" w:styleId="175">
    <w:name w:val="页脚 Char1"/>
    <w:semiHidden/>
    <w:qFormat/>
    <w:uiPriority w:val="99"/>
    <w:rPr>
      <w:kern w:val="2"/>
      <w:sz w:val="18"/>
      <w:szCs w:val="18"/>
    </w:rPr>
  </w:style>
  <w:style w:type="character" w:customStyle="1" w:styleId="176">
    <w:name w:val="WW8Num3z0"/>
    <w:qFormat/>
    <w:uiPriority w:val="0"/>
    <w:rPr>
      <w:sz w:val="24"/>
      <w:szCs w:val="24"/>
    </w:rPr>
  </w:style>
  <w:style w:type="character" w:customStyle="1" w:styleId="177">
    <w:name w:val="批注框文本 Char2"/>
    <w:qFormat/>
    <w:uiPriority w:val="0"/>
    <w:rPr>
      <w:rFonts w:ascii="Calibri" w:hAnsi="Calibri" w:eastAsia="宋体" w:cs="Times New Roman"/>
      <w:sz w:val="18"/>
      <w:szCs w:val="18"/>
    </w:rPr>
  </w:style>
  <w:style w:type="character" w:customStyle="1" w:styleId="178">
    <w:name w:val="style31"/>
    <w:qFormat/>
    <w:uiPriority w:val="0"/>
    <w:rPr>
      <w:color w:val="000000"/>
    </w:rPr>
  </w:style>
  <w:style w:type="character" w:customStyle="1" w:styleId="179">
    <w:name w:val="正文文本缩进 3 Char1"/>
    <w:qFormat/>
    <w:uiPriority w:val="0"/>
    <w:rPr>
      <w:kern w:val="2"/>
      <w:sz w:val="16"/>
      <w:szCs w:val="16"/>
    </w:rPr>
  </w:style>
  <w:style w:type="character" w:customStyle="1" w:styleId="180">
    <w:name w:val="明显参考1"/>
    <w:qFormat/>
    <w:uiPriority w:val="0"/>
    <w:rPr>
      <w:b/>
      <w:bCs/>
      <w:smallCaps/>
      <w:color w:val="C0504D"/>
      <w:spacing w:val="5"/>
      <w:u w:val="single"/>
    </w:rPr>
  </w:style>
  <w:style w:type="character" w:customStyle="1" w:styleId="181">
    <w:name w:val="标题 1 Char Char"/>
    <w:qFormat/>
    <w:uiPriority w:val="0"/>
    <w:rPr>
      <w:rFonts w:hint="eastAsia" w:ascii="仿宋_GB2312" w:hAnsi="宋体" w:eastAsia="仿宋_GB2312" w:cs="宋体"/>
      <w:b/>
      <w:bCs/>
      <w:kern w:val="2"/>
      <w:sz w:val="30"/>
      <w:szCs w:val="30"/>
      <w:lang w:val="en-US" w:eastAsia="zh-CN" w:bidi="ar-SA"/>
    </w:rPr>
  </w:style>
  <w:style w:type="character" w:customStyle="1" w:styleId="182">
    <w:name w:val="Comment Text Char"/>
    <w:semiHidden/>
    <w:qFormat/>
    <w:locked/>
    <w:uiPriority w:val="0"/>
    <w:rPr>
      <w:rFonts w:ascii="Times New Roman" w:hAnsi="Times New Roman" w:eastAsia="宋体" w:cs="Times New Roman"/>
      <w:sz w:val="24"/>
      <w:szCs w:val="24"/>
    </w:rPr>
  </w:style>
  <w:style w:type="character" w:customStyle="1" w:styleId="183">
    <w:name w:val="标题 Char Char"/>
    <w:qFormat/>
    <w:uiPriority w:val="0"/>
    <w:rPr>
      <w:rFonts w:hint="default" w:ascii="Arial" w:hAnsi="Arial" w:eastAsia="楷体_GB2312" w:cs="Arial"/>
      <w:b/>
      <w:kern w:val="2"/>
      <w:sz w:val="44"/>
      <w:szCs w:val="24"/>
      <w:lang w:val="en-US" w:eastAsia="zh-CN" w:bidi="ar-SA"/>
    </w:rPr>
  </w:style>
  <w:style w:type="character" w:customStyle="1" w:styleId="184">
    <w:name w:val="p9b"/>
    <w:qFormat/>
    <w:uiPriority w:val="0"/>
  </w:style>
  <w:style w:type="character" w:customStyle="1" w:styleId="185">
    <w:name w:val="Char Char15"/>
    <w:qFormat/>
    <w:uiPriority w:val="0"/>
    <w:rPr>
      <w:sz w:val="18"/>
      <w:szCs w:val="18"/>
    </w:rPr>
  </w:style>
  <w:style w:type="character" w:customStyle="1" w:styleId="186">
    <w:name w:val="v151"/>
    <w:qFormat/>
    <w:uiPriority w:val="0"/>
    <w:rPr>
      <w:sz w:val="18"/>
      <w:szCs w:val="18"/>
    </w:rPr>
  </w:style>
  <w:style w:type="character" w:customStyle="1" w:styleId="187">
    <w:name w:val="Char Char1"/>
    <w:qFormat/>
    <w:uiPriority w:val="0"/>
    <w:rPr>
      <w:rFonts w:hint="eastAsia" w:ascii="楷体_GB2312" w:eastAsia="楷体_GB2312"/>
      <w:sz w:val="28"/>
      <w:lang w:val="en-US" w:eastAsia="zh-CN" w:bidi="ar-SA"/>
    </w:rPr>
  </w:style>
  <w:style w:type="character" w:customStyle="1" w:styleId="188">
    <w:name w:val="标题 Char"/>
    <w:link w:val="59"/>
    <w:qFormat/>
    <w:uiPriority w:val="0"/>
    <w:rPr>
      <w:rFonts w:ascii="Arial" w:hAnsi="Arial"/>
      <w:b/>
      <w:sz w:val="32"/>
    </w:rPr>
  </w:style>
  <w:style w:type="character" w:customStyle="1" w:styleId="189">
    <w:name w:val="正文1 Char"/>
    <w:qFormat/>
    <w:uiPriority w:val="0"/>
    <w:rPr>
      <w:rFonts w:hint="eastAsia" w:ascii="宋体" w:hAnsi="宋体" w:eastAsia="宋体" w:cs="宋体"/>
      <w:kern w:val="44"/>
      <w:sz w:val="26"/>
      <w:lang w:val="en-US" w:eastAsia="zh-CN" w:bidi="ar-SA"/>
    </w:rPr>
  </w:style>
  <w:style w:type="character" w:customStyle="1" w:styleId="190">
    <w:name w:val="WW8Num15z1"/>
    <w:qFormat/>
    <w:uiPriority w:val="0"/>
    <w:rPr>
      <w:rFonts w:hint="default" w:ascii="Times New Roman" w:hAnsi="Times New Roman" w:cs="Times New Roman"/>
      <w:color w:val="auto"/>
    </w:rPr>
  </w:style>
  <w:style w:type="character" w:customStyle="1" w:styleId="191">
    <w:name w:val="正文文本缩进 Char"/>
    <w:link w:val="26"/>
    <w:qFormat/>
    <w:uiPriority w:val="0"/>
    <w:rPr>
      <w:szCs w:val="24"/>
    </w:rPr>
  </w:style>
  <w:style w:type="character" w:customStyle="1" w:styleId="192">
    <w:name w:val="正文文本缩进 2 Char1"/>
    <w:qFormat/>
    <w:uiPriority w:val="0"/>
    <w:rPr>
      <w:kern w:val="2"/>
      <w:sz w:val="21"/>
      <w:szCs w:val="24"/>
    </w:rPr>
  </w:style>
  <w:style w:type="character" w:customStyle="1" w:styleId="193">
    <w:name w:val="WW8Num4z0"/>
    <w:qFormat/>
    <w:uiPriority w:val="0"/>
    <w:rPr>
      <w:rFonts w:hint="default" w:ascii="Courier New" w:hAnsi="Courier New" w:cs="Courier New"/>
      <w:sz w:val="22"/>
    </w:rPr>
  </w:style>
  <w:style w:type="character" w:customStyle="1" w:styleId="194">
    <w:name w:val="line1"/>
    <w:qFormat/>
    <w:uiPriority w:val="0"/>
    <w:rPr>
      <w:sz w:val="18"/>
      <w:szCs w:val="18"/>
    </w:rPr>
  </w:style>
  <w:style w:type="character" w:customStyle="1" w:styleId="195">
    <w:name w:val="+正文 Char4"/>
    <w:qFormat/>
    <w:uiPriority w:val="0"/>
    <w:rPr>
      <w:rFonts w:hint="eastAsia" w:ascii="宋体" w:hAnsi="宋体" w:eastAsia="宋体"/>
      <w:kern w:val="2"/>
      <w:sz w:val="24"/>
      <w:szCs w:val="28"/>
      <w:lang w:val="en-US" w:eastAsia="zh-CN" w:bidi="ar-SA"/>
    </w:rPr>
  </w:style>
  <w:style w:type="character" w:customStyle="1" w:styleId="196">
    <w:name w:val="point_normal1"/>
    <w:qFormat/>
    <w:uiPriority w:val="0"/>
    <w:rPr>
      <w:rFonts w:hint="default" w:ascii="Arial" w:hAnsi="Arial" w:cs="Arial"/>
      <w:sz w:val="24"/>
      <w:szCs w:val="24"/>
    </w:rPr>
  </w:style>
  <w:style w:type="character" w:customStyle="1" w:styleId="197">
    <w:name w:val="11 Char Char"/>
    <w:link w:val="198"/>
    <w:qFormat/>
    <w:uiPriority w:val="0"/>
    <w:rPr>
      <w:rFonts w:ascii="Arial" w:hAnsi="Arial" w:eastAsia="黑体" w:cs="宋体"/>
      <w:b/>
      <w:color w:val="000000"/>
      <w:sz w:val="28"/>
      <w:szCs w:val="24"/>
    </w:rPr>
  </w:style>
  <w:style w:type="paragraph" w:customStyle="1" w:styleId="198">
    <w:name w:val="11"/>
    <w:basedOn w:val="163"/>
    <w:link w:val="197"/>
    <w:qFormat/>
    <w:uiPriority w:val="0"/>
    <w:pPr>
      <w:spacing w:before="0" w:after="240"/>
    </w:pPr>
    <w:rPr>
      <w:rFonts w:ascii="Arial" w:hAnsi="Arial"/>
      <w:b/>
      <w:color w:val="000000"/>
      <w:szCs w:val="24"/>
    </w:rPr>
  </w:style>
  <w:style w:type="character" w:customStyle="1" w:styleId="199">
    <w:name w:val="正文首行缩进 Char"/>
    <w:link w:val="61"/>
    <w:qFormat/>
    <w:uiPriority w:val="0"/>
    <w:rPr>
      <w:szCs w:val="24"/>
    </w:rPr>
  </w:style>
  <w:style w:type="character" w:customStyle="1" w:styleId="200">
    <w:name w:val="批注文字 Char"/>
    <w:qFormat/>
    <w:uiPriority w:val="0"/>
    <w:rPr>
      <w:rFonts w:eastAsia="宋体"/>
      <w:kern w:val="2"/>
      <w:sz w:val="21"/>
      <w:szCs w:val="24"/>
      <w:lang w:val="en-US" w:eastAsia="zh-CN" w:bidi="ar-SA"/>
    </w:rPr>
  </w:style>
  <w:style w:type="character" w:customStyle="1" w:styleId="201">
    <w:name w:val="条标题1.1.1 Char"/>
    <w:qFormat/>
    <w:uiPriority w:val="0"/>
    <w:rPr>
      <w:rFonts w:eastAsia="宋体"/>
      <w:b/>
      <w:color w:val="000000"/>
      <w:kern w:val="2"/>
      <w:sz w:val="24"/>
      <w:szCs w:val="24"/>
      <w:lang w:val="en-US" w:eastAsia="zh-CN" w:bidi="ar-SA"/>
    </w:rPr>
  </w:style>
  <w:style w:type="character" w:customStyle="1" w:styleId="202">
    <w:name w:val="FtrF Char Char"/>
    <w:qFormat/>
    <w:uiPriority w:val="0"/>
    <w:rPr>
      <w:rFonts w:eastAsia="宋体"/>
      <w:kern w:val="2"/>
      <w:sz w:val="18"/>
      <w:lang w:val="en-US" w:eastAsia="zh-CN" w:bidi="ar-SA"/>
    </w:rPr>
  </w:style>
  <w:style w:type="character" w:customStyle="1" w:styleId="203">
    <w:name w:val="正文文本缩进 2 Char2"/>
    <w:semiHidden/>
    <w:qFormat/>
    <w:uiPriority w:val="99"/>
    <w:rPr>
      <w:rFonts w:ascii="Calibri" w:hAnsi="Calibri" w:eastAsia="宋体" w:cs="Times New Roman"/>
    </w:rPr>
  </w:style>
  <w:style w:type="character" w:customStyle="1" w:styleId="204">
    <w:name w:val="正文首行缩进 2 Char2"/>
    <w:semiHidden/>
    <w:qFormat/>
    <w:uiPriority w:val="99"/>
    <w:rPr>
      <w:rFonts w:ascii="Calibri" w:hAnsi="Calibri" w:eastAsia="宋体" w:cs="Times New Roman"/>
    </w:rPr>
  </w:style>
  <w:style w:type="character" w:customStyle="1" w:styleId="205">
    <w:name w:val="项目符号1 Char Char"/>
    <w:link w:val="206"/>
    <w:qFormat/>
    <w:locked/>
    <w:uiPriority w:val="0"/>
    <w:rPr>
      <w:rFonts w:ascii="宋体" w:hAnsi="宋体"/>
      <w:sz w:val="26"/>
    </w:rPr>
  </w:style>
  <w:style w:type="paragraph" w:customStyle="1" w:styleId="206">
    <w:name w:val="项目符号1"/>
    <w:basedOn w:val="1"/>
    <w:next w:val="1"/>
    <w:link w:val="205"/>
    <w:qFormat/>
    <w:uiPriority w:val="0"/>
    <w:pPr>
      <w:tabs>
        <w:tab w:val="left" w:pos="420"/>
      </w:tabs>
      <w:adjustRightInd w:val="0"/>
      <w:snapToGrid w:val="0"/>
      <w:spacing w:line="360" w:lineRule="auto"/>
      <w:ind w:left="839" w:hanging="419"/>
    </w:pPr>
    <w:rPr>
      <w:rFonts w:ascii="宋体" w:hAnsi="宋体"/>
      <w:kern w:val="0"/>
      <w:sz w:val="26"/>
      <w:szCs w:val="20"/>
    </w:rPr>
  </w:style>
  <w:style w:type="character" w:customStyle="1" w:styleId="207">
    <w:name w:val="key_point"/>
    <w:qFormat/>
    <w:uiPriority w:val="0"/>
    <w:rPr>
      <w:rFonts w:eastAsia="宋体"/>
      <w:kern w:val="2"/>
      <w:sz w:val="24"/>
      <w:szCs w:val="24"/>
      <w:lang w:val="en-US" w:eastAsia="zh-CN" w:bidi="ar-SA"/>
    </w:rPr>
  </w:style>
  <w:style w:type="character" w:customStyle="1" w:styleId="208">
    <w:name w:val="正文首行缩进 2 Char"/>
    <w:link w:val="62"/>
    <w:qFormat/>
    <w:uiPriority w:val="0"/>
    <w:rPr>
      <w:color w:val="000000"/>
      <w:szCs w:val="24"/>
    </w:rPr>
  </w:style>
  <w:style w:type="character" w:customStyle="1" w:styleId="209">
    <w:name w:val="尾注文本 Char1"/>
    <w:qFormat/>
    <w:uiPriority w:val="0"/>
    <w:rPr>
      <w:kern w:val="2"/>
      <w:sz w:val="21"/>
    </w:rPr>
  </w:style>
  <w:style w:type="character" w:customStyle="1" w:styleId="210">
    <w:name w:val="正文文本 Char"/>
    <w:qFormat/>
    <w:uiPriority w:val="0"/>
    <w:rPr>
      <w:rFonts w:eastAsia="宋体"/>
      <w:kern w:val="2"/>
      <w:sz w:val="21"/>
      <w:szCs w:val="24"/>
      <w:lang w:val="en-US" w:eastAsia="zh-CN" w:bidi="ar-SA"/>
    </w:rPr>
  </w:style>
  <w:style w:type="character" w:customStyle="1" w:styleId="211">
    <w:name w:val="unnamed31"/>
    <w:qFormat/>
    <w:uiPriority w:val="0"/>
    <w:rPr>
      <w:rFonts w:hint="eastAsia" w:ascii="幼圆" w:eastAsia="幼圆"/>
      <w:sz w:val="21"/>
      <w:szCs w:val="21"/>
    </w:rPr>
  </w:style>
  <w:style w:type="character" w:customStyle="1" w:styleId="212">
    <w:name w:val="+正文 Char1"/>
    <w:link w:val="213"/>
    <w:qFormat/>
    <w:locked/>
    <w:uiPriority w:val="0"/>
    <w:rPr>
      <w:sz w:val="24"/>
    </w:rPr>
  </w:style>
  <w:style w:type="paragraph" w:customStyle="1" w:styleId="213">
    <w:name w:val="+正文"/>
    <w:basedOn w:val="1"/>
    <w:link w:val="212"/>
    <w:qFormat/>
    <w:uiPriority w:val="0"/>
    <w:pPr>
      <w:spacing w:line="360" w:lineRule="auto"/>
      <w:ind w:firstLine="200" w:firstLineChars="200"/>
    </w:pPr>
    <w:rPr>
      <w:kern w:val="0"/>
      <w:sz w:val="24"/>
      <w:szCs w:val="20"/>
    </w:rPr>
  </w:style>
  <w:style w:type="character" w:customStyle="1" w:styleId="214">
    <w:name w:val="页眉 Char1"/>
    <w:semiHidden/>
    <w:qFormat/>
    <w:uiPriority w:val="99"/>
    <w:rPr>
      <w:kern w:val="2"/>
      <w:sz w:val="18"/>
      <w:szCs w:val="18"/>
    </w:rPr>
  </w:style>
  <w:style w:type="character" w:customStyle="1" w:styleId="215">
    <w:name w:val="页脚 Char"/>
    <w:link w:val="39"/>
    <w:qFormat/>
    <w:uiPriority w:val="99"/>
    <w:rPr>
      <w:sz w:val="18"/>
      <w:szCs w:val="18"/>
    </w:rPr>
  </w:style>
  <w:style w:type="character" w:customStyle="1" w:styleId="216">
    <w:name w:val="日期 Char1"/>
    <w:qFormat/>
    <w:uiPriority w:val="0"/>
    <w:rPr>
      <w:kern w:val="2"/>
      <w:sz w:val="21"/>
      <w:szCs w:val="24"/>
    </w:rPr>
  </w:style>
  <w:style w:type="character" w:customStyle="1" w:styleId="217">
    <w:name w:val="正文文本 3 Char1"/>
    <w:qFormat/>
    <w:uiPriority w:val="0"/>
    <w:rPr>
      <w:kern w:val="2"/>
      <w:sz w:val="16"/>
      <w:szCs w:val="16"/>
    </w:rPr>
  </w:style>
  <w:style w:type="character" w:customStyle="1" w:styleId="218">
    <w:name w:val="日期 Char"/>
    <w:link w:val="35"/>
    <w:qFormat/>
    <w:uiPriority w:val="0"/>
    <w:rPr>
      <w:sz w:val="24"/>
    </w:rPr>
  </w:style>
  <w:style w:type="character" w:customStyle="1" w:styleId="219">
    <w:name w:val="doc_title1"/>
    <w:qFormat/>
    <w:uiPriority w:val="0"/>
    <w:rPr>
      <w:color w:val="333333"/>
      <w:sz w:val="25"/>
      <w:szCs w:val="25"/>
    </w:rPr>
  </w:style>
  <w:style w:type="character" w:customStyle="1" w:styleId="220">
    <w:name w:val="正文文本缩进 Char1"/>
    <w:qFormat/>
    <w:locked/>
    <w:uiPriority w:val="0"/>
    <w:rPr>
      <w:kern w:val="2"/>
      <w:sz w:val="21"/>
      <w:szCs w:val="24"/>
    </w:rPr>
  </w:style>
  <w:style w:type="character" w:customStyle="1" w:styleId="221">
    <w:name w:val="WW8Num8z0"/>
    <w:qFormat/>
    <w:uiPriority w:val="0"/>
    <w:rPr>
      <w:sz w:val="24"/>
    </w:rPr>
  </w:style>
  <w:style w:type="character" w:customStyle="1" w:styleId="222">
    <w:name w:val="标题5 Char Char"/>
    <w:link w:val="223"/>
    <w:qFormat/>
    <w:uiPriority w:val="0"/>
    <w:rPr>
      <w:rFonts w:ascii="Arial" w:hAnsi="Arial"/>
      <w:b/>
      <w:bCs/>
      <w:sz w:val="24"/>
      <w:szCs w:val="32"/>
    </w:rPr>
  </w:style>
  <w:style w:type="paragraph" w:customStyle="1" w:styleId="223">
    <w:name w:val="标题5"/>
    <w:basedOn w:val="5"/>
    <w:link w:val="222"/>
    <w:qFormat/>
    <w:uiPriority w:val="0"/>
    <w:pPr>
      <w:spacing w:line="413" w:lineRule="auto"/>
      <w:ind w:firstLine="0" w:firstLineChars="0"/>
    </w:pPr>
    <w:rPr>
      <w:rFonts w:ascii="Arial" w:hAnsi="Arial" w:eastAsia="宋体"/>
      <w:b/>
      <w:sz w:val="24"/>
      <w:szCs w:val="32"/>
    </w:rPr>
  </w:style>
  <w:style w:type="character" w:customStyle="1" w:styleId="224">
    <w:name w:val="unnamed1"/>
    <w:qFormat/>
    <w:uiPriority w:val="0"/>
  </w:style>
  <w:style w:type="character" w:customStyle="1" w:styleId="225">
    <w:name w:val="页眉 Char2"/>
    <w:semiHidden/>
    <w:qFormat/>
    <w:uiPriority w:val="99"/>
    <w:rPr>
      <w:rFonts w:ascii="Calibri" w:hAnsi="Calibri" w:eastAsia="宋体" w:cs="Times New Roman"/>
      <w:sz w:val="18"/>
      <w:szCs w:val="18"/>
    </w:rPr>
  </w:style>
  <w:style w:type="character" w:customStyle="1" w:styleId="226">
    <w:name w:val="HTML 预设格式 Char1"/>
    <w:qFormat/>
    <w:uiPriority w:val="0"/>
    <w:rPr>
      <w:rFonts w:ascii="Courier New" w:hAnsi="Courier New" w:eastAsia="宋体" w:cs="Courier New"/>
      <w:sz w:val="20"/>
      <w:szCs w:val="20"/>
    </w:rPr>
  </w:style>
  <w:style w:type="character" w:customStyle="1" w:styleId="227">
    <w:name w:val="正文文本 2 Char2"/>
    <w:semiHidden/>
    <w:qFormat/>
    <w:uiPriority w:val="99"/>
    <w:rPr>
      <w:rFonts w:ascii="Calibri" w:hAnsi="Calibri" w:eastAsia="宋体" w:cs="Times New Roman"/>
    </w:rPr>
  </w:style>
  <w:style w:type="character" w:customStyle="1" w:styleId="228">
    <w:name w:val="标题 Char2"/>
    <w:qFormat/>
    <w:uiPriority w:val="10"/>
    <w:rPr>
      <w:rFonts w:ascii="Cambria" w:hAnsi="Cambria" w:eastAsia="宋体" w:cs="Times New Roman"/>
      <w:b/>
      <w:bCs/>
      <w:sz w:val="32"/>
      <w:szCs w:val="32"/>
    </w:rPr>
  </w:style>
  <w:style w:type="character" w:customStyle="1" w:styleId="229">
    <w:name w:val="样式 标题 2 + Times New Roman 四号 非加粗 段前: 5 磅 段后: 0 磅 行距: 固定值 20... Char Char"/>
    <w:link w:val="163"/>
    <w:qFormat/>
    <w:uiPriority w:val="0"/>
    <w:rPr>
      <w:rFonts w:ascii="Times New Roman" w:hAnsi="Times New Roman" w:eastAsia="黑体" w:cs="Times New Roman"/>
      <w:sz w:val="28"/>
      <w:szCs w:val="20"/>
    </w:rPr>
  </w:style>
  <w:style w:type="character" w:customStyle="1" w:styleId="230">
    <w:name w:val="标题 1.1 Char"/>
    <w:qFormat/>
    <w:uiPriority w:val="0"/>
    <w:rPr>
      <w:rFonts w:ascii="Arial" w:hAnsi="Arial" w:eastAsia="宋体"/>
      <w:b/>
      <w:color w:val="000000"/>
      <w:kern w:val="2"/>
      <w:sz w:val="24"/>
      <w:szCs w:val="24"/>
      <w:lang w:val="en-US" w:eastAsia="zh-CN" w:bidi="ar-SA"/>
    </w:rPr>
  </w:style>
  <w:style w:type="character" w:customStyle="1" w:styleId="231">
    <w:name w:val="纯文本 Char Char"/>
    <w:qFormat/>
    <w:uiPriority w:val="0"/>
    <w:rPr>
      <w:rFonts w:ascii="宋体" w:hAnsi="Courier New" w:eastAsia="宋体" w:cs="Courier New"/>
      <w:szCs w:val="21"/>
    </w:rPr>
  </w:style>
  <w:style w:type="character" w:customStyle="1" w:styleId="232">
    <w:name w:val="附表 Char Char"/>
    <w:link w:val="233"/>
    <w:qFormat/>
    <w:uiPriority w:val="0"/>
    <w:rPr>
      <w:rFonts w:ascii="楷体_GB2312" w:hAnsi="楷体_GB2312" w:eastAsia="楷体_GB2312"/>
      <w:b/>
      <w:color w:val="000000"/>
      <w:sz w:val="24"/>
      <w:szCs w:val="24"/>
    </w:rPr>
  </w:style>
  <w:style w:type="paragraph" w:customStyle="1" w:styleId="233">
    <w:name w:val="附表"/>
    <w:basedOn w:val="82"/>
    <w:link w:val="232"/>
    <w:qFormat/>
    <w:uiPriority w:val="0"/>
    <w:rPr>
      <w:rFonts w:ascii="楷体_GB2312" w:hAnsi="楷体_GB2312" w:eastAsia="楷体_GB2312"/>
    </w:rPr>
  </w:style>
  <w:style w:type="character" w:customStyle="1" w:styleId="234">
    <w:name w:val="章标 Char Char"/>
    <w:link w:val="235"/>
    <w:qFormat/>
    <w:uiPriority w:val="0"/>
    <w:rPr>
      <w:rFonts w:ascii="黑体" w:hAnsi="黑体" w:eastAsia="黑体" w:cs="宋体"/>
      <w:b/>
      <w:bCs/>
      <w:kern w:val="44"/>
      <w:sz w:val="32"/>
      <w:szCs w:val="44"/>
    </w:rPr>
  </w:style>
  <w:style w:type="paragraph" w:customStyle="1" w:styleId="235">
    <w:name w:val="章标"/>
    <w:basedOn w:val="3"/>
    <w:link w:val="234"/>
    <w:qFormat/>
    <w:uiPriority w:val="0"/>
    <w:pPr>
      <w:spacing w:before="120" w:after="120" w:line="400" w:lineRule="exact"/>
      <w:jc w:val="center"/>
    </w:pPr>
    <w:rPr>
      <w:rFonts w:ascii="黑体" w:hAnsi="黑体" w:eastAsia="黑体"/>
      <w:sz w:val="32"/>
    </w:rPr>
  </w:style>
  <w:style w:type="character" w:customStyle="1" w:styleId="236">
    <w:name w:val="副标题 Char"/>
    <w:link w:val="46"/>
    <w:qFormat/>
    <w:uiPriority w:val="0"/>
    <w:rPr>
      <w:rFonts w:ascii="Cambria" w:hAnsi="Cambria"/>
      <w:b/>
      <w:bCs/>
      <w:kern w:val="28"/>
      <w:sz w:val="32"/>
      <w:szCs w:val="32"/>
    </w:rPr>
  </w:style>
  <w:style w:type="character" w:customStyle="1" w:styleId="237">
    <w:name w:val="脚注文本 Char"/>
    <w:link w:val="48"/>
    <w:qFormat/>
    <w:uiPriority w:val="0"/>
    <w:rPr>
      <w:rFonts w:ascii="Times New Roman" w:hAnsi="Times New Roman"/>
      <w:kern w:val="2"/>
      <w:sz w:val="18"/>
    </w:rPr>
  </w:style>
  <w:style w:type="character" w:customStyle="1" w:styleId="238">
    <w:name w:val="明显引用 Char"/>
    <w:link w:val="239"/>
    <w:qFormat/>
    <w:uiPriority w:val="0"/>
    <w:rPr>
      <w:b/>
      <w:bCs/>
      <w:i/>
      <w:iCs/>
      <w:color w:val="4F81BD"/>
      <w:kern w:val="2"/>
      <w:sz w:val="21"/>
      <w:szCs w:val="22"/>
    </w:rPr>
  </w:style>
  <w:style w:type="paragraph" w:customStyle="1" w:styleId="239">
    <w:name w:val="明显引用1"/>
    <w:basedOn w:val="1"/>
    <w:next w:val="1"/>
    <w:link w:val="238"/>
    <w:qFormat/>
    <w:uiPriority w:val="0"/>
    <w:pPr>
      <w:pBdr>
        <w:bottom w:val="single" w:color="4F81BD" w:sz="4" w:space="4"/>
      </w:pBdr>
      <w:spacing w:before="200" w:after="280"/>
      <w:ind w:left="936" w:right="936"/>
    </w:pPr>
    <w:rPr>
      <w:b/>
      <w:bCs/>
      <w:i/>
      <w:iCs/>
      <w:color w:val="4F81BD"/>
    </w:rPr>
  </w:style>
  <w:style w:type="character" w:customStyle="1" w:styleId="240">
    <w:name w:val="明显引用 Char1"/>
    <w:qFormat/>
    <w:uiPriority w:val="30"/>
    <w:rPr>
      <w:rFonts w:ascii="Calibri" w:hAnsi="Calibri" w:eastAsia="宋体" w:cs="Times New Roman"/>
      <w:b/>
      <w:bCs/>
      <w:i/>
      <w:iCs/>
      <w:color w:val="4F81BD"/>
    </w:rPr>
  </w:style>
  <w:style w:type="character" w:customStyle="1" w:styleId="241">
    <w:name w:val="明显引用 Char2"/>
    <w:link w:val="242"/>
    <w:qFormat/>
    <w:uiPriority w:val="99"/>
    <w:rPr>
      <w:b/>
      <w:bCs/>
      <w:i/>
      <w:iCs/>
      <w:color w:val="4F81BD"/>
      <w:kern w:val="2"/>
      <w:sz w:val="21"/>
      <w:szCs w:val="22"/>
    </w:rPr>
  </w:style>
  <w:style w:type="paragraph" w:styleId="242">
    <w:name w:val="Intense Quote"/>
    <w:basedOn w:val="1"/>
    <w:next w:val="1"/>
    <w:link w:val="241"/>
    <w:qFormat/>
    <w:uiPriority w:val="0"/>
    <w:pPr>
      <w:pBdr>
        <w:bottom w:val="single" w:color="4F81BD" w:sz="4" w:space="4"/>
      </w:pBdr>
      <w:spacing w:before="200" w:after="280"/>
      <w:ind w:left="936" w:right="936"/>
    </w:pPr>
    <w:rPr>
      <w:b/>
      <w:bCs/>
      <w:i/>
      <w:iCs/>
      <w:color w:val="4F81BD"/>
    </w:rPr>
  </w:style>
  <w:style w:type="character" w:customStyle="1" w:styleId="243">
    <w:name w:val="书籍标题2"/>
    <w:qFormat/>
    <w:uiPriority w:val="0"/>
    <w:rPr>
      <w:b/>
      <w:bCs/>
      <w:smallCaps/>
      <w:spacing w:val="5"/>
    </w:rPr>
  </w:style>
  <w:style w:type="character" w:customStyle="1" w:styleId="244">
    <w:name w:val="明显强调2"/>
    <w:qFormat/>
    <w:uiPriority w:val="0"/>
    <w:rPr>
      <w:b/>
      <w:bCs/>
      <w:i/>
      <w:iCs/>
      <w:color w:val="4F81BD"/>
    </w:rPr>
  </w:style>
  <w:style w:type="character" w:customStyle="1" w:styleId="245">
    <w:name w:val="不明显强调2"/>
    <w:qFormat/>
    <w:uiPriority w:val="0"/>
    <w:rPr>
      <w:i/>
      <w:iCs/>
      <w:color w:val="808080"/>
    </w:rPr>
  </w:style>
  <w:style w:type="character" w:customStyle="1" w:styleId="246">
    <w:name w:val="不明显参考2"/>
    <w:qFormat/>
    <w:uiPriority w:val="0"/>
    <w:rPr>
      <w:smallCaps/>
      <w:color w:val="C0504D"/>
      <w:u w:val="single"/>
    </w:rPr>
  </w:style>
  <w:style w:type="character" w:customStyle="1" w:styleId="247">
    <w:name w:val="明显参考2"/>
    <w:qFormat/>
    <w:uiPriority w:val="0"/>
    <w:rPr>
      <w:b/>
      <w:bCs/>
      <w:smallCaps/>
      <w:color w:val="C0504D"/>
      <w:spacing w:val="5"/>
      <w:u w:val="single"/>
    </w:rPr>
  </w:style>
  <w:style w:type="character" w:customStyle="1" w:styleId="248">
    <w:name w:val="引用 Char2"/>
    <w:link w:val="249"/>
    <w:qFormat/>
    <w:uiPriority w:val="99"/>
    <w:rPr>
      <w:i/>
      <w:iCs/>
      <w:color w:val="000000"/>
      <w:kern w:val="2"/>
      <w:sz w:val="21"/>
      <w:szCs w:val="22"/>
    </w:rPr>
  </w:style>
  <w:style w:type="paragraph" w:styleId="249">
    <w:name w:val="Quote"/>
    <w:basedOn w:val="1"/>
    <w:next w:val="1"/>
    <w:link w:val="248"/>
    <w:qFormat/>
    <w:uiPriority w:val="0"/>
    <w:rPr>
      <w:i/>
      <w:iCs/>
      <w:color w:val="000000"/>
    </w:rPr>
  </w:style>
  <w:style w:type="paragraph" w:customStyle="1" w:styleId="25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6"/>
      <w:szCs w:val="16"/>
    </w:rPr>
  </w:style>
  <w:style w:type="paragraph" w:customStyle="1" w:styleId="251">
    <w:name w:val="xl36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2">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3">
    <w:name w:val="xl3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5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5">
    <w:name w:val="_Style 11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font12"/>
    <w:basedOn w:val="1"/>
    <w:qFormat/>
    <w:uiPriority w:val="0"/>
    <w:pPr>
      <w:widowControl/>
      <w:spacing w:before="100" w:after="100" w:line="360" w:lineRule="auto"/>
      <w:jc w:val="left"/>
    </w:pPr>
    <w:rPr>
      <w:rFonts w:ascii="宋体" w:hAnsi="宋体"/>
      <w:b/>
      <w:kern w:val="0"/>
      <w:sz w:val="20"/>
      <w:szCs w:val="20"/>
    </w:rPr>
  </w:style>
  <w:style w:type="paragraph" w:customStyle="1" w:styleId="257">
    <w:name w:val="xl3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58">
    <w:name w:val="xl36"/>
    <w:basedOn w:val="1"/>
    <w:qFormat/>
    <w:uiPriority w:val="0"/>
    <w:pPr>
      <w:widowControl/>
      <w:pBdr>
        <w:top w:val="single" w:color="auto" w:sz="4" w:space="0"/>
        <w:lef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59">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260">
    <w:name w:val="xl3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1">
    <w:name w:val="样式 标题 2 + 段前: 0.5 行"/>
    <w:basedOn w:val="4"/>
    <w:qFormat/>
    <w:uiPriority w:val="0"/>
    <w:pPr>
      <w:tabs>
        <w:tab w:val="left" w:pos="645"/>
        <w:tab w:val="left" w:pos="2730"/>
      </w:tabs>
      <w:spacing w:beforeLines="50" w:afterLines="50" w:line="360" w:lineRule="auto"/>
      <w:ind w:left="645" w:right="91" w:hanging="645"/>
    </w:pPr>
    <w:rPr>
      <w:rFonts w:ascii="Times New Roman" w:hAnsi="宋体" w:eastAsia="宋体"/>
      <w:spacing w:val="6"/>
      <w:sz w:val="28"/>
      <w:szCs w:val="20"/>
    </w:rPr>
  </w:style>
  <w:style w:type="paragraph" w:customStyle="1" w:styleId="262">
    <w:name w:val="Char Char Char1 Char1"/>
    <w:basedOn w:val="1"/>
    <w:qFormat/>
    <w:uiPriority w:val="0"/>
    <w:rPr>
      <w:szCs w:val="24"/>
    </w:rPr>
  </w:style>
  <w:style w:type="paragraph" w:customStyle="1" w:styleId="263">
    <w:name w:val="样式 标题 3 + 小四"/>
    <w:basedOn w:val="5"/>
    <w:qFormat/>
    <w:uiPriority w:val="0"/>
    <w:pPr>
      <w:widowControl/>
      <w:tabs>
        <w:tab w:val="left" w:pos="645"/>
        <w:tab w:val="left" w:pos="921"/>
        <w:tab w:val="left" w:pos="1125"/>
      </w:tabs>
      <w:adjustRightInd w:val="0"/>
      <w:spacing w:before="0" w:after="0" w:line="360" w:lineRule="auto"/>
      <w:ind w:left="645" w:hanging="645" w:firstLineChars="0"/>
      <w:jc w:val="left"/>
      <w:textAlignment w:val="baseline"/>
    </w:pPr>
    <w:rPr>
      <w:rFonts w:ascii="Times New Roman" w:hAnsi="Times New Roman"/>
      <w:b/>
      <w:spacing w:val="6"/>
      <w:sz w:val="24"/>
      <w:szCs w:val="24"/>
    </w:rPr>
  </w:style>
  <w:style w:type="paragraph" w:customStyle="1" w:styleId="264">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5">
    <w:name w:val="样式 标题 3 + 仿宋_GB2312 小四 加粗 两端对齐 段后: 6 磅 行距: 单倍行距"/>
    <w:basedOn w:val="5"/>
    <w:qFormat/>
    <w:uiPriority w:val="0"/>
    <w:pPr>
      <w:widowControl/>
      <w:tabs>
        <w:tab w:val="left" w:pos="1200"/>
      </w:tabs>
      <w:adjustRightInd w:val="0"/>
      <w:spacing w:before="120" w:after="120" w:line="240" w:lineRule="auto"/>
      <w:ind w:left="1200" w:hanging="720" w:firstLineChars="0"/>
    </w:pPr>
    <w:rPr>
      <w:rFonts w:ascii="仿宋_GB2312" w:hAnsi="Times New Roman" w:eastAsia="仿宋_GB2312"/>
      <w:b/>
      <w:sz w:val="24"/>
      <w:szCs w:val="20"/>
    </w:rPr>
  </w:style>
  <w:style w:type="paragraph" w:customStyle="1" w:styleId="266">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67">
    <w:name w:val="目录文字"/>
    <w:basedOn w:val="1"/>
    <w:qFormat/>
    <w:uiPriority w:val="0"/>
    <w:pPr>
      <w:widowControl/>
      <w:spacing w:line="480" w:lineRule="auto"/>
      <w:jc w:val="left"/>
    </w:pPr>
    <w:rPr>
      <w:rFonts w:ascii="宋体" w:hAnsi="宋体"/>
      <w:kern w:val="0"/>
      <w:sz w:val="24"/>
      <w:szCs w:val="20"/>
    </w:rPr>
  </w:style>
  <w:style w:type="paragraph" w:customStyle="1" w:styleId="268">
    <w:name w:val="xl25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69">
    <w:name w:val="文本样式1"/>
    <w:basedOn w:val="57"/>
    <w:qFormat/>
    <w:uiPriority w:val="0"/>
    <w:pPr>
      <w:adjustRightInd w:val="0"/>
      <w:snapToGrid w:val="0"/>
      <w:spacing w:before="0" w:beforeAutospacing="0" w:after="0" w:afterAutospacing="0" w:line="360" w:lineRule="auto"/>
      <w:ind w:firstLine="480" w:firstLineChars="200"/>
    </w:pPr>
    <w:rPr>
      <w:rFonts w:cs="Times New Roman"/>
    </w:rPr>
  </w:style>
  <w:style w:type="paragraph" w:customStyle="1" w:styleId="270">
    <w:name w:val="+标题1"/>
    <w:basedOn w:val="3"/>
    <w:qFormat/>
    <w:uiPriority w:val="0"/>
    <w:pPr>
      <w:pageBreakBefore/>
      <w:spacing w:before="240" w:after="240" w:line="360" w:lineRule="auto"/>
      <w:ind w:left="360" w:hanging="360"/>
      <w:jc w:val="left"/>
    </w:pPr>
    <w:rPr>
      <w:rFonts w:eastAsia="黑体"/>
      <w:kern w:val="32"/>
      <w:sz w:val="28"/>
      <w:szCs w:val="28"/>
    </w:rPr>
  </w:style>
  <w:style w:type="paragraph" w:customStyle="1" w:styleId="271">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72">
    <w:name w:val="字元 字元 Char Char Char Char1"/>
    <w:basedOn w:val="1"/>
    <w:qFormat/>
    <w:uiPriority w:val="0"/>
    <w:pPr>
      <w:spacing w:line="480" w:lineRule="exact"/>
      <w:outlineLvl w:val="3"/>
    </w:pPr>
    <w:rPr>
      <w:szCs w:val="20"/>
    </w:rPr>
  </w:style>
  <w:style w:type="paragraph" w:customStyle="1" w:styleId="273">
    <w:name w:val="修订1"/>
    <w:qFormat/>
    <w:uiPriority w:val="0"/>
    <w:rPr>
      <w:rFonts w:ascii="Times New Roman" w:hAnsi="Times New Roman" w:eastAsia="宋体" w:cs="Times New Roman"/>
      <w:kern w:val="2"/>
      <w:sz w:val="21"/>
      <w:szCs w:val="24"/>
      <w:lang w:val="en-US" w:eastAsia="zh-CN" w:bidi="ar-SA"/>
    </w:rPr>
  </w:style>
  <w:style w:type="paragraph" w:customStyle="1" w:styleId="274">
    <w:name w:val="xl2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5">
    <w:name w:val="xl3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6">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8">
    <w:name w:val="xl3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9">
    <w:name w:val="xl39"/>
    <w:basedOn w:val="1"/>
    <w:qFormat/>
    <w:uiPriority w:val="0"/>
    <w:pPr>
      <w:widowControl/>
      <w:pBdr>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80">
    <w:name w:val="表格正文居中"/>
    <w:basedOn w:val="1"/>
    <w:qFormat/>
    <w:uiPriority w:val="0"/>
    <w:pPr>
      <w:autoSpaceDE w:val="0"/>
      <w:autoSpaceDN w:val="0"/>
      <w:adjustRightInd w:val="0"/>
      <w:snapToGrid w:val="0"/>
      <w:spacing w:line="380" w:lineRule="exact"/>
      <w:ind w:left="57" w:right="57"/>
      <w:textAlignment w:val="baseline"/>
    </w:pPr>
    <w:rPr>
      <w:rFonts w:ascii="宋体"/>
      <w:color w:val="000000"/>
      <w:spacing w:val="8"/>
      <w:kern w:val="0"/>
      <w:sz w:val="24"/>
      <w:szCs w:val="20"/>
    </w:rPr>
  </w:style>
  <w:style w:type="paragraph" w:customStyle="1" w:styleId="281">
    <w:name w:val="Style2"/>
    <w:basedOn w:val="1"/>
    <w:qFormat/>
    <w:uiPriority w:val="0"/>
    <w:pPr>
      <w:autoSpaceDE w:val="0"/>
      <w:autoSpaceDN w:val="0"/>
      <w:adjustRightInd w:val="0"/>
      <w:spacing w:line="360" w:lineRule="auto"/>
      <w:jc w:val="left"/>
      <w:textAlignment w:val="baseline"/>
    </w:pPr>
    <w:rPr>
      <w:rFonts w:ascii="Arial" w:hAnsi="Arial" w:eastAsia="Times New Roman"/>
      <w:spacing w:val="10"/>
      <w:kern w:val="0"/>
      <w:sz w:val="28"/>
      <w:szCs w:val="20"/>
    </w:rPr>
  </w:style>
  <w:style w:type="paragraph" w:customStyle="1" w:styleId="282">
    <w:name w:val="xl3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3">
    <w:name w:val="发文落款"/>
    <w:basedOn w:val="284"/>
    <w:qFormat/>
    <w:uiPriority w:val="0"/>
    <w:pPr>
      <w:ind w:left="4094" w:right="607" w:firstLine="0"/>
      <w:jc w:val="center"/>
    </w:pPr>
  </w:style>
  <w:style w:type="paragraph" w:customStyle="1" w:styleId="28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5">
    <w:name w:val="xl30"/>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86">
    <w:name w:val="p22"/>
    <w:basedOn w:val="1"/>
    <w:qFormat/>
    <w:uiPriority w:val="0"/>
    <w:pPr>
      <w:widowControl/>
      <w:ind w:firstLine="420"/>
    </w:pPr>
    <w:rPr>
      <w:kern w:val="0"/>
      <w:szCs w:val="21"/>
    </w:rPr>
  </w:style>
  <w:style w:type="paragraph" w:customStyle="1" w:styleId="287">
    <w:name w:val="_Style 41"/>
    <w:basedOn w:val="1"/>
    <w:qFormat/>
    <w:uiPriority w:val="0"/>
    <w:rPr>
      <w:rFonts w:ascii="宋体" w:hAnsi="CG Times (W1)"/>
      <w:kern w:val="0"/>
      <w:szCs w:val="20"/>
    </w:rPr>
  </w:style>
  <w:style w:type="paragraph" w:customStyle="1" w:styleId="288">
    <w:name w:val="xl3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Char1 Char Char Char"/>
    <w:basedOn w:val="1"/>
    <w:qFormat/>
    <w:uiPriority w:val="0"/>
    <w:rPr>
      <w:rFonts w:ascii="Tahoma" w:hAnsi="Tahoma"/>
      <w:sz w:val="24"/>
      <w:szCs w:val="20"/>
    </w:rPr>
  </w:style>
  <w:style w:type="paragraph" w:customStyle="1" w:styleId="290">
    <w:name w:val="p23"/>
    <w:basedOn w:val="1"/>
    <w:qFormat/>
    <w:uiPriority w:val="0"/>
    <w:pPr>
      <w:widowControl/>
    </w:pPr>
    <w:rPr>
      <w:rFonts w:ascii="宋体" w:hAnsi="宋体" w:cs="宋体"/>
      <w:kern w:val="0"/>
      <w:szCs w:val="21"/>
    </w:rPr>
  </w:style>
  <w:style w:type="paragraph" w:customStyle="1" w:styleId="291">
    <w:name w:val="封四"/>
    <w:basedOn w:val="148"/>
    <w:next w:val="148"/>
    <w:qFormat/>
    <w:uiPriority w:val="0"/>
    <w:pPr>
      <w:jc w:val="left"/>
    </w:pPr>
    <w:rPr>
      <w:sz w:val="30"/>
      <w:szCs w:val="30"/>
    </w:rPr>
  </w:style>
  <w:style w:type="paragraph" w:customStyle="1" w:styleId="292">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3">
    <w:name w:val="xl3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4">
    <w:name w:val="xl3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95">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Arial Unicode MS"/>
      <w:kern w:val="0"/>
      <w:sz w:val="22"/>
      <w:lang w:eastAsia="en-US"/>
    </w:rPr>
  </w:style>
  <w:style w:type="paragraph" w:customStyle="1" w:styleId="296">
    <w:name w:val="xl3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表格正文缩进"/>
    <w:basedOn w:val="1"/>
    <w:qFormat/>
    <w:uiPriority w:val="0"/>
    <w:pPr>
      <w:autoSpaceDE w:val="0"/>
      <w:autoSpaceDN w:val="0"/>
      <w:snapToGrid w:val="0"/>
      <w:ind w:firstLine="244"/>
    </w:pPr>
    <w:rPr>
      <w:rFonts w:ascii="宋体" w:eastAsia="仿宋体"/>
      <w:color w:val="000000"/>
      <w:spacing w:val="8"/>
      <w:kern w:val="0"/>
      <w:szCs w:val="20"/>
    </w:rPr>
  </w:style>
  <w:style w:type="paragraph" w:customStyle="1" w:styleId="298">
    <w:name w:val="xl40"/>
    <w:basedOn w:val="1"/>
    <w:qFormat/>
    <w:uiPriority w:val="0"/>
    <w:pPr>
      <w:widowControl/>
      <w:pBdr>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299">
    <w:name w:val="xl3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00">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301">
    <w:name w:val="标准"/>
    <w:basedOn w:val="1"/>
    <w:qFormat/>
    <w:uiPriority w:val="0"/>
    <w:pPr>
      <w:overflowPunct w:val="0"/>
      <w:autoSpaceDE w:val="0"/>
      <w:autoSpaceDN w:val="0"/>
      <w:adjustRightInd w:val="0"/>
      <w:spacing w:line="240" w:lineRule="atLeast"/>
    </w:pPr>
    <w:rPr>
      <w:rFonts w:eastAsia="楷体_GB2312"/>
      <w:kern w:val="0"/>
      <w:sz w:val="24"/>
      <w:szCs w:val="20"/>
    </w:rPr>
  </w:style>
  <w:style w:type="paragraph" w:customStyle="1" w:styleId="302">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3">
    <w:name w:val="xl2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304">
    <w:name w:val="TOC 标题1"/>
    <w:basedOn w:val="3"/>
    <w:next w:val="1"/>
    <w:qFormat/>
    <w:uiPriority w:val="0"/>
    <w:pPr>
      <w:outlineLvl w:val="9"/>
    </w:pPr>
    <w:rPr>
      <w:rFonts w:ascii="Calibri" w:hAnsi="Calibri"/>
    </w:rPr>
  </w:style>
  <w:style w:type="paragraph" w:customStyle="1" w:styleId="305">
    <w:name w:val="xl3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6">
    <w:name w:val="xl33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07">
    <w:name w:val="xl3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08">
    <w:name w:val="公文标题"/>
    <w:basedOn w:val="5"/>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309">
    <w:name w:val="xl2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10">
    <w:name w:val="xl3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11">
    <w:name w:val="xl3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12">
    <w:name w:val="样式1"/>
    <w:basedOn w:val="1"/>
    <w:next w:val="6"/>
    <w:qFormat/>
    <w:uiPriority w:val="0"/>
    <w:pPr>
      <w:spacing w:line="360" w:lineRule="auto"/>
      <w:ind w:firstLine="420" w:firstLineChars="200"/>
    </w:pPr>
    <w:rPr>
      <w:rFonts w:ascii="宋体" w:hAnsi="宋体"/>
      <w:szCs w:val="21"/>
    </w:rPr>
  </w:style>
  <w:style w:type="paragraph" w:customStyle="1" w:styleId="313">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4">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15">
    <w:name w:val="xl27"/>
    <w:basedOn w:val="1"/>
    <w:qFormat/>
    <w:uiPriority w:val="0"/>
    <w:pPr>
      <w:widowControl/>
      <w:pBdr>
        <w:top w:val="single" w:color="auto" w:sz="4" w:space="0"/>
        <w:left w:val="single" w:color="auto" w:sz="4" w:space="0"/>
        <w:right w:val="single" w:color="auto" w:sz="4" w:space="0"/>
      </w:pBdr>
      <w:tabs>
        <w:tab w:val="left" w:pos="720"/>
      </w:tabs>
      <w:spacing w:before="100" w:beforeAutospacing="1" w:after="100" w:afterAutospacing="1"/>
      <w:ind w:left="700" w:hanging="340"/>
      <w:jc w:val="center"/>
    </w:pPr>
    <w:rPr>
      <w:rFonts w:ascii="仿宋_GB2312" w:hAnsi="宋体" w:eastAsia="仿宋_GB2312"/>
      <w:kern w:val="0"/>
      <w:sz w:val="16"/>
      <w:szCs w:val="16"/>
    </w:rPr>
  </w:style>
  <w:style w:type="paragraph" w:customStyle="1" w:styleId="316">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317">
    <w:name w:val="封一"/>
    <w:basedOn w:val="148"/>
    <w:next w:val="148"/>
    <w:qFormat/>
    <w:uiPriority w:val="0"/>
    <w:pPr>
      <w:ind w:firstLine="0" w:firstLineChars="0"/>
      <w:jc w:val="center"/>
    </w:pPr>
    <w:rPr>
      <w:rFonts w:eastAsia="黑体"/>
      <w:b/>
      <w:sz w:val="84"/>
      <w:szCs w:val="84"/>
    </w:rPr>
  </w:style>
  <w:style w:type="paragraph" w:customStyle="1" w:styleId="31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9">
    <w:name w:val="xl38"/>
    <w:basedOn w:val="1"/>
    <w:qFormat/>
    <w:uiPriority w:val="0"/>
    <w:pPr>
      <w:widowControl/>
      <w:pBdr>
        <w:left w:val="single" w:color="auto" w:sz="4" w:space="0"/>
        <w:bottom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320">
    <w:name w:val="设计方案"/>
    <w:basedOn w:val="1"/>
    <w:qFormat/>
    <w:uiPriority w:val="0"/>
    <w:pPr>
      <w:widowControl/>
      <w:spacing w:after="160" w:line="240" w:lineRule="exact"/>
      <w:jc w:val="left"/>
    </w:pPr>
    <w:rPr>
      <w:rFonts w:ascii="Verdana" w:hAnsi="Verdana"/>
      <w:kern w:val="0"/>
      <w:szCs w:val="20"/>
      <w:lang w:eastAsia="en-US"/>
    </w:rPr>
  </w:style>
  <w:style w:type="paragraph" w:customStyle="1" w:styleId="321">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322">
    <w:name w:val="xl2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3">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4">
    <w:name w:val="样式4"/>
    <w:basedOn w:val="1"/>
    <w:qFormat/>
    <w:uiPriority w:val="0"/>
    <w:pPr>
      <w:tabs>
        <w:tab w:val="left" w:pos="1984"/>
      </w:tabs>
      <w:ind w:left="1984" w:hanging="708"/>
    </w:pPr>
    <w:rPr>
      <w:szCs w:val="24"/>
    </w:rPr>
  </w:style>
  <w:style w:type="paragraph" w:customStyle="1" w:styleId="325">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26">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27">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8">
    <w:name w:val="xl36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29">
    <w:name w:val="公文抬头"/>
    <w:basedOn w:val="8"/>
    <w:qFormat/>
    <w:uiPriority w:val="0"/>
    <w:pPr>
      <w:ind w:firstLine="0" w:firstLineChars="0"/>
    </w:pPr>
    <w:rPr>
      <w:rFonts w:ascii="仿宋_GB2312" w:eastAsia="仿宋_GB2312"/>
      <w:sz w:val="30"/>
    </w:rPr>
  </w:style>
  <w:style w:type="paragraph" w:customStyle="1" w:styleId="330">
    <w:name w:val="字元 字元 Char Char Char Char"/>
    <w:basedOn w:val="1"/>
    <w:qFormat/>
    <w:uiPriority w:val="0"/>
    <w:pPr>
      <w:spacing w:line="480" w:lineRule="exact"/>
      <w:outlineLvl w:val="3"/>
    </w:pPr>
    <w:rPr>
      <w:szCs w:val="20"/>
    </w:rPr>
  </w:style>
  <w:style w:type="paragraph" w:customStyle="1" w:styleId="331">
    <w:name w:val="列表项目符号1"/>
    <w:basedOn w:val="1"/>
    <w:qFormat/>
    <w:uiPriority w:val="0"/>
    <w:pPr>
      <w:tabs>
        <w:tab w:val="left" w:pos="360"/>
      </w:tabs>
      <w:suppressAutoHyphens/>
    </w:pPr>
    <w:rPr>
      <w:szCs w:val="20"/>
      <w:lang w:eastAsia="ar-SA"/>
    </w:rPr>
  </w:style>
  <w:style w:type="paragraph" w:customStyle="1" w:styleId="332">
    <w:name w:val="xl28"/>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333">
    <w:name w:val="xl2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34">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335">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6">
    <w:name w:val="xl3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37">
    <w:name w:val="xl3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8">
    <w:name w:val="xl3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39">
    <w:name w:val="xl3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40">
    <w:name w:val="xl3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1">
    <w:name w:val="标题 11"/>
    <w:basedOn w:val="1"/>
    <w:qFormat/>
    <w:uiPriority w:val="0"/>
    <w:rPr>
      <w:szCs w:val="20"/>
    </w:rPr>
  </w:style>
  <w:style w:type="paragraph" w:customStyle="1" w:styleId="342">
    <w:name w:val="小标题1"/>
    <w:basedOn w:val="1"/>
    <w:qFormat/>
    <w:uiPriority w:val="0"/>
    <w:pPr>
      <w:spacing w:line="300" w:lineRule="auto"/>
    </w:pPr>
    <w:rPr>
      <w:sz w:val="24"/>
      <w:szCs w:val="24"/>
    </w:rPr>
  </w:style>
  <w:style w:type="paragraph" w:customStyle="1" w:styleId="343">
    <w:name w:val="+列表1"/>
    <w:basedOn w:val="1"/>
    <w:qFormat/>
    <w:uiPriority w:val="0"/>
    <w:pPr>
      <w:jc w:val="center"/>
    </w:pPr>
    <w:rPr>
      <w:szCs w:val="24"/>
    </w:rPr>
  </w:style>
  <w:style w:type="paragraph" w:customStyle="1" w:styleId="344">
    <w:name w:val="xl3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45">
    <w:name w:val="表内容"/>
    <w:basedOn w:val="1"/>
    <w:qFormat/>
    <w:uiPriority w:val="0"/>
    <w:pPr>
      <w:autoSpaceDE w:val="0"/>
      <w:autoSpaceDN w:val="0"/>
      <w:adjustRightInd w:val="0"/>
      <w:spacing w:before="60" w:after="60" w:line="288" w:lineRule="auto"/>
      <w:jc w:val="center"/>
    </w:pPr>
    <w:rPr>
      <w:rFonts w:ascii="Arial" w:hAnsi="Arial"/>
      <w:kern w:val="0"/>
      <w:szCs w:val="20"/>
    </w:rPr>
  </w:style>
  <w:style w:type="paragraph" w:customStyle="1" w:styleId="346">
    <w:name w:val="xl3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7">
    <w:name w:val="xl37"/>
    <w:basedOn w:val="1"/>
    <w:qFormat/>
    <w:uiPriority w:val="0"/>
    <w:pPr>
      <w:widowControl/>
      <w:pBdr>
        <w:top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348">
    <w:name w:val="xl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0">
    <w:name w:val="IK_TabText"/>
    <w:basedOn w:val="1"/>
    <w:qFormat/>
    <w:uiPriority w:val="0"/>
    <w:pPr>
      <w:autoSpaceDE w:val="0"/>
      <w:autoSpaceDN w:val="0"/>
      <w:adjustRightInd w:val="0"/>
      <w:spacing w:before="60" w:after="60"/>
      <w:ind w:left="113" w:right="57"/>
      <w:jc w:val="left"/>
    </w:pPr>
    <w:rPr>
      <w:rFonts w:ascii="宋体" w:cs="宋体"/>
      <w:kern w:val="0"/>
      <w:sz w:val="18"/>
      <w:szCs w:val="18"/>
    </w:rPr>
  </w:style>
  <w:style w:type="paragraph" w:customStyle="1" w:styleId="351">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2">
    <w:name w:val="xl3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53">
    <w:name w:val="xl3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4">
    <w:name w:val="xl32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55">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56">
    <w:name w:val="xl3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7">
    <w:name w:val="Char1"/>
    <w:basedOn w:val="1"/>
    <w:qFormat/>
    <w:uiPriority w:val="0"/>
    <w:pPr>
      <w:tabs>
        <w:tab w:val="left" w:pos="360"/>
      </w:tabs>
    </w:pPr>
    <w:rPr>
      <w:sz w:val="24"/>
      <w:szCs w:val="24"/>
    </w:rPr>
  </w:style>
  <w:style w:type="paragraph" w:customStyle="1" w:styleId="358">
    <w:name w:val="+标题3"/>
    <w:basedOn w:val="5"/>
    <w:qFormat/>
    <w:uiPriority w:val="0"/>
    <w:pPr>
      <w:tabs>
        <w:tab w:val="left" w:pos="560"/>
      </w:tabs>
      <w:spacing w:before="120" w:after="120" w:line="360" w:lineRule="auto"/>
      <w:ind w:left="1260" w:hanging="420" w:firstLineChars="0"/>
      <w:jc w:val="left"/>
    </w:pPr>
    <w:rPr>
      <w:rFonts w:ascii="Times New Roman" w:hAnsi="Times New Roman" w:eastAsia="宋体"/>
      <w:b/>
      <w:sz w:val="24"/>
    </w:rPr>
  </w:style>
  <w:style w:type="paragraph" w:customStyle="1" w:styleId="359">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0">
    <w:name w:val="p0"/>
    <w:basedOn w:val="1"/>
    <w:qFormat/>
    <w:uiPriority w:val="0"/>
    <w:pPr>
      <w:widowControl/>
    </w:pPr>
    <w:rPr>
      <w:kern w:val="0"/>
      <w:szCs w:val="21"/>
    </w:rPr>
  </w:style>
  <w:style w:type="paragraph" w:customStyle="1" w:styleId="361">
    <w:name w:val="默认段落字体 Para Char"/>
    <w:basedOn w:val="1"/>
    <w:qFormat/>
    <w:uiPriority w:val="0"/>
    <w:pPr>
      <w:spacing w:line="360" w:lineRule="auto"/>
      <w:jc w:val="left"/>
    </w:pPr>
    <w:rPr>
      <w:szCs w:val="24"/>
    </w:rPr>
  </w:style>
  <w:style w:type="paragraph" w:customStyle="1" w:styleId="362">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63">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4">
    <w:name w:val="表格内容"/>
    <w:basedOn w:val="1"/>
    <w:qFormat/>
    <w:uiPriority w:val="0"/>
    <w:pPr>
      <w:suppressLineNumbers/>
      <w:suppressAutoHyphens/>
    </w:pPr>
    <w:rPr>
      <w:szCs w:val="20"/>
      <w:lang w:eastAsia="ar-SA"/>
    </w:rPr>
  </w:style>
  <w:style w:type="paragraph" w:customStyle="1" w:styleId="365">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6">
    <w:name w:val="xl2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67">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8">
    <w:name w:val="默认段落字体 Para Char Char Char Char"/>
    <w:basedOn w:val="1"/>
    <w:qFormat/>
    <w:uiPriority w:val="0"/>
    <w:pPr>
      <w:tabs>
        <w:tab w:val="left" w:pos="960"/>
      </w:tabs>
      <w:spacing w:line="400" w:lineRule="exact"/>
      <w:ind w:left="960" w:hanging="420"/>
    </w:pPr>
    <w:rPr>
      <w:rFonts w:eastAsia="黑体"/>
      <w:sz w:val="24"/>
      <w:szCs w:val="24"/>
    </w:rPr>
  </w:style>
  <w:style w:type="paragraph" w:customStyle="1" w:styleId="369">
    <w:name w:val="文档结构图1"/>
    <w:basedOn w:val="1"/>
    <w:qFormat/>
    <w:uiPriority w:val="0"/>
    <w:pPr>
      <w:shd w:val="clear" w:color="auto" w:fill="000080"/>
      <w:suppressAutoHyphens/>
    </w:pPr>
    <w:rPr>
      <w:szCs w:val="20"/>
      <w:lang w:eastAsia="ar-SA"/>
    </w:rPr>
  </w:style>
  <w:style w:type="paragraph" w:customStyle="1" w:styleId="370">
    <w:name w:val="封三"/>
    <w:basedOn w:val="148"/>
    <w:next w:val="148"/>
    <w:qFormat/>
    <w:uiPriority w:val="0"/>
    <w:pPr>
      <w:ind w:firstLine="0" w:firstLineChars="0"/>
      <w:jc w:val="center"/>
    </w:pPr>
    <w:rPr>
      <w:sz w:val="30"/>
    </w:rPr>
  </w:style>
  <w:style w:type="paragraph" w:customStyle="1" w:styleId="371">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372">
    <w:name w:val="yyn"/>
    <w:basedOn w:val="1"/>
    <w:qFormat/>
    <w:uiPriority w:val="0"/>
    <w:pPr>
      <w:keepNext/>
      <w:widowControl/>
      <w:overflowPunct w:val="0"/>
      <w:autoSpaceDE w:val="0"/>
      <w:autoSpaceDN w:val="0"/>
      <w:adjustRightInd w:val="0"/>
      <w:spacing w:line="360" w:lineRule="auto"/>
      <w:ind w:right="562" w:firstLine="601"/>
    </w:pPr>
    <w:rPr>
      <w:rFonts w:ascii="宋体"/>
      <w:spacing w:val="10"/>
      <w:kern w:val="16"/>
      <w:sz w:val="24"/>
      <w:szCs w:val="20"/>
    </w:rPr>
  </w:style>
  <w:style w:type="paragraph" w:customStyle="1" w:styleId="373">
    <w:name w:val="表格"/>
    <w:basedOn w:val="1"/>
    <w:qFormat/>
    <w:uiPriority w:val="0"/>
    <w:pPr>
      <w:jc w:val="center"/>
      <w:textAlignment w:val="center"/>
    </w:pPr>
    <w:rPr>
      <w:rFonts w:ascii="华文细黑" w:hAnsi="华文细黑"/>
      <w:kern w:val="0"/>
      <w:szCs w:val="20"/>
    </w:rPr>
  </w:style>
  <w:style w:type="paragraph" w:customStyle="1" w:styleId="374">
    <w:name w:val="标题（章节）"/>
    <w:basedOn w:val="7"/>
    <w:qFormat/>
    <w:uiPriority w:val="0"/>
    <w:pPr>
      <w:tabs>
        <w:tab w:val="left" w:pos="4448"/>
      </w:tabs>
      <w:adjustRightInd w:val="0"/>
      <w:snapToGrid w:val="0"/>
      <w:spacing w:beforeLines="0" w:afterLines="0" w:line="360" w:lineRule="auto"/>
      <w:ind w:left="0" w:firstLine="0"/>
    </w:pPr>
    <w:rPr>
      <w:rFonts w:ascii="黑体" w:hAnsi="黑体" w:eastAsia="黑体"/>
      <w:b/>
      <w:bCs/>
      <w:color w:val="auto"/>
      <w:sz w:val="30"/>
      <w:szCs w:val="28"/>
    </w:rPr>
  </w:style>
  <w:style w:type="paragraph" w:customStyle="1" w:styleId="375">
    <w:name w:val="font8"/>
    <w:basedOn w:val="1"/>
    <w:qFormat/>
    <w:uiPriority w:val="0"/>
    <w:pPr>
      <w:widowControl/>
      <w:spacing w:before="100" w:beforeAutospacing="1" w:after="100" w:afterAutospacing="1"/>
      <w:jc w:val="left"/>
    </w:pPr>
    <w:rPr>
      <w:rFonts w:ascii="宋体" w:hAnsi="宋体"/>
      <w:b/>
      <w:bCs/>
      <w:color w:val="000000"/>
      <w:kern w:val="0"/>
      <w:sz w:val="18"/>
      <w:szCs w:val="18"/>
    </w:rPr>
  </w:style>
  <w:style w:type="paragraph" w:customStyle="1" w:styleId="37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styleId="377">
    <w:name w:val="List Paragraph"/>
    <w:basedOn w:val="1"/>
    <w:qFormat/>
    <w:uiPriority w:val="34"/>
    <w:pPr>
      <w:ind w:firstLine="420" w:firstLineChars="200"/>
    </w:pPr>
    <w:rPr>
      <w:szCs w:val="24"/>
    </w:rPr>
  </w:style>
  <w:style w:type="paragraph" w:customStyle="1" w:styleId="378">
    <w:name w:val="xl2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79">
    <w:name w:val="手册正文"/>
    <w:basedOn w:val="1"/>
    <w:qFormat/>
    <w:uiPriority w:val="0"/>
    <w:pPr>
      <w:spacing w:line="500" w:lineRule="exact"/>
      <w:ind w:firstLine="200" w:firstLineChars="200"/>
    </w:pPr>
    <w:rPr>
      <w:rFonts w:ascii="Arial" w:hAnsi="Arial"/>
      <w:sz w:val="24"/>
      <w:szCs w:val="24"/>
    </w:rPr>
  </w:style>
  <w:style w:type="paragraph" w:customStyle="1" w:styleId="380">
    <w:name w:val="xl2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1">
    <w:name w:val="xl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2">
    <w:name w:val="样式3"/>
    <w:basedOn w:val="4"/>
    <w:qFormat/>
    <w:uiPriority w:val="0"/>
    <w:rPr>
      <w:bCs w:val="0"/>
      <w:szCs w:val="20"/>
    </w:rPr>
  </w:style>
  <w:style w:type="paragraph" w:customStyle="1" w:styleId="383">
    <w:name w:val="xl2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4">
    <w:name w:val="1"/>
    <w:basedOn w:val="1"/>
    <w:qFormat/>
    <w:uiPriority w:val="0"/>
    <w:rPr>
      <w:szCs w:val="24"/>
    </w:rPr>
  </w:style>
  <w:style w:type="paragraph" w:customStyle="1" w:styleId="385">
    <w:name w:val="ÕýÎÄ"/>
    <w:qFormat/>
    <w:uiPriority w:val="0"/>
    <w:pPr>
      <w:widowControl w:val="0"/>
      <w:overflowPunct w:val="0"/>
      <w:autoSpaceDE w:val="0"/>
      <w:autoSpaceDN w:val="0"/>
      <w:adjustRightInd w:val="0"/>
    </w:pPr>
    <w:rPr>
      <w:rFonts w:ascii="Courier New" w:hAnsi="Courier New" w:eastAsia="宋体" w:cs="Times New Roman"/>
      <w:sz w:val="24"/>
      <w:lang w:val="en-US" w:eastAsia="zh-CN" w:bidi="ar-SA"/>
    </w:rPr>
  </w:style>
  <w:style w:type="paragraph" w:customStyle="1" w:styleId="386">
    <w:name w:val="xl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7">
    <w:name w:val="xl3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88">
    <w:name w:val="方框图"/>
    <w:basedOn w:val="1"/>
    <w:qFormat/>
    <w:uiPriority w:val="0"/>
    <w:pPr>
      <w:jc w:val="center"/>
    </w:pPr>
    <w:rPr>
      <w:bCs/>
      <w:szCs w:val="24"/>
    </w:rPr>
  </w:style>
  <w:style w:type="paragraph" w:customStyle="1" w:styleId="389">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0">
    <w:name w:val="IK_TabAufzaehl_1"/>
    <w:basedOn w:val="1"/>
    <w:qFormat/>
    <w:uiPriority w:val="0"/>
    <w:pPr>
      <w:tabs>
        <w:tab w:val="left" w:pos="113"/>
      </w:tabs>
      <w:autoSpaceDE w:val="0"/>
      <w:autoSpaceDN w:val="0"/>
      <w:adjustRightInd w:val="0"/>
      <w:spacing w:before="60" w:after="60"/>
      <w:ind w:right="57"/>
      <w:jc w:val="left"/>
    </w:pPr>
    <w:rPr>
      <w:rFonts w:ascii="宋体" w:cs="宋体"/>
      <w:kern w:val="0"/>
      <w:sz w:val="18"/>
      <w:szCs w:val="18"/>
    </w:rPr>
  </w:style>
  <w:style w:type="paragraph" w:customStyle="1" w:styleId="391">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2">
    <w:name w:val="样式2"/>
    <w:basedOn w:val="5"/>
    <w:qFormat/>
    <w:uiPriority w:val="0"/>
    <w:rPr>
      <w:i/>
    </w:rPr>
  </w:style>
  <w:style w:type="paragraph" w:customStyle="1" w:styleId="393">
    <w:name w:val="font6"/>
    <w:basedOn w:val="1"/>
    <w:qFormat/>
    <w:uiPriority w:val="0"/>
    <w:pPr>
      <w:widowControl/>
      <w:spacing w:before="100" w:beforeAutospacing="1" w:after="100" w:afterAutospacing="1"/>
      <w:jc w:val="left"/>
    </w:pPr>
    <w:rPr>
      <w:kern w:val="0"/>
      <w:sz w:val="16"/>
      <w:szCs w:val="16"/>
    </w:rPr>
  </w:style>
  <w:style w:type="paragraph" w:customStyle="1" w:styleId="394">
    <w:name w:val="手册页眉"/>
    <w:basedOn w:val="1"/>
    <w:qFormat/>
    <w:uiPriority w:val="0"/>
    <w:pPr>
      <w:spacing w:line="400" w:lineRule="exact"/>
    </w:pPr>
    <w:rPr>
      <w:rFonts w:ascii="Arial" w:hAnsi="Arial"/>
      <w:sz w:val="18"/>
      <w:szCs w:val="24"/>
    </w:rPr>
  </w:style>
  <w:style w:type="paragraph" w:customStyle="1" w:styleId="395">
    <w:name w:val="正文文本 21"/>
    <w:basedOn w:val="1"/>
    <w:qFormat/>
    <w:uiPriority w:val="0"/>
    <w:pPr>
      <w:suppressAutoHyphens/>
    </w:pPr>
    <w:rPr>
      <w:rFonts w:eastAsia="楷体_GB2312"/>
      <w:b/>
      <w:szCs w:val="20"/>
      <w:lang w:eastAsia="ar-SA"/>
    </w:rPr>
  </w:style>
  <w:style w:type="paragraph" w:customStyle="1" w:styleId="396">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7">
    <w:name w:val="xl36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8">
    <w:name w:val="默认段落字体 Para Char Char Char1 Char"/>
    <w:basedOn w:val="1"/>
    <w:qFormat/>
    <w:uiPriority w:val="0"/>
    <w:pPr>
      <w:spacing w:line="360" w:lineRule="auto"/>
      <w:ind w:left="420" w:firstLine="420"/>
    </w:pPr>
    <w:rPr>
      <w:kern w:val="0"/>
      <w:sz w:val="24"/>
      <w:szCs w:val="21"/>
    </w:rPr>
  </w:style>
  <w:style w:type="paragraph" w:customStyle="1" w:styleId="399">
    <w:name w:val="xl3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
    <w:name w:val="xl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1">
    <w:name w:val="xl30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2">
    <w:name w:val="表标"/>
    <w:basedOn w:val="1"/>
    <w:next w:val="1"/>
    <w:qFormat/>
    <w:uiPriority w:val="0"/>
    <w:pPr>
      <w:keepNext/>
      <w:keepLines/>
      <w:widowControl/>
      <w:autoSpaceDE w:val="0"/>
      <w:autoSpaceDN w:val="0"/>
      <w:adjustRightInd w:val="0"/>
      <w:snapToGrid w:val="0"/>
      <w:spacing w:before="80" w:after="80" w:line="300" w:lineRule="auto"/>
      <w:jc w:val="center"/>
      <w:textAlignment w:val="baseline"/>
    </w:pPr>
    <w:rPr>
      <w:rFonts w:ascii="黑体" w:eastAsia="黑体"/>
      <w:color w:val="000000"/>
      <w:kern w:val="0"/>
      <w:sz w:val="24"/>
      <w:szCs w:val="20"/>
    </w:rPr>
  </w:style>
  <w:style w:type="paragraph" w:customStyle="1" w:styleId="403">
    <w:name w:val="xl3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4">
    <w:name w:val="正题"/>
    <w:basedOn w:val="148"/>
    <w:next w:val="148"/>
    <w:qFormat/>
    <w:uiPriority w:val="0"/>
    <w:pPr>
      <w:ind w:firstLine="0" w:firstLineChars="0"/>
      <w:jc w:val="center"/>
    </w:pPr>
    <w:rPr>
      <w:rFonts w:eastAsia="黑体"/>
      <w:b/>
      <w:sz w:val="36"/>
      <w:szCs w:val="36"/>
    </w:rPr>
  </w:style>
  <w:style w:type="paragraph" w:customStyle="1" w:styleId="405">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6">
    <w:name w:val="xl3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07">
    <w:name w:val="Char Char Char Char"/>
    <w:basedOn w:val="1"/>
    <w:qFormat/>
    <w:uiPriority w:val="0"/>
    <w:rPr>
      <w:szCs w:val="24"/>
    </w:rPr>
  </w:style>
  <w:style w:type="paragraph" w:customStyle="1" w:styleId="408">
    <w:name w:val="subject_matter"/>
    <w:basedOn w:val="1"/>
    <w:qFormat/>
    <w:uiPriority w:val="0"/>
    <w:pPr>
      <w:widowControl/>
      <w:spacing w:before="100" w:beforeAutospacing="1" w:after="100" w:afterAutospacing="1"/>
      <w:jc w:val="left"/>
    </w:pPr>
    <w:rPr>
      <w:rFonts w:ascii="Arial" w:hAnsi="Arial" w:cs="Arial"/>
      <w:color w:val="000000"/>
      <w:kern w:val="0"/>
      <w:sz w:val="20"/>
      <w:szCs w:val="24"/>
    </w:rPr>
  </w:style>
  <w:style w:type="paragraph" w:customStyle="1" w:styleId="409">
    <w:name w:val="xl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10">
    <w:name w:val="列表项目符号 21"/>
    <w:basedOn w:val="331"/>
    <w:qFormat/>
    <w:uiPriority w:val="0"/>
    <w:pPr>
      <w:widowControl/>
      <w:spacing w:after="220" w:line="220" w:lineRule="atLeast"/>
      <w:ind w:left="360" w:right="720"/>
      <w:jc w:val="left"/>
    </w:pPr>
  </w:style>
  <w:style w:type="paragraph" w:customStyle="1" w:styleId="411">
    <w:name w:val="xl3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2">
    <w:name w:val="IK_Ueberschrift"/>
    <w:basedOn w:val="1"/>
    <w:qFormat/>
    <w:uiPriority w:val="0"/>
    <w:pPr>
      <w:autoSpaceDE w:val="0"/>
      <w:autoSpaceDN w:val="0"/>
      <w:adjustRightInd w:val="0"/>
      <w:spacing w:before="20" w:after="20"/>
      <w:ind w:left="113"/>
      <w:jc w:val="left"/>
    </w:pPr>
    <w:rPr>
      <w:rFonts w:ascii="宋体" w:cs="宋体"/>
      <w:kern w:val="0"/>
      <w:sz w:val="18"/>
      <w:szCs w:val="18"/>
    </w:rPr>
  </w:style>
  <w:style w:type="paragraph" w:customStyle="1" w:styleId="413">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414">
    <w:name w:val="标签"/>
    <w:basedOn w:val="1"/>
    <w:qFormat/>
    <w:uiPriority w:val="0"/>
    <w:pPr>
      <w:suppressLineNumbers/>
      <w:suppressAutoHyphens/>
      <w:spacing w:before="120" w:after="120"/>
    </w:pPr>
    <w:rPr>
      <w:i/>
      <w:iCs/>
      <w:sz w:val="24"/>
      <w:szCs w:val="24"/>
      <w:lang w:eastAsia="ar-SA"/>
    </w:rPr>
  </w:style>
  <w:style w:type="paragraph" w:customStyle="1" w:styleId="415">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416">
    <w:name w:val="样式 标题 2 + 小四 段前: 0.5 行 段后: 0.5 行"/>
    <w:basedOn w:val="4"/>
    <w:qFormat/>
    <w:uiPriority w:val="0"/>
    <w:pPr>
      <w:tabs>
        <w:tab w:val="left" w:pos="645"/>
      </w:tabs>
      <w:spacing w:before="0" w:after="0" w:line="360" w:lineRule="auto"/>
      <w:ind w:left="645" w:hanging="645"/>
    </w:pPr>
    <w:rPr>
      <w:rFonts w:ascii="Times New Roman" w:hAnsi="Times New Roman" w:cs="宋体"/>
      <w:spacing w:val="6"/>
      <w:sz w:val="24"/>
      <w:szCs w:val="24"/>
    </w:rPr>
  </w:style>
  <w:style w:type="paragraph" w:customStyle="1" w:styleId="417">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418">
    <w:name w:val="纯文本1"/>
    <w:basedOn w:val="1"/>
    <w:qFormat/>
    <w:uiPriority w:val="0"/>
    <w:pPr>
      <w:suppressAutoHyphens/>
    </w:pPr>
    <w:rPr>
      <w:rFonts w:ascii="宋体" w:hAnsi="宋体"/>
      <w:szCs w:val="20"/>
      <w:lang w:eastAsia="ar-SA"/>
    </w:rPr>
  </w:style>
  <w:style w:type="paragraph" w:customStyle="1" w:styleId="419">
    <w:name w:val="xl26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0">
    <w:name w:val="xl2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1">
    <w:name w:val="xl3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22">
    <w:name w:val="xl3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423">
    <w:name w:val="xl3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24">
    <w:name w:val="样式 标题 3H3h33rd level3l3CT头标题 3(节)sect1.2.3Heading 3 - ..."/>
    <w:basedOn w:val="5"/>
    <w:qFormat/>
    <w:uiPriority w:val="0"/>
    <w:pPr>
      <w:adjustRightInd w:val="0"/>
      <w:snapToGrid w:val="0"/>
      <w:spacing w:before="0" w:after="0" w:line="360" w:lineRule="auto"/>
      <w:ind w:firstLine="0" w:firstLineChars="0"/>
    </w:pPr>
    <w:rPr>
      <w:rFonts w:hAnsi="Times New Roman" w:cs="宋体"/>
      <w:b/>
      <w:sz w:val="26"/>
      <w:szCs w:val="20"/>
    </w:rPr>
  </w:style>
  <w:style w:type="paragraph" w:customStyle="1" w:styleId="425">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426">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27">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28">
    <w:name w:val="内容目录 10"/>
    <w:basedOn w:val="429"/>
    <w:qFormat/>
    <w:uiPriority w:val="0"/>
    <w:pPr>
      <w:tabs>
        <w:tab w:val="right" w:leader="dot" w:pos="9637"/>
      </w:tabs>
      <w:ind w:left="2547"/>
    </w:pPr>
  </w:style>
  <w:style w:type="paragraph" w:customStyle="1" w:styleId="429">
    <w:name w:val="目录"/>
    <w:basedOn w:val="1"/>
    <w:qFormat/>
    <w:uiPriority w:val="0"/>
    <w:pPr>
      <w:suppressLineNumbers/>
      <w:suppressAutoHyphens/>
    </w:pPr>
    <w:rPr>
      <w:szCs w:val="20"/>
      <w:lang w:eastAsia="ar-SA"/>
    </w:rPr>
  </w:style>
  <w:style w:type="paragraph" w:customStyle="1" w:styleId="430">
    <w:name w:val="列出段落1"/>
    <w:basedOn w:val="1"/>
    <w:qFormat/>
    <w:uiPriority w:val="0"/>
    <w:rPr>
      <w:sz w:val="20"/>
      <w:szCs w:val="20"/>
    </w:rPr>
  </w:style>
  <w:style w:type="paragraph" w:customStyle="1" w:styleId="431">
    <w:name w:val="xl3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32">
    <w:name w:val="样式 标题 3 + 首行缩进:  1.06 厘米"/>
    <w:basedOn w:val="5"/>
    <w:qFormat/>
    <w:uiPriority w:val="0"/>
    <w:pPr>
      <w:spacing w:before="120" w:after="0" w:line="240" w:lineRule="auto"/>
      <w:ind w:firstLine="0" w:firstLineChars="0"/>
      <w:jc w:val="center"/>
    </w:pPr>
    <w:rPr>
      <w:rFonts w:ascii="宋体" w:eastAsia="宋体" w:cs="宋体"/>
      <w:b/>
      <w:bCs w:val="0"/>
      <w:color w:val="000000"/>
      <w:sz w:val="32"/>
      <w:szCs w:val="32"/>
    </w:rPr>
  </w:style>
  <w:style w:type="paragraph" w:customStyle="1" w:styleId="433">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34">
    <w:name w:val="xl3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35">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6">
    <w:name w:val="p17"/>
    <w:basedOn w:val="1"/>
    <w:qFormat/>
    <w:uiPriority w:val="0"/>
    <w:pPr>
      <w:widowControl/>
      <w:topLinePunct/>
      <w:snapToGrid w:val="0"/>
      <w:spacing w:line="360" w:lineRule="auto"/>
      <w:ind w:firstLine="420"/>
    </w:pPr>
    <w:rPr>
      <w:spacing w:val="4"/>
      <w:kern w:val="0"/>
      <w:sz w:val="24"/>
      <w:szCs w:val="24"/>
    </w:rPr>
  </w:style>
  <w:style w:type="paragraph" w:customStyle="1" w:styleId="437">
    <w:name w:val="xl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38">
    <w:name w:val="xl3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39">
    <w:name w:val="xl2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0">
    <w:name w:val="表格文字"/>
    <w:basedOn w:val="1"/>
    <w:qFormat/>
    <w:uiPriority w:val="0"/>
    <w:pPr>
      <w:adjustRightInd w:val="0"/>
      <w:spacing w:line="420" w:lineRule="atLeast"/>
      <w:jc w:val="left"/>
      <w:textAlignment w:val="baseline"/>
    </w:pPr>
    <w:rPr>
      <w:kern w:val="0"/>
      <w:szCs w:val="20"/>
    </w:rPr>
  </w:style>
  <w:style w:type="paragraph" w:customStyle="1" w:styleId="441">
    <w:name w:val="文二"/>
    <w:basedOn w:val="1"/>
    <w:qFormat/>
    <w:uiPriority w:val="0"/>
    <w:pPr>
      <w:jc w:val="left"/>
    </w:pPr>
    <w:rPr>
      <w:rFonts w:ascii="宋体" w:hAnsi="宋体"/>
      <w:szCs w:val="21"/>
    </w:rPr>
  </w:style>
  <w:style w:type="paragraph" w:customStyle="1" w:styleId="442">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43">
    <w:name w:val="修订11"/>
    <w:qFormat/>
    <w:uiPriority w:val="0"/>
    <w:rPr>
      <w:rFonts w:ascii="Times New Roman" w:hAnsi="Times New Roman" w:eastAsia="宋体" w:cs="Times New Roman"/>
      <w:kern w:val="2"/>
      <w:sz w:val="21"/>
      <w:szCs w:val="24"/>
      <w:lang w:val="en-US" w:eastAsia="zh-CN" w:bidi="ar-SA"/>
    </w:rPr>
  </w:style>
  <w:style w:type="paragraph" w:customStyle="1" w:styleId="444">
    <w:name w:val="xl26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445">
    <w:name w:val="font7"/>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446">
    <w:name w:val="xl2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47">
    <w:name w:val="－列表2"/>
    <w:basedOn w:val="1"/>
    <w:qFormat/>
    <w:uiPriority w:val="0"/>
    <w:pPr>
      <w:jc w:val="left"/>
    </w:pPr>
    <w:rPr>
      <w:rFonts w:hAnsi="Arial"/>
      <w:sz w:val="24"/>
      <w:szCs w:val="24"/>
    </w:rPr>
  </w:style>
  <w:style w:type="paragraph" w:customStyle="1" w:styleId="448">
    <w:name w:val="xl1244"/>
    <w:basedOn w:val="1"/>
    <w:qFormat/>
    <w:uiPriority w:val="0"/>
    <w:pPr>
      <w:widowControl/>
      <w:pBdr>
        <w:top w:val="single" w:color="auto" w:sz="4" w:space="0"/>
        <w:left w:val="single" w:color="auto" w:sz="4" w:space="0"/>
        <w:bottom w:val="single" w:color="auto" w:sz="4" w:space="0"/>
      </w:pBdr>
      <w:spacing w:before="100" w:after="100" w:line="360" w:lineRule="auto"/>
      <w:jc w:val="left"/>
    </w:pPr>
    <w:rPr>
      <w:rFonts w:ascii="宋体" w:hAnsi="宋体"/>
      <w:b/>
      <w:kern w:val="0"/>
      <w:sz w:val="20"/>
      <w:szCs w:val="20"/>
    </w:rPr>
  </w:style>
  <w:style w:type="paragraph" w:customStyle="1" w:styleId="449">
    <w:name w:val="文提"/>
    <w:basedOn w:val="148"/>
    <w:qFormat/>
    <w:uiPriority w:val="0"/>
    <w:pPr>
      <w:ind w:firstLine="0" w:firstLineChars="0"/>
    </w:pPr>
    <w:rPr>
      <w:rFonts w:eastAsia="黑体" w:cs="宋体"/>
      <w:b/>
    </w:rPr>
  </w:style>
  <w:style w:type="paragraph" w:customStyle="1" w:styleId="450">
    <w:name w:val="xl3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51">
    <w:name w:val="xl3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2">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53">
    <w:name w:val="xl2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54">
    <w:name w:val="xl2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55">
    <w:name w:val="xl2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56">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57">
    <w:name w:val="xl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58">
    <w:name w:val="xl31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459">
    <w:name w:val="medaps_tab_0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0">
    <w:name w:val="xl26"/>
    <w:basedOn w:val="1"/>
    <w:qFormat/>
    <w:uiPriority w:val="0"/>
    <w:pPr>
      <w:widowControl/>
      <w:pBdr>
        <w:left w:val="single" w:color="000000" w:sz="4" w:space="0"/>
        <w:bottom w:val="single" w:color="000000" w:sz="4" w:space="0"/>
        <w:right w:val="single" w:color="000000" w:sz="4" w:space="0"/>
      </w:pBdr>
      <w:suppressAutoHyphens/>
      <w:spacing w:before="280" w:after="280"/>
      <w:jc w:val="center"/>
    </w:pPr>
    <w:rPr>
      <w:rFonts w:ascii="宋体" w:hAnsi="宋体"/>
      <w:sz w:val="24"/>
      <w:szCs w:val="20"/>
      <w:lang w:eastAsia="ar-SA"/>
    </w:rPr>
  </w:style>
  <w:style w:type="paragraph" w:customStyle="1" w:styleId="461">
    <w:name w:val="Char Char"/>
    <w:basedOn w:val="1"/>
    <w:qFormat/>
    <w:uiPriority w:val="0"/>
    <w:rPr>
      <w:rFonts w:ascii="仿宋_GB2312" w:eastAsia="仿宋_GB2312"/>
      <w:b/>
      <w:sz w:val="32"/>
      <w:szCs w:val="32"/>
    </w:rPr>
  </w:style>
  <w:style w:type="paragraph" w:customStyle="1" w:styleId="462">
    <w:name w:val="xl2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3">
    <w:name w:val="表格内文字"/>
    <w:basedOn w:val="25"/>
    <w:qFormat/>
    <w:uiPriority w:val="0"/>
    <w:pPr>
      <w:widowControl/>
      <w:spacing w:after="0"/>
      <w:jc w:val="center"/>
    </w:pPr>
    <w:rPr>
      <w:rFonts w:ascii="Times New Roman" w:hAnsi="Times New Roman"/>
      <w:bCs/>
      <w:szCs w:val="21"/>
    </w:rPr>
  </w:style>
  <w:style w:type="paragraph" w:customStyle="1" w:styleId="464">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5">
    <w:name w:val="xl3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66">
    <w:name w:val="正文文本缩进 31"/>
    <w:basedOn w:val="1"/>
    <w:qFormat/>
    <w:uiPriority w:val="0"/>
    <w:pPr>
      <w:suppressAutoHyphens/>
      <w:spacing w:after="120"/>
      <w:ind w:left="420"/>
    </w:pPr>
    <w:rPr>
      <w:sz w:val="16"/>
      <w:szCs w:val="20"/>
      <w:lang w:eastAsia="ar-SA"/>
    </w:rPr>
  </w:style>
  <w:style w:type="paragraph" w:customStyle="1" w:styleId="467">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468">
    <w:name w:val="章节三"/>
    <w:basedOn w:val="148"/>
    <w:next w:val="148"/>
    <w:qFormat/>
    <w:uiPriority w:val="0"/>
    <w:pPr>
      <w:spacing w:beforeLines="50" w:afterLines="50" w:line="240" w:lineRule="auto"/>
      <w:ind w:firstLine="0" w:firstLineChars="0"/>
      <w:jc w:val="left"/>
      <w:outlineLvl w:val="2"/>
    </w:pPr>
    <w:rPr>
      <w:rFonts w:ascii="黑体" w:hAnsi="宋体" w:eastAsia="黑体"/>
      <w:b/>
    </w:rPr>
  </w:style>
  <w:style w:type="paragraph" w:customStyle="1" w:styleId="469">
    <w:name w:val="xl3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470">
    <w:name w:val="+标题2"/>
    <w:basedOn w:val="4"/>
    <w:qFormat/>
    <w:uiPriority w:val="0"/>
    <w:pPr>
      <w:spacing w:before="120" w:after="120" w:line="360" w:lineRule="auto"/>
      <w:ind w:left="840" w:hanging="420"/>
    </w:pPr>
    <w:rPr>
      <w:rFonts w:ascii="Times New Roman" w:hAnsi="Times New Roman" w:eastAsia="宋体"/>
      <w:sz w:val="24"/>
      <w:szCs w:val="28"/>
    </w:rPr>
  </w:style>
  <w:style w:type="paragraph" w:customStyle="1" w:styleId="471">
    <w:name w:val="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72">
    <w:name w:val="xl2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73">
    <w:name w:val="xl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4">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475">
    <w:name w:val="+1."/>
    <w:basedOn w:val="1"/>
    <w:qFormat/>
    <w:uiPriority w:val="0"/>
    <w:pPr>
      <w:spacing w:line="360" w:lineRule="auto"/>
    </w:pPr>
    <w:rPr>
      <w:sz w:val="24"/>
      <w:szCs w:val="28"/>
    </w:rPr>
  </w:style>
  <w:style w:type="paragraph" w:customStyle="1" w:styleId="476">
    <w:name w:val="手册文字"/>
    <w:qFormat/>
    <w:uiPriority w:val="0"/>
    <w:pPr>
      <w:spacing w:beforeLines="50" w:line="360" w:lineRule="auto"/>
      <w:ind w:firstLine="538" w:firstLineChars="256"/>
      <w:jc w:val="both"/>
    </w:pPr>
    <w:rPr>
      <w:rFonts w:ascii="Times New Roman" w:hAnsi="Times New Roman" w:eastAsia="宋体" w:cs="Times New Roman"/>
      <w:sz w:val="21"/>
      <w:szCs w:val="21"/>
      <w:lang w:val="en-US" w:eastAsia="zh-CN" w:bidi="ar-SA"/>
    </w:rPr>
  </w:style>
  <w:style w:type="paragraph" w:customStyle="1" w:styleId="477">
    <w:name w:val="xl26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78">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479">
    <w:name w:val="xl3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80">
    <w:name w:val="文书"/>
    <w:basedOn w:val="1"/>
    <w:qFormat/>
    <w:uiPriority w:val="0"/>
    <w:pPr>
      <w:ind w:firstLine="560" w:firstLineChars="200"/>
    </w:pPr>
    <w:rPr>
      <w:sz w:val="28"/>
      <w:szCs w:val="24"/>
    </w:rPr>
  </w:style>
  <w:style w:type="paragraph" w:customStyle="1" w:styleId="481">
    <w:name w:val="xl2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2">
    <w:name w:val="xl2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83">
    <w:name w:val="xl3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84">
    <w:name w:val="Char2"/>
    <w:basedOn w:val="1"/>
    <w:qFormat/>
    <w:uiPriority w:val="0"/>
    <w:pPr>
      <w:tabs>
        <w:tab w:val="left" w:pos="1360"/>
      </w:tabs>
      <w:ind w:left="1360" w:hanging="720"/>
    </w:pPr>
    <w:rPr>
      <w:szCs w:val="20"/>
    </w:rPr>
  </w:style>
  <w:style w:type="paragraph" w:customStyle="1" w:styleId="485">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kern w:val="0"/>
      <w:sz w:val="16"/>
      <w:szCs w:val="16"/>
    </w:rPr>
  </w:style>
  <w:style w:type="paragraph" w:customStyle="1" w:styleId="48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87">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488">
    <w:name w:val="xl3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9">
    <w:name w:val="xl29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0">
    <w:name w:val="xl3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1">
    <w:name w:val="标书正文"/>
    <w:basedOn w:val="1"/>
    <w:qFormat/>
    <w:uiPriority w:val="0"/>
    <w:pPr>
      <w:overflowPunct w:val="0"/>
      <w:topLinePunct/>
      <w:adjustRightInd w:val="0"/>
      <w:snapToGrid w:val="0"/>
      <w:spacing w:line="360" w:lineRule="auto"/>
      <w:ind w:firstLine="520" w:firstLineChars="200"/>
      <w:jc w:val="left"/>
    </w:pPr>
    <w:rPr>
      <w:rFonts w:ascii="宋体" w:hAnsi="宋体"/>
      <w:kern w:val="0"/>
      <w:sz w:val="26"/>
      <w:szCs w:val="26"/>
    </w:rPr>
  </w:style>
  <w:style w:type="paragraph" w:customStyle="1" w:styleId="492">
    <w:name w:val="Char Char Char1 Char"/>
    <w:basedOn w:val="20"/>
    <w:qFormat/>
    <w:uiPriority w:val="0"/>
    <w:rPr>
      <w:rFonts w:ascii="Tahoma" w:hAnsi="Tahoma"/>
      <w:sz w:val="24"/>
    </w:rPr>
  </w:style>
  <w:style w:type="paragraph" w:customStyle="1" w:styleId="493">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94">
    <w:name w:val="xl25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95">
    <w:name w:val="xl2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6">
    <w:name w:val="Char1 Char Char Char Char Char Char1"/>
    <w:basedOn w:val="1"/>
    <w:qFormat/>
    <w:uiPriority w:val="0"/>
    <w:rPr>
      <w:sz w:val="24"/>
      <w:szCs w:val="24"/>
    </w:rPr>
  </w:style>
  <w:style w:type="paragraph" w:customStyle="1" w:styleId="497">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98">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99">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00">
    <w:name w:val="para"/>
    <w:basedOn w:val="1"/>
    <w:qFormat/>
    <w:uiPriority w:val="0"/>
    <w:pPr>
      <w:widowControl/>
      <w:spacing w:before="100" w:beforeAutospacing="1" w:after="100" w:afterAutospacing="1"/>
      <w:jc w:val="left"/>
    </w:pPr>
    <w:rPr>
      <w:rFonts w:ascii="Arial" w:hAnsi="Arial" w:cs="Arial"/>
      <w:kern w:val="0"/>
      <w:sz w:val="24"/>
      <w:szCs w:val="24"/>
    </w:rPr>
  </w:style>
  <w:style w:type="paragraph" w:customStyle="1" w:styleId="501">
    <w:name w:val="xl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2">
    <w:name w:val="xl42"/>
    <w:basedOn w:val="1"/>
    <w:qFormat/>
    <w:uiPriority w:val="0"/>
    <w:pPr>
      <w:widowControl/>
      <w:spacing w:before="100" w:beforeAutospacing="1" w:after="100" w:afterAutospacing="1"/>
      <w:jc w:val="center"/>
    </w:pPr>
    <w:rPr>
      <w:rFonts w:ascii="Arial" w:hAnsi="Arial" w:cs="Arial"/>
      <w:kern w:val="0"/>
      <w:sz w:val="16"/>
      <w:szCs w:val="16"/>
    </w:rPr>
  </w:style>
  <w:style w:type="paragraph" w:customStyle="1" w:styleId="503">
    <w:name w:val="Char1 Char Char Char1"/>
    <w:basedOn w:val="1"/>
    <w:qFormat/>
    <w:uiPriority w:val="0"/>
    <w:rPr>
      <w:rFonts w:ascii="Tahoma" w:hAnsi="Tahoma"/>
      <w:sz w:val="24"/>
      <w:szCs w:val="20"/>
    </w:rPr>
  </w:style>
  <w:style w:type="paragraph" w:customStyle="1" w:styleId="504">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505">
    <w:name w:val="xl3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6">
    <w:name w:val="标题1"/>
    <w:basedOn w:val="1"/>
    <w:next w:val="25"/>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507">
    <w:name w:val="font10"/>
    <w:basedOn w:val="1"/>
    <w:qFormat/>
    <w:uiPriority w:val="0"/>
    <w:pPr>
      <w:widowControl/>
      <w:spacing w:before="100" w:beforeAutospacing="1" w:after="100" w:afterAutospacing="1"/>
      <w:jc w:val="left"/>
    </w:pPr>
    <w:rPr>
      <w:rFonts w:ascii="仿宋_GB2312" w:hAnsi="宋体" w:eastAsia="仿宋_GB2312"/>
      <w:kern w:val="0"/>
      <w:sz w:val="16"/>
      <w:szCs w:val="16"/>
    </w:rPr>
  </w:style>
  <w:style w:type="paragraph" w:customStyle="1" w:styleId="508">
    <w:name w:val="封二"/>
    <w:basedOn w:val="148"/>
    <w:next w:val="148"/>
    <w:qFormat/>
    <w:uiPriority w:val="0"/>
    <w:pPr>
      <w:ind w:firstLine="0" w:firstLineChars="0"/>
      <w:jc w:val="center"/>
    </w:pPr>
    <w:rPr>
      <w:rFonts w:eastAsia="黑体"/>
      <w:b/>
      <w:sz w:val="36"/>
      <w:szCs w:val="36"/>
    </w:rPr>
  </w:style>
  <w:style w:type="paragraph" w:customStyle="1" w:styleId="509">
    <w:name w:val="xl3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11">
    <w:name w:val="p26"/>
    <w:basedOn w:val="1"/>
    <w:qFormat/>
    <w:uiPriority w:val="0"/>
    <w:pPr>
      <w:widowControl/>
    </w:pPr>
    <w:rPr>
      <w:kern w:val="0"/>
      <w:szCs w:val="21"/>
    </w:rPr>
  </w:style>
  <w:style w:type="paragraph" w:customStyle="1" w:styleId="512">
    <w:name w:val="xl2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3">
    <w:name w:val="样式 标题 2 + 宋体"/>
    <w:basedOn w:val="4"/>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514">
    <w:name w:val="xl2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5">
    <w:name w:val="xl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6">
    <w:name w:val="保留正文"/>
    <w:basedOn w:val="25"/>
    <w:qFormat/>
    <w:uiPriority w:val="0"/>
    <w:pPr>
      <w:keepNext/>
      <w:spacing w:after="160"/>
    </w:pPr>
    <w:rPr>
      <w:rFonts w:ascii="Times New Roman" w:hAnsi="Times New Roman"/>
      <w:szCs w:val="24"/>
    </w:rPr>
  </w:style>
  <w:style w:type="paragraph" w:customStyle="1" w:styleId="517">
    <w:name w:val="样式 标题 3 + (中文) 黑体 小四 非加粗 段前: 7.8 磅 段后: 0 磅 行距: 固定值 20 磅"/>
    <w:basedOn w:val="5"/>
    <w:qFormat/>
    <w:uiPriority w:val="0"/>
    <w:pPr>
      <w:spacing w:before="0" w:after="0" w:line="400" w:lineRule="exact"/>
    </w:pPr>
    <w:rPr>
      <w:rFonts w:cs="宋体"/>
      <w:bCs w:val="0"/>
      <w:sz w:val="24"/>
      <w:szCs w:val="20"/>
    </w:rPr>
  </w:style>
  <w:style w:type="paragraph" w:customStyle="1" w:styleId="518">
    <w:name w:val="xl3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19">
    <w:name w:val="xl31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520">
    <w:name w:val="Char"/>
    <w:basedOn w:val="1"/>
    <w:qFormat/>
    <w:uiPriority w:val="0"/>
    <w:pPr>
      <w:tabs>
        <w:tab w:val="left" w:pos="360"/>
      </w:tabs>
    </w:pPr>
    <w:rPr>
      <w:sz w:val="24"/>
      <w:szCs w:val="24"/>
    </w:rPr>
  </w:style>
  <w:style w:type="paragraph" w:customStyle="1" w:styleId="521">
    <w:name w:val="表头"/>
    <w:basedOn w:val="1"/>
    <w:qFormat/>
    <w:uiPriority w:val="0"/>
    <w:pPr>
      <w:spacing w:line="360" w:lineRule="auto"/>
      <w:jc w:val="center"/>
    </w:pPr>
    <w:rPr>
      <w:rFonts w:ascii="黑体" w:eastAsia="黑体"/>
      <w:kern w:val="0"/>
      <w:sz w:val="24"/>
      <w:szCs w:val="20"/>
    </w:rPr>
  </w:style>
  <w:style w:type="paragraph" w:customStyle="1" w:styleId="522">
    <w:name w:val="xl4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6"/>
      <w:szCs w:val="16"/>
    </w:rPr>
  </w:style>
  <w:style w:type="paragraph" w:customStyle="1" w:styleId="523">
    <w:name w:val="批注文字1"/>
    <w:basedOn w:val="1"/>
    <w:qFormat/>
    <w:uiPriority w:val="0"/>
    <w:pPr>
      <w:suppressAutoHyphens/>
      <w:jc w:val="left"/>
    </w:pPr>
    <w:rPr>
      <w:szCs w:val="20"/>
      <w:lang w:eastAsia="ar-SA"/>
    </w:rPr>
  </w:style>
  <w:style w:type="paragraph" w:customStyle="1" w:styleId="524">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52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26">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7">
    <w:name w:val="Char Char Char Char1"/>
    <w:basedOn w:val="1"/>
    <w:qFormat/>
    <w:uiPriority w:val="0"/>
    <w:rPr>
      <w:szCs w:val="24"/>
    </w:rPr>
  </w:style>
  <w:style w:type="paragraph" w:customStyle="1" w:styleId="528">
    <w:name w:val="v15"/>
    <w:basedOn w:val="1"/>
    <w:qFormat/>
    <w:uiPriority w:val="0"/>
    <w:pPr>
      <w:widowControl/>
      <w:spacing w:before="100" w:beforeAutospacing="1" w:after="100" w:afterAutospacing="1" w:line="280" w:lineRule="atLeast"/>
      <w:jc w:val="left"/>
    </w:pPr>
    <w:rPr>
      <w:rFonts w:ascii="Arial" w:hAnsi="Arial" w:cs="Arial"/>
      <w:color w:val="000000"/>
      <w:kern w:val="0"/>
      <w:sz w:val="18"/>
      <w:szCs w:val="18"/>
    </w:rPr>
  </w:style>
  <w:style w:type="paragraph" w:customStyle="1" w:styleId="52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530">
    <w:name w:val="表格标题"/>
    <w:basedOn w:val="364"/>
    <w:qFormat/>
    <w:uiPriority w:val="0"/>
    <w:pPr>
      <w:jc w:val="center"/>
    </w:pPr>
    <w:rPr>
      <w:b/>
      <w:bCs/>
    </w:rPr>
  </w:style>
  <w:style w:type="paragraph" w:customStyle="1" w:styleId="531">
    <w:name w:val="xl2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32">
    <w:name w:val="内部列表"/>
    <w:basedOn w:val="1"/>
    <w:qFormat/>
    <w:uiPriority w:val="0"/>
    <w:pPr>
      <w:tabs>
        <w:tab w:val="left" w:pos="420"/>
      </w:tabs>
      <w:adjustRightInd w:val="0"/>
      <w:snapToGrid w:val="0"/>
      <w:spacing w:line="300" w:lineRule="auto"/>
      <w:ind w:left="420" w:hanging="420"/>
    </w:pPr>
    <w:rPr>
      <w:szCs w:val="24"/>
    </w:rPr>
  </w:style>
  <w:style w:type="paragraph" w:customStyle="1" w:styleId="533">
    <w:name w:val="Char Char Char Char Char Char Char Char Char Char Char Char Char"/>
    <w:basedOn w:val="20"/>
    <w:qFormat/>
    <w:uiPriority w:val="0"/>
    <w:rPr>
      <w:rFonts w:ascii="Tahoma" w:hAnsi="Tahoma"/>
      <w:sz w:val="24"/>
    </w:rPr>
  </w:style>
  <w:style w:type="paragraph" w:customStyle="1" w:styleId="534">
    <w:name w:val="样式 四号 左 行距: 1.5 倍行距 首行缩进:  2 字符"/>
    <w:basedOn w:val="1"/>
    <w:qFormat/>
    <w:uiPriority w:val="0"/>
    <w:pPr>
      <w:spacing w:line="360" w:lineRule="auto"/>
      <w:ind w:firstLine="560" w:firstLineChars="200"/>
      <w:jc w:val="left"/>
    </w:pPr>
    <w:rPr>
      <w:sz w:val="24"/>
      <w:szCs w:val="20"/>
    </w:rPr>
  </w:style>
  <w:style w:type="paragraph" w:customStyle="1" w:styleId="535">
    <w:name w:val="xl3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36">
    <w:name w:val="Char1 Char Char Char Char Char Char11"/>
    <w:basedOn w:val="1"/>
    <w:qFormat/>
    <w:uiPriority w:val="0"/>
    <w:rPr>
      <w:sz w:val="24"/>
      <w:szCs w:val="24"/>
    </w:rPr>
  </w:style>
  <w:style w:type="paragraph" w:customStyle="1" w:styleId="537">
    <w:name w:val="Char Char Char Char Char Char"/>
    <w:basedOn w:val="1"/>
    <w:qFormat/>
    <w:uiPriority w:val="0"/>
    <w:rPr>
      <w:szCs w:val="21"/>
    </w:rPr>
  </w:style>
  <w:style w:type="paragraph" w:customStyle="1" w:styleId="538">
    <w:name w:val="正文2"/>
    <w:basedOn w:val="1"/>
    <w:qFormat/>
    <w:uiPriority w:val="0"/>
    <w:pPr>
      <w:widowControl/>
      <w:spacing w:after="160" w:line="360" w:lineRule="auto"/>
      <w:ind w:firstLine="200" w:firstLineChars="200"/>
      <w:jc w:val="left"/>
    </w:pPr>
    <w:rPr>
      <w:rFonts w:ascii="Verdana" w:hAnsi="Verdana" w:eastAsia="黑体"/>
      <w:kern w:val="0"/>
      <w:szCs w:val="20"/>
      <w:lang w:eastAsia="en-US"/>
    </w:rPr>
  </w:style>
  <w:style w:type="paragraph" w:customStyle="1" w:styleId="539">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40">
    <w:name w:val="xl3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41">
    <w:name w:val="font9"/>
    <w:basedOn w:val="1"/>
    <w:qFormat/>
    <w:uiPriority w:val="0"/>
    <w:pPr>
      <w:widowControl/>
      <w:spacing w:before="100" w:beforeAutospacing="1" w:after="100" w:afterAutospacing="1"/>
      <w:jc w:val="left"/>
    </w:pPr>
    <w:rPr>
      <w:rFonts w:ascii="Arial" w:hAnsi="Arial" w:cs="Arial"/>
      <w:kern w:val="0"/>
      <w:sz w:val="16"/>
      <w:szCs w:val="16"/>
    </w:rPr>
  </w:style>
  <w:style w:type="paragraph" w:customStyle="1" w:styleId="542">
    <w:name w:val="xl2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43">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544">
    <w:name w:val="xl3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45">
    <w:name w:val="+标题4"/>
    <w:basedOn w:val="6"/>
    <w:qFormat/>
    <w:uiPriority w:val="0"/>
    <w:pPr>
      <w:tabs>
        <w:tab w:val="left" w:pos="280"/>
      </w:tabs>
      <w:spacing w:before="120" w:after="120" w:line="360" w:lineRule="auto"/>
      <w:ind w:left="-1"/>
    </w:pPr>
    <w:rPr>
      <w:rFonts w:ascii="Times New Roman" w:hAnsi="Times New Roman" w:eastAsia="宋体"/>
      <w:sz w:val="24"/>
    </w:rPr>
  </w:style>
  <w:style w:type="paragraph" w:customStyle="1" w:styleId="546">
    <w:name w:val="样式一"/>
    <w:basedOn w:val="1"/>
    <w:qFormat/>
    <w:uiPriority w:val="0"/>
    <w:pPr>
      <w:autoSpaceDE w:val="0"/>
      <w:autoSpaceDN w:val="0"/>
      <w:adjustRightInd w:val="0"/>
      <w:spacing w:line="360" w:lineRule="auto"/>
      <w:ind w:firstLine="480" w:firstLineChars="200"/>
    </w:pPr>
    <w:rPr>
      <w:rFonts w:hint="eastAsia" w:ascii="宋体" w:hAnsi="宋体"/>
      <w:kern w:val="0"/>
      <w:sz w:val="24"/>
      <w:szCs w:val="20"/>
      <w:lang w:val="en-GB"/>
    </w:rPr>
  </w:style>
  <w:style w:type="paragraph" w:customStyle="1" w:styleId="54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16"/>
      <w:szCs w:val="16"/>
    </w:rPr>
  </w:style>
  <w:style w:type="paragraph" w:customStyle="1" w:styleId="548">
    <w:name w:val="xl3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49">
    <w:name w:val="Char3"/>
    <w:basedOn w:val="1"/>
    <w:qFormat/>
    <w:uiPriority w:val="0"/>
    <w:rPr>
      <w:sz w:val="24"/>
      <w:szCs w:val="24"/>
    </w:rPr>
  </w:style>
  <w:style w:type="paragraph" w:customStyle="1" w:styleId="550">
    <w:name w:val="xl3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1">
    <w:name w:val="日期1"/>
    <w:basedOn w:val="1"/>
    <w:next w:val="1"/>
    <w:qFormat/>
    <w:uiPriority w:val="0"/>
    <w:pPr>
      <w:suppressAutoHyphens/>
      <w:ind w:left="100"/>
    </w:pPr>
    <w:rPr>
      <w:szCs w:val="20"/>
      <w:lang w:eastAsia="ar-SA"/>
    </w:rPr>
  </w:style>
  <w:style w:type="paragraph" w:customStyle="1" w:styleId="552">
    <w:name w:val="xl2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3">
    <w:name w:val="样式 标题 1 + 黑体 小三 段前: 0 磅 段后: 0 磅 行距: 1.5 倍行距"/>
    <w:basedOn w:val="3"/>
    <w:qFormat/>
    <w:uiPriority w:val="0"/>
    <w:pPr>
      <w:tabs>
        <w:tab w:val="left" w:pos="1440"/>
      </w:tabs>
      <w:adjustRightInd w:val="0"/>
      <w:spacing w:before="0" w:after="0" w:line="360" w:lineRule="auto"/>
    </w:pPr>
    <w:rPr>
      <w:rFonts w:ascii="黑体" w:eastAsia="黑体" w:cs="宋体"/>
      <w:sz w:val="30"/>
      <w:szCs w:val="20"/>
    </w:rPr>
  </w:style>
  <w:style w:type="paragraph" w:customStyle="1" w:styleId="554">
    <w:name w:val="xl2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5">
    <w:name w:val="正文文本缩进 21"/>
    <w:basedOn w:val="1"/>
    <w:qFormat/>
    <w:uiPriority w:val="0"/>
    <w:pPr>
      <w:suppressAutoHyphens/>
      <w:spacing w:after="120" w:line="480" w:lineRule="auto"/>
      <w:ind w:left="420"/>
    </w:pPr>
    <w:rPr>
      <w:szCs w:val="20"/>
      <w:lang w:eastAsia="ar-SA"/>
    </w:rPr>
  </w:style>
  <w:style w:type="paragraph" w:customStyle="1" w:styleId="556">
    <w:name w:val="xl3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5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558">
    <w:name w:val="xl2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59">
    <w:name w:val="xl3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60">
    <w:name w:val="xl3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561">
    <w:name w:val="默认段落字体 Para Char Char Char Char Char Char Char"/>
    <w:basedOn w:val="20"/>
    <w:qFormat/>
    <w:uiPriority w:val="0"/>
    <w:pPr>
      <w:adjustRightInd w:val="0"/>
      <w:spacing w:line="436" w:lineRule="exact"/>
      <w:ind w:left="357"/>
      <w:jc w:val="left"/>
      <w:outlineLvl w:val="3"/>
    </w:pPr>
    <w:rPr>
      <w:rFonts w:ascii="Tahoma" w:hAnsi="Tahoma"/>
      <w:b/>
      <w:sz w:val="24"/>
    </w:rPr>
  </w:style>
  <w:style w:type="paragraph" w:customStyle="1" w:styleId="562">
    <w:name w:val="xl43"/>
    <w:basedOn w:val="1"/>
    <w:qFormat/>
    <w:uiPriority w:val="0"/>
    <w:pPr>
      <w:widowControl/>
      <w:spacing w:before="100" w:beforeAutospacing="1" w:after="100" w:afterAutospacing="1"/>
      <w:jc w:val="center"/>
    </w:pPr>
    <w:rPr>
      <w:rFonts w:ascii="仿宋_GB2312" w:hAnsi="宋体" w:eastAsia="仿宋_GB2312"/>
      <w:kern w:val="0"/>
      <w:sz w:val="16"/>
      <w:szCs w:val="16"/>
    </w:rPr>
  </w:style>
  <w:style w:type="paragraph" w:customStyle="1" w:styleId="563">
    <w:name w:val="普通(网站)1"/>
    <w:basedOn w:val="1"/>
    <w:qFormat/>
    <w:uiPriority w:val="0"/>
    <w:pPr>
      <w:widowControl/>
      <w:suppressAutoHyphens/>
      <w:spacing w:before="284" w:after="280" w:line="360" w:lineRule="auto"/>
      <w:jc w:val="left"/>
    </w:pPr>
    <w:rPr>
      <w:rFonts w:ascii="宋体" w:hAnsi="宋体"/>
      <w:sz w:val="24"/>
      <w:szCs w:val="20"/>
      <w:lang w:eastAsia="ar-SA"/>
    </w:rPr>
  </w:style>
  <w:style w:type="paragraph" w:customStyle="1" w:styleId="56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Char Char Char Char Char Char Char Char Char Char Char"/>
    <w:basedOn w:val="6"/>
    <w:qFormat/>
    <w:uiPriority w:val="0"/>
    <w:pPr>
      <w:spacing w:line="376" w:lineRule="auto"/>
      <w:ind w:left="3"/>
    </w:pPr>
    <w:rPr>
      <w:rFonts w:ascii="Times New Roman" w:hAnsi="Times New Roman" w:eastAsia="宋体"/>
      <w:b w:val="0"/>
      <w:bCs w:val="0"/>
      <w:sz w:val="24"/>
      <w:szCs w:val="24"/>
    </w:rPr>
  </w:style>
  <w:style w:type="paragraph" w:customStyle="1" w:styleId="566">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7">
    <w:name w:val="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character" w:customStyle="1" w:styleId="568">
    <w:name w:val="不明显参考3"/>
    <w:qFormat/>
    <w:uiPriority w:val="0"/>
    <w:rPr>
      <w:smallCaps/>
      <w:color w:val="C0504D"/>
      <w:u w:val="single"/>
    </w:rPr>
  </w:style>
  <w:style w:type="character" w:customStyle="1" w:styleId="569">
    <w:name w:val="标题 1 Char Char Char"/>
    <w:qFormat/>
    <w:uiPriority w:val="0"/>
    <w:rPr>
      <w:rFonts w:hint="eastAsia" w:ascii="宋体" w:hAnsi="宋体" w:eastAsia="宋体"/>
      <w:b/>
      <w:bCs/>
      <w:kern w:val="44"/>
      <w:sz w:val="44"/>
      <w:szCs w:val="44"/>
      <w:lang w:val="en-US" w:eastAsia="zh-CN" w:bidi="ar-SA"/>
    </w:rPr>
  </w:style>
  <w:style w:type="character" w:customStyle="1" w:styleId="570">
    <w:name w:val="Char Char12"/>
    <w:qFormat/>
    <w:uiPriority w:val="0"/>
    <w:rPr>
      <w:rFonts w:ascii="Arial" w:hAnsi="Arial" w:eastAsia="楷体_GB2312"/>
      <w:b/>
      <w:kern w:val="2"/>
      <w:sz w:val="44"/>
    </w:rPr>
  </w:style>
  <w:style w:type="character" w:customStyle="1" w:styleId="571">
    <w:name w:val="样式 仿宋_GB2312 四号 行距: 固定值 25 磅 Char Char"/>
    <w:link w:val="572"/>
    <w:qFormat/>
    <w:uiPriority w:val="0"/>
    <w:rPr>
      <w:rFonts w:eastAsia="仿宋_GB2312" w:cs="宋体"/>
      <w:kern w:val="2"/>
      <w:sz w:val="28"/>
      <w:szCs w:val="28"/>
    </w:rPr>
  </w:style>
  <w:style w:type="paragraph" w:customStyle="1" w:styleId="572">
    <w:name w:val="样式 仿宋_GB2312 四号 行距: 固定值 25 磅"/>
    <w:basedOn w:val="1"/>
    <w:link w:val="571"/>
    <w:qFormat/>
    <w:uiPriority w:val="0"/>
    <w:pPr>
      <w:spacing w:line="500" w:lineRule="exact"/>
      <w:ind w:firstLine="560" w:firstLineChars="200"/>
    </w:pPr>
    <w:rPr>
      <w:rFonts w:eastAsia="仿宋_GB2312" w:cs="宋体"/>
      <w:sz w:val="28"/>
      <w:szCs w:val="28"/>
    </w:rPr>
  </w:style>
  <w:style w:type="character" w:customStyle="1" w:styleId="573">
    <w:name w:val="脚注文本 Char1"/>
    <w:qFormat/>
    <w:uiPriority w:val="0"/>
    <w:rPr>
      <w:kern w:val="2"/>
      <w:sz w:val="18"/>
      <w:szCs w:val="18"/>
    </w:rPr>
  </w:style>
  <w:style w:type="character" w:customStyle="1" w:styleId="574">
    <w:name w:val="不明显强调3"/>
    <w:qFormat/>
    <w:uiPriority w:val="0"/>
    <w:rPr>
      <w:i/>
      <w:iCs/>
      <w:color w:val="808080"/>
    </w:rPr>
  </w:style>
  <w:style w:type="character" w:customStyle="1" w:styleId="575">
    <w:name w:val="Char Char18"/>
    <w:qFormat/>
    <w:uiPriority w:val="0"/>
    <w:rPr>
      <w:rFonts w:ascii="宋体" w:hAnsi="宋体" w:eastAsia="仿宋_GB2312" w:cs="宋体"/>
      <w:kern w:val="2"/>
      <w:sz w:val="32"/>
      <w:szCs w:val="32"/>
    </w:rPr>
  </w:style>
  <w:style w:type="character" w:customStyle="1" w:styleId="576">
    <w:name w:val="正文格式 Char2"/>
    <w:link w:val="577"/>
    <w:qFormat/>
    <w:uiPriority w:val="0"/>
    <w:rPr>
      <w:rFonts w:eastAsia="仿宋_GB2312"/>
      <w:iCs/>
      <w:color w:val="000000"/>
      <w:sz w:val="28"/>
    </w:rPr>
  </w:style>
  <w:style w:type="paragraph" w:customStyle="1" w:styleId="577">
    <w:name w:val="正文格式"/>
    <w:next w:val="1"/>
    <w:link w:val="576"/>
    <w:qFormat/>
    <w:uiPriority w:val="0"/>
    <w:pPr>
      <w:spacing w:beforeLines="50" w:line="440" w:lineRule="exact"/>
      <w:ind w:firstLine="480" w:firstLineChars="200"/>
    </w:pPr>
    <w:rPr>
      <w:rFonts w:ascii="Times New Roman" w:hAnsi="Times New Roman" w:eastAsia="仿宋_GB2312" w:cs="Times New Roman"/>
      <w:iCs/>
      <w:color w:val="000000"/>
      <w:sz w:val="28"/>
      <w:lang w:val="en-US" w:eastAsia="zh-CN" w:bidi="ar-SA"/>
    </w:rPr>
  </w:style>
  <w:style w:type="character" w:customStyle="1" w:styleId="578">
    <w:name w:val="明显强调3"/>
    <w:qFormat/>
    <w:uiPriority w:val="0"/>
    <w:rPr>
      <w:b/>
      <w:bCs/>
      <w:i/>
      <w:iCs/>
      <w:color w:val="4F81BD"/>
    </w:rPr>
  </w:style>
  <w:style w:type="character" w:customStyle="1" w:styleId="579">
    <w:name w:val="书籍标题3"/>
    <w:qFormat/>
    <w:uiPriority w:val="0"/>
    <w:rPr>
      <w:b/>
      <w:bCs/>
      <w:smallCaps/>
      <w:spacing w:val="5"/>
    </w:rPr>
  </w:style>
  <w:style w:type="character" w:customStyle="1" w:styleId="580">
    <w:name w:val="明显参考3"/>
    <w:qFormat/>
    <w:uiPriority w:val="0"/>
    <w:rPr>
      <w:b/>
      <w:bCs/>
      <w:smallCaps/>
      <w:color w:val="C0504D"/>
      <w:spacing w:val="5"/>
      <w:u w:val="single"/>
    </w:rPr>
  </w:style>
  <w:style w:type="character" w:customStyle="1" w:styleId="581">
    <w:name w:val="图表目录 Char"/>
    <w:link w:val="52"/>
    <w:qFormat/>
    <w:uiPriority w:val="0"/>
    <w:rPr>
      <w:kern w:val="2"/>
      <w:sz w:val="28"/>
      <w:szCs w:val="24"/>
    </w:rPr>
  </w:style>
  <w:style w:type="character" w:customStyle="1" w:styleId="582">
    <w:name w:val="段落正文 Char Char"/>
    <w:link w:val="583"/>
    <w:qFormat/>
    <w:uiPriority w:val="0"/>
    <w:rPr>
      <w:rFonts w:ascii="宋体" w:hAnsi="宋体"/>
      <w:kern w:val="2"/>
      <w:sz w:val="24"/>
      <w:szCs w:val="24"/>
    </w:rPr>
  </w:style>
  <w:style w:type="paragraph" w:customStyle="1" w:styleId="583">
    <w:name w:val="段落正文"/>
    <w:basedOn w:val="1"/>
    <w:link w:val="582"/>
    <w:qFormat/>
    <w:uiPriority w:val="0"/>
    <w:pPr>
      <w:spacing w:line="360" w:lineRule="auto"/>
      <w:ind w:firstLine="200" w:firstLineChars="200"/>
    </w:pPr>
    <w:rPr>
      <w:rFonts w:ascii="宋体" w:hAnsi="宋体"/>
      <w:sz w:val="24"/>
      <w:szCs w:val="24"/>
    </w:rPr>
  </w:style>
  <w:style w:type="character" w:customStyle="1" w:styleId="584">
    <w:name w:val="副标题 Char2"/>
    <w:qFormat/>
    <w:uiPriority w:val="0"/>
    <w:rPr>
      <w:rFonts w:ascii="Cambria" w:hAnsi="Cambria" w:cs="Times New Roman"/>
      <w:b/>
      <w:bCs/>
      <w:kern w:val="28"/>
      <w:sz w:val="32"/>
      <w:szCs w:val="32"/>
    </w:rPr>
  </w:style>
  <w:style w:type="paragraph" w:customStyle="1" w:styleId="585">
    <w:name w:val="Char Char Char Char2"/>
    <w:basedOn w:val="20"/>
    <w:qFormat/>
    <w:uiPriority w:val="0"/>
    <w:rPr>
      <w:kern w:val="2"/>
      <w:sz w:val="30"/>
    </w:rPr>
  </w:style>
  <w:style w:type="paragraph" w:customStyle="1" w:styleId="586">
    <w:name w:val="标题3级"/>
    <w:basedOn w:val="5"/>
    <w:next w:val="1"/>
    <w:qFormat/>
    <w:uiPriority w:val="0"/>
    <w:pPr>
      <w:widowControl/>
      <w:spacing w:beforeLines="50" w:afterLines="50" w:line="360" w:lineRule="auto"/>
      <w:ind w:firstLine="0" w:firstLineChars="0"/>
      <w:jc w:val="left"/>
    </w:pPr>
    <w:rPr>
      <w:rFonts w:ascii="Times New Roman" w:hAnsi="Times New Roman" w:eastAsia="宋体"/>
      <w:b/>
      <w:sz w:val="24"/>
      <w:szCs w:val="24"/>
      <w:lang w:bidi="en-US"/>
    </w:rPr>
  </w:style>
  <w:style w:type="paragraph" w:customStyle="1" w:styleId="587">
    <w:name w:val="Char Char Char Char Char Char Char Char1 Char"/>
    <w:basedOn w:val="1"/>
    <w:qFormat/>
    <w:uiPriority w:val="0"/>
    <w:rPr>
      <w:szCs w:val="20"/>
    </w:rPr>
  </w:style>
  <w:style w:type="paragraph" w:customStyle="1" w:styleId="588">
    <w:name w:val="Char4"/>
    <w:basedOn w:val="1"/>
    <w:qFormat/>
    <w:uiPriority w:val="0"/>
    <w:pPr>
      <w:ind w:left="360" w:hanging="360"/>
    </w:pPr>
    <w:rPr>
      <w:sz w:val="24"/>
      <w:szCs w:val="24"/>
    </w:rPr>
  </w:style>
  <w:style w:type="paragraph" w:customStyle="1" w:styleId="589">
    <w:name w:val="纯文本2"/>
    <w:basedOn w:val="1"/>
    <w:qFormat/>
    <w:uiPriority w:val="0"/>
    <w:pPr>
      <w:widowControl/>
      <w:adjustRightInd w:val="0"/>
      <w:jc w:val="left"/>
      <w:textAlignment w:val="baseline"/>
    </w:pPr>
    <w:rPr>
      <w:rFonts w:ascii="宋体" w:hAnsi="宋体" w:cs="宋体"/>
      <w:kern w:val="0"/>
      <w:sz w:val="24"/>
      <w:szCs w:val="24"/>
    </w:rPr>
  </w:style>
  <w:style w:type="paragraph" w:customStyle="1" w:styleId="590">
    <w:name w:val="正文缩进正"/>
    <w:basedOn w:val="1"/>
    <w:qFormat/>
    <w:uiPriority w:val="0"/>
    <w:pPr>
      <w:widowControl/>
      <w:spacing w:line="360" w:lineRule="auto"/>
      <w:ind w:firstLine="480" w:firstLineChars="200"/>
      <w:jc w:val="left"/>
    </w:pPr>
    <w:rPr>
      <w:rFonts w:ascii="宋体" w:hAnsi="宋体" w:cs="宋体"/>
      <w:sz w:val="24"/>
      <w:szCs w:val="24"/>
    </w:rPr>
  </w:style>
  <w:style w:type="paragraph" w:customStyle="1" w:styleId="591">
    <w:name w:val="正文111111111"/>
    <w:basedOn w:val="1"/>
    <w:qFormat/>
    <w:uiPriority w:val="0"/>
    <w:pPr>
      <w:spacing w:line="540" w:lineRule="exact"/>
      <w:ind w:firstLine="480" w:firstLineChars="200"/>
    </w:pPr>
    <w:rPr>
      <w:rFonts w:hAnsi="宋体"/>
      <w:bCs/>
      <w:sz w:val="24"/>
      <w:szCs w:val="24"/>
    </w:rPr>
  </w:style>
  <w:style w:type="paragraph" w:customStyle="1" w:styleId="592">
    <w:name w:val="正文文本 22"/>
    <w:basedOn w:val="1"/>
    <w:qFormat/>
    <w:uiPriority w:val="0"/>
    <w:pPr>
      <w:adjustRightInd w:val="0"/>
      <w:spacing w:line="360" w:lineRule="atLeast"/>
      <w:ind w:firstLine="525"/>
    </w:pPr>
    <w:rPr>
      <w:rFonts w:ascii="宋体"/>
      <w:kern w:val="0"/>
      <w:sz w:val="28"/>
      <w:szCs w:val="20"/>
    </w:rPr>
  </w:style>
  <w:style w:type="paragraph" w:customStyle="1" w:styleId="593">
    <w:name w:val="正文(小4宋)"/>
    <w:basedOn w:val="1"/>
    <w:qFormat/>
    <w:uiPriority w:val="0"/>
    <w:pPr>
      <w:spacing w:line="360" w:lineRule="auto"/>
      <w:ind w:firstLine="480" w:firstLineChars="200"/>
    </w:pPr>
    <w:rPr>
      <w:rFonts w:ascii="宋体"/>
      <w:sz w:val="24"/>
      <w:szCs w:val="20"/>
    </w:rPr>
  </w:style>
  <w:style w:type="paragraph" w:customStyle="1" w:styleId="594">
    <w:name w:val="TOC 标题3"/>
    <w:basedOn w:val="3"/>
    <w:next w:val="1"/>
    <w:qFormat/>
    <w:uiPriority w:val="39"/>
    <w:pPr>
      <w:spacing w:line="578" w:lineRule="auto"/>
      <w:outlineLvl w:val="9"/>
    </w:pPr>
  </w:style>
  <w:style w:type="paragraph" w:customStyle="1" w:styleId="595">
    <w:name w:val="Char Char Char Char Char Char Char Char Char1 Char Char Char Char Char Char Char Char Char Char Char Char Char"/>
    <w:basedOn w:val="3"/>
    <w:qFormat/>
    <w:uiPriority w:val="0"/>
    <w:pPr>
      <w:snapToGrid w:val="0"/>
      <w:spacing w:before="240" w:after="240" w:line="348" w:lineRule="auto"/>
    </w:pPr>
    <w:rPr>
      <w:rFonts w:ascii="Tahoma" w:hAnsi="Tahoma"/>
      <w:bCs w:val="0"/>
      <w:kern w:val="2"/>
      <w:sz w:val="24"/>
      <w:szCs w:val="20"/>
    </w:rPr>
  </w:style>
  <w:style w:type="paragraph" w:customStyle="1" w:styleId="596">
    <w:name w:val="样式6"/>
    <w:basedOn w:val="1"/>
    <w:qFormat/>
    <w:uiPriority w:val="0"/>
    <w:pPr>
      <w:spacing w:before="205" w:after="205"/>
      <w:jc w:val="center"/>
    </w:pPr>
    <w:rPr>
      <w:rFonts w:ascii="黑体" w:hAnsi="宋体" w:eastAsia="黑体"/>
      <w:sz w:val="24"/>
      <w:szCs w:val="20"/>
    </w:rPr>
  </w:style>
  <w:style w:type="paragraph" w:customStyle="1" w:styleId="597">
    <w:name w:val="修订3"/>
    <w:qFormat/>
    <w:uiPriority w:val="0"/>
    <w:rPr>
      <w:rFonts w:ascii="Times New Roman" w:hAnsi="Times New Roman" w:eastAsia="宋体" w:cs="Times New Roman"/>
      <w:kern w:val="2"/>
      <w:sz w:val="21"/>
      <w:szCs w:val="24"/>
      <w:lang w:val="en-US" w:eastAsia="zh-CN" w:bidi="ar-SA"/>
    </w:rPr>
  </w:style>
  <w:style w:type="paragraph" w:customStyle="1" w:styleId="598">
    <w:name w:val="表名"/>
    <w:basedOn w:val="1"/>
    <w:qFormat/>
    <w:uiPriority w:val="0"/>
    <w:pPr>
      <w:autoSpaceDE w:val="0"/>
      <w:autoSpaceDN w:val="0"/>
      <w:spacing w:after="60" w:line="560" w:lineRule="exact"/>
      <w:ind w:firstLine="100" w:firstLineChars="100"/>
    </w:pPr>
    <w:rPr>
      <w:rFonts w:ascii="黑体" w:hAnsi="宋体" w:eastAsia="黑体"/>
      <w:sz w:val="24"/>
      <w:szCs w:val="28"/>
    </w:rPr>
  </w:style>
  <w:style w:type="paragraph" w:customStyle="1" w:styleId="599">
    <w:name w:val="Char1 Char Char Char Char Char Char12"/>
    <w:basedOn w:val="1"/>
    <w:qFormat/>
    <w:uiPriority w:val="0"/>
    <w:rPr>
      <w:sz w:val="30"/>
      <w:szCs w:val="24"/>
    </w:rPr>
  </w:style>
  <w:style w:type="paragraph" w:customStyle="1" w:styleId="600">
    <w:name w:val="Char Char Char Char Char Char1 Char1"/>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601">
    <w:name w:val="正文文本缩进 22"/>
    <w:basedOn w:val="1"/>
    <w:qFormat/>
    <w:uiPriority w:val="0"/>
    <w:pPr>
      <w:adjustRightInd w:val="0"/>
      <w:spacing w:line="360" w:lineRule="atLeast"/>
      <w:ind w:firstLine="855"/>
    </w:pPr>
    <w:rPr>
      <w:rFonts w:ascii="宋体"/>
      <w:kern w:val="0"/>
      <w:sz w:val="28"/>
      <w:szCs w:val="20"/>
    </w:rPr>
  </w:style>
  <w:style w:type="paragraph" w:customStyle="1" w:styleId="602">
    <w:name w:val="正文1"/>
    <w:basedOn w:val="1"/>
    <w:qFormat/>
    <w:uiPriority w:val="0"/>
    <w:rPr>
      <w:rFonts w:ascii="Tahoma" w:hAnsi="Tahoma"/>
      <w:kern w:val="0"/>
      <w:sz w:val="28"/>
      <w:szCs w:val="20"/>
    </w:rPr>
  </w:style>
  <w:style w:type="paragraph" w:customStyle="1" w:styleId="603">
    <w:name w:val="表文字"/>
    <w:basedOn w:val="1"/>
    <w:qFormat/>
    <w:uiPriority w:val="0"/>
    <w:pPr>
      <w:jc w:val="center"/>
    </w:pPr>
    <w:rPr>
      <w:szCs w:val="28"/>
    </w:rPr>
  </w:style>
  <w:style w:type="paragraph" w:customStyle="1" w:styleId="604">
    <w:name w:val="样式 行距: 1.5 倍行距"/>
    <w:basedOn w:val="1"/>
    <w:qFormat/>
    <w:uiPriority w:val="0"/>
    <w:pPr>
      <w:spacing w:line="360" w:lineRule="auto"/>
      <w:ind w:firstLine="420" w:firstLineChars="200"/>
    </w:pPr>
    <w:rPr>
      <w:rFonts w:cs="宋体"/>
      <w:sz w:val="24"/>
      <w:szCs w:val="20"/>
    </w:rPr>
  </w:style>
  <w:style w:type="character" w:customStyle="1" w:styleId="605">
    <w:name w:val="批注框文本 Char3"/>
    <w:basedOn w:val="65"/>
    <w:qFormat/>
    <w:uiPriority w:val="0"/>
    <w:rPr>
      <w:kern w:val="2"/>
      <w:sz w:val="18"/>
      <w:szCs w:val="18"/>
    </w:rPr>
  </w:style>
  <w:style w:type="character" w:customStyle="1" w:styleId="606">
    <w:name w:val="副标题 Char3"/>
    <w:basedOn w:val="65"/>
    <w:qFormat/>
    <w:uiPriority w:val="0"/>
    <w:rPr>
      <w:rFonts w:ascii="Cambria" w:hAnsi="Cambria" w:cs="Times New Roman"/>
      <w:b/>
      <w:bCs/>
      <w:kern w:val="28"/>
      <w:sz w:val="32"/>
      <w:szCs w:val="32"/>
    </w:rPr>
  </w:style>
  <w:style w:type="character" w:customStyle="1" w:styleId="607">
    <w:name w:val="批注文字 Char3"/>
    <w:basedOn w:val="65"/>
    <w:qFormat/>
    <w:uiPriority w:val="0"/>
    <w:rPr>
      <w:kern w:val="2"/>
      <w:sz w:val="21"/>
      <w:szCs w:val="24"/>
    </w:rPr>
  </w:style>
  <w:style w:type="character" w:customStyle="1" w:styleId="608">
    <w:name w:val="脚注文本 Char2"/>
    <w:basedOn w:val="65"/>
    <w:qFormat/>
    <w:uiPriority w:val="0"/>
    <w:rPr>
      <w:kern w:val="2"/>
      <w:sz w:val="18"/>
      <w:szCs w:val="18"/>
    </w:rPr>
  </w:style>
  <w:style w:type="character" w:customStyle="1" w:styleId="609">
    <w:name w:val="HTML 预设格式 Char2"/>
    <w:basedOn w:val="65"/>
    <w:qFormat/>
    <w:uiPriority w:val="0"/>
    <w:rPr>
      <w:rFonts w:ascii="Courier New" w:hAnsi="Courier New" w:cs="Courier New"/>
      <w:kern w:val="2"/>
    </w:rPr>
  </w:style>
  <w:style w:type="character" w:customStyle="1" w:styleId="610">
    <w:name w:val="批注主题 Char3"/>
    <w:basedOn w:val="607"/>
    <w:qFormat/>
    <w:uiPriority w:val="0"/>
    <w:rPr>
      <w:b/>
      <w:bCs/>
    </w:rPr>
  </w:style>
  <w:style w:type="character" w:customStyle="1" w:styleId="611">
    <w:name w:val="引用 Char3"/>
    <w:basedOn w:val="65"/>
    <w:qFormat/>
    <w:uiPriority w:val="29"/>
    <w:rPr>
      <w:i/>
      <w:iCs/>
      <w:color w:val="000000"/>
      <w:kern w:val="2"/>
      <w:sz w:val="21"/>
      <w:szCs w:val="24"/>
    </w:rPr>
  </w:style>
  <w:style w:type="character" w:customStyle="1" w:styleId="612">
    <w:name w:val="明显引用 Char3"/>
    <w:basedOn w:val="65"/>
    <w:qFormat/>
    <w:uiPriority w:val="30"/>
    <w:rPr>
      <w:b/>
      <w:bCs/>
      <w:i/>
      <w:iCs/>
      <w:color w:val="4F81BD"/>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602B6-583B-4CA8-9328-6766E1BFD4A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155</Pages>
  <Words>19598</Words>
  <Characters>111710</Characters>
  <Lines>930</Lines>
  <Paragraphs>262</Paragraphs>
  <TotalTime>6</TotalTime>
  <ScaleCrop>false</ScaleCrop>
  <LinksUpToDate>false</LinksUpToDate>
  <CharactersWithSpaces>131046</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2019-10-15T01:44:00Z</dcterms:created>
  <dc:creator>北京中交建设工程招标有限公司</dc:creator>
  <cp:lastModifiedBy>张荣</cp:lastModifiedBy>
  <cp:lastPrinted>2023-07-24T09:22:00Z</cp:lastPrinted>
  <dcterms:modified xsi:type="dcterms:W3CDTF">2023-08-18T08:26:08Z</dcterms:modified>
  <dc:title>明珠湾区慧谷片区超级堤工程</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4CED1FB94DBC459C9E51467A2B30E59A</vt:lpwstr>
  </property>
</Properties>
</file>