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Ansi="宋体" w:cs="宋体"/>
          <w:b/>
          <w:bCs/>
          <w:spacing w:val="26"/>
          <w:sz w:val="44"/>
          <w:szCs w:val="44"/>
        </w:rPr>
      </w:pPr>
    </w:p>
    <w:p>
      <w:pPr>
        <w:spacing w:line="360" w:lineRule="auto"/>
        <w:jc w:val="center"/>
        <w:rPr>
          <w:b/>
          <w:bCs/>
          <w:sz w:val="48"/>
          <w:szCs w:val="48"/>
        </w:rPr>
      </w:pPr>
      <w:r>
        <w:rPr>
          <w:rFonts w:hint="eastAsia" w:ascii="宋体" w:cs="黑体"/>
          <w:b/>
          <w:bCs/>
          <w:sz w:val="48"/>
          <w:szCs w:val="48"/>
        </w:rPr>
        <w:t>越秀区城市更新改造补短板项目（二期）—中心城区品质化提升项目（登峰街老旧小区改造）施工总承包</w:t>
      </w:r>
    </w:p>
    <w:p>
      <w:pPr>
        <w:pStyle w:val="19"/>
      </w:pPr>
    </w:p>
    <w:p>
      <w:pPr>
        <w:pStyle w:val="19"/>
      </w:pPr>
    </w:p>
    <w:p>
      <w:pPr>
        <w:pStyle w:val="19"/>
      </w:pPr>
    </w:p>
    <w:p>
      <w:pPr>
        <w:pStyle w:val="19"/>
      </w:pPr>
    </w:p>
    <w:p>
      <w:pPr>
        <w:pStyle w:val="19"/>
      </w:pPr>
    </w:p>
    <w:p>
      <w:pPr>
        <w:pStyle w:val="19"/>
      </w:pPr>
    </w:p>
    <w:p>
      <w:pPr>
        <w:pStyle w:val="19"/>
      </w:pPr>
    </w:p>
    <w:p>
      <w:pPr>
        <w:pStyle w:val="19"/>
      </w:pPr>
    </w:p>
    <w:p>
      <w:pPr>
        <w:pStyle w:val="3"/>
        <w:rPr>
          <w:rFonts w:ascii="楷体" w:hAnsi="楷体" w:eastAsia="楷体"/>
          <w:sz w:val="110"/>
          <w:szCs w:val="110"/>
        </w:rPr>
      </w:pPr>
      <w:bookmarkStart w:id="0" w:name="_Toc104386980"/>
      <w:bookmarkEnd w:id="0"/>
      <w:bookmarkStart w:id="1" w:name="_Toc108770437"/>
      <w:bookmarkEnd w:id="1"/>
      <w:r>
        <w:rPr>
          <w:rFonts w:hint="eastAsia" w:ascii="楷体" w:hAnsi="楷体" w:eastAsia="楷体"/>
          <w:sz w:val="110"/>
          <w:szCs w:val="110"/>
        </w:rPr>
        <w:t>招</w:t>
      </w:r>
      <w:bookmarkStart w:id="79" w:name="_GoBack"/>
      <w:bookmarkEnd w:id="79"/>
      <w:r>
        <w:rPr>
          <w:rFonts w:hint="eastAsia" w:ascii="楷体" w:hAnsi="楷体" w:eastAsia="楷体"/>
          <w:sz w:val="110"/>
          <w:szCs w:val="110"/>
        </w:rPr>
        <w:t>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pStyle w:val="19"/>
      </w:pPr>
    </w:p>
    <w:p>
      <w:pPr>
        <w:spacing w:line="360" w:lineRule="auto"/>
        <w:rPr>
          <w:sz w:val="52"/>
        </w:rPr>
      </w:pPr>
    </w:p>
    <w:p>
      <w:pPr>
        <w:spacing w:line="360" w:lineRule="auto"/>
        <w:rPr>
          <w:sz w:val="52"/>
        </w:rPr>
      </w:pPr>
    </w:p>
    <w:p>
      <w:pPr>
        <w:spacing w:line="360" w:lineRule="auto"/>
        <w:ind w:firstLine="1606" w:firstLineChars="500"/>
        <w:rPr>
          <w:rFonts w:ascii="宋体" w:hAnsi="宋体"/>
          <w:b/>
          <w:sz w:val="32"/>
          <w:szCs w:val="32"/>
        </w:rPr>
      </w:pPr>
      <w:r>
        <w:rPr>
          <w:rFonts w:hint="eastAsia" w:ascii="宋体" w:hAnsi="宋体" w:cs="宋体"/>
          <w:b/>
          <w:sz w:val="32"/>
          <w:szCs w:val="32"/>
        </w:rPr>
        <w:t>招   标   人：</w:t>
      </w:r>
      <w:r>
        <w:rPr>
          <w:rFonts w:hint="eastAsia" w:ascii="宋体" w:hAnsi="宋体"/>
          <w:b/>
          <w:sz w:val="32"/>
          <w:szCs w:val="32"/>
        </w:rPr>
        <w:t>广州市越秀区人民政府登峰街道办事处</w:t>
      </w:r>
    </w:p>
    <w:p>
      <w:pPr>
        <w:spacing w:line="360" w:lineRule="auto"/>
        <w:ind w:firstLine="1606" w:firstLineChars="500"/>
        <w:rPr>
          <w:rFonts w:ascii="宋体" w:hAnsi="宋体"/>
          <w:b/>
          <w:sz w:val="32"/>
          <w:szCs w:val="32"/>
        </w:rPr>
      </w:pPr>
      <w:r>
        <w:rPr>
          <w:rFonts w:hint="eastAsia" w:ascii="宋体" w:hAnsi="宋体" w:cs="宋体"/>
          <w:b/>
          <w:sz w:val="32"/>
          <w:szCs w:val="32"/>
        </w:rPr>
        <w:t>招标代理机构：</w:t>
      </w:r>
      <w:r>
        <w:rPr>
          <w:rFonts w:hint="eastAsia" w:ascii="宋体" w:hAnsi="宋体"/>
          <w:b/>
          <w:sz w:val="32"/>
          <w:szCs w:val="32"/>
        </w:rPr>
        <w:t>广州珠江监理咨询集团有限公司</w:t>
      </w:r>
    </w:p>
    <w:p>
      <w:pPr>
        <w:snapToGrid w:val="0"/>
        <w:spacing w:line="360" w:lineRule="auto"/>
        <w:ind w:firstLine="1506" w:firstLineChars="500"/>
        <w:rPr>
          <w:rFonts w:ascii="宋体" w:cs="黑体"/>
          <w:b/>
          <w:sz w:val="30"/>
          <w:szCs w:val="30"/>
        </w:rPr>
      </w:pPr>
      <w:r>
        <w:rPr>
          <w:rFonts w:hint="eastAsia" w:ascii="宋体" w:cs="黑体"/>
          <w:b/>
          <w:sz w:val="30"/>
          <w:szCs w:val="30"/>
        </w:rPr>
        <w:t>日   期：2023年</w:t>
      </w:r>
      <w:r>
        <w:rPr>
          <w:rFonts w:hint="eastAsia" w:ascii="宋体" w:cs="黑体"/>
          <w:b/>
          <w:sz w:val="30"/>
          <w:szCs w:val="30"/>
          <w:lang w:val="en-US" w:eastAsia="zh-CN"/>
        </w:rPr>
        <w:t>8</w:t>
      </w:r>
      <w:r>
        <w:rPr>
          <w:rFonts w:hint="eastAsia" w:ascii="宋体" w:cs="黑体"/>
          <w:b/>
          <w:sz w:val="30"/>
          <w:szCs w:val="30"/>
        </w:rPr>
        <w:t>月</w:t>
      </w:r>
    </w:p>
    <w:p>
      <w:pPr>
        <w:pStyle w:val="19"/>
      </w:pPr>
    </w:p>
    <w:p>
      <w:pPr>
        <w:spacing w:line="432"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pgNumType w:start="1"/>
          <w:cols w:space="425" w:num="1"/>
          <w:titlePg/>
          <w:docGrid w:type="lines" w:linePitch="312" w:charSpace="0"/>
        </w:sectPr>
      </w:pPr>
    </w:p>
    <w:p>
      <w:pPr>
        <w:jc w:val="center"/>
        <w:rPr>
          <w:rFonts w:ascii="宋体" w:hAnsi="宋体"/>
          <w:b/>
          <w:caps/>
          <w:kern w:val="0"/>
        </w:rPr>
      </w:pPr>
      <w:r>
        <w:rPr>
          <w:rStyle w:val="44"/>
          <w:rFonts w:hint="eastAsia"/>
          <w:b/>
          <w:bCs/>
          <w:color w:val="auto"/>
          <w:sz w:val="28"/>
          <w:szCs w:val="28"/>
        </w:rPr>
        <w:t>目录</w:t>
      </w:r>
    </w:p>
    <w:p>
      <w:pPr>
        <w:pStyle w:val="26"/>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bookmarkStart w:id="2" w:name="_Toc2272545"/>
    </w:p>
    <w:p>
      <w:pPr>
        <w:pStyle w:val="29"/>
        <w:rPr>
          <w:rFonts w:asciiTheme="minorHAnsi" w:hAnsiTheme="minorHAnsi" w:eastAsiaTheme="minorEastAsia" w:cstheme="minorBidi"/>
          <w:sz w:val="21"/>
          <w:szCs w:val="22"/>
        </w:rPr>
      </w:pPr>
      <w:r>
        <w:fldChar w:fldCharType="begin"/>
      </w:r>
      <w:r>
        <w:instrText xml:space="preserve"> HYPERLINK \l "_Toc115117418" </w:instrText>
      </w:r>
      <w:r>
        <w:fldChar w:fldCharType="separate"/>
      </w:r>
      <w:r>
        <w:rPr>
          <w:rStyle w:val="44"/>
          <w:color w:val="auto"/>
        </w:rPr>
        <w:t>第一章  投标须知</w:t>
      </w:r>
      <w:r>
        <w:tab/>
      </w:r>
      <w:r>
        <w:fldChar w:fldCharType="begin"/>
      </w:r>
      <w:r>
        <w:instrText xml:space="preserve"> PAGEREF _Toc115117418 \h </w:instrText>
      </w:r>
      <w:r>
        <w:fldChar w:fldCharType="separate"/>
      </w:r>
      <w:r>
        <w:t>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"_Toc115117419" </w:instrText>
      </w:r>
      <w:r>
        <w:fldChar w:fldCharType="separate"/>
      </w:r>
      <w:r>
        <w:rPr>
          <w:rStyle w:val="44"/>
          <w:color w:val="auto"/>
        </w:rPr>
        <w:t>一、投标须知前附表</w:t>
      </w:r>
      <w:r>
        <w:tab/>
      </w:r>
      <w:r>
        <w:fldChar w:fldCharType="begin"/>
      </w:r>
      <w:r>
        <w:instrText xml:space="preserve"> PAGEREF _Toc115117419 \h </w:instrText>
      </w:r>
      <w:r>
        <w:fldChar w:fldCharType="separate"/>
      </w:r>
      <w:r>
        <w:t>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"_Toc115117420" </w:instrText>
      </w:r>
      <w:r>
        <w:fldChar w:fldCharType="separate"/>
      </w:r>
      <w:r>
        <w:rPr>
          <w:rStyle w:val="44"/>
          <w:color w:val="auto"/>
        </w:rPr>
        <w:t>二、投标须知修改表</w:t>
      </w:r>
      <w:r>
        <w:tab/>
      </w:r>
      <w:r>
        <w:fldChar w:fldCharType="begin"/>
      </w:r>
      <w:r>
        <w:instrText xml:space="preserve"> PAGEREF _Toc115117420 \h </w:instrText>
      </w:r>
      <w:r>
        <w:fldChar w:fldCharType="separate"/>
      </w:r>
      <w:r>
        <w:t>7</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"_Toc115117421" </w:instrText>
      </w:r>
      <w:r>
        <w:fldChar w:fldCharType="separate"/>
      </w:r>
      <w:r>
        <w:rPr>
          <w:rStyle w:val="44"/>
          <w:color w:val="auto"/>
        </w:rPr>
        <w:t>三、投标须知通用条款</w:t>
      </w:r>
      <w:r>
        <w:tab/>
      </w:r>
      <w:r>
        <w:fldChar w:fldCharType="begin"/>
      </w:r>
      <w:r>
        <w:instrText xml:space="preserve"> PAGEREF _Toc115117421 \h </w:instrText>
      </w:r>
      <w:r>
        <w:fldChar w:fldCharType="separate"/>
      </w:r>
      <w:r>
        <w:t>19</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"_Toc115117422" </w:instrText>
      </w:r>
      <w:r>
        <w:fldChar w:fldCharType="separate"/>
      </w:r>
      <w:r>
        <w:rPr>
          <w:rStyle w:val="44"/>
          <w:color w:val="auto"/>
        </w:rPr>
        <w:t>第二章  开标、评标及定标办法</w:t>
      </w:r>
      <w:r>
        <w:tab/>
      </w:r>
      <w:r>
        <w:fldChar w:fldCharType="begin"/>
      </w:r>
      <w:r>
        <w:instrText xml:space="preserve"> PAGEREF _Toc115117422 \h </w:instrText>
      </w:r>
      <w:r>
        <w:fldChar w:fldCharType="separate"/>
      </w:r>
      <w:r>
        <w:t>32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"_Toc115117423" </w:instrText>
      </w:r>
      <w:r>
        <w:fldChar w:fldCharType="separate"/>
      </w:r>
      <w:r>
        <w:rPr>
          <w:rStyle w:val="44"/>
          <w:color w:val="auto"/>
        </w:rPr>
        <w:t>一、开标、评标及定标办法修改表</w:t>
      </w:r>
      <w:r>
        <w:tab/>
      </w:r>
      <w:r>
        <w:fldChar w:fldCharType="begin"/>
      </w:r>
      <w:r>
        <w:instrText xml:space="preserve"> PAGEREF _Toc115117423 \h </w:instrText>
      </w:r>
      <w:r>
        <w:fldChar w:fldCharType="separate"/>
      </w:r>
      <w:r>
        <w:t>32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"_Toc115117424" </w:instrText>
      </w:r>
      <w:r>
        <w:fldChar w:fldCharType="separate"/>
      </w:r>
      <w:r>
        <w:rPr>
          <w:rStyle w:val="44"/>
          <w:color w:val="auto"/>
        </w:rPr>
        <w:t>二、开标、评标及定标办法通用条款</w:t>
      </w:r>
      <w:r>
        <w:tab/>
      </w:r>
      <w:r>
        <w:fldChar w:fldCharType="begin"/>
      </w:r>
      <w:r>
        <w:instrText xml:space="preserve"> PAGEREF _Toc115117424 \h </w:instrText>
      </w:r>
      <w:r>
        <w:fldChar w:fldCharType="separate"/>
      </w:r>
      <w:r>
        <w:t>38</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"_Toc115117425" </w:instrText>
      </w:r>
      <w:r>
        <w:fldChar w:fldCharType="separate"/>
      </w:r>
      <w:r>
        <w:rPr>
          <w:rStyle w:val="44"/>
          <w:color w:val="auto"/>
        </w:rPr>
        <w:t>附表一 资格审查表</w:t>
      </w:r>
      <w:r>
        <w:tab/>
      </w:r>
      <w:r>
        <w:fldChar w:fldCharType="begin"/>
      </w:r>
      <w:r>
        <w:instrText xml:space="preserve"> PAGEREF _Toc115117425 \h </w:instrText>
      </w:r>
      <w:r>
        <w:fldChar w:fldCharType="separate"/>
      </w:r>
      <w:r>
        <w:t>46</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"_Toc115117426" </w:instrText>
      </w:r>
      <w:r>
        <w:fldChar w:fldCharType="separate"/>
      </w:r>
      <w:r>
        <w:rPr>
          <w:rStyle w:val="44"/>
          <w:color w:val="auto"/>
        </w:rPr>
        <w:t>附表二 技术标有效性审查表</w:t>
      </w:r>
      <w:r>
        <w:tab/>
      </w:r>
      <w:r>
        <w:fldChar w:fldCharType="begin"/>
      </w:r>
      <w:r>
        <w:instrText xml:space="preserve"> PAGEREF _Toc115117426 \h </w:instrText>
      </w:r>
      <w:r>
        <w:fldChar w:fldCharType="separate"/>
      </w:r>
      <w:r>
        <w:t>48</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"_Toc115117427" </w:instrText>
      </w:r>
      <w:r>
        <w:fldChar w:fldCharType="separate"/>
      </w:r>
      <w:r>
        <w:rPr>
          <w:rStyle w:val="44"/>
          <w:color w:val="auto"/>
        </w:rPr>
        <w:t>附表三 经济标有效性审查表</w:t>
      </w:r>
      <w:r>
        <w:tab/>
      </w:r>
      <w:r>
        <w:fldChar w:fldCharType="begin"/>
      </w:r>
      <w:r>
        <w:instrText xml:space="preserve"> PAGEREF _Toc115117427 \h </w:instrText>
      </w:r>
      <w:r>
        <w:fldChar w:fldCharType="separate"/>
      </w:r>
      <w:r>
        <w:t>49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"_Toc115117428" </w:instrText>
      </w:r>
      <w:r>
        <w:fldChar w:fldCharType="separate"/>
      </w:r>
      <w:r>
        <w:rPr>
          <w:rStyle w:val="44"/>
          <w:color w:val="auto"/>
        </w:rPr>
        <w:t>附表四 技术标详细审查评分表</w:t>
      </w:r>
      <w:r>
        <w:tab/>
      </w:r>
      <w:r>
        <w:fldChar w:fldCharType="begin"/>
      </w:r>
      <w:r>
        <w:instrText xml:space="preserve"> PAGEREF _Toc115117428 \h </w:instrText>
      </w:r>
      <w:r>
        <w:fldChar w:fldCharType="separate"/>
      </w:r>
      <w:r>
        <w:t>50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"_Toc115117429" </w:instrText>
      </w:r>
      <w:r>
        <w:fldChar w:fldCharType="separate"/>
      </w:r>
      <w:r>
        <w:rPr>
          <w:rStyle w:val="44"/>
          <w:color w:val="auto"/>
        </w:rPr>
        <w:t>附表五 经济标评分表</w:t>
      </w:r>
      <w:r>
        <w:tab/>
      </w:r>
      <w:r>
        <w:fldChar w:fldCharType="begin"/>
      </w:r>
      <w:r>
        <w:instrText xml:space="preserve"> PAGEREF _Toc115117429 \h </w:instrText>
      </w:r>
      <w:r>
        <w:fldChar w:fldCharType="separate"/>
      </w:r>
      <w:r>
        <w:t>53</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"_Toc115117430" </w:instrText>
      </w:r>
      <w:r>
        <w:fldChar w:fldCharType="separate"/>
      </w:r>
      <w:r>
        <w:rPr>
          <w:rStyle w:val="44"/>
          <w:color w:val="auto"/>
        </w:rPr>
        <w:t>附表六 算术复核表</w:t>
      </w:r>
      <w:r>
        <w:tab/>
      </w:r>
      <w:r>
        <w:fldChar w:fldCharType="begin"/>
      </w:r>
      <w:r>
        <w:instrText xml:space="preserve"> PAGEREF _Toc115117430 \h </w:instrText>
      </w:r>
      <w:r>
        <w:fldChar w:fldCharType="separate"/>
      </w:r>
      <w:r>
        <w:t>55</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"_Toc115117431" </w:instrText>
      </w:r>
      <w:r>
        <w:fldChar w:fldCharType="separate"/>
      </w:r>
      <w:r>
        <w:rPr>
          <w:rStyle w:val="44"/>
          <w:color w:val="auto"/>
        </w:rPr>
        <w:t>第三章  合同条款</w:t>
      </w:r>
      <w:r>
        <w:tab/>
      </w:r>
      <w:r>
        <w:fldChar w:fldCharType="begin"/>
      </w:r>
      <w:r>
        <w:instrText xml:space="preserve"> PAGEREF _Toc115117431 \h </w:instrText>
      </w:r>
      <w:r>
        <w:fldChar w:fldCharType="separate"/>
      </w:r>
      <w:r>
        <w:t>57</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"_Toc115117432" </w:instrText>
      </w:r>
      <w:r>
        <w:fldChar w:fldCharType="separate"/>
      </w:r>
      <w:r>
        <w:rPr>
          <w:rStyle w:val="44"/>
          <w:color w:val="auto"/>
        </w:rPr>
        <w:t>第四章  投标文件格式</w:t>
      </w:r>
      <w:r>
        <w:tab/>
      </w:r>
      <w:r>
        <w:fldChar w:fldCharType="begin"/>
      </w:r>
      <w:r>
        <w:instrText xml:space="preserve"> PAGEREF _Toc115117432 \h </w:instrText>
      </w:r>
      <w:r>
        <w:fldChar w:fldCharType="separate"/>
      </w:r>
      <w:r>
        <w:t>58</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"_Toc115117433" </w:instrText>
      </w:r>
      <w:r>
        <w:fldChar w:fldCharType="separate"/>
      </w:r>
      <w:r>
        <w:rPr>
          <w:rStyle w:val="44"/>
          <w:color w:val="auto"/>
        </w:rPr>
        <w:t>一、技术标投标文件格式</w:t>
      </w:r>
      <w:r>
        <w:tab/>
      </w:r>
      <w:r>
        <w:fldChar w:fldCharType="begin"/>
      </w:r>
      <w:r>
        <w:instrText xml:space="preserve"> PAGEREF _Toc115117433 \h </w:instrText>
      </w:r>
      <w:r>
        <w:fldChar w:fldCharType="separate"/>
      </w:r>
      <w:r>
        <w:t>58</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"_Toc115117434" </w:instrText>
      </w:r>
      <w:r>
        <w:fldChar w:fldCharType="separate"/>
      </w:r>
      <w:r>
        <w:rPr>
          <w:rStyle w:val="44"/>
          <w:color w:val="auto"/>
        </w:rPr>
        <w:t>二、经济标投标文件格式</w:t>
      </w:r>
      <w:r>
        <w:tab/>
      </w:r>
      <w:r>
        <w:fldChar w:fldCharType="begin"/>
      </w:r>
      <w:r>
        <w:instrText xml:space="preserve"> PAGEREF _Toc115117434 \h </w:instrText>
      </w:r>
      <w:r>
        <w:fldChar w:fldCharType="separate"/>
      </w:r>
      <w:r>
        <w:t>69</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"_Toc115117435" </w:instrText>
      </w:r>
      <w:r>
        <w:fldChar w:fldCharType="separate"/>
      </w:r>
      <w:r>
        <w:rPr>
          <w:rStyle w:val="44"/>
          <w:color w:val="auto"/>
        </w:rPr>
        <w:t>第五章  技术条件（工程建设标准）</w:t>
      </w:r>
      <w:r>
        <w:tab/>
      </w:r>
      <w:r>
        <w:fldChar w:fldCharType="begin"/>
      </w:r>
      <w:r>
        <w:instrText xml:space="preserve"> PAGEREF _Toc115117435 \h </w:instrText>
      </w:r>
      <w:r>
        <w:fldChar w:fldCharType="separate"/>
      </w:r>
      <w:r>
        <w:t>73</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"_Toc115117436" </w:instrText>
      </w:r>
      <w:r>
        <w:fldChar w:fldCharType="separate"/>
      </w:r>
      <w:r>
        <w:rPr>
          <w:rStyle w:val="44"/>
          <w:color w:val="auto"/>
        </w:rPr>
        <w:t>第六章  图纸及勘察资料</w:t>
      </w:r>
      <w:r>
        <w:tab/>
      </w:r>
      <w:r>
        <w:fldChar w:fldCharType="begin"/>
      </w:r>
      <w:r>
        <w:instrText xml:space="preserve"> PAGEREF _Toc115117436 \h </w:instrText>
      </w:r>
      <w:r>
        <w:fldChar w:fldCharType="separate"/>
      </w:r>
      <w:r>
        <w:t>74</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"_Toc115117437" </w:instrText>
      </w:r>
      <w:r>
        <w:fldChar w:fldCharType="separate"/>
      </w:r>
      <w:r>
        <w:rPr>
          <w:rStyle w:val="44"/>
          <w:color w:val="auto"/>
        </w:rPr>
        <w:t>第七章  工程量清单</w:t>
      </w:r>
      <w:r>
        <w:tab/>
      </w:r>
      <w:r>
        <w:fldChar w:fldCharType="begin"/>
      </w:r>
      <w:r>
        <w:instrText xml:space="preserve"> PAGEREF _Toc115117437 \h </w:instrText>
      </w:r>
      <w:r>
        <w:fldChar w:fldCharType="separate"/>
      </w:r>
      <w:r>
        <w:t>74</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"_Toc115117438" </w:instrText>
      </w:r>
      <w:r>
        <w:fldChar w:fldCharType="separate"/>
      </w:r>
      <w:r>
        <w:rPr>
          <w:rStyle w:val="44"/>
          <w:color w:val="auto"/>
        </w:rPr>
        <w:t>第八章  最高投标限价</w:t>
      </w:r>
      <w:r>
        <w:tab/>
      </w:r>
      <w:r>
        <w:fldChar w:fldCharType="begin"/>
      </w:r>
      <w:r>
        <w:instrText xml:space="preserve"> PAGEREF _Toc115117438 \h </w:instrText>
      </w:r>
      <w:r>
        <w:fldChar w:fldCharType="separate"/>
      </w:r>
      <w:r>
        <w:t>74</w:t>
      </w:r>
      <w:r>
        <w:fldChar w:fldCharType="end"/>
      </w:r>
      <w:r>
        <w:fldChar w:fldCharType="end"/>
      </w:r>
    </w:p>
    <w:p>
      <w:pPr>
        <w:widowControl/>
        <w:jc w:val="left"/>
        <w:rPr>
          <w:rFonts w:ascii="Arial" w:hAnsi="Arial"/>
          <w:b/>
          <w:sz w:val="24"/>
          <w:szCs w:val="24"/>
        </w:rPr>
      </w:pPr>
      <w:r>
        <w:fldChar w:fldCharType="end"/>
      </w:r>
      <w:r>
        <w:br w:type="page"/>
      </w:r>
    </w:p>
    <w:bookmarkEnd w:id="2"/>
    <w:p>
      <w:pPr>
        <w:pStyle w:val="5"/>
        <w:rPr>
          <w:color w:val="auto"/>
        </w:rPr>
      </w:pPr>
      <w:bookmarkStart w:id="3" w:name="_Toc115117418"/>
      <w:r>
        <w:rPr>
          <w:rFonts w:hint="eastAsia"/>
          <w:color w:val="auto"/>
        </w:rPr>
        <w:t>第一章投标须知</w:t>
      </w:r>
      <w:bookmarkEnd w:id="3"/>
    </w:p>
    <w:p>
      <w:pPr>
        <w:pStyle w:val="6"/>
      </w:pPr>
      <w:bookmarkStart w:id="4" w:name="_Toc2272546"/>
      <w:bookmarkEnd w:id="4"/>
      <w:bookmarkStart w:id="5" w:name="_Toc115117419"/>
      <w:r>
        <w:rPr>
          <w:rFonts w:hint="eastAsia"/>
        </w:rPr>
        <w:t>一、投标须知前附表</w:t>
      </w:r>
      <w:bookmarkEnd w:id="5"/>
    </w:p>
    <w:p>
      <w:pPr>
        <w:pStyle w:val="2"/>
        <w:spacing w:line="288" w:lineRule="auto"/>
        <w:ind w:firstLine="0"/>
        <w:rPr>
          <w:rFonts w:ascii="宋体" w:hAnsi="宋体"/>
          <w:b/>
          <w:szCs w:val="21"/>
        </w:rPr>
      </w:pPr>
      <w:r>
        <w:rPr>
          <w:rFonts w:hint="eastAsia" w:ascii="宋体" w:hAnsi="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3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61"/>
        <w:gridCol w:w="6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b/>
                <w:bCs/>
                <w:szCs w:val="21"/>
              </w:rPr>
            </w:pPr>
            <w:r>
              <w:rPr>
                <w:rFonts w:hint="eastAsia" w:ascii="宋体" w:hAnsi="宋体"/>
                <w:b/>
                <w:bCs/>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b/>
                <w:bCs/>
                <w:szCs w:val="21"/>
              </w:rPr>
            </w:pPr>
            <w:r>
              <w:rPr>
                <w:rFonts w:hint="eastAsia" w:ascii="宋体" w:hAnsi="宋体"/>
                <w:b/>
                <w:bCs/>
                <w:szCs w:val="21"/>
              </w:rPr>
              <w:t>条款号</w:t>
            </w:r>
          </w:p>
        </w:tc>
        <w:tc>
          <w:tcPr>
            <w:tcW w:w="1661" w:type="dxa"/>
            <w:tcBorders>
              <w:top w:val="doub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b/>
                <w:bCs/>
                <w:szCs w:val="21"/>
              </w:rPr>
            </w:pPr>
            <w:r>
              <w:rPr>
                <w:rFonts w:hint="eastAsia" w:ascii="宋体" w:hAnsi="宋体"/>
                <w:b/>
                <w:bCs/>
                <w:szCs w:val="21"/>
              </w:rPr>
              <w:t>内容</w:t>
            </w:r>
          </w:p>
        </w:tc>
        <w:tc>
          <w:tcPr>
            <w:tcW w:w="6191" w:type="dxa"/>
            <w:tcBorders>
              <w:top w:val="double" w:color="auto" w:sz="4" w:space="0"/>
              <w:left w:val="single" w:color="auto" w:sz="4" w:space="0"/>
              <w:bottom w:val="single" w:color="auto" w:sz="4" w:space="0"/>
              <w:right w:val="double" w:color="auto" w:sz="4" w:space="0"/>
            </w:tcBorders>
            <w:vAlign w:val="center"/>
          </w:tcPr>
          <w:p>
            <w:pPr>
              <w:pStyle w:val="20"/>
              <w:snapToGrid w:val="0"/>
              <w:spacing w:line="264" w:lineRule="auto"/>
              <w:ind w:firstLine="458"/>
              <w:jc w:val="center"/>
              <w:rPr>
                <w:rFonts w:ascii="宋体" w:hAnsi="宋体"/>
                <w:b/>
                <w:bCs/>
                <w:szCs w:val="21"/>
              </w:rPr>
            </w:pPr>
            <w:r>
              <w:rPr>
                <w:rFonts w:hint="eastAsia" w:ascii="宋体" w:hAnsi="宋体"/>
                <w:b/>
                <w:bCs/>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定义</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u w:val="single"/>
              </w:rPr>
            </w:pPr>
            <w:r>
              <w:rPr>
                <w:rFonts w:hint="eastAsia" w:ascii="宋体" w:hAnsi="宋体"/>
                <w:szCs w:val="21"/>
              </w:rPr>
              <w:t>招标人（即发包人）：</w:t>
            </w:r>
            <w:r>
              <w:rPr>
                <w:rFonts w:hint="eastAsia" w:ascii="宋体" w:hAnsi="宋体"/>
                <w:szCs w:val="21"/>
                <w:u w:val="single"/>
              </w:rPr>
              <w:t>广州市越秀区人民政府登峰街道办事处</w:t>
            </w:r>
          </w:p>
          <w:p>
            <w:pPr>
              <w:snapToGrid w:val="0"/>
              <w:spacing w:line="264" w:lineRule="auto"/>
              <w:rPr>
                <w:rFonts w:ascii="宋体" w:hAnsi="宋体"/>
                <w:szCs w:val="21"/>
                <w:u w:val="single"/>
              </w:rPr>
            </w:pPr>
            <w:r>
              <w:rPr>
                <w:rFonts w:hint="eastAsia" w:ascii="宋体" w:hAnsi="宋体"/>
                <w:szCs w:val="21"/>
              </w:rPr>
              <w:t>项目建设管理单位：</w:t>
            </w:r>
            <w:r>
              <w:rPr>
                <w:rFonts w:hint="eastAsia" w:ascii="宋体" w:hAnsi="宋体"/>
                <w:szCs w:val="21"/>
                <w:u w:val="single"/>
              </w:rPr>
              <w:t>广东广建项目管理有限公司</w:t>
            </w:r>
          </w:p>
          <w:p>
            <w:pPr>
              <w:snapToGrid w:val="0"/>
              <w:spacing w:line="264" w:lineRule="auto"/>
              <w:rPr>
                <w:rFonts w:ascii="宋体" w:hAnsi="宋体"/>
                <w:szCs w:val="21"/>
                <w:u w:val="single"/>
              </w:rPr>
            </w:pPr>
            <w:r>
              <w:rPr>
                <w:rFonts w:hint="eastAsia" w:ascii="宋体" w:hAnsi="宋体"/>
                <w:szCs w:val="21"/>
              </w:rPr>
              <w:t>招标代理：</w:t>
            </w:r>
            <w:r>
              <w:rPr>
                <w:rFonts w:hint="eastAsia" w:ascii="宋体" w:hAnsi="宋体"/>
                <w:szCs w:val="21"/>
                <w:u w:val="single"/>
              </w:rPr>
              <w:t>广州珠江监理咨询集团有限公司</w:t>
            </w:r>
          </w:p>
          <w:p>
            <w:pPr>
              <w:snapToGrid w:val="0"/>
              <w:spacing w:line="264" w:lineRule="auto"/>
              <w:rPr>
                <w:rFonts w:ascii="宋体" w:hAnsi="宋体"/>
                <w:szCs w:val="21"/>
              </w:rPr>
            </w:pPr>
            <w:r>
              <w:rPr>
                <w:rFonts w:hint="eastAsia" w:ascii="宋体" w:hAnsi="宋体"/>
                <w:szCs w:val="21"/>
              </w:rPr>
              <w:t>设计单位：</w:t>
            </w:r>
            <w:r>
              <w:rPr>
                <w:rFonts w:hint="eastAsia" w:ascii="宋体" w:hAnsi="宋体"/>
                <w:szCs w:val="21"/>
                <w:u w:val="single"/>
              </w:rPr>
              <w:t>广州市城市规划勘测设计研究院</w:t>
            </w:r>
          </w:p>
          <w:p>
            <w:pPr>
              <w:snapToGrid w:val="0"/>
              <w:spacing w:line="264" w:lineRule="auto"/>
              <w:rPr>
                <w:rFonts w:ascii="宋体" w:hAnsi="宋体"/>
                <w:szCs w:val="21"/>
                <w:u w:val="single"/>
              </w:rPr>
            </w:pPr>
            <w:r>
              <w:rPr>
                <w:rFonts w:hint="eastAsia" w:ascii="宋体" w:hAnsi="宋体"/>
                <w:szCs w:val="21"/>
              </w:rPr>
              <w:t>监理单位：</w:t>
            </w:r>
            <w:r>
              <w:rPr>
                <w:rFonts w:hint="eastAsia" w:ascii="宋体" w:hAnsi="宋体"/>
                <w:szCs w:val="21"/>
                <w:u w:val="single"/>
              </w:rPr>
              <w:t>/</w:t>
            </w:r>
          </w:p>
          <w:p>
            <w:pPr>
              <w:snapToGrid w:val="0"/>
              <w:spacing w:line="264" w:lineRule="auto"/>
              <w:rPr>
                <w:rFonts w:ascii="宋体" w:hAnsi="宋体"/>
                <w:szCs w:val="21"/>
              </w:rPr>
            </w:pPr>
            <w:r>
              <w:rPr>
                <w:rFonts w:hint="eastAsia" w:ascii="宋体" w:hAnsi="宋体"/>
                <w:szCs w:val="21"/>
              </w:rPr>
              <w:t>检测机构：</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工程名称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越秀区城市更新改造补短板项目（二期）—中心城区品质化提升项目（登峰街老旧小区改造）施工总承包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建设地点</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建设规模</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承包方式</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cs="宋体"/>
                <w:szCs w:val="21"/>
              </w:rPr>
              <w:t>包工、包料、包质量、包安全生产、包文明施工、包工期、包承包范围内工程验收通过、包移交、包结算和资料整理归档、包承包人应当购买的保险、包竣工图编制（须满足各专项验收要求）。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质量标准</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cs="宋体"/>
                <w:szCs w:val="21"/>
              </w:rPr>
              <w:t>工程质量符合《建筑工程施工质量验收统一标准》（GB50300-2013）及国家现行相关专业有关施工质量验收规范标准，符合设计图纸中相关设计规范、标准，达到合格或（以上标准）。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招标范围</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工期要求</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b/>
                <w:bCs/>
                <w:szCs w:val="21"/>
              </w:rPr>
            </w:pPr>
            <w:r>
              <w:rPr>
                <w:rFonts w:hint="eastAsia" w:ascii="宋体" w:hAnsi="宋体"/>
                <w:b/>
                <w:bCs/>
                <w:szCs w:val="21"/>
                <w:u w:val="single"/>
              </w:rPr>
              <w:t>暂定2023</w:t>
            </w:r>
            <w:r>
              <w:rPr>
                <w:rFonts w:hint="eastAsia" w:ascii="宋体" w:hAnsi="宋体"/>
                <w:b/>
                <w:bCs/>
                <w:szCs w:val="21"/>
              </w:rPr>
              <w:t xml:space="preserve">年 </w:t>
            </w:r>
            <w:r>
              <w:rPr>
                <w:rFonts w:hint="eastAsia" w:ascii="宋体" w:hAnsi="宋体"/>
                <w:b/>
                <w:bCs/>
                <w:szCs w:val="21"/>
                <w:u w:val="single"/>
              </w:rPr>
              <w:t>8</w:t>
            </w:r>
            <w:r>
              <w:rPr>
                <w:rFonts w:hint="eastAsia" w:ascii="宋体" w:hAnsi="宋体"/>
                <w:b/>
                <w:bCs/>
                <w:szCs w:val="21"/>
              </w:rPr>
              <w:t>月</w:t>
            </w:r>
            <w:r>
              <w:rPr>
                <w:rFonts w:hint="eastAsia" w:ascii="宋体" w:hAnsi="宋体" w:cs="宋体"/>
                <w:b/>
                <w:bCs/>
                <w:szCs w:val="21"/>
                <w:u w:val="single"/>
              </w:rPr>
              <w:t>（具体以经批复的开工文件为准）</w:t>
            </w:r>
            <w:r>
              <w:rPr>
                <w:rFonts w:hint="eastAsia" w:ascii="宋体" w:hAnsi="宋体"/>
                <w:b/>
                <w:bCs/>
                <w:szCs w:val="21"/>
              </w:rPr>
              <w:t>，</w:t>
            </w:r>
          </w:p>
          <w:p>
            <w:pPr>
              <w:snapToGrid w:val="0"/>
              <w:spacing w:line="264" w:lineRule="auto"/>
              <w:rPr>
                <w:rFonts w:ascii="宋体" w:hAnsi="宋体"/>
                <w:b/>
                <w:bCs/>
                <w:szCs w:val="21"/>
              </w:rPr>
            </w:pPr>
            <w:r>
              <w:rPr>
                <w:rFonts w:hint="eastAsia" w:ascii="宋体" w:hAnsi="宋体"/>
                <w:b/>
                <w:bCs/>
                <w:szCs w:val="21"/>
              </w:rPr>
              <w:t>施工总工期：</w:t>
            </w:r>
            <w:r>
              <w:rPr>
                <w:rFonts w:hint="eastAsia" w:ascii="宋体" w:hAnsi="宋体"/>
                <w:b/>
                <w:bCs/>
                <w:szCs w:val="21"/>
                <w:u w:val="single"/>
              </w:rPr>
              <w:t xml:space="preserve"> 24 </w:t>
            </w:r>
            <w:r>
              <w:rPr>
                <w:rFonts w:hint="eastAsia" w:ascii="宋体" w:hAnsi="宋体"/>
                <w:b/>
                <w:bCs/>
                <w:szCs w:val="21"/>
              </w:rPr>
              <w:t>个月。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3.1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资金来源</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u w:val="single"/>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4.1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投标人资质等级及项目负责人等级要求</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资格审查方式</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13.1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报价以及单价和总价计算方式</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15.1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投标有效期</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r>
              <w:rPr>
                <w:rFonts w:hint="eastAsia" w:ascii="宋体" w:hAnsi="宋体" w:cs="宋体"/>
                <w:szCs w:val="21"/>
                <w:u w:val="single"/>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16.1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投标保证金</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pPr>
            <w:r>
              <w:rPr>
                <w:rFonts w:hint="eastAsia" w:ascii="宋体" w:hAnsi="宋体"/>
                <w:szCs w:val="21"/>
                <w:u w:val="single"/>
              </w:rPr>
              <w:t>本项目不需要递交投标保证金。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5</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踏勘现场</w:t>
            </w:r>
          </w:p>
        </w:tc>
        <w:tc>
          <w:tcPr>
            <w:tcW w:w="6191" w:type="dxa"/>
            <w:tcBorders>
              <w:top w:val="single" w:color="auto" w:sz="4" w:space="0"/>
              <w:left w:val="single" w:color="auto" w:sz="4" w:space="0"/>
              <w:bottom w:val="single" w:color="auto" w:sz="4" w:space="0"/>
              <w:right w:val="double" w:color="auto" w:sz="4" w:space="0"/>
            </w:tcBorders>
            <w:vAlign w:val="center"/>
          </w:tcPr>
          <w:p>
            <w:pPr>
              <w:pStyle w:val="20"/>
              <w:snapToGrid w:val="0"/>
              <w:spacing w:line="264" w:lineRule="auto"/>
              <w:rPr>
                <w:rFonts w:ascii="宋体" w:hAnsi="宋体"/>
                <w:szCs w:val="21"/>
              </w:rPr>
            </w:pPr>
            <w:r>
              <w:rPr>
                <w:rFonts w:hint="eastAsia" w:ascii="宋体" w:hAnsi="宋体" w:cs="宋体"/>
                <w:szCs w:val="21"/>
                <w:u w:val="single"/>
              </w:rPr>
              <w:t>投标人自行踏勘 ，投标人不进行踏勘的，视为已熟知现场条件，自行承担相关风险</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8</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投标答疑</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szCs w:val="21"/>
              </w:rPr>
            </w:pPr>
            <w:r>
              <w:rPr>
                <w:rFonts w:hint="eastAsia"/>
                <w:szCs w:val="21"/>
              </w:rPr>
              <w:t>1.疑问提交时间：</w:t>
            </w:r>
            <w:r>
              <w:rPr>
                <w:rFonts w:hint="eastAsia" w:cs="宋体"/>
                <w:szCs w:val="21"/>
                <w:u w:val="single"/>
              </w:rPr>
              <w:t>(在递交投标文件截止日期前18日)</w:t>
            </w:r>
            <w:r>
              <w:rPr>
                <w:rFonts w:hint="eastAsia"/>
                <w:szCs w:val="21"/>
                <w:u w:val="single"/>
              </w:rPr>
              <w:t>见本项目日程安排</w:t>
            </w:r>
            <w:r>
              <w:rPr>
                <w:rFonts w:hint="eastAsia"/>
                <w:szCs w:val="21"/>
              </w:rPr>
              <w:t>；</w:t>
            </w:r>
          </w:p>
          <w:p>
            <w:pPr>
              <w:snapToGrid w:val="0"/>
              <w:spacing w:line="264" w:lineRule="auto"/>
              <w:rPr>
                <w:szCs w:val="21"/>
              </w:rPr>
            </w:pPr>
            <w:r>
              <w:rPr>
                <w:rFonts w:hint="eastAsia"/>
                <w:szCs w:val="21"/>
              </w:rPr>
              <w:t>2.形式：投标人的疑问通过</w:t>
            </w:r>
            <w:r>
              <w:rPr>
                <w:rFonts w:hint="eastAsia"/>
                <w:szCs w:val="21"/>
                <w:u w:val="single"/>
              </w:rPr>
              <w:t>广州公共资源交易中心</w:t>
            </w:r>
            <w:r>
              <w:rPr>
                <w:rFonts w:hint="eastAsia"/>
                <w:szCs w:val="21"/>
              </w:rPr>
              <w:t>交易平台提交。</w:t>
            </w:r>
          </w:p>
          <w:p>
            <w:pPr>
              <w:snapToGrid w:val="0"/>
              <w:spacing w:line="264" w:lineRule="auto"/>
              <w:rPr>
                <w:szCs w:val="21"/>
                <w:u w:val="single"/>
              </w:rPr>
            </w:pPr>
            <w:r>
              <w:rPr>
                <w:rFonts w:hint="eastAsia"/>
                <w:szCs w:val="21"/>
                <w:u w:val="single"/>
              </w:rPr>
              <w:t>3.招标人澄清或答疑期限：在递交投标文件截止日期前15 日</w:t>
            </w:r>
          </w:p>
          <w:p>
            <w:pPr>
              <w:snapToGrid w:val="0"/>
              <w:spacing w:line="264" w:lineRule="auto"/>
              <w:rPr>
                <w:szCs w:val="21"/>
                <w:u w:val="single"/>
              </w:rPr>
            </w:pPr>
            <w:r>
              <w:rPr>
                <w:rFonts w:hint="eastAsia"/>
                <w:szCs w:val="21"/>
                <w:u w:val="single"/>
              </w:rPr>
              <w:t>4.网上答疑的相关事项详见招标文件8.1、8.2款。</w:t>
            </w:r>
          </w:p>
          <w:p>
            <w:pPr>
              <w:snapToGrid w:val="0"/>
              <w:spacing w:line="264" w:lineRule="auto"/>
              <w:rPr>
                <w:rFonts w:ascii="宋体" w:hAnsi="宋体"/>
                <w:szCs w:val="21"/>
              </w:rPr>
            </w:pPr>
            <w:r>
              <w:rPr>
                <w:rFonts w:hint="eastAsia"/>
                <w:szCs w:val="21"/>
              </w:rPr>
              <w:t>具体要求：按照交易平台关于全流程电子化项目的相关指南进行操作，详见：</w:t>
            </w:r>
            <w:r>
              <w:rPr>
                <w:rFonts w:hint="eastAsia"/>
                <w:szCs w:val="21"/>
                <w:u w:val="single"/>
              </w:rPr>
              <w:t>广州公共资源交易中心网站(http:/ www.gzggzy.cn)服务指南栏目</w:t>
            </w:r>
            <w:r>
              <w:rPr>
                <w:rFonts w:hint="eastAsia"/>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20</w:t>
            </w:r>
            <w:r>
              <w:rPr>
                <w:rFonts w:ascii="宋体" w:hAnsi="宋体"/>
                <w:szCs w:val="21"/>
              </w:rPr>
              <w:t>.1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投标截止时间</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trike/>
                <w:szCs w:val="21"/>
              </w:rPr>
            </w:pPr>
            <w:r>
              <w:rPr>
                <w:rFonts w:hint="eastAsia" w:ascii="宋体" w:hAnsi="宋体" w:cs="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20.1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开标开始时间和地点</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宋体"/>
                <w:szCs w:val="21"/>
              </w:rPr>
            </w:pPr>
            <w:r>
              <w:rPr>
                <w:rFonts w:hint="eastAsia" w:ascii="宋体" w:hAnsi="宋体" w:cs="宋体"/>
                <w:szCs w:val="21"/>
              </w:rPr>
              <w:t>（技术标和经济标同时开标）</w:t>
            </w:r>
          </w:p>
          <w:p>
            <w:pPr>
              <w:snapToGrid w:val="0"/>
              <w:spacing w:line="264" w:lineRule="auto"/>
              <w:jc w:val="left"/>
              <w:rPr>
                <w:rFonts w:ascii="宋体" w:hAnsi="宋体" w:cs="宋体"/>
                <w:szCs w:val="21"/>
                <w:u w:val="single"/>
              </w:rPr>
            </w:pPr>
            <w:r>
              <w:rPr>
                <w:rFonts w:hint="eastAsia" w:ascii="宋体" w:hAnsi="宋体" w:cs="宋体"/>
                <w:szCs w:val="21"/>
              </w:rPr>
              <w:t>1、开标开始时间：</w:t>
            </w:r>
            <w:r>
              <w:rPr>
                <w:rFonts w:hint="eastAsia" w:ascii="宋体" w:hAnsi="宋体" w:cs="宋体"/>
                <w:szCs w:val="21"/>
                <w:u w:val="single"/>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分（与投标截止时间为同一时间），地点：</w:t>
            </w:r>
            <w:r>
              <w:rPr>
                <w:rFonts w:hint="eastAsia" w:ascii="宋体" w:hAnsi="宋体" w:cs="宋体"/>
                <w:szCs w:val="21"/>
                <w:u w:val="single"/>
              </w:rPr>
              <w:t>广州公共资源交易中心第  开标室。</w:t>
            </w:r>
            <w:r>
              <w:rPr>
                <w:rFonts w:hint="eastAsia" w:ascii="宋体" w:hAnsi="宋体" w:cs="宋体"/>
                <w:b/>
                <w:bCs/>
                <w:kern w:val="0"/>
                <w:szCs w:val="21"/>
              </w:rPr>
              <w:t>投标人也可选择参加在线开标，具体按照交易平台相关指南进行操作。详见：</w:t>
            </w:r>
            <w:r>
              <w:rPr>
                <w:rFonts w:hint="eastAsia" w:ascii="宋体" w:hAnsi="宋体" w:cs="宋体"/>
                <w:b/>
                <w:bCs/>
                <w:kern w:val="0"/>
                <w:szCs w:val="21"/>
                <w:u w:val="single"/>
              </w:rPr>
              <w:t>广州公共资源交易中心-服务指南-操作手册</w:t>
            </w:r>
            <w:r>
              <w:rPr>
                <w:rFonts w:hint="eastAsia" w:ascii="宋体" w:hAnsi="宋体" w:cs="宋体"/>
                <w:b/>
                <w:bCs/>
                <w:kern w:val="0"/>
                <w:szCs w:val="21"/>
              </w:rPr>
              <w:t>。</w:t>
            </w:r>
          </w:p>
          <w:p>
            <w:pPr>
              <w:snapToGrid w:val="0"/>
              <w:spacing w:line="264" w:lineRule="auto"/>
              <w:rPr>
                <w:rFonts w:ascii="宋体" w:hAnsi="宋体" w:cs="宋体"/>
                <w:szCs w:val="21"/>
              </w:rPr>
            </w:pPr>
            <w:r>
              <w:rPr>
                <w:rFonts w:hint="eastAsia" w:ascii="宋体" w:hAnsi="宋体" w:cs="宋体"/>
                <w:szCs w:val="21"/>
              </w:rPr>
              <w:t>注：投标文件解密问题。投标人只用执行一次解密，招标人执行解密次数根据招标文件开标次数确定。</w:t>
            </w:r>
          </w:p>
          <w:p>
            <w:pPr>
              <w:snapToGrid w:val="0"/>
              <w:spacing w:line="264" w:lineRule="auto"/>
              <w:rPr>
                <w:rFonts w:ascii="宋体" w:hAnsi="宋体" w:cs="宋体"/>
              </w:rPr>
            </w:pPr>
            <w:r>
              <w:rPr>
                <w:rFonts w:hint="eastAsia" w:ascii="宋体" w:hAnsi="宋体" w:cs="宋体"/>
                <w:szCs w:val="21"/>
              </w:rPr>
              <w:t>2、递交投标文件备用光盘时间：</w:t>
            </w:r>
            <w:r>
              <w:rPr>
                <w:rFonts w:hint="eastAsia" w:ascii="宋体" w:hAnsi="宋体" w:cs="宋体"/>
                <w:szCs w:val="21"/>
                <w:u w:val="single"/>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分；递交地点：</w:t>
            </w:r>
            <w:r>
              <w:rPr>
                <w:rFonts w:hint="eastAsia" w:ascii="宋体" w:hAnsi="宋体" w:cs="宋体"/>
                <w:szCs w:val="21"/>
                <w:u w:val="single"/>
              </w:rPr>
              <w:t>广州公共资源交易中心第  开标室</w:t>
            </w:r>
            <w:r>
              <w:rPr>
                <w:rFonts w:hint="eastAsia" w:ascii="宋体" w:hAnsi="宋体" w:cs="宋体"/>
              </w:rPr>
              <w:t>。(建议安排在投标文件截止时间前15分钟至投标文件截止时间）</w:t>
            </w:r>
          </w:p>
          <w:p>
            <w:pPr>
              <w:widowControl/>
              <w:snapToGrid w:val="0"/>
              <w:spacing w:line="264" w:lineRule="auto"/>
              <w:jc w:val="left"/>
              <w:rPr>
                <w:rFonts w:ascii="宋体" w:hAnsi="宋体"/>
                <w:szCs w:val="21"/>
              </w:rPr>
            </w:pPr>
            <w:r>
              <w:rPr>
                <w:rFonts w:hint="eastAsia" w:ascii="宋体" w:hAnsi="宋体" w:cs="宋体"/>
              </w:rPr>
              <w:t>上述时间及地点</w:t>
            </w:r>
            <w:r>
              <w:rPr>
                <w:rFonts w:hint="eastAsia" w:ascii="宋体" w:hAnsi="宋体" w:cs="宋体"/>
                <w:szCs w:val="21"/>
              </w:rPr>
              <w:t>是否</w:t>
            </w:r>
            <w:r>
              <w:rPr>
                <w:rFonts w:hint="eastAsia" w:ascii="宋体" w:hAnsi="宋体" w:cs="宋体"/>
              </w:rPr>
              <w:t>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26</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highlight w:val="yellow"/>
              </w:rPr>
            </w:pPr>
            <w:r>
              <w:rPr>
                <w:rFonts w:hint="eastAsia" w:ascii="宋体" w:hAnsi="宋体"/>
                <w:szCs w:val="21"/>
              </w:rPr>
              <w:t>开标评标办法</w:t>
            </w:r>
          </w:p>
        </w:tc>
        <w:tc>
          <w:tcPr>
            <w:tcW w:w="6191" w:type="dxa"/>
            <w:tcBorders>
              <w:top w:val="single" w:color="auto" w:sz="4" w:space="0"/>
              <w:left w:val="single" w:color="auto" w:sz="4" w:space="0"/>
              <w:bottom w:val="single" w:color="auto" w:sz="4" w:space="0"/>
              <w:right w:val="double" w:color="auto" w:sz="4" w:space="0"/>
            </w:tcBorders>
            <w:vAlign w:val="center"/>
          </w:tcPr>
          <w:p>
            <w:pPr>
              <w:pStyle w:val="15"/>
              <w:snapToGrid w:val="0"/>
              <w:spacing w:after="0" w:line="264" w:lineRule="auto"/>
              <w:ind w:right="-153" w:rightChars="-73"/>
            </w:pPr>
            <w:r>
              <w:rPr>
                <w:rFonts w:hint="eastAsia"/>
              </w:rPr>
              <w:t>方式一：选取办法七（适合综合评分法四，技术标与经济标同时开启）。</w:t>
            </w:r>
          </w:p>
          <w:p>
            <w:pPr>
              <w:rPr>
                <w:rFonts w:ascii="宋体" w:hAnsi="宋体" w:cs="宋体"/>
                <w:b/>
                <w:bCs/>
              </w:rPr>
            </w:pPr>
            <w:r>
              <w:rPr>
                <w:rFonts w:hint="eastAsia" w:ascii="宋体" w:hAnsi="宋体" w:cs="宋体"/>
                <w:b/>
                <w:bCs/>
              </w:rPr>
              <w:t>投标人总得分=【技术得分（满分20分）＋经济得分×经济得分权重（80%）】×80%＋综合诚信评价排名得分×综合诚信评价分数权重（20%）。</w:t>
            </w:r>
          </w:p>
          <w:p>
            <w:r>
              <w:rPr>
                <w:rFonts w:hint="eastAsia" w:ascii="宋体" w:hAnsi="宋体" w:cs="宋体"/>
              </w:rPr>
              <w:t>注：本招标项目诚信评价分数取自投标截止当日广州市工程招标代理行业协会网站上公布的施工企业-房建诚信评价60日诚信分。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29.1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履约担保</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最高投标限价</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highlight w:val="none"/>
              </w:rPr>
            </w:pPr>
            <w:r>
              <w:rPr>
                <w:rFonts w:hint="eastAsia" w:cs="宋体"/>
                <w:szCs w:val="21"/>
                <w:highlight w:val="none"/>
              </w:rPr>
              <w:t>本项目最高投标限价为人民币</w:t>
            </w:r>
            <w:r>
              <w:rPr>
                <w:rFonts w:hint="eastAsia" w:cs="宋体"/>
                <w:szCs w:val="21"/>
                <w:highlight w:val="none"/>
                <w:u w:val="single"/>
              </w:rPr>
              <w:t xml:space="preserve"> </w:t>
            </w:r>
            <w:r>
              <w:rPr>
                <w:rFonts w:hint="eastAsia" w:cs="宋体"/>
                <w:szCs w:val="21"/>
                <w:highlight w:val="none"/>
                <w:u w:val="single"/>
                <w:lang w:val="en-US" w:eastAsia="zh-CN"/>
              </w:rPr>
              <w:t>40178673.05</w:t>
            </w:r>
            <w:r>
              <w:rPr>
                <w:rFonts w:hint="eastAsia" w:cs="宋体"/>
                <w:szCs w:val="21"/>
                <w:highlight w:val="none"/>
              </w:rPr>
              <w:t>元，投标总价超过最高投标限价的投标文件将被拒绝。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非竞争费用</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ind w:left="210" w:hanging="210" w:hangingChars="100"/>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lang w:val="en-US" w:eastAsia="zh-CN"/>
              </w:rPr>
              <w:t>2176194.62</w:t>
            </w:r>
            <w:r>
              <w:rPr>
                <w:rFonts w:hint="eastAsia" w:ascii="宋体" w:hAnsi="宋体"/>
                <w:szCs w:val="21"/>
                <w:highlight w:val="none"/>
                <w:u w:val="single"/>
              </w:rPr>
              <w:t xml:space="preserve"> </w:t>
            </w:r>
            <w:r>
              <w:rPr>
                <w:rFonts w:hint="eastAsia" w:ascii="宋体" w:hAnsi="宋体"/>
                <w:szCs w:val="21"/>
                <w:highlight w:val="none"/>
              </w:rPr>
              <w:t>元，暂列金额为</w:t>
            </w:r>
            <w:r>
              <w:rPr>
                <w:rFonts w:hint="eastAsia" w:ascii="宋体" w:hAnsi="宋体"/>
                <w:szCs w:val="21"/>
                <w:highlight w:val="none"/>
                <w:u w:val="single"/>
              </w:rPr>
              <w:t xml:space="preserve">   </w:t>
            </w:r>
            <w:r>
              <w:rPr>
                <w:rFonts w:hint="eastAsia" w:cs="宋体"/>
                <w:szCs w:val="21"/>
                <w:highlight w:val="none"/>
                <w:u w:val="single"/>
              </w:rPr>
              <w:t xml:space="preserve">           </w:t>
            </w:r>
            <w:r>
              <w:rPr>
                <w:rFonts w:hint="eastAsia" w:cs="宋体"/>
                <w:szCs w:val="21"/>
                <w:highlight w:val="none"/>
                <w:u w:val="single"/>
                <w:lang w:val="en-US" w:eastAsia="zh-CN"/>
              </w:rPr>
              <w:t>3088166.80</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34"/>
              <w:snapToGrid w:val="0"/>
              <w:spacing w:line="264" w:lineRule="auto"/>
              <w:ind w:firstLine="0"/>
              <w:rPr>
                <w:rFonts w:ascii="宋体" w:hAnsi="宋体"/>
                <w:szCs w:val="21"/>
              </w:rPr>
            </w:pPr>
            <w:r>
              <w:rPr>
                <w:rFonts w:hint="eastAsia" w:ascii="宋体" w:hAnsi="宋体"/>
                <w:szCs w:val="21"/>
              </w:rPr>
              <w:t>保修期</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计算评标参考价的等分点值</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进入第二阶段评审的家数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工程成本警戒价</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工</w:t>
            </w:r>
            <w:r>
              <w:rPr>
                <w:rFonts w:hint="eastAsia" w:ascii="宋体" w:hAnsi="宋体"/>
                <w:szCs w:val="21"/>
                <w:highlight w:val="none"/>
              </w:rPr>
              <w:t>程成本警戒价</w:t>
            </w:r>
            <w:r>
              <w:rPr>
                <w:rFonts w:hint="eastAsia" w:cs="宋体"/>
                <w:szCs w:val="21"/>
                <w:highlight w:val="none"/>
                <w:u w:val="single"/>
                <w:lang w:val="en-US" w:eastAsia="zh-CN"/>
              </w:rPr>
              <w:t>36160805.75</w:t>
            </w:r>
            <w:r>
              <w:rPr>
                <w:rFonts w:hint="eastAsia" w:ascii="宋体" w:hAnsi="宋体" w:cs="宋体"/>
                <w:szCs w:val="21"/>
                <w:highlight w:val="none"/>
              </w:rPr>
              <w:t>元（最高投标限价的90%）</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w:t>
            </w:r>
            <w:r>
              <w:rPr>
                <w:rFonts w:hint="eastAsia" w:ascii="宋体" w:hAnsi="宋体"/>
                <w:szCs w:val="21"/>
              </w:rPr>
              <w:t>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napToGrid w:val="0"/>
              <w:spacing w:line="264" w:lineRule="auto"/>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第一阶段各分值的权重</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评标委员会人数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企业综合诚信评价分数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cs="宋体"/>
                <w:szCs w:val="21"/>
              </w:rPr>
              <w:t>本项目的企业综合诚信评价分数，以</w:t>
            </w:r>
            <w:r>
              <w:rPr>
                <w:rFonts w:hint="eastAsia" w:ascii="宋体" w:hAnsi="宋体" w:cs="宋体"/>
                <w:szCs w:val="21"/>
                <w:u w:val="single"/>
              </w:rPr>
              <w:t>施工企业房建</w:t>
            </w:r>
            <w:r>
              <w:rPr>
                <w:rFonts w:hint="eastAsia" w:ascii="宋体" w:hAnsi="宋体" w:cs="宋体"/>
                <w:szCs w:val="21"/>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第二阶段投标人名次的排序方法（适用于办法一、办法二）</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经济分相同情况下的排序方法（适用于办法三、办法四）</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第二阶段投标人名次的排序方法（适用于办法五、办法六）</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合同价款的调整办法</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zCs w:val="21"/>
              </w:rPr>
            </w:pPr>
            <w:r>
              <w:rPr>
                <w:rFonts w:hint="eastAsia" w:ascii="宋体" w:hAnsi="宋体" w:cs="宋体"/>
                <w:bCs/>
                <w:szCs w:val="21"/>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建设工程质量检测单位</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kern w:val="0"/>
                <w:szCs w:val="21"/>
                <w:lang w:val="zh-CN"/>
              </w:rPr>
            </w:pPr>
            <w:r>
              <w:rPr>
                <w:rFonts w:hint="eastAsia" w:ascii="宋体" w:hAnsi="宋体"/>
                <w:kern w:val="0"/>
                <w:szCs w:val="21"/>
                <w:lang w:val="zh-CN"/>
              </w:rPr>
              <w:t>分包</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宋体"/>
                <w:kern w:val="0"/>
                <w:szCs w:val="21"/>
                <w:lang w:val="zh-CN"/>
              </w:rPr>
            </w:pPr>
            <w:r>
              <w:rPr>
                <w:rFonts w:hint="eastAsia" w:ascii="宋体" w:hAnsi="宋体" w:cs="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■允许：</w:t>
            </w:r>
          </w:p>
          <w:p>
            <w:pPr>
              <w:ind w:firstLine="420" w:firstLineChars="200"/>
              <w:rPr>
                <w:rFonts w:ascii="宋体" w:hAnsi="宋体" w:cs="宋体"/>
                <w:kern w:val="0"/>
                <w:szCs w:val="21"/>
                <w:u w:val="single"/>
                <w:lang w:val="zh-CN"/>
              </w:rPr>
            </w:pPr>
            <w:r>
              <w:rPr>
                <w:rFonts w:hint="eastAsia" w:ascii="宋体" w:hAnsi="宋体" w:cs="宋体"/>
                <w:kern w:val="0"/>
                <w:szCs w:val="21"/>
                <w:lang w:val="zh-CN"/>
              </w:rPr>
              <w:t>分包内容要求：</w:t>
            </w:r>
            <w:r>
              <w:rPr>
                <w:rFonts w:hint="eastAsia" w:ascii="宋体" w:hAnsi="宋体" w:cs="宋体"/>
                <w:kern w:val="0"/>
                <w:szCs w:val="21"/>
                <w:u w:val="single"/>
                <w:lang w:val="zh-CN"/>
              </w:rPr>
              <w:t>非主体的工程、非关键性的工作</w:t>
            </w:r>
          </w:p>
          <w:p>
            <w:pPr>
              <w:ind w:firstLine="420" w:firstLineChars="200"/>
              <w:rPr>
                <w:rFonts w:ascii="宋体" w:hAnsi="宋体" w:cs="宋体"/>
                <w:kern w:val="0"/>
                <w:szCs w:val="21"/>
              </w:rPr>
            </w:pPr>
            <w:r>
              <w:rPr>
                <w:rFonts w:hint="eastAsia" w:ascii="宋体" w:hAnsi="宋体" w:cs="宋体"/>
                <w:kern w:val="0"/>
                <w:szCs w:val="21"/>
                <w:lang w:val="zh-CN"/>
              </w:rPr>
              <w:t>分包金额要求：</w:t>
            </w:r>
            <w:r>
              <w:rPr>
                <w:rFonts w:hint="eastAsia" w:ascii="宋体" w:hAnsi="宋体" w:cs="宋体"/>
                <w:kern w:val="0"/>
                <w:szCs w:val="21"/>
                <w:u w:val="single"/>
              </w:rPr>
              <w:t>/</w:t>
            </w:r>
            <w:r>
              <w:rPr>
                <w:rFonts w:hint="eastAsia" w:ascii="宋体" w:hAnsi="宋体" w:cs="宋体"/>
                <w:kern w:val="0"/>
                <w:szCs w:val="21"/>
              </w:rPr>
              <w:t>。</w:t>
            </w:r>
          </w:p>
          <w:p>
            <w:pPr>
              <w:ind w:left="71" w:leftChars="34"/>
              <w:rPr>
                <w:rFonts w:ascii="宋体" w:hAnsi="宋体" w:cs="宋体"/>
                <w:kern w:val="0"/>
                <w:szCs w:val="21"/>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rPr>
              <w:t>相对应的资质</w:t>
            </w:r>
            <w:r>
              <w:rPr>
                <w:rFonts w:hint="eastAsia" w:ascii="宋体" w:hAnsi="宋体" w:cs="宋体"/>
                <w:kern w:val="0"/>
                <w:szCs w:val="21"/>
              </w:rPr>
              <w:t>。</w:t>
            </w:r>
          </w:p>
          <w:p>
            <w:pPr>
              <w:snapToGrid w:val="0"/>
              <w:spacing w:line="264" w:lineRule="auto"/>
              <w:rPr>
                <w:rFonts w:ascii="宋体" w:hAnsi="宋体"/>
                <w:kern w:val="0"/>
                <w:szCs w:val="21"/>
                <w:lang w:val="zh-CN"/>
              </w:rPr>
            </w:pPr>
            <w:r>
              <w:rPr>
                <w:rFonts w:hint="eastAsia" w:ascii="宋体" w:hAnsi="宋体" w:cs="宋体"/>
                <w:kern w:val="0"/>
                <w:szCs w:val="21"/>
                <w:lang w:val="zh-CN"/>
              </w:rPr>
              <w:t>对分包人的其他要求：</w:t>
            </w:r>
            <w:r>
              <w:rPr>
                <w:rFonts w:hint="eastAsia" w:ascii="宋体" w:hAnsi="宋体" w:cs="宋体"/>
                <w:kern w:val="0"/>
                <w:szCs w:val="21"/>
                <w:u w:val="single"/>
                <w:lang w:val="zh-CN"/>
              </w:rPr>
              <w:t>未在以往工程中因不诚信行为或不充分履约行为被本项目招标人书面拒绝投标的，或未被列入拖欠农民工工资失信联合惩戒对象名单</w:t>
            </w:r>
            <w:r>
              <w:rPr>
                <w:rFonts w:hint="eastAsia" w:ascii="宋体" w:hAnsi="宋体" w:cs="宋体"/>
                <w:kern w:val="0"/>
                <w:szCs w:val="21"/>
                <w:u w:val="single"/>
              </w:rPr>
              <w:t>的</w:t>
            </w:r>
            <w:r>
              <w:rPr>
                <w:rFonts w:hint="eastAsia" w:ascii="宋体" w:hAnsi="宋体" w:cs="宋体"/>
                <w:kern w:val="0"/>
                <w:szCs w:val="21"/>
                <w:u w:val="single"/>
                <w:lang w:val="zh-CN"/>
              </w:rPr>
              <w:t>。须经发包人和总监理工程师书面同意。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rPr>
            </w:pPr>
            <w:r>
              <w:rPr>
                <w:rFonts w:hint="eastAsia" w:ascii="宋体" w:hAnsi="宋体"/>
              </w:rPr>
              <w:t>电子招标投标解密失败及突发情况的补救</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szCs w:val="21"/>
                <w:u w:val="single"/>
              </w:rPr>
              <w:t>广州公共资源交易中心网站(http:/ www.gzggzy.cn)服务指南栏目</w:t>
            </w:r>
            <w:r>
              <w:rPr>
                <w:rFonts w:hint="eastAsia" w:ascii="宋体" w:hAnsi="宋体" w:cs="Courier New"/>
                <w:szCs w:val="21"/>
              </w:rPr>
              <w:t xml:space="preserve">。  </w:t>
            </w:r>
          </w:p>
          <w:p>
            <w:pPr>
              <w:snapToGrid w:val="0"/>
              <w:spacing w:line="264" w:lineRule="auto"/>
              <w:rPr>
                <w:rFonts w:ascii="宋体" w:hAnsi="宋体" w:cs="Courier New"/>
                <w:szCs w:val="21"/>
              </w:rPr>
            </w:pPr>
            <w:r>
              <w:rPr>
                <w:rFonts w:hint="eastAsia" w:ascii="宋体" w:hAnsi="宋体" w:cs="Courier New"/>
                <w:szCs w:val="21"/>
              </w:rPr>
              <w:t>2、提交投标文件光盘备用</w:t>
            </w:r>
          </w:p>
          <w:p>
            <w:pPr>
              <w:snapToGrid w:val="0"/>
              <w:spacing w:line="264" w:lineRule="auto"/>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cs="Courier New"/>
                <w:b/>
                <w:szCs w:val="21"/>
              </w:rPr>
              <w:t>密封袋上应写明项目名称和招标人名称。</w:t>
            </w:r>
            <w:r>
              <w:rPr>
                <w:rFonts w:hint="eastAsia" w:ascii="宋体" w:hAnsi="宋体" w:cs="Courier New"/>
                <w:szCs w:val="21"/>
              </w:rPr>
              <w:t>递交的光盘不得加密。光盘无法读取或导入的，则视为未提交备用投标文件光盘。如果投标人没有按规定通过交易平台网上递交电子投标文件的，不再读取提交的光盘。投标人也可不提交备用光盘。</w:t>
            </w:r>
          </w:p>
          <w:p>
            <w:pPr>
              <w:snapToGrid w:val="0"/>
              <w:spacing w:line="264" w:lineRule="auto"/>
              <w:rPr>
                <w:rFonts w:ascii="宋体" w:hAnsi="宋体" w:cs="Courier New"/>
                <w:szCs w:val="21"/>
              </w:rPr>
            </w:pPr>
            <w:r>
              <w:rPr>
                <w:rFonts w:hint="eastAsia" w:ascii="宋体" w:hAnsi="宋体" w:cs="Courier New"/>
                <w:szCs w:val="21"/>
              </w:rPr>
              <w:t>3、补救方案</w:t>
            </w:r>
          </w:p>
          <w:p>
            <w:pPr>
              <w:snapToGrid w:val="0"/>
              <w:spacing w:line="264" w:lineRule="auto"/>
              <w:rPr>
                <w:rFonts w:ascii="宋体" w:hAnsi="宋体" w:cs="Courier New"/>
                <w:szCs w:val="21"/>
              </w:rPr>
            </w:pPr>
            <w:r>
              <w:rPr>
                <w:rFonts w:hint="eastAsia" w:ascii="宋体" w:hAnsi="宋体" w:cs="Courier New"/>
                <w:szCs w:val="21"/>
              </w:rPr>
              <w:t>（1）投标文件解密失败的补救方案：</w:t>
            </w:r>
          </w:p>
          <w:p>
            <w:pPr>
              <w:snapToGrid w:val="0"/>
              <w:spacing w:line="264" w:lineRule="auto"/>
              <w:rPr>
                <w:rFonts w:ascii="宋体" w:hAnsi="宋体" w:cs="Courier New"/>
                <w:b/>
                <w:bCs/>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Courier New"/>
                <w:b/>
                <w:bCs/>
                <w:szCs w:val="21"/>
              </w:rPr>
              <w:t>因投标人之外原因解密失败且未递交电子光盘的，视为撤回投标文件。</w:t>
            </w:r>
          </w:p>
          <w:p>
            <w:pPr>
              <w:snapToGrid w:val="0"/>
              <w:spacing w:line="264" w:lineRule="auto"/>
              <w:rPr>
                <w:rFonts w:ascii="宋体" w:hAnsi="宋体" w:cs="Courier New"/>
                <w:szCs w:val="21"/>
              </w:rPr>
            </w:pPr>
            <w:r>
              <w:rPr>
                <w:rFonts w:hint="eastAsia" w:ascii="宋体" w:hAnsi="宋体" w:cs="Courier New"/>
                <w:szCs w:val="21"/>
              </w:rPr>
              <w:t>（2）评标时突发情况的补救方案</w:t>
            </w:r>
          </w:p>
          <w:p>
            <w:pPr>
              <w:snapToGrid w:val="0"/>
              <w:spacing w:line="264" w:lineRule="auto"/>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snapToGrid w:val="0"/>
              <w:spacing w:line="264" w:lineRule="auto"/>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pPr>
            <w:r>
              <w:rPr>
                <w:rFonts w:hint="eastAsia" w:cs="宋体"/>
                <w:szCs w:val="21"/>
                <w:u w:val="single"/>
              </w:rPr>
              <w:t>招标人拒绝接收投标文件备用光盘的情况</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cs="宋体"/>
                <w:szCs w:val="21"/>
                <w:u w:val="single"/>
              </w:rPr>
            </w:pPr>
            <w:r>
              <w:rPr>
                <w:rFonts w:hint="eastAsia" w:cs="宋体"/>
                <w:szCs w:val="21"/>
                <w:u w:val="single"/>
              </w:rPr>
              <w:t>1、在投标截止期后逾期或未在指定地点递交投标文件备用光盘的；</w:t>
            </w:r>
          </w:p>
          <w:p>
            <w:pPr>
              <w:snapToGrid w:val="0"/>
              <w:spacing w:line="264" w:lineRule="auto"/>
              <w:rPr>
                <w:rFonts w:cs="宋体"/>
                <w:szCs w:val="21"/>
                <w:u w:val="single"/>
              </w:rPr>
            </w:pPr>
            <w:r>
              <w:rPr>
                <w:rFonts w:hint="eastAsia" w:cs="宋体"/>
                <w:szCs w:val="21"/>
                <w:u w:val="single"/>
              </w:rPr>
              <w:t>2、投标文件备用光盘未按招标文件要求密封或未在密封处盖章的；</w:t>
            </w:r>
          </w:p>
          <w:p>
            <w:pPr>
              <w:snapToGrid w:val="0"/>
              <w:spacing w:line="264" w:lineRule="auto"/>
            </w:pPr>
            <w:r>
              <w:rPr>
                <w:rFonts w:hint="eastAsia" w:cs="宋体"/>
                <w:szCs w:val="21"/>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rPr>
            </w:pPr>
            <w:r>
              <w:rPr>
                <w:rFonts w:hint="eastAsia" w:ascii="宋体" w:hAnsi="宋体" w:cs="宋体"/>
                <w:szCs w:val="21"/>
              </w:rPr>
              <w:t>工人工资支付专用帐户</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Courier New"/>
                <w:szCs w:val="21"/>
              </w:rPr>
            </w:pPr>
            <w:r>
              <w:rPr>
                <w:rFonts w:hint="eastAsia" w:ascii="宋体" w:hAnsi="宋体" w:cs="宋体"/>
                <w:szCs w:val="21"/>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napToGrid w:val="0"/>
              <w:spacing w:line="264" w:lineRule="auto"/>
              <w:rPr>
                <w:rFonts w:ascii="宋体" w:hAnsi="宋体"/>
                <w:szCs w:val="21"/>
              </w:rPr>
            </w:pPr>
            <w:r>
              <w:rPr>
                <w:rFonts w:hint="eastAsia" w:ascii="宋体" w:hAnsi="宋体" w:cs="宋体"/>
                <w:szCs w:val="21"/>
              </w:rPr>
              <w:t>39</w:t>
            </w:r>
          </w:p>
        </w:tc>
        <w:tc>
          <w:tcPr>
            <w:tcW w:w="981" w:type="dxa"/>
            <w:tcBorders>
              <w:top w:val="single" w:color="auto" w:sz="4" w:space="0"/>
              <w:left w:val="single" w:color="auto" w:sz="4" w:space="0"/>
              <w:bottom w:val="double" w:color="auto" w:sz="4" w:space="0"/>
              <w:right w:val="single" w:color="auto" w:sz="4" w:space="0"/>
            </w:tcBorders>
            <w:vAlign w:val="center"/>
          </w:tcPr>
          <w:p>
            <w:pPr>
              <w:snapToGrid w:val="0"/>
              <w:spacing w:line="264" w:lineRule="auto"/>
              <w:jc w:val="center"/>
              <w:rPr>
                <w:rFonts w:ascii="宋体" w:hAnsi="宋体"/>
              </w:rPr>
            </w:pPr>
          </w:p>
        </w:tc>
        <w:tc>
          <w:tcPr>
            <w:tcW w:w="1661" w:type="dxa"/>
            <w:tcBorders>
              <w:top w:val="single" w:color="auto" w:sz="4" w:space="0"/>
              <w:left w:val="single" w:color="auto" w:sz="4" w:space="0"/>
              <w:bottom w:val="double" w:color="auto" w:sz="4" w:space="0"/>
              <w:right w:val="single" w:color="auto" w:sz="4" w:space="0"/>
            </w:tcBorders>
            <w:vAlign w:val="center"/>
          </w:tcPr>
          <w:p>
            <w:pPr>
              <w:snapToGrid w:val="0"/>
              <w:spacing w:line="264" w:lineRule="auto"/>
              <w:jc w:val="center"/>
              <w:rPr>
                <w:rFonts w:ascii="宋体" w:hAnsi="宋体" w:cs="宋体"/>
                <w:szCs w:val="21"/>
              </w:rPr>
            </w:pPr>
            <w:r>
              <w:rPr>
                <w:rFonts w:hint="eastAsia" w:ascii="宋体" w:hAnsi="宋体" w:cs="宋体"/>
                <w:szCs w:val="21"/>
              </w:rPr>
              <w:t>中标候选人公示后中标单位提交投标文件要求</w:t>
            </w:r>
          </w:p>
        </w:tc>
        <w:tc>
          <w:tcPr>
            <w:tcW w:w="6191" w:type="dxa"/>
            <w:tcBorders>
              <w:top w:val="single" w:color="auto" w:sz="4" w:space="0"/>
              <w:left w:val="single" w:color="auto" w:sz="4" w:space="0"/>
              <w:bottom w:val="double" w:color="auto" w:sz="4" w:space="0"/>
              <w:right w:val="double" w:color="auto" w:sz="4" w:space="0"/>
            </w:tcBorders>
            <w:vAlign w:val="center"/>
          </w:tcPr>
          <w:p>
            <w:pPr>
              <w:snapToGrid w:val="0"/>
              <w:spacing w:line="264" w:lineRule="auto"/>
              <w:rPr>
                <w:rFonts w:ascii="宋体" w:hAnsi="宋体" w:cs="宋体"/>
                <w:szCs w:val="21"/>
              </w:rPr>
            </w:pPr>
            <w:r>
              <w:rPr>
                <w:rFonts w:hint="eastAsia" w:ascii="宋体" w:hAnsi="宋体" w:cs="宋体"/>
                <w:szCs w:val="21"/>
              </w:rPr>
              <w:t>中标单位在中标候选人公示结束后三个工作日内分别提交4套与电子投标文件内容完全一致的纸质版投标文件（含经济标单价分析）及经济标报价套价软件版和Microsoft Excel版电子文件光盘。</w:t>
            </w:r>
          </w:p>
        </w:tc>
      </w:tr>
    </w:tbl>
    <w:p>
      <w:pPr>
        <w:pStyle w:val="6"/>
      </w:pPr>
      <w:bookmarkStart w:id="6" w:name="_Toc2272547"/>
      <w:bookmarkEnd w:id="6"/>
      <w:r>
        <w:br w:type="page"/>
      </w:r>
      <w:bookmarkStart w:id="7" w:name="_Toc115117420"/>
      <w:r>
        <w:rPr>
          <w:rFonts w:hint="eastAsia"/>
        </w:rPr>
        <w:t>二、投标须知修改表</w:t>
      </w:r>
      <w:bookmarkEnd w:id="7"/>
    </w:p>
    <w:p>
      <w:pPr>
        <w:pStyle w:val="34"/>
        <w:pBdr>
          <w:bottom w:val="single" w:color="auto" w:sz="6" w:space="1"/>
        </w:pBdr>
        <w:spacing w:line="360" w:lineRule="auto"/>
        <w:rPr>
          <w:b/>
          <w:szCs w:val="21"/>
        </w:rPr>
      </w:pPr>
      <w:r>
        <w:rPr>
          <w:rFonts w:hint="eastAsia"/>
          <w:b/>
          <w:szCs w:val="21"/>
        </w:rPr>
        <w:t>声</w:t>
      </w:r>
      <w:r>
        <w:rPr>
          <w:rFonts w:hint="eastAsia" w:ascii="宋体" w:hAnsi="宋体" w:cs="宋体"/>
          <w:b/>
          <w:szCs w:val="21"/>
        </w:rPr>
        <w:t>明：</w:t>
      </w:r>
      <w:r>
        <w:rPr>
          <w:rFonts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7"/>
        <w:ind w:firstLine="384" w:firstLineChars="182"/>
        <w:rPr>
          <w:color w:val="auto"/>
          <w:sz w:val="21"/>
        </w:rPr>
      </w:pPr>
      <w:r>
        <w:rPr>
          <w:rFonts w:hint="eastAsia"/>
          <w:color w:val="auto"/>
          <w:sz w:val="21"/>
        </w:rPr>
        <w:t xml:space="preserve">条款号: </w:t>
      </w:r>
      <w:r>
        <w:rPr>
          <w:rFonts w:hint="eastAsia" w:cs="宋体"/>
          <w:color w:val="auto"/>
          <w:sz w:val="21"/>
        </w:rPr>
        <w:t xml:space="preserve">2.5     </w:t>
      </w:r>
      <w:r>
        <w:rPr>
          <w:rFonts w:hint="eastAsia"/>
          <w:color w:val="auto"/>
          <w:sz w:val="21"/>
        </w:rPr>
        <w:t>修改类型：增加</w:t>
      </w:r>
    </w:p>
    <w:p>
      <w:pPr>
        <w:pStyle w:val="34"/>
        <w:pBdr>
          <w:bottom w:val="single" w:color="auto" w:sz="6" w:space="1"/>
        </w:pBdr>
        <w:spacing w:line="360" w:lineRule="auto"/>
        <w:ind w:firstLine="411" w:firstLineChars="195"/>
        <w:rPr>
          <w:rFonts w:ascii="宋体" w:hAnsi="宋体" w:cs="宋体"/>
          <w:szCs w:val="21"/>
        </w:rPr>
      </w:pPr>
      <w:r>
        <w:rPr>
          <w:rFonts w:hint="eastAsia"/>
          <w:b/>
          <w:szCs w:val="21"/>
        </w:rPr>
        <w:t>现文：</w:t>
      </w:r>
      <w:r>
        <w:rPr>
          <w:rFonts w:hint="eastAsia" w:ascii="宋体" w:hAnsi="宋体" w:cs="宋体"/>
          <w:szCs w:val="21"/>
        </w:rPr>
        <w:t>2.5</w:t>
      </w: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szCs w:val="21"/>
        </w:rPr>
        <w:t>。</w:t>
      </w:r>
    </w:p>
    <w:p>
      <w:pPr>
        <w:pStyle w:val="7"/>
        <w:ind w:firstLine="489" w:firstLineChars="232"/>
        <w:rPr>
          <w:color w:val="auto"/>
          <w:sz w:val="21"/>
        </w:rPr>
      </w:pPr>
      <w:r>
        <w:rPr>
          <w:rFonts w:hint="eastAsia"/>
          <w:color w:val="auto"/>
          <w:sz w:val="21"/>
        </w:rPr>
        <w:t>条款号: 5.1    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360" w:lineRule="auto"/>
        <w:ind w:firstLine="422" w:firstLineChars="200"/>
        <w:rPr>
          <w:rFonts w:ascii="宋体" w:hAnsi="宋体"/>
          <w:b/>
          <w:szCs w:val="21"/>
        </w:rPr>
      </w:pPr>
      <w:r>
        <w:rPr>
          <w:rFonts w:hint="eastAsia" w:ascii="宋体" w:hAnsi="宋体"/>
          <w:b/>
          <w:szCs w:val="21"/>
        </w:rPr>
        <w:t>条款号：</w:t>
      </w:r>
      <w:r>
        <w:rPr>
          <w:rFonts w:ascii="宋体" w:hAnsi="宋体"/>
          <w:b/>
          <w:szCs w:val="21"/>
        </w:rPr>
        <w:t>7</w:t>
      </w:r>
      <w:r>
        <w:rPr>
          <w:rFonts w:hint="eastAsia" w:ascii="宋体" w:hAnsi="宋体"/>
          <w:b/>
          <w:szCs w:val="21"/>
        </w:rPr>
        <w:t>.1    修改类型：修改</w:t>
      </w:r>
    </w:p>
    <w:p>
      <w:pPr>
        <w:spacing w:line="360" w:lineRule="auto"/>
        <w:ind w:firstLine="422" w:firstLineChars="200"/>
        <w:rPr>
          <w:rFonts w:ascii="宋体" w:hAnsi="宋体"/>
          <w:szCs w:val="21"/>
        </w:rPr>
      </w:pPr>
      <w:r>
        <w:rPr>
          <w:rFonts w:hint="eastAsia" w:ascii="宋体" w:hAnsi="宋体"/>
          <w:b/>
          <w:szCs w:val="21"/>
        </w:rPr>
        <w:t>原文：</w:t>
      </w:r>
      <w:r>
        <w:rPr>
          <w:rFonts w:ascii="宋体" w:hAnsi="宋体"/>
          <w:b/>
          <w:szCs w:val="21"/>
        </w:rPr>
        <w:t xml:space="preserve">7.1 </w:t>
      </w:r>
      <w:r>
        <w:rPr>
          <w:rFonts w:hint="eastAsia" w:ascii="宋体" w:hAnsi="宋体"/>
          <w:szCs w:val="21"/>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szCs w:val="21"/>
        </w:rPr>
      </w:pPr>
      <w:r>
        <w:rPr>
          <w:rFonts w:hint="eastAsia" w:ascii="宋体" w:hAnsi="宋体"/>
          <w:szCs w:val="21"/>
        </w:rPr>
        <w:t>第一章投标须知</w:t>
      </w:r>
    </w:p>
    <w:p>
      <w:pPr>
        <w:spacing w:line="360" w:lineRule="auto"/>
        <w:ind w:firstLine="420" w:firstLineChars="200"/>
        <w:rPr>
          <w:rFonts w:ascii="宋体" w:hAnsi="宋体"/>
          <w:szCs w:val="21"/>
        </w:rPr>
      </w:pPr>
      <w:r>
        <w:rPr>
          <w:rFonts w:hint="eastAsia" w:ascii="宋体" w:hAnsi="宋体"/>
          <w:szCs w:val="21"/>
        </w:rPr>
        <w:t>第二章开标、评标及定标办法</w:t>
      </w:r>
    </w:p>
    <w:p>
      <w:pPr>
        <w:spacing w:line="360" w:lineRule="auto"/>
        <w:ind w:firstLine="420" w:firstLineChars="200"/>
        <w:rPr>
          <w:rFonts w:ascii="宋体" w:hAnsi="宋体"/>
          <w:szCs w:val="21"/>
        </w:rPr>
      </w:pPr>
      <w:r>
        <w:rPr>
          <w:rFonts w:hint="eastAsia" w:ascii="宋体" w:hAnsi="宋体"/>
          <w:szCs w:val="21"/>
        </w:rPr>
        <w:t>第三章合同条款</w:t>
      </w:r>
    </w:p>
    <w:p>
      <w:pPr>
        <w:spacing w:line="360" w:lineRule="auto"/>
        <w:ind w:firstLine="420" w:firstLineChars="200"/>
        <w:rPr>
          <w:rFonts w:ascii="宋体" w:hAnsi="宋体"/>
          <w:szCs w:val="21"/>
        </w:rPr>
      </w:pPr>
      <w:r>
        <w:rPr>
          <w:rFonts w:hint="eastAsia" w:ascii="宋体" w:hAnsi="宋体"/>
          <w:szCs w:val="21"/>
        </w:rPr>
        <w:t>第四章投标文件格式</w:t>
      </w:r>
    </w:p>
    <w:p>
      <w:pPr>
        <w:spacing w:line="360" w:lineRule="auto"/>
        <w:ind w:firstLine="420" w:firstLineChars="200"/>
        <w:rPr>
          <w:rFonts w:ascii="宋体" w:hAnsi="宋体"/>
          <w:szCs w:val="21"/>
        </w:rPr>
      </w:pPr>
      <w:r>
        <w:rPr>
          <w:rFonts w:hint="eastAsia" w:ascii="宋体" w:hAnsi="宋体"/>
          <w:szCs w:val="21"/>
        </w:rPr>
        <w:t>第五章技术条件（工程建设标准）（另册）</w:t>
      </w:r>
    </w:p>
    <w:p>
      <w:pPr>
        <w:spacing w:line="360" w:lineRule="auto"/>
        <w:ind w:firstLine="420" w:firstLineChars="200"/>
        <w:rPr>
          <w:rFonts w:ascii="宋体" w:hAnsi="宋体"/>
          <w:szCs w:val="21"/>
        </w:rPr>
      </w:pPr>
      <w:r>
        <w:rPr>
          <w:rFonts w:hint="eastAsia" w:ascii="宋体" w:hAnsi="宋体"/>
          <w:szCs w:val="21"/>
        </w:rPr>
        <w:t>第六章图纸及勘察资料</w:t>
      </w:r>
      <w:bookmarkStart w:id="8" w:name="_Hlk48663595"/>
      <w:r>
        <w:rPr>
          <w:rFonts w:hint="eastAsia" w:ascii="宋体" w:hAnsi="宋体"/>
          <w:szCs w:val="21"/>
        </w:rPr>
        <w:t>（另册）</w:t>
      </w:r>
      <w:bookmarkEnd w:id="8"/>
    </w:p>
    <w:p>
      <w:pPr>
        <w:spacing w:line="360" w:lineRule="auto"/>
        <w:ind w:firstLine="420" w:firstLineChars="200"/>
        <w:rPr>
          <w:rFonts w:ascii="宋体" w:hAnsi="宋体"/>
          <w:szCs w:val="21"/>
        </w:rPr>
      </w:pPr>
      <w:r>
        <w:rPr>
          <w:rFonts w:hint="eastAsia" w:ascii="宋体" w:hAnsi="宋体"/>
          <w:szCs w:val="21"/>
        </w:rPr>
        <w:t>第七章招标工程量清单（另册）</w:t>
      </w:r>
    </w:p>
    <w:p>
      <w:pPr>
        <w:spacing w:line="360" w:lineRule="auto"/>
        <w:ind w:firstLine="420" w:firstLineChars="200"/>
        <w:rPr>
          <w:rFonts w:ascii="宋体" w:hAnsi="宋体"/>
          <w:szCs w:val="21"/>
        </w:rPr>
      </w:pPr>
      <w:r>
        <w:rPr>
          <w:rFonts w:hint="eastAsia" w:ascii="宋体" w:hAnsi="宋体"/>
          <w:szCs w:val="21"/>
        </w:rPr>
        <w:t>第八章最高投标限价</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72" w:firstLineChars="224"/>
        <w:rPr>
          <w:rFonts w:ascii="宋体" w:hAnsi="宋体"/>
          <w:szCs w:val="21"/>
          <w:u w:val="single"/>
        </w:rPr>
      </w:pPr>
      <w:r>
        <w:rPr>
          <w:rFonts w:hint="eastAsia" w:ascii="宋体" w:hAnsi="宋体"/>
          <w:b/>
          <w:szCs w:val="21"/>
        </w:rPr>
        <w:t>现文：</w:t>
      </w:r>
      <w:r>
        <w:rPr>
          <w:rFonts w:ascii="宋体" w:hAnsi="宋体"/>
          <w:b/>
          <w:szCs w:val="21"/>
        </w:rPr>
        <w:t>7.1</w:t>
      </w:r>
      <w:r>
        <w:rPr>
          <w:rFonts w:hint="eastAsia" w:ascii="宋体" w:hAnsi="宋体"/>
          <w:szCs w:val="21"/>
        </w:rPr>
        <w:t>本招标文件包括下列文件，以及所有按本须知第8条发出的</w:t>
      </w:r>
      <w:r>
        <w:rPr>
          <w:rFonts w:hint="eastAsia" w:ascii="宋体" w:hAnsi="宋体" w:cs="宋体"/>
          <w:szCs w:val="21"/>
          <w:u w:val="single"/>
        </w:rPr>
        <w:t>招标答疑纪要</w:t>
      </w:r>
      <w:r>
        <w:rPr>
          <w:rFonts w:hint="eastAsia" w:ascii="宋体" w:hAnsi="宋体"/>
          <w:szCs w:val="21"/>
        </w:rPr>
        <w:t>和按本须知第9条发出的澄清或修改：</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第一章投标须知</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第二章开标、评标及定标办法</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第三章合同条款</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第四章投标文件格式</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第五章技术条件（工程建设标准）</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第六章图纸及勘察资料（另册）</w:t>
      </w:r>
    </w:p>
    <w:p>
      <w:pPr>
        <w:pBdr>
          <w:bottom w:val="single" w:color="auto" w:sz="6" w:space="1"/>
        </w:pBdr>
        <w:spacing w:line="360" w:lineRule="auto"/>
        <w:ind w:firstLine="470" w:firstLineChars="224"/>
        <w:rPr>
          <w:rFonts w:ascii="宋体" w:hAnsi="宋体"/>
          <w:szCs w:val="21"/>
          <w:u w:val="single"/>
        </w:rPr>
      </w:pPr>
      <w:r>
        <w:rPr>
          <w:rFonts w:hint="eastAsia" w:ascii="宋体" w:hAnsi="宋体"/>
          <w:szCs w:val="21"/>
        </w:rPr>
        <w:t>第七章招标工程量清单（另册）</w:t>
      </w:r>
    </w:p>
    <w:p>
      <w:pPr>
        <w:pBdr>
          <w:bottom w:val="single" w:color="auto" w:sz="6" w:space="1"/>
        </w:pBdr>
        <w:spacing w:line="360" w:lineRule="auto"/>
        <w:ind w:firstLine="470" w:firstLineChars="224"/>
        <w:rPr>
          <w:rFonts w:ascii="宋体" w:hAnsi="宋体"/>
          <w:szCs w:val="21"/>
          <w:u w:val="single"/>
        </w:rPr>
      </w:pPr>
      <w:r>
        <w:rPr>
          <w:rFonts w:hint="eastAsia" w:ascii="宋体" w:hAnsi="宋体"/>
          <w:szCs w:val="21"/>
          <w:u w:val="single"/>
        </w:rPr>
        <w:t>第八章最高投标限价（另册）</w:t>
      </w:r>
    </w:p>
    <w:p>
      <w:pPr>
        <w:pBdr>
          <w:bottom w:val="single" w:color="auto" w:sz="6" w:space="1"/>
        </w:pBdr>
        <w:spacing w:line="360" w:lineRule="auto"/>
        <w:ind w:firstLine="472" w:firstLineChars="224"/>
        <w:rPr>
          <w:rFonts w:ascii="宋体" w:hAnsi="宋体"/>
          <w:b/>
          <w:bCs/>
          <w:szCs w:val="21"/>
        </w:rPr>
      </w:pPr>
      <w:r>
        <w:rPr>
          <w:rFonts w:hint="eastAsia" w:ascii="宋体" w:hAnsi="宋体"/>
          <w:b/>
          <w:bCs/>
          <w:szCs w:val="21"/>
        </w:rPr>
        <w:t>注：招标人应在技术条件（工程建设标准）中明确施工现场建筑垃圾源头减量的具体要求和建筑垃圾综合利用产品的使用要求。</w:t>
      </w:r>
    </w:p>
    <w:p>
      <w:pPr>
        <w:pStyle w:val="34"/>
        <w:spacing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 xml:space="preserve">8.1   </w:t>
      </w:r>
      <w:r>
        <w:rPr>
          <w:rFonts w:hint="eastAsia" w:ascii="宋体" w:hAnsi="宋体" w:cs="宋体"/>
          <w:b/>
          <w:szCs w:val="21"/>
        </w:rPr>
        <w:t>修改类型：修改</w:t>
      </w:r>
    </w:p>
    <w:p>
      <w:pPr>
        <w:spacing w:line="460" w:lineRule="exact"/>
        <w:ind w:firstLine="413" w:firstLineChars="196"/>
        <w:rPr>
          <w:rFonts w:ascii="宋体" w:hAnsi="宋体" w:cs="宋体"/>
          <w:b/>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szCs w:val="21"/>
        </w:rPr>
        <w:t>8.1</w:t>
      </w:r>
      <w:r>
        <w:rPr>
          <w:rFonts w:hint="eastAsia" w:ascii="宋体" w:hAnsi="宋体" w:cs="宋体"/>
          <w:bCs/>
          <w:szCs w:val="21"/>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pStyle w:val="7"/>
        <w:ind w:firstLine="489" w:firstLineChars="232"/>
        <w:rPr>
          <w:color w:val="auto"/>
          <w:sz w:val="21"/>
        </w:rPr>
      </w:pPr>
      <w:r>
        <w:rPr>
          <w:rFonts w:hint="eastAsia"/>
          <w:color w:val="auto"/>
          <w:sz w:val="21"/>
        </w:rPr>
        <w:t>条款号: 8.2    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527" w:firstLineChars="250"/>
        <w:rPr>
          <w:rFonts w:ascii="宋体" w:hAnsi="宋体" w:cs="宋体"/>
          <w:szCs w:val="21"/>
        </w:rPr>
      </w:pPr>
      <w:r>
        <w:rPr>
          <w:rFonts w:hint="eastAsia"/>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pStyle w:val="34"/>
        <w:spacing w:line="460" w:lineRule="exact"/>
        <w:ind w:firstLine="422" w:firstLineChars="200"/>
        <w:rPr>
          <w:rFonts w:ascii="宋体" w:hAnsi="宋体" w:cs="宋体"/>
          <w:szCs w:val="21"/>
        </w:rPr>
      </w:pPr>
      <w:r>
        <w:rPr>
          <w:rFonts w:hint="eastAsia" w:ascii="宋体" w:hAnsi="宋体" w:cs="宋体"/>
          <w:b/>
          <w:szCs w:val="21"/>
        </w:rPr>
        <w:t>条款号：8.3     修改类型：修改</w:t>
      </w:r>
    </w:p>
    <w:p>
      <w:pPr>
        <w:pStyle w:val="34"/>
        <w:spacing w:line="460" w:lineRule="exact"/>
        <w:ind w:firstLine="411" w:firstLineChars="196"/>
        <w:rPr>
          <w:rFonts w:ascii="宋体" w:hAnsi="宋体" w:cs="宋体"/>
          <w:bCs/>
          <w:szCs w:val="21"/>
        </w:rPr>
      </w:pPr>
      <w:r>
        <w:rPr>
          <w:rFonts w:hint="eastAsia" w:ascii="宋体" w:hAnsi="宋体" w:cs="宋体"/>
          <w:bCs/>
          <w:szCs w:val="21"/>
        </w:rPr>
        <w:t>原文：8.3答疑会会议纪要为招标文件的一部分。</w:t>
      </w:r>
    </w:p>
    <w:p>
      <w:pPr>
        <w:pBdr>
          <w:bottom w:val="single" w:color="auto" w:sz="6" w:space="1"/>
        </w:pBdr>
        <w:ind w:firstLine="411" w:firstLineChars="196"/>
        <w:rPr>
          <w:bCs/>
          <w:szCs w:val="21"/>
        </w:rPr>
      </w:pPr>
      <w:r>
        <w:rPr>
          <w:rFonts w:hint="eastAsia" w:ascii="宋体" w:hAnsi="宋体" w:cs="宋体"/>
          <w:bCs/>
          <w:szCs w:val="21"/>
        </w:rPr>
        <w:t>现文：8.4</w:t>
      </w:r>
      <w:r>
        <w:rPr>
          <w:rFonts w:hint="eastAsia" w:ascii="宋体" w:hAnsi="宋体" w:cs="宋体"/>
          <w:bCs/>
          <w:szCs w:val="21"/>
          <w:u w:val="single"/>
        </w:rPr>
        <w:t>招标答疑纪要</w:t>
      </w:r>
      <w:r>
        <w:rPr>
          <w:rFonts w:hint="eastAsia" w:ascii="宋体" w:hAnsi="宋体" w:cs="宋体"/>
          <w:bCs/>
          <w:szCs w:val="21"/>
        </w:rPr>
        <w:t>为招标文件的一部分。</w:t>
      </w:r>
    </w:p>
    <w:p>
      <w:pPr>
        <w:pStyle w:val="7"/>
        <w:ind w:firstLine="489" w:firstLineChars="232"/>
        <w:rPr>
          <w:color w:val="auto"/>
          <w:sz w:val="21"/>
        </w:rPr>
      </w:pPr>
      <w:r>
        <w:rPr>
          <w:rFonts w:hint="eastAsia"/>
          <w:color w:val="auto"/>
          <w:sz w:val="21"/>
        </w:rPr>
        <w:t>条款号: 8.4     修改类型：修改</w:t>
      </w:r>
    </w:p>
    <w:p>
      <w:pPr>
        <w:pStyle w:val="31"/>
        <w:spacing w:line="460" w:lineRule="exact"/>
        <w:ind w:firstLine="413" w:firstLineChars="196"/>
        <w:rPr>
          <w:sz w:val="21"/>
          <w:szCs w:val="21"/>
        </w:rPr>
      </w:pPr>
      <w:r>
        <w:rPr>
          <w:rFonts w:hint="eastAsia"/>
          <w:b/>
          <w:sz w:val="21"/>
          <w:szCs w:val="21"/>
        </w:rPr>
        <w:t>原文：</w:t>
      </w:r>
      <w:r>
        <w:rPr>
          <w:rFonts w:hint="eastAsia"/>
          <w:sz w:val="21"/>
          <w:szCs w:val="21"/>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pStyle w:val="19"/>
      </w:pPr>
    </w:p>
    <w:p>
      <w:pPr>
        <w:pStyle w:val="7"/>
        <w:ind w:firstLine="489" w:firstLineChars="232"/>
        <w:rPr>
          <w:color w:val="auto"/>
          <w:sz w:val="21"/>
        </w:rPr>
      </w:pPr>
      <w:r>
        <w:rPr>
          <w:rFonts w:hint="eastAsia"/>
          <w:color w:val="auto"/>
          <w:sz w:val="21"/>
        </w:rPr>
        <w:t>条款号: 9.2     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pStyle w:val="34"/>
        <w:spacing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szCs w:val="21"/>
        </w:rPr>
        <w:t xml:space="preserve">9.4      </w:t>
      </w:r>
      <w:r>
        <w:rPr>
          <w:rFonts w:hint="eastAsia" w:ascii="宋体" w:hAnsi="宋体" w:cs="宋体"/>
          <w:b/>
          <w:szCs w:val="21"/>
        </w:rPr>
        <w:t>修改类型：修改</w:t>
      </w:r>
    </w:p>
    <w:p>
      <w:pPr>
        <w:pStyle w:val="34"/>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9.4招标文件的澄清、修改均以</w:t>
      </w:r>
      <w:r>
        <w:rPr>
          <w:rFonts w:hint="eastAsia" w:ascii="宋体" w:hAnsi="宋体" w:cs="宋体"/>
          <w:szCs w:val="21"/>
          <w:u w:val="single"/>
        </w:rPr>
        <w:t>广州公共资源交易中心交易平台</w:t>
      </w:r>
      <w:r>
        <w:rPr>
          <w:rFonts w:hint="eastAsia" w:ascii="宋体" w:hAnsi="宋体" w:cs="宋体"/>
          <w:szCs w:val="21"/>
        </w:rPr>
        <w:t>发布的内容为准。当招标文件的澄清、修改在同一内容的表述不一致时，以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pStyle w:val="34"/>
        <w:spacing w:line="460" w:lineRule="exact"/>
        <w:ind w:firstLine="422" w:firstLineChars="200"/>
        <w:rPr>
          <w:rFonts w:ascii="宋体" w:hAnsi="宋体" w:cs="宋体"/>
          <w:b/>
          <w:szCs w:val="21"/>
        </w:rPr>
      </w:pPr>
      <w:r>
        <w:rPr>
          <w:rFonts w:hint="eastAsia" w:ascii="宋体" w:hAnsi="宋体" w:cs="宋体"/>
          <w:b/>
          <w:szCs w:val="21"/>
        </w:rPr>
        <w:t>条款号：11.2 、11.3    修改类型：修改</w:t>
      </w:r>
    </w:p>
    <w:p>
      <w:pPr>
        <w:spacing w:line="460" w:lineRule="exact"/>
        <w:ind w:firstLine="422" w:firstLineChars="200"/>
        <w:rPr>
          <w:rFonts w:ascii="宋体" w:hAnsi="宋体" w:cs="宋体"/>
          <w:szCs w:val="21"/>
        </w:rPr>
      </w:pPr>
      <w:r>
        <w:rPr>
          <w:rFonts w:hint="eastAsia" w:ascii="宋体" w:hAnsi="宋体" w:cs="宋体"/>
          <w:b/>
          <w:szCs w:val="21"/>
        </w:rPr>
        <w:t>原文：</w:t>
      </w:r>
      <w:r>
        <w:rPr>
          <w:rFonts w:ascii="宋体" w:hAnsi="宋体" w:cs="宋体"/>
          <w:szCs w:val="21"/>
        </w:rPr>
        <w:t>11.2</w:t>
      </w:r>
      <w:r>
        <w:rPr>
          <w:rFonts w:hint="eastAsia" w:ascii="宋体" w:hAnsi="宋体" w:cs="宋体"/>
          <w:szCs w:val="21"/>
        </w:rPr>
        <w:t>投标文件技术标部分主要包括下列内容</w:t>
      </w:r>
      <w:r>
        <w:rPr>
          <w:rFonts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11.2.1 技术投标文件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 xml:space="preserve">（1）投标人声明；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（9）拟委派项目负责人的建造师注册证书（取自平台内上传件）；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（11）专职安全员须具有在有效期内的安全考核合格证书（C3类）或建筑施工企业专职安全生产管理人员安全生产考核合格证书（取自平台内上传件）；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460" w:lineRule="exact"/>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ascii="宋体" w:hAnsi="宋体" w:cs="宋体"/>
          <w:szCs w:val="21"/>
        </w:rPr>
      </w:pPr>
      <w:r>
        <w:rPr>
          <w:rFonts w:ascii="宋体" w:hAnsi="宋体" w:cs="宋体"/>
          <w:szCs w:val="21"/>
        </w:rPr>
        <w:t>11.2.3</w:t>
      </w:r>
      <w:r>
        <w:rPr>
          <w:rFonts w:hint="eastAsia" w:ascii="宋体" w:hAnsi="宋体" w:cs="宋体"/>
          <w:szCs w:val="21"/>
        </w:rPr>
        <w:t>项目管理机构配备。</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）投标人应列出该项目工程的施工组织机构构成和画出机构框架图及其负责人；</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）投标人应详细列出该施工组织机构中主要成员的名单、简历资料、职务职称和在本项目中拟担任的职务等资料，并附上有关证明材料扫描件；</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）其他辅助说明资料。</w:t>
      </w:r>
    </w:p>
    <w:p>
      <w:pPr>
        <w:spacing w:line="460" w:lineRule="exact"/>
        <w:ind w:firstLine="420" w:firstLineChars="200"/>
        <w:rPr>
          <w:rFonts w:ascii="宋体" w:hAnsi="宋体" w:cs="宋体"/>
          <w:szCs w:val="21"/>
        </w:rPr>
      </w:pPr>
      <w:r>
        <w:rPr>
          <w:rFonts w:ascii="宋体" w:hAnsi="宋体" w:cs="宋体"/>
          <w:szCs w:val="21"/>
        </w:rPr>
        <w:t>11.2.4</w:t>
      </w:r>
      <w:r>
        <w:rPr>
          <w:rFonts w:hint="eastAsia" w:ascii="宋体" w:hAnsi="宋体" w:cs="宋体"/>
          <w:szCs w:val="21"/>
        </w:rPr>
        <w:t>投标人在广州市可使用适合本工程的机械设备（附：机械设备为自有或租赁的说明；及承诺机械设备如属于租赁的，其租赁是不属于重复租赁）。</w:t>
      </w:r>
    </w:p>
    <w:p>
      <w:pPr>
        <w:spacing w:line="460" w:lineRule="exact"/>
        <w:ind w:firstLine="420" w:firstLineChars="200"/>
        <w:rPr>
          <w:rFonts w:ascii="宋体" w:hAnsi="宋体" w:cs="宋体"/>
          <w:b/>
          <w:bCs/>
          <w:szCs w:val="21"/>
        </w:rPr>
      </w:pPr>
      <w:r>
        <w:rPr>
          <w:rFonts w:ascii="宋体" w:hAnsi="宋体" w:cs="宋体"/>
          <w:szCs w:val="21"/>
        </w:rPr>
        <w:t>11.2.5</w:t>
      </w:r>
      <w:r>
        <w:rPr>
          <w:rFonts w:hint="eastAsia" w:ascii="宋体" w:hAnsi="宋体" w:cs="宋体"/>
          <w:szCs w:val="21"/>
        </w:rPr>
        <w:t>施工组织设计或施工方案。</w:t>
      </w:r>
      <w:r>
        <w:rPr>
          <w:rFonts w:hint="eastAsia" w:ascii="宋体" w:hAnsi="宋体" w:cs="宋体"/>
          <w:b/>
          <w:bCs/>
          <w:szCs w:val="21"/>
        </w:rPr>
        <w:t>（投标人在编制施工组织设计或施工方案时应按照招标人提出的施工现场建筑垃圾源头减量的具体要求以及建筑垃圾综合利用产品的使用要求提供相应措施。）</w:t>
      </w:r>
    </w:p>
    <w:p>
      <w:pPr>
        <w:spacing w:line="460" w:lineRule="exact"/>
        <w:ind w:firstLine="420" w:firstLineChars="200"/>
        <w:rPr>
          <w:rFonts w:ascii="宋体" w:hAnsi="宋体" w:cs="宋体"/>
          <w:szCs w:val="21"/>
        </w:rPr>
      </w:pPr>
      <w:r>
        <w:rPr>
          <w:rFonts w:ascii="宋体" w:hAnsi="宋体" w:cs="宋体"/>
          <w:szCs w:val="21"/>
        </w:rPr>
        <w:t>11.2.</w:t>
      </w:r>
      <w:r>
        <w:rPr>
          <w:rFonts w:hint="eastAsia" w:ascii="宋体" w:hAnsi="宋体" w:cs="宋体"/>
          <w:szCs w:val="21"/>
        </w:rPr>
        <w:t>6按照招标文件要求填写的《参与编制技术标投标文件人员名单》。</w:t>
      </w:r>
    </w:p>
    <w:p>
      <w:pPr>
        <w:spacing w:line="460" w:lineRule="exact"/>
        <w:ind w:firstLine="420" w:firstLineChars="200"/>
        <w:rPr>
          <w:rFonts w:ascii="宋体" w:hAnsi="宋体" w:cs="宋体"/>
          <w:szCs w:val="21"/>
        </w:rPr>
      </w:pPr>
      <w:r>
        <w:rPr>
          <w:rFonts w:ascii="宋体" w:hAnsi="宋体" w:cs="宋体"/>
          <w:szCs w:val="21"/>
        </w:rPr>
        <w:t xml:space="preserve">11.3 </w:t>
      </w:r>
      <w:r>
        <w:rPr>
          <w:rFonts w:hint="eastAsia" w:ascii="宋体" w:hAnsi="宋体" w:cs="宋体"/>
          <w:szCs w:val="21"/>
        </w:rPr>
        <w:t>经济部分投标文件主要包括下列内容：</w:t>
      </w:r>
    </w:p>
    <w:p>
      <w:pPr>
        <w:spacing w:line="460" w:lineRule="exact"/>
        <w:ind w:firstLine="420" w:firstLineChars="200"/>
        <w:rPr>
          <w:rFonts w:ascii="宋体" w:hAnsi="宋体" w:cs="宋体"/>
          <w:szCs w:val="21"/>
        </w:rPr>
      </w:pPr>
      <w:r>
        <w:rPr>
          <w:rFonts w:ascii="宋体" w:hAnsi="宋体" w:cs="宋体"/>
          <w:szCs w:val="21"/>
        </w:rPr>
        <w:t xml:space="preserve">11.3.1 </w:t>
      </w:r>
      <w:r>
        <w:rPr>
          <w:rFonts w:hint="eastAsia" w:ascii="宋体" w:hAnsi="宋体" w:cs="宋体"/>
          <w:szCs w:val="21"/>
        </w:rPr>
        <w:t>经济投标文件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ascii="宋体" w:hAnsi="宋体" w:cs="宋体"/>
          <w:szCs w:val="21"/>
        </w:rPr>
        <w:t>11.3.2</w:t>
      </w:r>
      <w:r>
        <w:rPr>
          <w:rFonts w:hint="eastAsia" w:ascii="宋体" w:hAnsi="宋体" w:cs="宋体"/>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）投标总价封面、扉页；</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）总说明</w:t>
      </w:r>
    </w:p>
    <w:p>
      <w:pPr>
        <w:spacing w:line="460" w:lineRule="exact"/>
        <w:ind w:firstLine="420" w:firstLineChars="200"/>
        <w:rPr>
          <w:rFonts w:ascii="宋体" w:hAnsi="宋体" w:cs="宋体"/>
          <w:szCs w:val="21"/>
        </w:rPr>
      </w:pPr>
      <w:r>
        <w:rPr>
          <w:rFonts w:hint="eastAsia" w:ascii="宋体" w:hAnsi="宋体" w:cs="宋体"/>
          <w:szCs w:val="21"/>
        </w:rPr>
        <w:t>（3）工程项目投标报价汇总表；</w:t>
      </w:r>
    </w:p>
    <w:p>
      <w:pPr>
        <w:spacing w:line="460" w:lineRule="exact"/>
        <w:ind w:firstLine="420" w:firstLineChars="200"/>
        <w:rPr>
          <w:rFonts w:ascii="宋体" w:hAnsi="宋体" w:cs="宋体"/>
          <w:szCs w:val="21"/>
        </w:rPr>
      </w:pPr>
      <w:r>
        <w:rPr>
          <w:rFonts w:hint="eastAsia" w:ascii="宋体" w:hAnsi="宋体" w:cs="宋体"/>
          <w:szCs w:val="21"/>
        </w:rPr>
        <w:t>（4）单项工程投标报价汇总表；</w:t>
      </w:r>
    </w:p>
    <w:p>
      <w:pPr>
        <w:spacing w:line="460" w:lineRule="exact"/>
        <w:ind w:firstLine="420" w:firstLineChars="200"/>
        <w:rPr>
          <w:rFonts w:ascii="宋体" w:hAnsi="宋体" w:cs="宋体"/>
          <w:szCs w:val="21"/>
        </w:rPr>
      </w:pPr>
      <w:r>
        <w:rPr>
          <w:rFonts w:hint="eastAsia" w:ascii="宋体" w:hAnsi="宋体" w:cs="宋体"/>
          <w:szCs w:val="21"/>
        </w:rPr>
        <w:t>（5）单位工程投标报价汇总表；</w:t>
      </w:r>
    </w:p>
    <w:p>
      <w:pPr>
        <w:spacing w:line="460" w:lineRule="exact"/>
        <w:ind w:firstLine="420" w:firstLineChars="200"/>
        <w:rPr>
          <w:rFonts w:ascii="宋体" w:hAnsi="宋体" w:cs="宋体"/>
          <w:szCs w:val="21"/>
        </w:rPr>
      </w:pPr>
      <w:r>
        <w:rPr>
          <w:rFonts w:hint="eastAsia" w:ascii="宋体" w:hAnsi="宋体" w:cs="宋体"/>
          <w:szCs w:val="21"/>
        </w:rPr>
        <w:t>（6）分部分项工程清单与计价表；</w:t>
      </w:r>
    </w:p>
    <w:p>
      <w:pPr>
        <w:spacing w:line="460" w:lineRule="exact"/>
        <w:ind w:firstLine="420" w:firstLineChars="200"/>
        <w:rPr>
          <w:rFonts w:ascii="宋体" w:hAnsi="宋体" w:cs="宋体"/>
          <w:szCs w:val="21"/>
        </w:rPr>
      </w:pPr>
      <w:r>
        <w:rPr>
          <w:rFonts w:hint="eastAsia" w:ascii="宋体" w:hAnsi="宋体" w:cs="宋体"/>
          <w:szCs w:val="21"/>
        </w:rPr>
        <w:t>（7）单价措施项目清单与计价表；</w:t>
      </w:r>
    </w:p>
    <w:p>
      <w:pPr>
        <w:spacing w:line="460" w:lineRule="exact"/>
        <w:ind w:firstLine="420" w:firstLineChars="200"/>
        <w:rPr>
          <w:rFonts w:ascii="宋体" w:hAnsi="宋体" w:cs="宋体"/>
          <w:szCs w:val="21"/>
        </w:rPr>
      </w:pPr>
      <w:r>
        <w:rPr>
          <w:rFonts w:hint="eastAsia" w:ascii="宋体" w:hAnsi="宋体" w:cs="宋体"/>
          <w:szCs w:val="21"/>
        </w:rPr>
        <w:t>（8）总价措施项目清单与计价表；</w:t>
      </w:r>
    </w:p>
    <w:p>
      <w:pPr>
        <w:spacing w:line="460" w:lineRule="exact"/>
        <w:ind w:firstLine="420" w:firstLineChars="200"/>
        <w:rPr>
          <w:rFonts w:ascii="宋体" w:hAnsi="宋体" w:cs="宋体"/>
          <w:szCs w:val="21"/>
        </w:rPr>
      </w:pPr>
      <w:r>
        <w:rPr>
          <w:rFonts w:hint="eastAsia" w:ascii="宋体" w:hAnsi="宋体" w:cs="宋体"/>
          <w:szCs w:val="21"/>
        </w:rPr>
        <w:t>（9）综合单价分析表；</w:t>
      </w:r>
    </w:p>
    <w:p>
      <w:pPr>
        <w:spacing w:line="460" w:lineRule="exact"/>
        <w:ind w:firstLine="420" w:firstLineChars="200"/>
        <w:rPr>
          <w:rFonts w:ascii="宋体" w:hAnsi="宋体" w:cs="宋体"/>
          <w:szCs w:val="21"/>
        </w:rPr>
      </w:pPr>
      <w:r>
        <w:rPr>
          <w:rFonts w:hint="eastAsia" w:ascii="宋体" w:hAnsi="宋体" w:cs="宋体"/>
          <w:szCs w:val="21"/>
        </w:rPr>
        <w:t>（10）其他项目清单与计价汇总表；</w:t>
      </w:r>
    </w:p>
    <w:p>
      <w:pPr>
        <w:spacing w:line="460" w:lineRule="exact"/>
        <w:ind w:firstLine="420" w:firstLineChars="200"/>
        <w:rPr>
          <w:rFonts w:ascii="宋体" w:hAnsi="宋体" w:cs="宋体"/>
          <w:szCs w:val="21"/>
        </w:rPr>
      </w:pPr>
      <w:r>
        <w:rPr>
          <w:rFonts w:hint="eastAsia" w:ascii="宋体" w:hAnsi="宋体" w:cs="宋体"/>
          <w:szCs w:val="21"/>
        </w:rPr>
        <w:t>（11）暂列金额明细表；</w:t>
      </w:r>
    </w:p>
    <w:p>
      <w:pPr>
        <w:spacing w:line="460" w:lineRule="exact"/>
        <w:ind w:firstLine="420" w:firstLineChars="200"/>
        <w:rPr>
          <w:rFonts w:ascii="宋体" w:hAnsi="宋体" w:cs="宋体"/>
          <w:szCs w:val="21"/>
        </w:rPr>
      </w:pPr>
      <w:r>
        <w:rPr>
          <w:rFonts w:hint="eastAsia" w:ascii="宋体" w:hAnsi="宋体" w:cs="宋体"/>
          <w:szCs w:val="21"/>
        </w:rPr>
        <w:t>（12）材料（工程设备）暂估价明细表；</w:t>
      </w:r>
    </w:p>
    <w:p>
      <w:pPr>
        <w:spacing w:line="460" w:lineRule="exact"/>
        <w:ind w:firstLine="420" w:firstLineChars="200"/>
        <w:rPr>
          <w:rFonts w:ascii="宋体" w:hAnsi="宋体" w:cs="宋体"/>
          <w:szCs w:val="21"/>
        </w:rPr>
      </w:pPr>
      <w:r>
        <w:rPr>
          <w:rFonts w:hint="eastAsia" w:ascii="宋体" w:hAnsi="宋体" w:cs="宋体"/>
          <w:szCs w:val="21"/>
        </w:rPr>
        <w:t>（13）专业工程暂估价明细表；</w:t>
      </w:r>
    </w:p>
    <w:p>
      <w:pPr>
        <w:spacing w:line="460" w:lineRule="exact"/>
        <w:ind w:firstLine="420" w:firstLineChars="200"/>
        <w:rPr>
          <w:rFonts w:ascii="宋体" w:hAnsi="宋体" w:cs="宋体"/>
          <w:szCs w:val="21"/>
        </w:rPr>
      </w:pPr>
      <w:r>
        <w:rPr>
          <w:rFonts w:hint="eastAsia" w:ascii="宋体" w:hAnsi="宋体" w:cs="宋体"/>
          <w:szCs w:val="21"/>
        </w:rPr>
        <w:t>（14）计日工表；</w:t>
      </w:r>
    </w:p>
    <w:p>
      <w:pPr>
        <w:spacing w:line="460" w:lineRule="exact"/>
        <w:ind w:firstLine="420" w:firstLineChars="200"/>
        <w:rPr>
          <w:rFonts w:ascii="宋体" w:hAnsi="宋体" w:cs="宋体"/>
          <w:szCs w:val="21"/>
        </w:rPr>
      </w:pPr>
      <w:r>
        <w:rPr>
          <w:rFonts w:hint="eastAsia" w:ascii="宋体" w:hAnsi="宋体" w:cs="宋体"/>
          <w:szCs w:val="21"/>
        </w:rPr>
        <w:t>（15）总承包服务计价表；</w:t>
      </w:r>
    </w:p>
    <w:p>
      <w:pPr>
        <w:spacing w:line="460" w:lineRule="exact"/>
        <w:ind w:firstLine="420" w:firstLineChars="200"/>
        <w:rPr>
          <w:rFonts w:ascii="宋体" w:hAnsi="宋体" w:cs="宋体"/>
          <w:szCs w:val="21"/>
        </w:rPr>
      </w:pPr>
      <w:r>
        <w:rPr>
          <w:rFonts w:hint="eastAsia" w:ascii="宋体" w:hAnsi="宋体" w:cs="宋体"/>
          <w:szCs w:val="21"/>
        </w:rPr>
        <w:t>（16）规费和税金项目计价表；</w:t>
      </w:r>
    </w:p>
    <w:p>
      <w:pPr>
        <w:spacing w:line="460" w:lineRule="exact"/>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460" w:lineRule="exact"/>
        <w:ind w:firstLine="420" w:firstLineChars="200"/>
        <w:rPr>
          <w:rFonts w:ascii="宋体" w:hAnsi="宋体" w:cs="宋体"/>
          <w:szCs w:val="21"/>
        </w:rPr>
      </w:pPr>
      <w:r>
        <w:rPr>
          <w:rFonts w:ascii="宋体" w:hAnsi="宋体" w:cs="宋体"/>
          <w:szCs w:val="21"/>
        </w:rPr>
        <w:t>11.3.</w:t>
      </w:r>
      <w:r>
        <w:rPr>
          <w:rFonts w:hint="eastAsia" w:ascii="宋体" w:hAnsi="宋体" w:cs="宋体"/>
          <w:szCs w:val="21"/>
        </w:rPr>
        <w:t>3按照招标文件要求填写的《参与编制经济标投标文件人员名单》。</w:t>
      </w:r>
    </w:p>
    <w:p>
      <w:pPr>
        <w:spacing w:line="460" w:lineRule="exact"/>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spacing w:line="46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11.2投标文件技术标部分主要包括下列内容</w:t>
      </w:r>
      <w:r>
        <w:rPr>
          <w:rFonts w:hint="eastAsia" w:cs="宋体"/>
          <w:szCs w:val="21"/>
          <w:u w:val="single"/>
        </w:rPr>
        <w:t>（除注明原件外，均为清晰扫描件即可）</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（1）投标人声明</w:t>
      </w:r>
      <w:r>
        <w:rPr>
          <w:rFonts w:hint="eastAsia" w:cs="宋体"/>
          <w:bCs/>
          <w:szCs w:val="21"/>
          <w:u w:val="single"/>
        </w:rPr>
        <w:t>（须按招标公告附件内容及格式要求编制）</w:t>
      </w:r>
      <w:r>
        <w:rPr>
          <w:rFonts w:hint="eastAsia" w:ascii="宋体" w:hAnsi="宋体" w:cs="宋体"/>
          <w:szCs w:val="21"/>
        </w:rPr>
        <w:t xml:space="preserve">；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w:t>
      </w:r>
      <w:r>
        <w:rPr>
          <w:rFonts w:hint="eastAsia" w:cs="宋体"/>
          <w:bCs/>
          <w:szCs w:val="21"/>
          <w:u w:val="single"/>
        </w:rPr>
        <w:t>拟委派技术负责人的职称证书（提供职称证书清晰扫描件）</w:t>
      </w:r>
    </w:p>
    <w:p>
      <w:pPr>
        <w:spacing w:line="460" w:lineRule="exact"/>
        <w:ind w:firstLine="420" w:firstLineChars="200"/>
        <w:rPr>
          <w:rFonts w:ascii="宋体" w:hAnsi="宋体" w:cs="宋体"/>
          <w:szCs w:val="21"/>
        </w:rPr>
      </w:pPr>
      <w:r>
        <w:rPr>
          <w:rFonts w:hint="eastAsia" w:ascii="宋体" w:hAnsi="宋体" w:cs="宋体"/>
          <w:szCs w:val="21"/>
        </w:rPr>
        <w:t>（9）</w:t>
      </w:r>
      <w:r>
        <w:rPr>
          <w:rFonts w:hint="eastAsia" w:cs="宋体"/>
          <w:bCs/>
          <w:szCs w:val="21"/>
          <w:u w:val="single"/>
        </w:rPr>
        <w:t>拟委派项目负责人的建造师注册证书</w:t>
      </w:r>
      <w:r>
        <w:rPr>
          <w:rFonts w:hint="eastAsia" w:ascii="宋体" w:hAnsi="宋体" w:cs="宋体"/>
          <w:szCs w:val="21"/>
        </w:rPr>
        <w:t xml:space="preserve">（取自平台内上传件）；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（10）项目负责人持有安全生产考核合格证（B类）或建筑施工企业项目负责人安全生产考核合格证书（取自平台内上传件）；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（11）专职安全员须具有安全生产考核合格证（C类）或建筑施工企业专职安全生产管理人员安全生产考核合格证（C3类）（取自平台内上传件）；</w:t>
      </w:r>
    </w:p>
    <w:p>
      <w:pPr>
        <w:spacing w:line="460" w:lineRule="exact"/>
        <w:ind w:firstLine="420" w:firstLineChars="200"/>
        <w:rPr>
          <w:rFonts w:ascii="宋体" w:hAnsi="宋体" w:cs="宋体"/>
          <w:szCs w:val="21"/>
        </w:rPr>
      </w:pPr>
      <w:r>
        <w:rPr>
          <w:rFonts w:hint="eastAsia" w:ascii="宋体" w:hAnsi="宋体" w:cs="宋体"/>
          <w:szCs w:val="21"/>
        </w:rPr>
        <w:t>（12）资格审查前，投标人须在广州市住房和城乡建设局建立企业信用档案及拟担任本工程项目负责人、专职安全员须是本企业信用档案中的在册人员。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13）投标人未出现以下情形：与其它投标人的单位负责人为同一人或者存在控股、管理关系的（按投标人提供的《投标人声明》第八条内容进行评审）。如不同投标人出现单位负责人为同一人或者存在控股、管理关系的情形，则相关投标均无效；</w:t>
      </w:r>
    </w:p>
    <w:p>
      <w:pPr>
        <w:spacing w:line="360" w:lineRule="auto"/>
        <w:ind w:firstLine="409" w:firstLineChars="195"/>
        <w:rPr>
          <w:rFonts w:ascii="宋体" w:hAnsi="宋体" w:cs="宋体"/>
          <w:szCs w:val="21"/>
          <w:u w:val="single"/>
        </w:rPr>
      </w:pPr>
      <w:r>
        <w:rPr>
          <w:rFonts w:hint="eastAsia" w:ascii="宋体" w:hAnsi="宋体" w:cs="宋体"/>
          <w:szCs w:val="21"/>
          <w:u w:val="single"/>
        </w:rPr>
        <w:t>（14）未被列入拖欠农民工工资失信联合惩戒对象名单。</w:t>
      </w:r>
    </w:p>
    <w:p>
      <w:pPr>
        <w:spacing w:line="360" w:lineRule="auto"/>
        <w:ind w:firstLine="409" w:firstLineChars="195"/>
        <w:rPr>
          <w:rFonts w:ascii="宋体" w:hAnsi="宋体" w:cs="宋体"/>
          <w:szCs w:val="21"/>
          <w:u w:val="single"/>
        </w:rPr>
      </w:pPr>
      <w:r>
        <w:rPr>
          <w:rFonts w:hint="eastAsia" w:cs="宋体"/>
          <w:szCs w:val="21"/>
          <w:u w:val="single"/>
        </w:rPr>
        <w:t>注：上述第</w:t>
      </w:r>
      <w:r>
        <w:rPr>
          <w:rFonts w:hint="eastAsia" w:cs="宋体"/>
          <w:bCs/>
          <w:szCs w:val="21"/>
          <w:u w:val="single"/>
        </w:rPr>
        <w:t>11.2.2（1）—（13）条没有要求提交的资料，不作为资格审查不合格的依据。</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11.2.3</w:t>
      </w:r>
      <w:r>
        <w:rPr>
          <w:rFonts w:hint="eastAsia" w:ascii="宋体" w:hAnsi="宋体" w:cs="宋体"/>
          <w:bCs/>
          <w:szCs w:val="21"/>
          <w:u w:val="single"/>
        </w:rPr>
        <w:t>企业相关资料。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11.2.4</w:t>
      </w:r>
      <w:r>
        <w:rPr>
          <w:rFonts w:hint="eastAsia" w:ascii="宋体" w:hAnsi="宋体" w:cs="宋体"/>
          <w:bCs/>
          <w:szCs w:val="21"/>
          <w:u w:val="single"/>
        </w:rPr>
        <w:t>按照招标文件要求填写的《参与编制技术标投标文件人员名单》（格式见第四章）。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11.2.5</w:t>
      </w:r>
      <w:r>
        <w:rPr>
          <w:rFonts w:hint="eastAsia" w:ascii="宋体" w:hAnsi="宋体" w:cs="宋体"/>
          <w:bCs/>
          <w:szCs w:val="21"/>
          <w:u w:val="single"/>
        </w:rPr>
        <w:t>《投标函》（须按招标文件第四章格式）。</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11.2.6</w:t>
      </w:r>
      <w:r>
        <w:rPr>
          <w:rFonts w:hint="eastAsia" w:ascii="宋体" w:hAnsi="宋体" w:cs="宋体"/>
          <w:bCs/>
          <w:szCs w:val="21"/>
          <w:u w:val="single"/>
        </w:rPr>
        <w:t>《项目管理机构人员基本情况及业绩表》（格式见第四章）。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11.2.7</w:t>
      </w:r>
      <w:r>
        <w:rPr>
          <w:rFonts w:hint="eastAsia" w:ascii="宋体" w:hAnsi="宋体" w:cs="宋体"/>
          <w:bCs/>
          <w:szCs w:val="21"/>
          <w:u w:val="single"/>
        </w:rPr>
        <w:t>《企业业绩表》（格式见第四章）。</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11.2.8</w:t>
      </w:r>
      <w:r>
        <w:rPr>
          <w:rFonts w:hint="eastAsia" w:ascii="宋体" w:hAnsi="宋体" w:cs="宋体"/>
          <w:bCs/>
          <w:szCs w:val="21"/>
          <w:u w:val="single"/>
        </w:rPr>
        <w:t>《施工项目管理团队人员信息表》</w:t>
      </w:r>
      <w:r>
        <w:rPr>
          <w:rFonts w:hint="eastAsia" w:cs="宋体"/>
          <w:szCs w:val="21"/>
          <w:u w:val="single"/>
        </w:rPr>
        <w:t>（格式见第四章）。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u w:val="single"/>
        </w:rPr>
        <w:t>11.2.9其他投标人认为应该提供的资料。</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 经济部分投标文件主要包括下列内容：</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11.3.1  经济投标文件(按招标文件的要求填写)。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szCs w:val="21"/>
          <w:u w:val="single"/>
        </w:rPr>
        <w:t>（投标报价的工程量清单的组成、格式等按广州公共资源交易中心的投标文件管理软件自动生成）</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11.3.3按照招标文件要求填写的《参与编制经济标投标文件人员名单》。</w:t>
      </w:r>
      <w:r>
        <w:rPr>
          <w:rFonts w:hint="eastAsia" w:ascii="宋体" w:hAnsi="宋体" w:cs="宋体"/>
          <w:bCs/>
          <w:szCs w:val="21"/>
          <w:u w:val="single"/>
        </w:rPr>
        <w:t>（须按招标文件第四章格式）。</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460" w:lineRule="exact"/>
        <w:ind w:firstLine="424" w:firstLineChars="202"/>
        <w:rPr>
          <w:rFonts w:ascii="宋体" w:hAnsi="宋体" w:cs="宋体"/>
          <w:szCs w:val="21"/>
        </w:rPr>
      </w:pPr>
      <w:r>
        <w:rPr>
          <w:rFonts w:hint="eastAsia" w:ascii="宋体" w:hAnsi="宋体" w:cs="宋体"/>
          <w:bCs/>
          <w:szCs w:val="21"/>
        </w:rPr>
        <w:t>11.3.5</w:t>
      </w:r>
      <w:r>
        <w:rPr>
          <w:rFonts w:hint="eastAsia" w:ascii="宋体" w:hAnsi="宋体" w:cs="宋体"/>
          <w:bCs/>
          <w:szCs w:val="21"/>
          <w:u w:val="single"/>
        </w:rPr>
        <w:t>《对投标文件编制的承诺》（须按招标文件第四章格式）</w:t>
      </w:r>
      <w:r>
        <w:rPr>
          <w:rFonts w:hint="eastAsia" w:ascii="宋体" w:hAnsi="宋体" w:cs="宋体"/>
          <w:bCs/>
          <w:szCs w:val="21"/>
        </w:rPr>
        <w:t>。</w:t>
      </w:r>
    </w:p>
    <w:p>
      <w:pPr>
        <w:pStyle w:val="19"/>
      </w:pPr>
    </w:p>
    <w:p>
      <w:pPr>
        <w:pStyle w:val="7"/>
        <w:ind w:firstLine="409" w:firstLineChars="194"/>
        <w:rPr>
          <w:color w:val="auto"/>
          <w:sz w:val="21"/>
        </w:rPr>
      </w:pPr>
      <w:r>
        <w:rPr>
          <w:rFonts w:hint="eastAsia"/>
          <w:color w:val="auto"/>
          <w:sz w:val="21"/>
        </w:rPr>
        <w:t>条款号: 12.2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w:t>
      </w:r>
      <w:r>
        <w:rPr>
          <w:rFonts w:hint="eastAsia" w:cs="宋体"/>
          <w:szCs w:val="21"/>
          <w:u w:val="single"/>
        </w:rPr>
        <w:t>应加盖个人电子印章或在线下完成后扫描上传</w:t>
      </w:r>
      <w:r>
        <w:rPr>
          <w:rFonts w:hint="eastAsia" w:ascii="宋体" w:hAnsi="宋体" w:cs="宋体"/>
          <w:szCs w:val="21"/>
        </w:rPr>
        <w:t>。按照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7"/>
        <w:ind w:firstLine="409" w:firstLineChars="194"/>
        <w:rPr>
          <w:color w:val="auto"/>
          <w:sz w:val="21"/>
        </w:rPr>
      </w:pPr>
      <w:r>
        <w:rPr>
          <w:rFonts w:hint="eastAsia"/>
          <w:color w:val="auto"/>
          <w:sz w:val="21"/>
        </w:rPr>
        <w:t>条款号: 12.3           修改类型：修改</w:t>
      </w:r>
    </w:p>
    <w:p>
      <w:pPr>
        <w:spacing w:line="360" w:lineRule="auto"/>
        <w:ind w:firstLine="411" w:firstLineChars="195"/>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p>
    <w:p>
      <w:pPr>
        <w:spacing w:line="360" w:lineRule="auto"/>
        <w:ind w:firstLine="409" w:firstLineChars="195"/>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Bdr>
          <w:bottom w:val="single" w:color="auto" w:sz="6" w:space="1"/>
        </w:pBdr>
        <w:spacing w:line="360" w:lineRule="auto"/>
        <w:ind w:firstLine="409" w:firstLineChars="195"/>
        <w:textAlignment w:val="baseline"/>
        <w:rPr>
          <w:rFonts w:ascii="宋体" w:hAnsi="宋体" w:cs="宋体"/>
          <w:bCs/>
          <w:szCs w:val="21"/>
        </w:rPr>
      </w:pPr>
      <w:r>
        <w:rPr>
          <w:rFonts w:hint="eastAsia" w:ascii="宋体" w:hAnsi="宋体" w:cs="宋体"/>
          <w:bCs/>
          <w:szCs w:val="21"/>
        </w:rPr>
        <w:t>如不按上述要求编制引起系统无法检索、读取相关信息的，其后果由投标人承担。</w:t>
      </w:r>
    </w:p>
    <w:p>
      <w:pPr>
        <w:pStyle w:val="7"/>
        <w:ind w:firstLine="409" w:firstLineChars="194"/>
        <w:rPr>
          <w:rFonts w:cs="宋体"/>
          <w:b w:val="0"/>
          <w:color w:val="auto"/>
        </w:rPr>
      </w:pPr>
      <w:r>
        <w:rPr>
          <w:rFonts w:hint="eastAsia"/>
          <w:color w:val="auto"/>
          <w:sz w:val="21"/>
        </w:rPr>
        <w:t>条款号: 13.1           修改类型：修改</w:t>
      </w:r>
    </w:p>
    <w:p>
      <w:pPr>
        <w:pBdr>
          <w:bottom w:val="single" w:color="auto" w:sz="6" w:space="1"/>
        </w:pBdr>
        <w:spacing w:line="360" w:lineRule="auto"/>
        <w:ind w:firstLine="411" w:firstLineChars="195"/>
        <w:rPr>
          <w:rFonts w:ascii="宋体" w:hAnsi="宋体" w:cs="宋体"/>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pStyle w:val="7"/>
        <w:ind w:firstLine="409" w:firstLineChars="194"/>
        <w:rPr>
          <w:color w:val="auto"/>
          <w:sz w:val="21"/>
        </w:rPr>
      </w:pPr>
      <w:r>
        <w:rPr>
          <w:rFonts w:hint="eastAsia"/>
          <w:color w:val="auto"/>
          <w:sz w:val="21"/>
        </w:rPr>
        <w:t>条款号: 13.5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szCs w:val="21"/>
          <w:u w:val="single"/>
        </w:rPr>
      </w:pPr>
      <w:r>
        <w:rPr>
          <w:rFonts w:hint="eastAsia" w:ascii="宋体" w:hAnsi="宋体" w:cs="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hint="default"/>
          <w:lang w:val="en-US" w:eastAsia="zh-CN"/>
        </w:rPr>
      </w:pPr>
      <w:r>
        <w:rPr>
          <w:rFonts w:hint="eastAsia" w:ascii="宋体" w:hAnsi="宋体" w:cs="宋体"/>
          <w:b/>
          <w:szCs w:val="21"/>
        </w:rPr>
        <w:t>现文：</w:t>
      </w:r>
      <w:r>
        <w:rPr>
          <w:rFonts w:hint="eastAsia" w:ascii="宋体" w:hAnsi="宋体" w:cs="宋体"/>
          <w:szCs w:val="21"/>
        </w:rPr>
        <w:t>13.5变更结算方式按施工合同相关条款执行。</w:t>
      </w:r>
    </w:p>
    <w:p>
      <w:pPr>
        <w:pStyle w:val="7"/>
        <w:ind w:firstLine="409" w:firstLineChars="194"/>
        <w:rPr>
          <w:rFonts w:cs="宋体"/>
          <w:b w:val="0"/>
          <w:color w:val="auto"/>
        </w:rPr>
      </w:pPr>
      <w:r>
        <w:rPr>
          <w:rFonts w:hint="eastAsia"/>
          <w:color w:val="auto"/>
          <w:sz w:val="21"/>
        </w:rPr>
        <w:t xml:space="preserve">条款号: </w:t>
      </w:r>
      <w:r>
        <w:rPr>
          <w:rFonts w:hint="eastAsia"/>
          <w:color w:val="auto"/>
          <w:sz w:val="21"/>
          <w:lang w:val="en-US" w:eastAsia="zh-CN"/>
        </w:rPr>
        <w:t>15.2</w:t>
      </w:r>
      <w:r>
        <w:rPr>
          <w:rFonts w:hint="eastAsia"/>
          <w:color w:val="auto"/>
          <w:sz w:val="21"/>
        </w:rPr>
        <w:t xml:space="preserve">          修改类型：修改</w:t>
      </w:r>
    </w:p>
    <w:p>
      <w:pPr>
        <w:pStyle w:val="34"/>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原文：</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 xml:space="preserve">2 </w:t>
      </w:r>
      <w:r>
        <w:rPr>
          <w:rFonts w:hint="eastAsia" w:ascii="宋体" w:hAnsi="宋体" w:eastAsia="宋体" w:cs="宋体"/>
          <w:sz w:val="21"/>
          <w:szCs w:val="21"/>
          <w:u w:val="singl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4"/>
        <w:pBdr>
          <w:bottom w:val="single" w:color="auto" w:sz="4" w:space="0"/>
        </w:pBdr>
        <w:spacing w:line="360" w:lineRule="auto"/>
        <w:ind w:firstLine="422" w:firstLineChars="200"/>
        <w:rPr>
          <w:rFonts w:hint="default" w:ascii="宋体" w:hAnsi="宋体" w:eastAsia="宋体" w:cs="宋体"/>
          <w:sz w:val="21"/>
          <w:szCs w:val="21"/>
          <w:u w:val="single"/>
          <w:lang w:val="en-US" w:eastAsia="zh-CN"/>
        </w:rPr>
      </w:pPr>
      <w:r>
        <w:rPr>
          <w:rFonts w:hint="eastAsia" w:ascii="宋体" w:hAnsi="宋体" w:cs="宋体"/>
          <w:b/>
          <w:szCs w:val="21"/>
        </w:rPr>
        <w:t>现文：</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w:t>
      </w:r>
      <w:r>
        <w:rPr>
          <w:rFonts w:hint="eastAsia" w:ascii="宋体" w:hAnsi="宋体" w:eastAsia="宋体" w:cs="宋体"/>
          <w:sz w:val="21"/>
          <w:szCs w:val="21"/>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pPr>
        <w:spacing w:line="360" w:lineRule="auto"/>
        <w:ind w:firstLine="422" w:firstLineChars="200"/>
        <w:rPr>
          <w:rFonts w:hint="eastAsia" w:eastAsia="宋体" w:cs="宋体"/>
          <w:b/>
          <w:szCs w:val="21"/>
          <w:lang w:eastAsia="zh-CN"/>
        </w:rPr>
      </w:pPr>
      <w:r>
        <w:rPr>
          <w:rFonts w:hint="eastAsia" w:cs="宋体"/>
          <w:b/>
          <w:szCs w:val="21"/>
        </w:rPr>
        <w:t>条款号：16.1-16.5       修改类型：</w:t>
      </w:r>
      <w:r>
        <w:rPr>
          <w:rFonts w:hint="eastAsia" w:cs="宋体"/>
          <w:b/>
          <w:szCs w:val="21"/>
          <w:lang w:val="en-US" w:eastAsia="zh-CN"/>
        </w:rPr>
        <w:t>删除</w:t>
      </w:r>
    </w:p>
    <w:p>
      <w:pPr>
        <w:spacing w:line="360" w:lineRule="auto"/>
        <w:ind w:firstLine="422" w:firstLineChars="200"/>
        <w:rPr>
          <w:rFonts w:cs="宋体"/>
          <w:szCs w:val="21"/>
        </w:rPr>
      </w:pPr>
      <w:r>
        <w:rPr>
          <w:rFonts w:hint="eastAsia" w:cs="宋体"/>
          <w:b/>
          <w:szCs w:val="21"/>
        </w:rPr>
        <w:t>原文：</w:t>
      </w:r>
      <w:r>
        <w:rPr>
          <w:rFonts w:hint="eastAsia" w:cs="宋体"/>
          <w:szCs w:val="21"/>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cs="宋体"/>
          <w:szCs w:val="21"/>
        </w:rPr>
      </w:pPr>
      <w:r>
        <w:rPr>
          <w:rFonts w:hint="eastAsia" w:cs="宋体"/>
          <w:szCs w:val="21"/>
        </w:rPr>
        <w:t>16.1.1 采用现金或者支票形式提交的，投标保证金须从投标人的银行基本账户转出。</w:t>
      </w:r>
    </w:p>
    <w:p>
      <w:pPr>
        <w:spacing w:line="360" w:lineRule="auto"/>
        <w:ind w:firstLine="420" w:firstLineChars="200"/>
        <w:rPr>
          <w:rFonts w:cs="宋体"/>
          <w:szCs w:val="21"/>
        </w:rPr>
      </w:pPr>
      <w:r>
        <w:rPr>
          <w:rFonts w:hint="eastAsia" w:cs="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cs="宋体"/>
          <w:szCs w:val="21"/>
        </w:rPr>
      </w:pPr>
      <w:r>
        <w:rPr>
          <w:rFonts w:hint="eastAsia" w:cs="宋体"/>
          <w:szCs w:val="21"/>
        </w:rPr>
        <w:t>16.1.3 采用电子形式的保函、担保或保证保险提交投标保证金的，应在招标文件中明确电子递交途径。</w:t>
      </w:r>
    </w:p>
    <w:p>
      <w:pPr>
        <w:spacing w:line="360" w:lineRule="auto"/>
        <w:ind w:firstLine="420" w:firstLineChars="200"/>
        <w:rPr>
          <w:rFonts w:cs="宋体"/>
          <w:szCs w:val="21"/>
        </w:rPr>
      </w:pPr>
      <w:r>
        <w:rPr>
          <w:rFonts w:hint="eastAsia" w:cs="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cs="宋体"/>
          <w:szCs w:val="21"/>
        </w:rPr>
      </w:pPr>
      <w:r>
        <w:rPr>
          <w:rFonts w:hint="eastAsia" w:cs="宋体"/>
          <w:szCs w:val="21"/>
        </w:rPr>
        <w:t>16.3投标保证金应依据法律法规的相关规定退还。</w:t>
      </w:r>
    </w:p>
    <w:p>
      <w:pPr>
        <w:spacing w:line="360" w:lineRule="auto"/>
        <w:ind w:firstLine="420" w:firstLineChars="200"/>
        <w:rPr>
          <w:rFonts w:cs="宋体"/>
          <w:szCs w:val="21"/>
        </w:rPr>
      </w:pPr>
      <w:r>
        <w:rPr>
          <w:rFonts w:hint="eastAsia" w:cs="宋体"/>
          <w:szCs w:val="21"/>
        </w:rPr>
        <w:t>16.4如有下列情况之一的，招标人可以不予退还投标保证金（是否退还投标保证金由招标人在招标文件中规定）：</w:t>
      </w:r>
    </w:p>
    <w:p>
      <w:pPr>
        <w:spacing w:line="360" w:lineRule="auto"/>
        <w:ind w:firstLine="420" w:firstLineChars="200"/>
        <w:rPr>
          <w:rFonts w:cs="宋体"/>
          <w:szCs w:val="21"/>
        </w:rPr>
      </w:pPr>
      <w:r>
        <w:rPr>
          <w:rFonts w:hint="eastAsia" w:cs="宋体"/>
          <w:szCs w:val="21"/>
        </w:rPr>
        <w:t>16.4.1因投标人原因造成投标文件未解密的；</w:t>
      </w:r>
    </w:p>
    <w:p>
      <w:pPr>
        <w:spacing w:line="360" w:lineRule="auto"/>
        <w:ind w:firstLine="420" w:firstLineChars="200"/>
        <w:rPr>
          <w:rFonts w:cs="宋体"/>
          <w:szCs w:val="21"/>
        </w:rPr>
      </w:pPr>
      <w:r>
        <w:rPr>
          <w:rFonts w:hint="eastAsia" w:cs="宋体"/>
          <w:szCs w:val="21"/>
        </w:rPr>
        <w:t>16.4.2投标人在投标有效期内撤销投标文件；</w:t>
      </w:r>
    </w:p>
    <w:p>
      <w:pPr>
        <w:spacing w:line="360" w:lineRule="auto"/>
        <w:ind w:firstLine="420" w:firstLineChars="200"/>
        <w:rPr>
          <w:rFonts w:cs="宋体"/>
          <w:szCs w:val="21"/>
        </w:rPr>
      </w:pPr>
      <w:r>
        <w:rPr>
          <w:rFonts w:hint="eastAsia" w:cs="宋体"/>
          <w:szCs w:val="21"/>
        </w:rPr>
        <w:t>16.4.3中标人未能在规定期限内按要求提交履约担保；</w:t>
      </w:r>
    </w:p>
    <w:p>
      <w:pPr>
        <w:spacing w:line="360" w:lineRule="auto"/>
        <w:ind w:firstLine="420" w:firstLineChars="200"/>
        <w:rPr>
          <w:rFonts w:cs="宋体"/>
          <w:szCs w:val="21"/>
        </w:rPr>
      </w:pPr>
      <w:r>
        <w:rPr>
          <w:rFonts w:hint="eastAsia" w:cs="宋体"/>
          <w:szCs w:val="21"/>
        </w:rPr>
        <w:t>16.4.4中标人未能在规定期限内签署合同协议。</w:t>
      </w:r>
    </w:p>
    <w:p>
      <w:pPr>
        <w:spacing w:line="360" w:lineRule="auto"/>
        <w:ind w:firstLine="420" w:firstLineChars="200"/>
        <w:rPr>
          <w:rFonts w:cs="宋体"/>
          <w:szCs w:val="21"/>
        </w:rPr>
      </w:pPr>
      <w:r>
        <w:rPr>
          <w:rFonts w:hint="eastAsia" w:cs="宋体"/>
          <w:szCs w:val="21"/>
        </w:rPr>
        <w:t>16.5投标人如存在下列情况之一的，将被拒绝在一定时期内参与招标人后续工程投标（拒绝时限需在招标文件中明确）：</w:t>
      </w:r>
    </w:p>
    <w:p>
      <w:pPr>
        <w:spacing w:line="360" w:lineRule="auto"/>
        <w:ind w:firstLine="420" w:firstLineChars="200"/>
        <w:rPr>
          <w:rFonts w:cs="宋体"/>
          <w:szCs w:val="21"/>
        </w:rPr>
      </w:pPr>
      <w:r>
        <w:rPr>
          <w:rFonts w:hint="eastAsia" w:cs="宋体"/>
          <w:szCs w:val="21"/>
        </w:rPr>
        <w:t>16.5.1投标人存在16.4条款所列情形且投标人提交的保函、担保或保证保险无法兑付的；</w:t>
      </w:r>
    </w:p>
    <w:p>
      <w:pPr>
        <w:spacing w:line="360" w:lineRule="auto"/>
        <w:ind w:firstLine="420" w:firstLineChars="200"/>
        <w:rPr>
          <w:rFonts w:cs="宋体"/>
          <w:szCs w:val="21"/>
        </w:rPr>
      </w:pPr>
      <w:r>
        <w:rPr>
          <w:rFonts w:hint="eastAsia" w:cs="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cs="宋体"/>
          <w:szCs w:val="21"/>
        </w:rPr>
      </w:pPr>
      <w:r>
        <w:rPr>
          <w:rFonts w:hint="eastAsia" w:cs="宋体"/>
          <w:szCs w:val="21"/>
        </w:rPr>
        <w:t>16.5.3按招标文件要求免于提供投标保证金的投标人存在16.4条款所列情形，且未按招标人要求补交投标保证金的；</w:t>
      </w:r>
    </w:p>
    <w:p>
      <w:pPr>
        <w:spacing w:line="360" w:lineRule="auto"/>
        <w:ind w:firstLine="420" w:firstLineChars="200"/>
        <w:rPr>
          <w:rFonts w:cs="宋体"/>
          <w:szCs w:val="21"/>
        </w:rPr>
      </w:pPr>
      <w:r>
        <w:rPr>
          <w:rFonts w:hint="eastAsia" w:cs="宋体"/>
          <w:szCs w:val="21"/>
        </w:rPr>
        <w:t>16.5.3按招标文件要求免于提供投标保证金的投标人存在16.4条款所列情形的。</w:t>
      </w:r>
    </w:p>
    <w:p>
      <w:pPr>
        <w:spacing w:line="360" w:lineRule="auto"/>
        <w:ind w:firstLine="420" w:firstLineChars="200"/>
        <w:rPr>
          <w:rFonts w:ascii="宋体" w:hAnsi="宋体"/>
          <w:b/>
          <w:bCs/>
          <w:szCs w:val="21"/>
        </w:rPr>
      </w:pPr>
      <w:r>
        <w:rPr>
          <w:rFonts w:hint="eastAsia" w:cs="宋体"/>
          <w:szCs w:val="21"/>
        </w:rPr>
        <w:t>注：16.5.3款由招标人二选一，需在招标文件中明确。</w:t>
      </w:r>
    </w:p>
    <w:p>
      <w:pPr>
        <w:pBdr>
          <w:bottom w:val="single" w:color="auto" w:sz="6" w:space="22"/>
        </w:pBdr>
        <w:spacing w:line="360" w:lineRule="auto"/>
        <w:ind w:firstLine="420" w:firstLineChars="200"/>
      </w:pPr>
    </w:p>
    <w:p>
      <w:pPr>
        <w:pStyle w:val="7"/>
        <w:ind w:firstLine="422"/>
        <w:rPr>
          <w:color w:val="auto"/>
          <w:sz w:val="21"/>
        </w:rPr>
      </w:pPr>
      <w:r>
        <w:rPr>
          <w:rFonts w:hint="eastAsia"/>
          <w:color w:val="auto"/>
          <w:sz w:val="21"/>
        </w:rPr>
        <w:t>条款号: 17.1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spacing w:line="360" w:lineRule="auto"/>
        <w:ind w:firstLine="411" w:firstLineChars="195"/>
        <w:rPr>
          <w:rFonts w:ascii="宋体" w:hAnsi="宋体" w:cs="宋体"/>
          <w:b/>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w:t>
      </w:r>
      <w:r>
        <w:rPr>
          <w:rFonts w:hint="eastAsia" w:cs="宋体"/>
          <w:szCs w:val="21"/>
          <w:u w:val="single"/>
        </w:rPr>
        <w:t>应加盖个人电子印章或在线下完成后扫描上传</w:t>
      </w:r>
      <w:r>
        <w:rPr>
          <w:rFonts w:hint="eastAsia" w:ascii="宋体" w:hAnsi="宋体" w:cs="宋体"/>
          <w:szCs w:val="21"/>
        </w:rPr>
        <w:t>。按照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7"/>
        <w:ind w:firstLine="409" w:firstLineChars="194"/>
        <w:rPr>
          <w:color w:val="auto"/>
          <w:sz w:val="21"/>
        </w:rPr>
      </w:pPr>
      <w:r>
        <w:rPr>
          <w:rFonts w:hint="eastAsia"/>
          <w:color w:val="auto"/>
          <w:sz w:val="21"/>
        </w:rPr>
        <w:t>条款号: 18.1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18.1</w:t>
      </w:r>
      <w:r>
        <w:rPr>
          <w:rFonts w:hint="eastAsia" w:ascii="宋体" w:hAnsi="宋体" w:cs="宋体"/>
          <w:bCs/>
          <w:szCs w:val="21"/>
        </w:rPr>
        <w:t>递交的电子投标文件（不含备用光盘）必须进行加密。按照交易平台关于</w:t>
      </w:r>
      <w:r>
        <w:rPr>
          <w:rFonts w:hint="eastAsia" w:ascii="宋体" w:hAnsi="宋体" w:cs="宋体"/>
          <w:szCs w:val="21"/>
        </w:rPr>
        <w:t>全流程电子化项目的相关指南进行操作。详见： 。</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7"/>
        <w:ind w:firstLine="409" w:firstLineChars="194"/>
        <w:rPr>
          <w:color w:val="auto"/>
          <w:sz w:val="21"/>
        </w:rPr>
      </w:pPr>
      <w:r>
        <w:rPr>
          <w:rFonts w:hint="eastAsia"/>
          <w:color w:val="auto"/>
          <w:sz w:val="21"/>
        </w:rPr>
        <w:t>条款号: 18.2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rPr>
        <w:t>交易平台</w:t>
      </w:r>
      <w:r>
        <w:rPr>
          <w:rFonts w:hint="eastAsia" w:ascii="宋体" w:hAnsi="宋体" w:cs="宋体"/>
          <w:bCs/>
          <w:szCs w:val="21"/>
        </w:rPr>
        <w:t>将予以拒收。</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pStyle w:val="7"/>
        <w:ind w:firstLine="409" w:firstLineChars="194"/>
        <w:rPr>
          <w:color w:val="auto"/>
          <w:sz w:val="21"/>
        </w:rPr>
      </w:pPr>
      <w:r>
        <w:rPr>
          <w:rFonts w:hint="eastAsia"/>
          <w:color w:val="auto"/>
          <w:sz w:val="21"/>
        </w:rPr>
        <w:t>条款号: 19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bCs/>
          <w:szCs w:val="21"/>
        </w:rPr>
        <w:t>19.投标文件的递交和接收</w:t>
      </w:r>
    </w:p>
    <w:p>
      <w:pPr>
        <w:pBdr>
          <w:bottom w:val="single" w:color="auto" w:sz="6" w:space="1"/>
        </w:pBdr>
        <w:spacing w:line="360" w:lineRule="auto"/>
        <w:ind w:firstLine="411" w:firstLineChars="195"/>
        <w:rPr>
          <w:rFonts w:ascii="宋体" w:hAnsi="宋体" w:cs="宋体"/>
          <w:bCs/>
          <w:szCs w:val="21"/>
        </w:rPr>
      </w:pPr>
      <w:r>
        <w:rPr>
          <w:rFonts w:hint="eastAsia" w:ascii="宋体" w:hAnsi="宋体" w:cs="宋体"/>
          <w:b/>
          <w:szCs w:val="21"/>
        </w:rPr>
        <w:t>现文：</w:t>
      </w:r>
      <w:r>
        <w:rPr>
          <w:rFonts w:hint="eastAsia" w:ascii="宋体" w:hAnsi="宋体" w:cs="宋体"/>
          <w:bCs/>
          <w:szCs w:val="21"/>
        </w:rPr>
        <w:t>19.</w:t>
      </w:r>
      <w:r>
        <w:rPr>
          <w:rFonts w:hint="eastAsia" w:ascii="宋体" w:hAnsi="宋体" w:cs="宋体"/>
          <w:bCs/>
          <w:szCs w:val="21"/>
          <w:u w:val="single"/>
        </w:rPr>
        <w:t>投标登记和</w:t>
      </w:r>
      <w:r>
        <w:rPr>
          <w:rFonts w:hint="eastAsia" w:ascii="宋体" w:hAnsi="宋体" w:cs="宋体"/>
          <w:bCs/>
          <w:szCs w:val="21"/>
        </w:rPr>
        <w:t>投标文件的递交和接收</w:t>
      </w:r>
    </w:p>
    <w:p>
      <w:pPr>
        <w:pStyle w:val="7"/>
        <w:ind w:firstLine="409" w:firstLineChars="194"/>
        <w:rPr>
          <w:color w:val="auto"/>
          <w:sz w:val="21"/>
        </w:rPr>
      </w:pPr>
      <w:r>
        <w:rPr>
          <w:rFonts w:hint="eastAsia"/>
          <w:color w:val="auto"/>
          <w:sz w:val="21"/>
        </w:rPr>
        <w:t>条款号: 19.1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rPr>
        <w:t>交易平台递交电子投标文件。</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19.1投标人通过</w:t>
      </w:r>
      <w:r>
        <w:rPr>
          <w:rFonts w:hint="eastAsia" w:ascii="宋体" w:hAnsi="宋体" w:cs="宋体"/>
          <w:szCs w:val="21"/>
          <w:u w:val="single"/>
        </w:rPr>
        <w:t>广州公共资源交易中心交易平台</w:t>
      </w:r>
      <w:r>
        <w:rPr>
          <w:rFonts w:hint="eastAsia" w:ascii="宋体" w:hAnsi="宋体" w:cs="宋体"/>
          <w:szCs w:val="21"/>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7"/>
        <w:ind w:firstLine="409" w:firstLineChars="194"/>
        <w:rPr>
          <w:color w:val="auto"/>
          <w:sz w:val="21"/>
        </w:rPr>
      </w:pPr>
      <w:r>
        <w:rPr>
          <w:rFonts w:hint="eastAsia"/>
          <w:color w:val="auto"/>
          <w:sz w:val="21"/>
        </w:rPr>
        <w:t>条款号: 19.2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Style w:val="7"/>
        <w:ind w:firstLine="409" w:firstLineChars="194"/>
        <w:rPr>
          <w:color w:val="auto"/>
          <w:sz w:val="21"/>
        </w:rPr>
      </w:pPr>
      <w:r>
        <w:rPr>
          <w:rFonts w:hint="eastAsia"/>
          <w:color w:val="auto"/>
          <w:sz w:val="21"/>
        </w:rPr>
        <w:t>条款号: 19.3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pStyle w:val="7"/>
        <w:ind w:firstLine="409" w:firstLineChars="194"/>
        <w:rPr>
          <w:color w:val="auto"/>
          <w:sz w:val="21"/>
        </w:rPr>
      </w:pPr>
      <w:r>
        <w:rPr>
          <w:rFonts w:hint="eastAsia"/>
          <w:color w:val="auto"/>
          <w:sz w:val="21"/>
        </w:rPr>
        <w:t>条款号: 19.5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19.5</w:t>
      </w:r>
      <w:r>
        <w:rPr>
          <w:rFonts w:hint="eastAsia" w:ascii="宋体" w:hAnsi="宋体" w:cs="宋体"/>
          <w:szCs w:val="21"/>
          <w:u w:val="single"/>
        </w:rPr>
        <w:t>广州公共资源交易中心交易平台将按招标文件规定的时间同时开启技术标和经济标。</w:t>
      </w:r>
    </w:p>
    <w:p>
      <w:pPr>
        <w:pStyle w:val="34"/>
        <w:spacing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19.6</w:t>
      </w:r>
      <w:r>
        <w:rPr>
          <w:rFonts w:hint="eastAsia" w:ascii="宋体" w:hAnsi="宋体" w:cs="宋体"/>
          <w:b/>
          <w:szCs w:val="21"/>
        </w:rPr>
        <w:t>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7"/>
        <w:ind w:firstLine="409" w:firstLineChars="194"/>
        <w:rPr>
          <w:color w:val="auto"/>
          <w:sz w:val="21"/>
        </w:rPr>
      </w:pPr>
      <w:r>
        <w:rPr>
          <w:rFonts w:hint="eastAsia"/>
          <w:color w:val="auto"/>
          <w:sz w:val="21"/>
        </w:rPr>
        <w:t>条款号: 20.3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20.3</w:t>
      </w:r>
      <w:r>
        <w:rPr>
          <w:rFonts w:hint="eastAsia" w:ascii="宋体" w:hAnsi="宋体" w:cs="宋体"/>
          <w:szCs w:val="21"/>
          <w:u w:val="single"/>
        </w:rPr>
        <w:t>到投标截止时间止，招标人收到的投标文件少于3家的，招标人将重新组织招标。</w:t>
      </w:r>
    </w:p>
    <w:p>
      <w:pPr>
        <w:pStyle w:val="7"/>
        <w:ind w:firstLine="409" w:firstLineChars="194"/>
        <w:rPr>
          <w:color w:val="auto"/>
          <w:sz w:val="21"/>
        </w:rPr>
      </w:pPr>
      <w:r>
        <w:rPr>
          <w:rFonts w:hint="eastAsia"/>
          <w:color w:val="auto"/>
          <w:sz w:val="21"/>
        </w:rPr>
        <w:t>条款号: 21.1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rPr>
          <w:rFonts w:ascii="宋体" w:hAnsi="宋体"/>
          <w:b/>
          <w:szCs w:val="21"/>
        </w:rPr>
      </w:pPr>
      <w:r>
        <w:rPr>
          <w:rFonts w:hint="eastAsia" w:ascii="宋体" w:hAnsi="宋体"/>
          <w:b/>
          <w:szCs w:val="21"/>
        </w:rPr>
        <w:t>条款号：27                         修改类型：修改</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现文：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ascii="宋体" w:hAnsi="宋体"/>
          <w:szCs w:val="21"/>
          <w:u w:val="single"/>
        </w:rPr>
        <w:t>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w:t>
      </w:r>
      <w:r>
        <w:rPr>
          <w:rFonts w:hint="eastAsia" w:ascii="宋体" w:hAnsi="宋体"/>
          <w:szCs w:val="21"/>
          <w:u w:val="single"/>
        </w:rPr>
        <w:t>中标人自行于广州公共资源交易中心交易平台下载中标通知书。中标人须对其投标文件真实性负责，并准备投标文件涉及的所有原件待查，如存在弄虚作假情况的，招标人有权取消其中标人资格，并上报建设行政主管部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Fonts w:hint="eastAsia" w:ascii="宋体" w:hAnsi="宋体"/>
          <w:szCs w:val="21"/>
          <w:u w:val="single"/>
        </w:rPr>
        <w:t>广州公共资源交易中心</w:t>
      </w:r>
      <w:r>
        <w:rPr>
          <w:rFonts w:hint="eastAsia" w:ascii="宋体" w:hAnsi="宋体"/>
          <w:szCs w:val="21"/>
        </w:rPr>
        <w:t>交易平台和广东省招标投标监管网公开。</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2</w:t>
      </w:r>
      <w:r>
        <w:rPr>
          <w:rFonts w:hint="eastAsia" w:ascii="宋体" w:hAnsi="宋体" w:cs="宋体"/>
          <w:b/>
          <w:bCs/>
          <w:szCs w:val="21"/>
          <w:lang w:val="en-US" w:eastAsia="zh-CN"/>
        </w:rPr>
        <w:t>8</w:t>
      </w:r>
      <w:r>
        <w:rPr>
          <w:rFonts w:hint="eastAsia" w:ascii="宋体" w:hAnsi="宋体" w:cs="宋体"/>
          <w:b/>
          <w:bCs/>
          <w:szCs w:val="21"/>
        </w:rPr>
        <w:t>.</w:t>
      </w:r>
      <w:r>
        <w:rPr>
          <w:rFonts w:hint="eastAsia" w:ascii="宋体" w:hAnsi="宋体" w:cs="宋体"/>
          <w:b/>
          <w:bCs/>
          <w:szCs w:val="21"/>
          <w:lang w:val="en-US" w:eastAsia="zh-CN"/>
        </w:rPr>
        <w:t>2</w:t>
      </w:r>
      <w:r>
        <w:rPr>
          <w:rFonts w:hint="eastAsia" w:ascii="宋体" w:hAnsi="宋体" w:cs="宋体"/>
          <w:b/>
          <w:szCs w:val="21"/>
        </w:rPr>
        <w:t xml:space="preserve">          修改类型：修改</w:t>
      </w:r>
    </w:p>
    <w:p>
      <w:pPr>
        <w:pBdr>
          <w:bottom w:val="single" w:color="auto" w:sz="6" w:space="1"/>
        </w:pBdr>
        <w:spacing w:line="360" w:lineRule="auto"/>
        <w:ind w:firstLine="411" w:firstLineChars="195"/>
        <w:rPr>
          <w:rFonts w:hint="eastAsia" w:ascii="宋体" w:hAnsi="宋体" w:cs="宋体"/>
          <w:szCs w:val="21"/>
          <w:lang w:val="en-US" w:eastAsia="zh-CN"/>
        </w:rPr>
      </w:pPr>
      <w:r>
        <w:rPr>
          <w:rFonts w:hint="eastAsia" w:ascii="宋体" w:hAnsi="宋体" w:cs="宋体"/>
          <w:b/>
          <w:szCs w:val="21"/>
        </w:rPr>
        <w:t>原文：</w:t>
      </w:r>
      <w:r>
        <w:rPr>
          <w:rFonts w:hint="eastAsia" w:ascii="宋体" w:hAnsi="宋体" w:cs="宋体"/>
          <w:szCs w:val="21"/>
        </w:rPr>
        <w:t xml:space="preserve"> 2</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hint="eastAsia" w:ascii="宋体" w:hAnsi="宋体" w:cs="宋体"/>
          <w:b/>
          <w:szCs w:val="21"/>
          <w:lang w:val="en-US" w:eastAsia="zh-CN"/>
        </w:rPr>
      </w:pPr>
      <w:r>
        <w:rPr>
          <w:rFonts w:hint="eastAsia" w:ascii="宋体" w:hAnsi="宋体" w:cs="宋体"/>
          <w:b/>
          <w:szCs w:val="21"/>
        </w:rPr>
        <w:t>现文：</w:t>
      </w: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中标通知书发出之日起30日后，中标人未按上款的规定与招标人订立合同，招标人将解除中标通知书，且依法承担相应法律责任。原中标人给招标人造成的损失当对予以赔偿。原中标人有异议的，可以向人民法院起诉。</w:t>
      </w:r>
    </w:p>
    <w:p>
      <w:pPr>
        <w:pStyle w:val="2"/>
        <w:rPr>
          <w:rFonts w:hint="default"/>
          <w:lang w:val="en-US" w:eastAsia="zh-CN"/>
        </w:rPr>
      </w:pP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29.1</w:t>
      </w:r>
      <w:r>
        <w:rPr>
          <w:rFonts w:hint="eastAsia" w:ascii="宋体" w:hAnsi="宋体" w:cs="宋体"/>
          <w:b/>
          <w:szCs w:val="21"/>
        </w:rPr>
        <w:t xml:space="preserve">           修改类型：修改</w:t>
      </w:r>
    </w:p>
    <w:p>
      <w:pPr>
        <w:snapToGrid w:val="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 xml:space="preserve"> 29.1在收到中标通知书后的</w:t>
      </w:r>
      <w:r>
        <w:rPr>
          <w:rFonts w:hint="eastAsia" w:ascii="宋体" w:hAnsi="宋体" w:cs="宋体"/>
          <w:b/>
          <w:szCs w:val="21"/>
        </w:rPr>
        <w:t>15日</w:t>
      </w:r>
      <w:r>
        <w:rPr>
          <w:rFonts w:hint="eastAsia" w:ascii="宋体" w:hAnsi="宋体" w:cs="宋体"/>
          <w:szCs w:val="21"/>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u w:val="single"/>
        </w:rPr>
        <w:t>29.1在签订合同后的</w:t>
      </w:r>
      <w:r>
        <w:rPr>
          <w:rFonts w:hint="eastAsia" w:ascii="宋体" w:hAnsi="宋体" w:cs="宋体"/>
          <w:b/>
          <w:szCs w:val="21"/>
          <w:u w:val="single"/>
        </w:rPr>
        <w:t>15日</w:t>
      </w:r>
      <w:r>
        <w:rPr>
          <w:rFonts w:hint="eastAsia" w:ascii="宋体" w:hAnsi="宋体" w:cs="宋体"/>
          <w:szCs w:val="21"/>
          <w:u w:val="single"/>
        </w:rPr>
        <w:t>内，中标人应按本须知前附表第20项的规定向招标人提交履约担保。</w:t>
      </w:r>
    </w:p>
    <w:p>
      <w:pPr>
        <w:pStyle w:val="2"/>
      </w:pPr>
    </w:p>
    <w:p>
      <w:pPr>
        <w:pStyle w:val="7"/>
        <w:ind w:firstLine="409" w:firstLineChars="194"/>
        <w:rPr>
          <w:color w:val="auto"/>
          <w:sz w:val="21"/>
        </w:rPr>
      </w:pPr>
      <w:r>
        <w:rPr>
          <w:rFonts w:hint="eastAsia"/>
          <w:color w:val="auto"/>
          <w:sz w:val="21"/>
        </w:rPr>
        <w:t>条款号: 29.2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szCs w:val="21"/>
          <w:u w:val="single"/>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合同正式签订之日起</w:t>
      </w:r>
      <w:r>
        <w:rPr>
          <w:rFonts w:ascii="宋体" w:hAnsi="宋体" w:cs="宋体"/>
          <w:szCs w:val="21"/>
          <w:u w:val="single"/>
        </w:rPr>
        <w:t>15</w:t>
      </w:r>
      <w:r>
        <w:rPr>
          <w:rFonts w:hint="eastAsia" w:ascii="宋体" w:hAnsi="宋体" w:cs="宋体"/>
          <w:szCs w:val="21"/>
          <w:u w:val="single"/>
        </w:rPr>
        <w:t>日内</w:t>
      </w:r>
      <w:r>
        <w:rPr>
          <w:rFonts w:hint="eastAsia" w:ascii="宋体" w:hAnsi="宋体" w:cs="宋体"/>
          <w:szCs w:val="21"/>
        </w:rPr>
        <w:t>，中标人未按上款的规定递交履约担保，招标人将解除中标通知书及合同，且依法承担相应法律责任。原中标人给招标人造成的损失，还应当予以赔偿。原中标人有异议的，可以向人民法院起诉。</w:t>
      </w:r>
    </w:p>
    <w:p>
      <w:pPr>
        <w:spacing w:line="360" w:lineRule="auto"/>
        <w:ind w:firstLine="211" w:firstLineChars="1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rPr>
          <w:b/>
          <w:szCs w:val="21"/>
        </w:rPr>
      </w:pPr>
      <w:r>
        <w:rPr>
          <w:rFonts w:hint="eastAsia"/>
          <w:b/>
          <w:szCs w:val="21"/>
        </w:rPr>
        <w:t>（以下无正文）</w:t>
      </w:r>
    </w:p>
    <w:p>
      <w:pPr>
        <w:pStyle w:val="19"/>
      </w:pPr>
    </w:p>
    <w:p>
      <w:pPr>
        <w:pStyle w:val="19"/>
      </w:pPr>
    </w:p>
    <w:p>
      <w:pPr>
        <w:pStyle w:val="6"/>
      </w:pPr>
      <w:bookmarkStart w:id="9" w:name="_Toc2272548"/>
      <w:bookmarkEnd w:id="9"/>
      <w:r>
        <w:br w:type="page"/>
      </w:r>
      <w:bookmarkStart w:id="10" w:name="_Toc115117421"/>
      <w:r>
        <w:rPr>
          <w:rFonts w:hint="eastAsia"/>
        </w:rPr>
        <w:t>三、投标须知通用条款</w:t>
      </w:r>
      <w:bookmarkEnd w:id="10"/>
    </w:p>
    <w:p>
      <w:pPr>
        <w:spacing w:before="156" w:beforeLines="50" w:after="156" w:afterLines="50"/>
        <w:jc w:val="center"/>
        <w:rPr>
          <w:b/>
          <w:sz w:val="24"/>
          <w:szCs w:val="24"/>
        </w:rPr>
      </w:pPr>
      <w:bookmarkStart w:id="11" w:name="_Toc2272549"/>
      <w:bookmarkEnd w:id="11"/>
      <w:r>
        <w:rPr>
          <w:rFonts w:hint="eastAsia"/>
          <w:b/>
          <w:sz w:val="24"/>
          <w:szCs w:val="24"/>
        </w:rPr>
        <w:t>（一）总则</w:t>
      </w:r>
    </w:p>
    <w:p>
      <w:pPr>
        <w:pStyle w:val="7"/>
        <w:ind w:firstLine="482"/>
        <w:rPr>
          <w:color w:val="auto"/>
        </w:rPr>
      </w:pPr>
      <w:r>
        <w:rPr>
          <w:color w:val="auto"/>
        </w:rPr>
        <w:t>1</w:t>
      </w:r>
      <w:r>
        <w:rPr>
          <w:rFonts w:hint="eastAsia"/>
          <w:color w:val="auto"/>
        </w:rPr>
        <w:t>.定义</w:t>
      </w:r>
    </w:p>
    <w:p>
      <w:pPr>
        <w:pStyle w:val="34"/>
        <w:spacing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34"/>
        <w:spacing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34"/>
        <w:spacing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34"/>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34"/>
        <w:spacing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34"/>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34"/>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pStyle w:val="7"/>
        <w:ind w:firstLine="482"/>
        <w:rPr>
          <w:color w:val="auto"/>
        </w:rPr>
      </w:pPr>
      <w:r>
        <w:rPr>
          <w:color w:val="auto"/>
        </w:rPr>
        <w:t>2</w:t>
      </w:r>
      <w:r>
        <w:rPr>
          <w:rFonts w:hint="eastAsia"/>
          <w:color w:val="auto"/>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pStyle w:val="7"/>
        <w:ind w:firstLine="482"/>
        <w:rPr>
          <w:color w:val="auto"/>
        </w:rPr>
      </w:pPr>
      <w:r>
        <w:rPr>
          <w:color w:val="auto"/>
        </w:rPr>
        <w:t>3</w:t>
      </w:r>
      <w:r>
        <w:rPr>
          <w:rFonts w:hint="eastAsia"/>
          <w:color w:val="auto"/>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pStyle w:val="7"/>
        <w:ind w:firstLine="482"/>
        <w:rPr>
          <w:color w:val="auto"/>
        </w:rPr>
      </w:pPr>
      <w:r>
        <w:rPr>
          <w:color w:val="auto"/>
        </w:rPr>
        <w:t>4</w:t>
      </w:r>
      <w:r>
        <w:rPr>
          <w:rFonts w:hint="eastAsia"/>
          <w:color w:val="auto"/>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pStyle w:val="7"/>
        <w:ind w:firstLine="482"/>
        <w:rPr>
          <w:color w:val="auto"/>
        </w:rPr>
      </w:pPr>
      <w:r>
        <w:rPr>
          <w:color w:val="auto"/>
        </w:rPr>
        <w:t>5</w:t>
      </w:r>
      <w:r>
        <w:rPr>
          <w:rFonts w:hint="eastAsia"/>
          <w:color w:val="auto"/>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pStyle w:val="7"/>
        <w:ind w:firstLine="482"/>
        <w:rPr>
          <w:color w:val="auto"/>
        </w:rPr>
      </w:pPr>
      <w:r>
        <w:rPr>
          <w:color w:val="auto"/>
        </w:rPr>
        <w:t>6</w:t>
      </w:r>
      <w:r>
        <w:rPr>
          <w:rFonts w:hint="eastAsia"/>
          <w:color w:val="auto"/>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spacing w:before="156" w:beforeLines="50" w:after="156" w:afterLines="50"/>
        <w:jc w:val="center"/>
        <w:rPr>
          <w:b/>
          <w:sz w:val="24"/>
          <w:szCs w:val="24"/>
        </w:rPr>
      </w:pPr>
      <w:bookmarkStart w:id="12" w:name="_Toc2272550"/>
      <w:bookmarkEnd w:id="12"/>
      <w:r>
        <w:rPr>
          <w:rFonts w:hint="eastAsia"/>
          <w:b/>
          <w:sz w:val="24"/>
          <w:szCs w:val="24"/>
        </w:rPr>
        <w:t>（二）招标文件</w:t>
      </w:r>
    </w:p>
    <w:p>
      <w:pPr>
        <w:pStyle w:val="7"/>
        <w:ind w:firstLine="482"/>
        <w:rPr>
          <w:color w:val="auto"/>
        </w:rPr>
      </w:pPr>
      <w:r>
        <w:rPr>
          <w:color w:val="auto"/>
        </w:rPr>
        <w:t>7.</w:t>
      </w:r>
      <w:r>
        <w:rPr>
          <w:rFonts w:hint="eastAsia"/>
          <w:color w:val="auto"/>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34"/>
        <w:spacing w:line="360" w:lineRule="auto"/>
        <w:ind w:left="-2" w:firstLine="480" w:firstLineChars="200"/>
        <w:rPr>
          <w:rFonts w:ascii="宋体"/>
          <w:sz w:val="24"/>
        </w:rPr>
      </w:pPr>
      <w:r>
        <w:rPr>
          <w:rFonts w:hint="eastAsia" w:ascii="宋体" w:hAnsi="宋体"/>
          <w:bCs/>
          <w:sz w:val="24"/>
        </w:rPr>
        <w:t>第一章</w:t>
      </w:r>
      <w:r>
        <w:rPr>
          <w:rFonts w:hint="eastAsia" w:ascii="宋体" w:hAnsi="宋体"/>
          <w:sz w:val="24"/>
        </w:rPr>
        <w:t>投标须知</w:t>
      </w:r>
    </w:p>
    <w:p>
      <w:pPr>
        <w:pStyle w:val="34"/>
        <w:spacing w:line="360" w:lineRule="auto"/>
        <w:ind w:left="-2" w:firstLine="480" w:firstLineChars="200"/>
        <w:rPr>
          <w:rFonts w:ascii="宋体"/>
          <w:sz w:val="24"/>
        </w:rPr>
      </w:pPr>
      <w:r>
        <w:rPr>
          <w:rFonts w:hint="eastAsia" w:ascii="宋体" w:hAnsi="宋体"/>
          <w:bCs/>
          <w:sz w:val="24"/>
        </w:rPr>
        <w:t>第二章</w:t>
      </w:r>
      <w:r>
        <w:rPr>
          <w:rFonts w:hint="eastAsia" w:ascii="宋体" w:hAnsi="宋体"/>
          <w:sz w:val="24"/>
        </w:rPr>
        <w:t>开标、评标及定标办法</w:t>
      </w:r>
    </w:p>
    <w:p>
      <w:pPr>
        <w:pStyle w:val="34"/>
        <w:spacing w:line="360" w:lineRule="auto"/>
        <w:ind w:firstLine="480" w:firstLineChars="200"/>
        <w:rPr>
          <w:rFonts w:ascii="宋体"/>
          <w:sz w:val="24"/>
        </w:rPr>
      </w:pPr>
      <w:r>
        <w:rPr>
          <w:rFonts w:hint="eastAsia" w:ascii="宋体" w:hAnsi="宋体"/>
          <w:sz w:val="24"/>
        </w:rPr>
        <w:t>第三章合同条款</w:t>
      </w:r>
    </w:p>
    <w:p>
      <w:pPr>
        <w:pStyle w:val="34"/>
        <w:spacing w:line="360" w:lineRule="auto"/>
        <w:ind w:firstLine="480" w:firstLineChars="200"/>
        <w:rPr>
          <w:rFonts w:ascii="宋体"/>
          <w:sz w:val="24"/>
        </w:rPr>
      </w:pPr>
      <w:r>
        <w:rPr>
          <w:rFonts w:hint="eastAsia" w:ascii="宋体" w:hAnsi="宋体"/>
          <w:bCs/>
          <w:sz w:val="24"/>
        </w:rPr>
        <w:t>第四章</w:t>
      </w:r>
      <w:r>
        <w:rPr>
          <w:rFonts w:hint="eastAsia" w:ascii="宋体" w:hAnsi="宋体"/>
          <w:sz w:val="24"/>
        </w:rPr>
        <w:t>投标文件格式</w:t>
      </w:r>
    </w:p>
    <w:p>
      <w:pPr>
        <w:pStyle w:val="34"/>
        <w:spacing w:line="360" w:lineRule="auto"/>
        <w:ind w:left="-2" w:firstLine="480" w:firstLineChars="200"/>
        <w:rPr>
          <w:rFonts w:ascii="宋体"/>
          <w:sz w:val="24"/>
        </w:rPr>
      </w:pPr>
      <w:r>
        <w:rPr>
          <w:rFonts w:hint="eastAsia" w:ascii="宋体" w:hAnsi="宋体"/>
          <w:bCs/>
          <w:sz w:val="24"/>
        </w:rPr>
        <w:t>第五章</w:t>
      </w:r>
      <w:r>
        <w:rPr>
          <w:rFonts w:hint="eastAsia" w:ascii="宋体" w:hAnsi="宋体"/>
          <w:sz w:val="24"/>
        </w:rPr>
        <w:t>技术条件（工程建设标准）（另册）</w:t>
      </w:r>
    </w:p>
    <w:p>
      <w:pPr>
        <w:pStyle w:val="34"/>
        <w:spacing w:line="360" w:lineRule="auto"/>
        <w:ind w:left="-2" w:firstLine="480" w:firstLineChars="200"/>
        <w:rPr>
          <w:rFonts w:ascii="宋体"/>
          <w:sz w:val="24"/>
        </w:rPr>
      </w:pPr>
      <w:r>
        <w:rPr>
          <w:rFonts w:hint="eastAsia" w:ascii="宋体" w:hAnsi="宋体"/>
          <w:bCs/>
          <w:sz w:val="24"/>
        </w:rPr>
        <w:t>第六章</w:t>
      </w:r>
      <w:r>
        <w:rPr>
          <w:rFonts w:hint="eastAsia" w:ascii="宋体" w:hAnsi="宋体"/>
          <w:sz w:val="24"/>
        </w:rPr>
        <w:t>图纸及勘察资料（另册）</w:t>
      </w:r>
    </w:p>
    <w:p>
      <w:pPr>
        <w:pStyle w:val="34"/>
        <w:spacing w:line="360" w:lineRule="auto"/>
        <w:ind w:left="-2" w:firstLine="480" w:firstLineChars="200"/>
        <w:rPr>
          <w:rFonts w:ascii="宋体"/>
          <w:sz w:val="24"/>
        </w:rPr>
      </w:pPr>
      <w:r>
        <w:rPr>
          <w:rFonts w:hint="eastAsia" w:ascii="宋体" w:hAnsi="宋体"/>
          <w:bCs/>
          <w:sz w:val="24"/>
        </w:rPr>
        <w:t>第七章招标</w:t>
      </w:r>
      <w:r>
        <w:rPr>
          <w:rFonts w:hint="eastAsia" w:ascii="宋体" w:hAnsi="宋体"/>
          <w:sz w:val="24"/>
        </w:rPr>
        <w:t>工程量清单（另册）</w:t>
      </w:r>
    </w:p>
    <w:p>
      <w:pPr>
        <w:pStyle w:val="34"/>
        <w:spacing w:line="360" w:lineRule="auto"/>
        <w:ind w:left="-2" w:firstLine="480" w:firstLineChars="200"/>
        <w:rPr>
          <w:rFonts w:ascii="宋体"/>
          <w:sz w:val="24"/>
        </w:rPr>
      </w:pPr>
      <w:r>
        <w:rPr>
          <w:rFonts w:hint="eastAsia" w:ascii="宋体" w:hAnsi="宋体"/>
          <w:sz w:val="24"/>
        </w:rPr>
        <w:t>第八章最高投标限价</w:t>
      </w:r>
    </w:p>
    <w:p>
      <w:pPr>
        <w:pStyle w:val="34"/>
        <w:spacing w:line="360" w:lineRule="auto"/>
        <w:ind w:left="-2" w:firstLine="482" w:firstLineChars="200"/>
        <w:rPr>
          <w:rFonts w:ascii="宋体" w:hAnsi="宋体"/>
          <w:b/>
          <w:bCs/>
          <w:sz w:val="24"/>
        </w:rPr>
      </w:pPr>
      <w:r>
        <w:rPr>
          <w:rFonts w:hint="eastAsia" w:ascii="宋体" w:hAnsi="宋体"/>
          <w:b/>
          <w:bCs/>
          <w:sz w:val="24"/>
        </w:rPr>
        <w:t>注：招标人应在技术条件（工程建设标准）中明确施工现场建筑垃圾源头减量的具体要求和建筑垃圾综合利用产品的使用要求。</w:t>
      </w:r>
    </w:p>
    <w:p>
      <w:pPr>
        <w:pStyle w:val="34"/>
        <w:spacing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4"/>
        <w:spacing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7"/>
        <w:ind w:firstLine="482"/>
        <w:rPr>
          <w:color w:val="auto"/>
        </w:rPr>
      </w:pPr>
      <w:r>
        <w:rPr>
          <w:color w:val="auto"/>
        </w:rPr>
        <w:t>8</w:t>
      </w:r>
      <w:r>
        <w:rPr>
          <w:rFonts w:hint="eastAsia"/>
          <w:color w:val="auto"/>
        </w:rPr>
        <w:t>.招标答疑</w:t>
      </w:r>
    </w:p>
    <w:p>
      <w:pPr>
        <w:pStyle w:val="34"/>
        <w:spacing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34"/>
        <w:spacing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ascii="宋体" w:hAnsi="宋体"/>
          <w:sz w:val="24"/>
          <w:szCs w:val="24"/>
        </w:rPr>
        <w:t>交易平台</w:t>
      </w:r>
      <w:r>
        <w:rPr>
          <w:rFonts w:hint="eastAsia" w:ascii="宋体"/>
          <w:sz w:val="24"/>
        </w:rPr>
        <w:t xml:space="preserve"> “项目答疑纪要”专区公开发布。答疑纪要一经在</w:t>
      </w:r>
      <w:r>
        <w:rPr>
          <w:rFonts w:hint="eastAsia" w:ascii="宋体" w:hAnsi="宋体"/>
          <w:sz w:val="24"/>
          <w:szCs w:val="24"/>
        </w:rPr>
        <w:t>交易平台</w:t>
      </w:r>
      <w:r>
        <w:rPr>
          <w:rFonts w:hint="eastAsia" w:ascii="宋体"/>
          <w:sz w:val="24"/>
        </w:rPr>
        <w:t>发布，视作已发放给所有投标人。</w:t>
      </w:r>
    </w:p>
    <w:p>
      <w:pPr>
        <w:pStyle w:val="34"/>
        <w:spacing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34"/>
        <w:spacing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7"/>
        <w:ind w:firstLine="482"/>
        <w:rPr>
          <w:color w:val="auto"/>
        </w:rPr>
      </w:pPr>
      <w:r>
        <w:rPr>
          <w:color w:val="auto"/>
        </w:rPr>
        <w:t>9.</w:t>
      </w:r>
      <w:r>
        <w:rPr>
          <w:rFonts w:hint="eastAsia"/>
          <w:color w:val="auto"/>
        </w:rPr>
        <w:t>招标文件的澄清与修改</w:t>
      </w:r>
    </w:p>
    <w:p>
      <w:pPr>
        <w:pStyle w:val="34"/>
        <w:spacing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34"/>
        <w:spacing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发布，视作已发放给所有投标人，以</w:t>
      </w:r>
      <w:r>
        <w:rPr>
          <w:rFonts w:hint="eastAsia" w:ascii="宋体" w:hAnsi="宋体"/>
          <w:sz w:val="24"/>
          <w:szCs w:val="24"/>
        </w:rPr>
        <w:t>交易平台</w:t>
      </w:r>
      <w:r>
        <w:rPr>
          <w:rFonts w:hint="eastAsia" w:ascii="宋体"/>
          <w:sz w:val="24"/>
        </w:rPr>
        <w:t>上网发布时间作为送达时间。</w:t>
      </w:r>
    </w:p>
    <w:p>
      <w:pPr>
        <w:pStyle w:val="34"/>
        <w:spacing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34"/>
        <w:spacing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34"/>
        <w:spacing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156" w:beforeLines="50" w:after="156" w:afterLines="50"/>
        <w:jc w:val="center"/>
        <w:rPr>
          <w:b/>
          <w:sz w:val="24"/>
          <w:szCs w:val="24"/>
        </w:rPr>
      </w:pPr>
      <w:bookmarkStart w:id="13" w:name="_Toc2272551"/>
      <w:bookmarkEnd w:id="13"/>
      <w:r>
        <w:rPr>
          <w:rFonts w:hint="eastAsia"/>
          <w:b/>
          <w:sz w:val="24"/>
          <w:szCs w:val="24"/>
        </w:rPr>
        <w:t>（三）投标文件的编制</w:t>
      </w:r>
    </w:p>
    <w:p>
      <w:pPr>
        <w:pStyle w:val="7"/>
        <w:ind w:firstLine="482"/>
        <w:rPr>
          <w:color w:val="auto"/>
        </w:rPr>
      </w:pPr>
      <w:r>
        <w:rPr>
          <w:color w:val="auto"/>
        </w:rPr>
        <w:t>10</w:t>
      </w:r>
      <w:r>
        <w:rPr>
          <w:rFonts w:hint="eastAsia"/>
          <w:color w:val="auto"/>
        </w:rPr>
        <w:t>.投标文件的语言及度量衡单位</w:t>
      </w:r>
    </w:p>
    <w:p>
      <w:pPr>
        <w:pStyle w:val="34"/>
        <w:spacing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34"/>
        <w:spacing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7"/>
        <w:ind w:firstLine="482"/>
        <w:rPr>
          <w:color w:val="auto"/>
        </w:rPr>
      </w:pPr>
      <w:r>
        <w:rPr>
          <w:color w:val="auto"/>
        </w:rPr>
        <w:t>11</w:t>
      </w:r>
      <w:r>
        <w:rPr>
          <w:rFonts w:hint="eastAsia"/>
          <w:color w:val="auto"/>
        </w:rPr>
        <w:t>.投标文件的组成</w:t>
      </w:r>
    </w:p>
    <w:p>
      <w:pPr>
        <w:pStyle w:val="34"/>
        <w:spacing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（9）拟委派项目负责人的建造师注册证书（取自平台内上传件）； </w:t>
      </w:r>
    </w:p>
    <w:p>
      <w:pPr>
        <w:spacing w:line="360" w:lineRule="auto"/>
        <w:ind w:firstLine="480" w:firstLineChars="200"/>
        <w:rPr>
          <w:rFonts w:ascii="宋体"/>
          <w:bCs/>
          <w:sz w:val="24"/>
        </w:rPr>
      </w:pPr>
      <w:r>
        <w:rPr>
          <w:rFonts w:hint="eastAsia" w:ascii="宋体"/>
          <w:bCs/>
          <w:sz w:val="24"/>
        </w:rPr>
        <w:t>（10）项目负责人安全生产考核合格证明或在有效期内的安全考核合格证书（B类）或建筑施工企业项目负责人安全生产考核合格证书（取自平台内上传件）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b/>
          <w:bCs/>
          <w:sz w:val="24"/>
        </w:rPr>
      </w:pPr>
      <w:r>
        <w:rPr>
          <w:rFonts w:ascii="宋体" w:hAnsi="宋体"/>
          <w:sz w:val="24"/>
        </w:rPr>
        <w:t>11.2.5</w:t>
      </w:r>
      <w:r>
        <w:rPr>
          <w:rFonts w:hint="eastAsia" w:ascii="宋体" w:hAnsi="宋体"/>
          <w:sz w:val="24"/>
        </w:rPr>
        <w:t>施工组织设计或施工方案。</w:t>
      </w:r>
      <w:r>
        <w:rPr>
          <w:rFonts w:hint="eastAsia" w:ascii="宋体" w:hAnsi="宋体"/>
          <w:b/>
          <w:bCs/>
          <w:sz w:val="24"/>
        </w:rPr>
        <w:t>（投标人在编制施工组织设计或施工方案时应按照招标人提出的施工现场建筑垃圾源头减量的具体要求以及建筑垃圾综合利用产品的使用要求提供相应措施。）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7"/>
        <w:ind w:firstLine="482"/>
        <w:rPr>
          <w:color w:val="auto"/>
        </w:rPr>
      </w:pPr>
      <w:r>
        <w:rPr>
          <w:color w:val="auto"/>
        </w:rPr>
        <w:t>12</w:t>
      </w:r>
      <w:r>
        <w:rPr>
          <w:rFonts w:hint="eastAsia"/>
          <w:color w:val="auto"/>
        </w:rPr>
        <w:t>.投标文件格式</w:t>
      </w:r>
    </w:p>
    <w:p>
      <w:pPr>
        <w:pStyle w:val="34"/>
        <w:spacing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34"/>
        <w:spacing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 。</w:t>
      </w:r>
    </w:p>
    <w:p>
      <w:pPr>
        <w:pStyle w:val="34"/>
        <w:spacing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 xml:space="preserve">照交易平台关于全流程电子化项目的相关指南进行编制，详见：。               </w:t>
      </w:r>
    </w:p>
    <w:p>
      <w:pPr>
        <w:pStyle w:val="34"/>
        <w:spacing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7"/>
        <w:ind w:firstLine="482"/>
        <w:rPr>
          <w:color w:val="auto"/>
        </w:rPr>
      </w:pPr>
      <w:r>
        <w:rPr>
          <w:color w:val="auto"/>
        </w:rPr>
        <w:t>13</w:t>
      </w:r>
      <w:r>
        <w:rPr>
          <w:rFonts w:hint="eastAsia"/>
          <w:color w:val="auto"/>
        </w:rPr>
        <w:t>.投标报价及造价承包和变更结算方式</w:t>
      </w:r>
    </w:p>
    <w:p>
      <w:pPr>
        <w:pStyle w:val="34"/>
        <w:spacing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34"/>
        <w:spacing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4"/>
        <w:spacing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4"/>
        <w:spacing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4"/>
        <w:spacing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4"/>
        <w:spacing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34"/>
        <w:spacing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4"/>
        <w:spacing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34"/>
        <w:spacing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34"/>
        <w:spacing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34"/>
        <w:spacing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4"/>
        <w:spacing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34"/>
        <w:spacing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4"/>
        <w:spacing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4"/>
        <w:spacing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34"/>
        <w:spacing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4"/>
        <w:spacing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4"/>
        <w:spacing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34"/>
        <w:spacing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34"/>
        <w:spacing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7"/>
        <w:ind w:firstLine="482"/>
        <w:rPr>
          <w:color w:val="auto"/>
        </w:rPr>
      </w:pPr>
      <w:r>
        <w:rPr>
          <w:color w:val="auto"/>
        </w:rPr>
        <w:t>14</w:t>
      </w:r>
      <w:r>
        <w:rPr>
          <w:rFonts w:hint="eastAsia"/>
          <w:color w:val="auto"/>
        </w:rPr>
        <w:t>.投标货币</w:t>
      </w:r>
    </w:p>
    <w:p>
      <w:pPr>
        <w:pStyle w:val="34"/>
        <w:spacing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7"/>
        <w:ind w:firstLine="482"/>
        <w:rPr>
          <w:color w:val="auto"/>
        </w:rPr>
      </w:pPr>
      <w:r>
        <w:rPr>
          <w:color w:val="auto"/>
        </w:rPr>
        <w:t>15</w:t>
      </w:r>
      <w:r>
        <w:rPr>
          <w:rFonts w:hint="eastAsia"/>
          <w:color w:val="auto"/>
        </w:rPr>
        <w:t>.投标有效期</w:t>
      </w:r>
    </w:p>
    <w:p>
      <w:pPr>
        <w:pStyle w:val="34"/>
        <w:spacing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34"/>
        <w:spacing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7"/>
        <w:ind w:firstLine="482"/>
        <w:rPr>
          <w:color w:val="auto"/>
        </w:rPr>
      </w:pPr>
      <w:r>
        <w:rPr>
          <w:color w:val="auto"/>
        </w:rPr>
        <w:t>16</w:t>
      </w:r>
      <w:r>
        <w:rPr>
          <w:rFonts w:hint="eastAsia"/>
          <w:color w:val="auto"/>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7"/>
        <w:ind w:firstLine="482"/>
        <w:rPr>
          <w:color w:val="auto"/>
        </w:rPr>
      </w:pPr>
      <w:r>
        <w:rPr>
          <w:color w:val="auto"/>
        </w:rPr>
        <w:t>17</w:t>
      </w:r>
      <w:r>
        <w:rPr>
          <w:rFonts w:hint="eastAsia"/>
          <w:color w:val="auto"/>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pacing w:before="156" w:beforeLines="50" w:after="156" w:afterLines="50"/>
        <w:jc w:val="center"/>
        <w:rPr>
          <w:b/>
          <w:sz w:val="24"/>
          <w:szCs w:val="24"/>
        </w:rPr>
      </w:pPr>
      <w:bookmarkStart w:id="14" w:name="_Toc2272552"/>
      <w:bookmarkEnd w:id="14"/>
      <w:r>
        <w:rPr>
          <w:rFonts w:hint="eastAsia"/>
          <w:b/>
          <w:sz w:val="24"/>
          <w:szCs w:val="24"/>
        </w:rPr>
        <w:t>（四）投标文件的提交</w:t>
      </w:r>
    </w:p>
    <w:p>
      <w:pPr>
        <w:pStyle w:val="7"/>
        <w:ind w:firstLine="482"/>
        <w:rPr>
          <w:bCs/>
          <w:color w:val="auto"/>
        </w:rPr>
      </w:pPr>
      <w:r>
        <w:rPr>
          <w:bCs/>
          <w:color w:val="auto"/>
        </w:rPr>
        <w:t>18</w:t>
      </w:r>
      <w:r>
        <w:rPr>
          <w:rFonts w:hint="eastAsia"/>
          <w:bCs/>
          <w:color w:val="auto"/>
        </w:rPr>
        <w:t>.</w:t>
      </w:r>
      <w:r>
        <w:rPr>
          <w:rFonts w:hint="eastAsia"/>
          <w:color w:val="auto"/>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pStyle w:val="7"/>
        <w:ind w:firstLine="482"/>
        <w:rPr>
          <w:color w:val="auto"/>
        </w:rPr>
      </w:pPr>
      <w:r>
        <w:rPr>
          <w:color w:val="auto"/>
        </w:rPr>
        <w:t>19</w:t>
      </w:r>
      <w:r>
        <w:rPr>
          <w:rFonts w:hint="eastAsia"/>
          <w:color w:val="auto"/>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pStyle w:val="7"/>
        <w:ind w:firstLine="482"/>
        <w:rPr>
          <w:color w:val="auto"/>
        </w:rPr>
      </w:pPr>
      <w:r>
        <w:rPr>
          <w:color w:val="auto"/>
        </w:rPr>
        <w:t>20</w:t>
      </w:r>
      <w:r>
        <w:rPr>
          <w:rFonts w:hint="eastAsia"/>
          <w:color w:val="auto"/>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pStyle w:val="7"/>
        <w:ind w:firstLine="482"/>
        <w:rPr>
          <w:color w:val="auto"/>
        </w:rPr>
      </w:pPr>
      <w:r>
        <w:rPr>
          <w:color w:val="auto"/>
        </w:rPr>
        <w:t>21</w:t>
      </w:r>
      <w:r>
        <w:rPr>
          <w:rFonts w:hint="eastAsia"/>
          <w:color w:val="auto"/>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pStyle w:val="7"/>
        <w:ind w:firstLine="482"/>
        <w:rPr>
          <w:color w:val="auto"/>
        </w:rPr>
      </w:pPr>
      <w:r>
        <w:rPr>
          <w:color w:val="auto"/>
        </w:rPr>
        <w:t>22</w:t>
      </w:r>
      <w:r>
        <w:rPr>
          <w:rFonts w:hint="eastAsia"/>
          <w:color w:val="auto"/>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spacing w:before="156" w:beforeLines="50" w:after="156" w:afterLines="50"/>
        <w:jc w:val="center"/>
        <w:rPr>
          <w:b/>
          <w:sz w:val="24"/>
          <w:szCs w:val="24"/>
        </w:rPr>
      </w:pPr>
      <w:bookmarkStart w:id="15" w:name="_Toc2272553"/>
      <w:bookmarkEnd w:id="15"/>
      <w:r>
        <w:rPr>
          <w:rFonts w:hint="eastAsia"/>
          <w:b/>
          <w:sz w:val="24"/>
          <w:szCs w:val="24"/>
        </w:rPr>
        <w:t>（五）开标、评标、定标及合同签定</w:t>
      </w:r>
    </w:p>
    <w:p>
      <w:pPr>
        <w:pStyle w:val="7"/>
        <w:ind w:firstLine="482"/>
        <w:rPr>
          <w:color w:val="auto"/>
        </w:rPr>
      </w:pPr>
      <w:r>
        <w:rPr>
          <w:color w:val="auto"/>
        </w:rPr>
        <w:t>23</w:t>
      </w:r>
      <w:r>
        <w:rPr>
          <w:rFonts w:hint="eastAsia"/>
          <w:color w:val="auto"/>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pStyle w:val="7"/>
        <w:ind w:firstLine="482"/>
        <w:rPr>
          <w:color w:val="auto"/>
        </w:rPr>
      </w:pPr>
      <w:r>
        <w:rPr>
          <w:color w:val="auto"/>
        </w:rPr>
        <w:t>24</w:t>
      </w:r>
      <w:r>
        <w:rPr>
          <w:rFonts w:hint="eastAsia"/>
          <w:color w:val="auto"/>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pStyle w:val="7"/>
        <w:ind w:firstLine="482"/>
        <w:rPr>
          <w:color w:val="auto"/>
        </w:rPr>
      </w:pPr>
      <w:r>
        <w:rPr>
          <w:color w:val="auto"/>
        </w:rPr>
        <w:t>25</w:t>
      </w:r>
      <w:r>
        <w:rPr>
          <w:rFonts w:hint="eastAsia"/>
          <w:color w:val="auto"/>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pStyle w:val="7"/>
        <w:ind w:firstLine="482"/>
        <w:rPr>
          <w:color w:val="auto"/>
        </w:rPr>
      </w:pPr>
      <w:r>
        <w:rPr>
          <w:color w:val="auto"/>
        </w:rPr>
        <w:t>26</w:t>
      </w:r>
      <w:r>
        <w:rPr>
          <w:rFonts w:hint="eastAsia"/>
          <w:color w:val="auto"/>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pStyle w:val="7"/>
        <w:ind w:firstLine="482"/>
        <w:rPr>
          <w:color w:val="auto"/>
        </w:rPr>
      </w:pPr>
      <w:r>
        <w:rPr>
          <w:color w:val="auto"/>
        </w:rPr>
        <w:t>27</w:t>
      </w:r>
      <w:r>
        <w:rPr>
          <w:rFonts w:hint="eastAsia"/>
          <w:color w:val="auto"/>
        </w:rPr>
        <w:t>.中标通知书</w:t>
      </w:r>
    </w:p>
    <w:p>
      <w:pPr>
        <w:spacing w:line="360" w:lineRule="auto"/>
        <w:ind w:firstLine="480" w:firstLineChars="200"/>
        <w:rPr>
          <w:rFonts w:ascii="宋体" w:hAnsi="宋体"/>
          <w:sz w:val="24"/>
        </w:rPr>
      </w:pPr>
      <w:r>
        <w:rPr>
          <w:rFonts w:hint="eastAsia" w:ascii="宋体" w:hAnsi="宋体"/>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27.4在产生中标候选人后，招标人将中标候选人的投标文件商务部分文件的所有内容（包括人员、业绩、奖项等资料）在交易平台和广东省招标投标监管网公开。</w:t>
      </w:r>
    </w:p>
    <w:p>
      <w:pPr>
        <w:pStyle w:val="7"/>
        <w:ind w:firstLine="482"/>
        <w:rPr>
          <w:color w:val="auto"/>
        </w:rPr>
      </w:pPr>
      <w:r>
        <w:rPr>
          <w:color w:val="auto"/>
        </w:rPr>
        <w:t>28</w:t>
      </w:r>
      <w:r>
        <w:rPr>
          <w:rFonts w:hint="eastAsia"/>
          <w:color w:val="auto"/>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pStyle w:val="7"/>
        <w:ind w:firstLine="482"/>
        <w:rPr>
          <w:color w:val="auto"/>
        </w:rPr>
      </w:pPr>
      <w:r>
        <w:rPr>
          <w:color w:val="auto"/>
        </w:rPr>
        <w:t>29</w:t>
      </w:r>
      <w:r>
        <w:rPr>
          <w:rFonts w:hint="eastAsia"/>
          <w:color w:val="auto"/>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7"/>
        <w:ind w:firstLine="482"/>
        <w:rPr>
          <w:color w:val="auto"/>
        </w:rPr>
      </w:pPr>
      <w:r>
        <w:rPr>
          <w:color w:val="auto"/>
        </w:rPr>
        <w:t>30</w:t>
      </w:r>
      <w:r>
        <w:rPr>
          <w:rFonts w:hint="eastAsia"/>
          <w:color w:val="auto"/>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pStyle w:val="7"/>
        <w:ind w:firstLine="482"/>
        <w:rPr>
          <w:color w:val="auto"/>
        </w:rPr>
      </w:pPr>
      <w:r>
        <w:rPr>
          <w:color w:val="auto"/>
        </w:rPr>
        <w:t>31</w:t>
      </w:r>
      <w:r>
        <w:rPr>
          <w:rFonts w:hint="eastAsia"/>
          <w:color w:val="auto"/>
        </w:rPr>
        <w:t>.其它费用</w:t>
      </w:r>
    </w:p>
    <w:p>
      <w:pPr>
        <w:pStyle w:val="7"/>
        <w:ind w:firstLine="482"/>
        <w:rPr>
          <w:color w:val="auto"/>
        </w:rPr>
      </w:pPr>
      <w:r>
        <w:rPr>
          <w:color w:val="auto"/>
        </w:rPr>
        <w:t>32</w:t>
      </w:r>
      <w:r>
        <w:rPr>
          <w:rFonts w:hint="eastAsia"/>
          <w:color w:val="auto"/>
        </w:rPr>
        <w:t>.腐败与欺诈行为</w:t>
      </w:r>
    </w:p>
    <w:p>
      <w:pPr>
        <w:pStyle w:val="34"/>
        <w:spacing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34"/>
        <w:spacing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34"/>
        <w:spacing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34"/>
        <w:spacing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4"/>
        <w:spacing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34"/>
        <w:spacing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rPr>
          <w:color w:val="auto"/>
        </w:rPr>
      </w:pPr>
      <w:bookmarkStart w:id="16" w:name="_Toc2272554"/>
      <w:bookmarkEnd w:id="16"/>
      <w:r>
        <w:rPr>
          <w:rFonts w:ascii="宋体"/>
          <w:color w:val="auto"/>
        </w:rPr>
        <w:br w:type="page"/>
      </w:r>
      <w:bookmarkStart w:id="17" w:name="_Toc115117422"/>
      <w:r>
        <w:rPr>
          <w:rFonts w:hint="eastAsia"/>
          <w:color w:val="auto"/>
        </w:rPr>
        <w:t>第二章开标、评标及定标办法</w:t>
      </w:r>
      <w:bookmarkEnd w:id="17"/>
    </w:p>
    <w:p>
      <w:pPr>
        <w:pStyle w:val="6"/>
      </w:pPr>
      <w:bookmarkStart w:id="18" w:name="_Toc2272555"/>
      <w:bookmarkEnd w:id="18"/>
      <w:bookmarkStart w:id="19" w:name="_Toc115117423"/>
      <w:r>
        <w:rPr>
          <w:rFonts w:hint="eastAsia"/>
          <w:sz w:val="28"/>
          <w:szCs w:val="28"/>
        </w:rPr>
        <w:t>一、</w:t>
      </w:r>
      <w:r>
        <w:rPr>
          <w:rFonts w:hint="eastAsia"/>
        </w:rPr>
        <w:t>开标、评标及定标办法修改表</w:t>
      </w:r>
      <w:bookmarkEnd w:id="19"/>
    </w:p>
    <w:p>
      <w:pPr>
        <w:pStyle w:val="34"/>
        <w:pBdr>
          <w:bottom w:val="single" w:color="auto" w:sz="6" w:space="1"/>
        </w:pBdr>
        <w:rPr>
          <w:rFonts w:ascii="宋体" w:hAnsi="宋体" w:cs="宋体"/>
          <w:b/>
          <w:szCs w:val="21"/>
        </w:rPr>
      </w:pPr>
      <w:r>
        <w:rPr>
          <w:rFonts w:hint="eastAsia" w:ascii="宋体" w:hAnsi="宋体" w:cs="宋体"/>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7"/>
        <w:spacing w:line="312" w:lineRule="auto"/>
        <w:ind w:firstLine="422"/>
        <w:rPr>
          <w:color w:val="auto"/>
          <w:sz w:val="21"/>
        </w:rPr>
      </w:pPr>
      <w:r>
        <w:rPr>
          <w:rFonts w:hint="eastAsia"/>
          <w:color w:val="auto"/>
          <w:sz w:val="21"/>
        </w:rPr>
        <w:t>条款号: 36.1            修改类型：修改</w:t>
      </w:r>
    </w:p>
    <w:p>
      <w:pPr>
        <w:spacing w:line="312"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12"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pStyle w:val="7"/>
        <w:spacing w:line="312" w:lineRule="auto"/>
        <w:ind w:firstLine="422"/>
        <w:rPr>
          <w:color w:val="auto"/>
          <w:sz w:val="21"/>
        </w:rPr>
      </w:pPr>
      <w:r>
        <w:rPr>
          <w:rFonts w:hint="eastAsia"/>
          <w:color w:val="auto"/>
          <w:sz w:val="21"/>
        </w:rPr>
        <w:t>条款号: 36.3               修改类型：删除</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7"/>
        <w:spacing w:line="312" w:lineRule="auto"/>
        <w:ind w:firstLine="422"/>
        <w:rPr>
          <w:color w:val="auto"/>
          <w:sz w:val="21"/>
        </w:rPr>
      </w:pPr>
      <w:r>
        <w:rPr>
          <w:rFonts w:hint="eastAsia"/>
          <w:color w:val="auto"/>
          <w:sz w:val="21"/>
        </w:rPr>
        <w:t>条款号: 36.4             修改类型：修改</w:t>
      </w:r>
    </w:p>
    <w:p>
      <w:pPr>
        <w:spacing w:line="312" w:lineRule="auto"/>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312"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36.4若递交投标文件的投标人不足3家，则重新组织招标。</w:t>
      </w:r>
    </w:p>
    <w:p>
      <w:pPr>
        <w:pStyle w:val="19"/>
        <w:spacing w:line="312" w:lineRule="auto"/>
      </w:pPr>
    </w:p>
    <w:p>
      <w:pPr>
        <w:pStyle w:val="7"/>
        <w:spacing w:line="312" w:lineRule="auto"/>
        <w:ind w:firstLine="422"/>
        <w:rPr>
          <w:color w:val="auto"/>
          <w:sz w:val="21"/>
        </w:rPr>
      </w:pPr>
      <w:r>
        <w:rPr>
          <w:rFonts w:hint="eastAsia"/>
          <w:color w:val="auto"/>
          <w:sz w:val="21"/>
        </w:rPr>
        <w:t>条款号: 36.5.1             修改类型：修改</w:t>
      </w:r>
    </w:p>
    <w:p>
      <w:pPr>
        <w:spacing w:line="312"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szCs w:val="21"/>
          <w:u w:val="single"/>
        </w:rPr>
        <w:t>或招标代理</w:t>
      </w:r>
      <w:r>
        <w:rPr>
          <w:rFonts w:hint="eastAsia" w:ascii="宋体" w:hAnsi="宋体" w:cs="宋体"/>
          <w:szCs w:val="21"/>
        </w:rPr>
        <w:t>进行解密。解密完成后，公布招标项目名称、投标人名称、投标报价、工期及其他内容；</w:t>
      </w:r>
    </w:p>
    <w:p>
      <w:pPr>
        <w:pStyle w:val="7"/>
        <w:spacing w:line="312" w:lineRule="auto"/>
        <w:ind w:firstLine="422"/>
        <w:rPr>
          <w:color w:val="auto"/>
          <w:sz w:val="21"/>
        </w:rPr>
      </w:pPr>
      <w:r>
        <w:rPr>
          <w:rFonts w:hint="eastAsia"/>
          <w:color w:val="auto"/>
          <w:sz w:val="21"/>
        </w:rPr>
        <w:t>条款号: 36.5.3           修改类型：修改</w:t>
      </w:r>
    </w:p>
    <w:p>
      <w:pPr>
        <w:spacing w:line="312"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p>
    <w:p>
      <w:pPr>
        <w:pBdr>
          <w:bottom w:val="single" w:color="auto" w:sz="6" w:space="1"/>
        </w:pBdr>
        <w:spacing w:line="312"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r>
        <w:rPr>
          <w:rFonts w:hint="eastAsia" w:ascii="宋体" w:hAnsi="宋体" w:cs="宋体"/>
          <w:szCs w:val="21"/>
          <w:u w:val="single"/>
        </w:rPr>
        <w:t>若投标人不参加开标会的，或不签字确认的，视同该投标人认可开标结果。</w:t>
      </w:r>
    </w:p>
    <w:p>
      <w:pPr>
        <w:pStyle w:val="19"/>
        <w:spacing w:line="312" w:lineRule="auto"/>
      </w:pPr>
    </w:p>
    <w:p>
      <w:pPr>
        <w:pStyle w:val="7"/>
        <w:spacing w:line="312" w:lineRule="auto"/>
        <w:ind w:firstLine="422"/>
        <w:rPr>
          <w:color w:val="auto"/>
          <w:sz w:val="21"/>
        </w:rPr>
      </w:pPr>
      <w:r>
        <w:rPr>
          <w:rFonts w:hint="eastAsia"/>
          <w:color w:val="auto"/>
          <w:sz w:val="21"/>
        </w:rPr>
        <w:t>条款号: 38.1               修改类型：修改</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w:t>
      </w:r>
      <w:r>
        <w:rPr>
          <w:rFonts w:hint="eastAsia" w:ascii="宋体" w:hAnsi="宋体" w:cs="宋体"/>
          <w:szCs w:val="21"/>
          <w:u w:val="single"/>
        </w:rPr>
        <w:t>的成员</w:t>
      </w:r>
      <w:r>
        <w:rPr>
          <w:rFonts w:hint="eastAsia" w:ascii="宋体" w:hAnsi="宋体" w:cs="宋体"/>
          <w:szCs w:val="21"/>
        </w:rPr>
        <w:t>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w:t>
      </w:r>
      <w:r>
        <w:rPr>
          <w:rFonts w:hint="eastAsia" w:ascii="宋体" w:hAnsi="宋体" w:cs="宋体"/>
          <w:szCs w:val="21"/>
        </w:rPr>
        <w:t>的内容作出澄清。</w:t>
      </w:r>
    </w:p>
    <w:p>
      <w:pPr>
        <w:pStyle w:val="7"/>
        <w:spacing w:line="312" w:lineRule="auto"/>
        <w:ind w:firstLine="422"/>
        <w:rPr>
          <w:color w:val="auto"/>
          <w:sz w:val="21"/>
        </w:rPr>
      </w:pPr>
      <w:r>
        <w:rPr>
          <w:rFonts w:hint="eastAsia"/>
          <w:color w:val="auto"/>
          <w:sz w:val="21"/>
        </w:rPr>
        <w:t>条款号: 39.3               修改类型：修改</w:t>
      </w:r>
    </w:p>
    <w:p>
      <w:pPr>
        <w:spacing w:line="312" w:lineRule="auto"/>
        <w:ind w:firstLine="424" w:firstLineChars="201"/>
        <w:rPr>
          <w:rFonts w:ascii="宋体" w:hAnsi="宋体" w:cs="宋体"/>
          <w:szCs w:val="21"/>
        </w:rPr>
      </w:pPr>
      <w:r>
        <w:rPr>
          <w:rFonts w:hint="eastAsia" w:ascii="宋体" w:hAnsi="宋体" w:cs="宋体"/>
          <w:b/>
          <w:bCs/>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12"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39.3</w:t>
      </w:r>
      <w:r>
        <w:rPr>
          <w:rFonts w:hint="eastAsia" w:ascii="宋体" w:hAnsi="宋体" w:cs="宋体"/>
          <w:bCs/>
          <w:szCs w:val="21"/>
        </w:rPr>
        <w:t>排名第一的中标候选人放弃中标、</w:t>
      </w:r>
      <w:r>
        <w:rPr>
          <w:rFonts w:hint="eastAsia" w:ascii="宋体" w:hAnsi="宋体" w:cs="宋体"/>
          <w:bCs/>
          <w:szCs w:val="21"/>
          <w:u w:val="single"/>
        </w:rPr>
        <w:t>或因不可抗力不能履行合同，或不按照招标文件要求提交履约担保，或经核查发现委派的项目负责人已在其他在建项目中任施工单位项目负责人的，或者被查实存在影响中标结果的违法行为等情形，不符合中标条件的，招标人可以确定排名第二的中标候选人为中标人，</w:t>
      </w:r>
      <w:r>
        <w:rPr>
          <w:rFonts w:hint="eastAsia" w:cs="宋体"/>
          <w:bCs/>
          <w:szCs w:val="21"/>
          <w:u w:val="single"/>
        </w:rPr>
        <w:t>如第二中标候选人出现前款所列的情形的，招标人也可以确定排名第三的中标候选人为中标人，如所有中标候选人均出现前款所列的情形，为招标失败，招标人依法重新招标</w:t>
      </w:r>
      <w:r>
        <w:rPr>
          <w:rFonts w:hint="eastAsia"/>
          <w:bCs/>
          <w:szCs w:val="21"/>
          <w:u w:val="single"/>
        </w:rPr>
        <w:t>。</w:t>
      </w:r>
    </w:p>
    <w:p>
      <w:pPr>
        <w:spacing w:line="312" w:lineRule="auto"/>
        <w:ind w:firstLine="472" w:firstLineChars="224"/>
        <w:rPr>
          <w:rFonts w:ascii="宋体" w:hAnsi="宋体" w:cs="宋体"/>
          <w:b/>
          <w:szCs w:val="21"/>
        </w:rPr>
      </w:pPr>
      <w:r>
        <w:rPr>
          <w:rFonts w:hint="eastAsia" w:ascii="宋体" w:hAnsi="宋体" w:cs="宋体"/>
          <w:b/>
          <w:szCs w:val="21"/>
        </w:rPr>
        <w:t>条款号：（二）开标评标办法程序和细则          修改类型：删除</w:t>
      </w:r>
    </w:p>
    <w:p>
      <w:pPr>
        <w:pBdr>
          <w:bottom w:val="single" w:color="auto" w:sz="4" w:space="1"/>
        </w:pBdr>
        <w:spacing w:line="312" w:lineRule="auto"/>
        <w:ind w:firstLine="472" w:firstLineChars="224"/>
        <w:rPr>
          <w:rFonts w:ascii="宋体" w:hAnsi="宋体" w:cs="宋体"/>
        </w:rPr>
      </w:pPr>
      <w:r>
        <w:rPr>
          <w:rFonts w:hint="eastAsia" w:ascii="宋体" w:hAnsi="宋体" w:cs="宋体"/>
          <w:b/>
          <w:szCs w:val="21"/>
        </w:rPr>
        <w:t>原文：</w:t>
      </w:r>
      <w:r>
        <w:rPr>
          <w:rFonts w:hint="eastAsia" w:ascii="宋体" w:hAnsi="宋体" w:cs="宋体"/>
        </w:rPr>
        <w:t>可选办法一（适合综合评分法一，技术标与经济标先后分别开启）</w:t>
      </w:r>
    </w:p>
    <w:p>
      <w:pPr>
        <w:pBdr>
          <w:bottom w:val="single" w:color="auto" w:sz="4" w:space="1"/>
        </w:pBdr>
        <w:spacing w:line="312"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可选办法二（适合综合评分法一，技术标与经济标同时开启）</w:t>
      </w:r>
    </w:p>
    <w:p>
      <w:pPr>
        <w:pBdr>
          <w:bottom w:val="single" w:color="auto" w:sz="4" w:space="1"/>
        </w:pBdr>
        <w:spacing w:line="312"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可选办法三（适合综合评分法二，技术标与经济标先后分别开启）</w:t>
      </w:r>
    </w:p>
    <w:p>
      <w:pPr>
        <w:pBdr>
          <w:bottom w:val="single" w:color="auto" w:sz="4" w:space="1"/>
        </w:pBdr>
        <w:spacing w:line="312"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可选办法四（适合综合评分法二，技术标与经济标同时开启）</w:t>
      </w:r>
    </w:p>
    <w:p>
      <w:pPr>
        <w:pBdr>
          <w:bottom w:val="single" w:color="auto" w:sz="4" w:space="1"/>
        </w:pBdr>
        <w:spacing w:line="312"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可选办法五（适合综合评分法三，技术标与经济标先后分别开启）</w:t>
      </w:r>
    </w:p>
    <w:p>
      <w:pPr>
        <w:pBdr>
          <w:bottom w:val="single" w:color="auto" w:sz="4" w:space="1"/>
        </w:pBdr>
        <w:spacing w:line="312"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可选办法六（适合综合评分法三，技术标与经济标同时开启）</w:t>
      </w:r>
    </w:p>
    <w:p>
      <w:pPr>
        <w:pBdr>
          <w:bottom w:val="single" w:color="auto" w:sz="4" w:space="1"/>
        </w:pBdr>
        <w:spacing w:line="312"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可选办法八（适合经评审的最低投标价法，技术标与经济标同时开启）</w:t>
      </w:r>
    </w:p>
    <w:p>
      <w:pPr>
        <w:pStyle w:val="7"/>
        <w:spacing w:line="312" w:lineRule="auto"/>
        <w:ind w:firstLine="422"/>
        <w:rPr>
          <w:color w:val="auto"/>
          <w:sz w:val="21"/>
        </w:rPr>
      </w:pPr>
      <w:r>
        <w:rPr>
          <w:rFonts w:hint="eastAsia"/>
          <w:color w:val="auto"/>
          <w:sz w:val="21"/>
        </w:rPr>
        <w:t>条款号: 41.1               修改类型：修改</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pStyle w:val="7"/>
        <w:spacing w:line="312" w:lineRule="auto"/>
        <w:ind w:firstLine="422"/>
        <w:rPr>
          <w:rFonts w:cs="宋体"/>
          <w:b w:val="0"/>
          <w:color w:val="auto"/>
        </w:rPr>
      </w:pPr>
      <w:r>
        <w:rPr>
          <w:rFonts w:hint="eastAsia"/>
          <w:color w:val="auto"/>
          <w:sz w:val="21"/>
        </w:rPr>
        <w:t>条款号: 41.2.1             修改类型：修改</w:t>
      </w:r>
    </w:p>
    <w:p>
      <w:pPr>
        <w:spacing w:line="312"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pStyle w:val="7"/>
        <w:spacing w:line="312" w:lineRule="auto"/>
        <w:ind w:firstLine="422"/>
        <w:rPr>
          <w:color w:val="auto"/>
          <w:sz w:val="21"/>
        </w:rPr>
      </w:pPr>
      <w:r>
        <w:rPr>
          <w:rFonts w:hint="eastAsia"/>
          <w:color w:val="auto"/>
          <w:sz w:val="21"/>
        </w:rPr>
        <w:t xml:space="preserve">条款号: </w:t>
      </w:r>
      <w:r>
        <w:rPr>
          <w:color w:val="auto"/>
          <w:sz w:val="21"/>
        </w:rPr>
        <w:t>41.2.2</w:t>
      </w:r>
      <w:r>
        <w:rPr>
          <w:rFonts w:hint="eastAsia"/>
          <w:color w:val="auto"/>
          <w:sz w:val="21"/>
        </w:rPr>
        <w:t xml:space="preserve">               修改类型：删除</w:t>
      </w:r>
    </w:p>
    <w:p>
      <w:pPr>
        <w:pBdr>
          <w:bottom w:val="single" w:color="auto" w:sz="6" w:space="1"/>
        </w:pBdr>
        <w:spacing w:line="312" w:lineRule="auto"/>
        <w:ind w:firstLine="424" w:firstLineChars="201"/>
        <w:rPr>
          <w:rFonts w:hint="eastAsia" w:ascii="宋体" w:hAnsi="宋体" w:cs="宋体"/>
          <w:szCs w:val="21"/>
          <w:lang w:val="en-US" w:eastAsia="zh-CN"/>
        </w:rPr>
      </w:pPr>
      <w:r>
        <w:rPr>
          <w:rFonts w:hint="eastAsia" w:ascii="宋体" w:hAnsi="宋体" w:cs="宋体"/>
          <w:b/>
          <w:szCs w:val="21"/>
        </w:rPr>
        <w:t>原文：</w:t>
      </w:r>
      <w:r>
        <w:rPr>
          <w:rFonts w:hint="eastAsia" w:ascii="宋体" w:hAnsi="宋体" w:cs="宋体"/>
          <w:szCs w:val="21"/>
        </w:rPr>
        <w:t>41.2.2开标前，首先由招标人随机抽取确定该工程计算评标参考价的等分点值X。</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w:t>
      </w:r>
      <w:r>
        <w:rPr>
          <w:rFonts w:hint="eastAsia" w:ascii="宋体" w:hAnsi="宋体" w:eastAsia="宋体" w:cs="宋体"/>
          <w:b/>
          <w:color w:val="auto"/>
          <w:sz w:val="21"/>
          <w:szCs w:val="21"/>
          <w:highlight w:val="none"/>
          <w:lang w:val="en-US" w:eastAsia="zh-CN"/>
        </w:rPr>
        <w:t>2.4.1</w:t>
      </w:r>
      <w:r>
        <w:rPr>
          <w:rFonts w:hint="eastAsia" w:ascii="宋体" w:hAnsi="宋体" w:eastAsia="宋体" w:cs="宋体"/>
          <w:b/>
          <w:color w:val="auto"/>
          <w:sz w:val="21"/>
          <w:szCs w:val="21"/>
          <w:highlight w:val="none"/>
        </w:rPr>
        <w:t xml:space="preserve">                       修改类型：修改</w:t>
      </w:r>
    </w:p>
    <w:p>
      <w:pPr>
        <w:keepNext w:val="0"/>
        <w:keepLines w:val="0"/>
        <w:pageBreakBefore w:val="0"/>
        <w:pBdr>
          <w:bottom w:val="none" w:color="auto" w:sz="0" w:space="0"/>
        </w:pBd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cs="宋体"/>
          <w:color w:val="auto"/>
          <w:sz w:val="21"/>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6" w:space="1"/>
        </w:pBdr>
        <w:spacing w:line="360" w:lineRule="auto"/>
        <w:ind w:firstLine="422" w:firstLineChars="200"/>
        <w:rPr>
          <w:rFonts w:hint="default"/>
          <w:lang w:val="en-US"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41.2.4.1开标时，公布：a、投标人名称；b、投标文件密封情况；c、投标报价；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、项目经理（负责人）名称；</w:t>
      </w: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、法定代表人证明及授权委托等主要内容及开标记录表中的其他必要内容。投标报价以数字和文字两种方式表述的，应公布文字表述的投标报价。</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条款号：41.3                       修改类型：修改</w:t>
      </w:r>
    </w:p>
    <w:p>
      <w:pPr>
        <w:keepNext w:val="0"/>
        <w:keepLines w:val="0"/>
        <w:pageBreakBefore w:val="0"/>
        <w:pBdr>
          <w:bottom w:val="single" w:color="auto" w:sz="6" w:space="1"/>
        </w:pBd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招标人对开标过程进行记录，并存档备查，投标人在技术标开标记录上签字。</w:t>
      </w:r>
    </w:p>
    <w:p>
      <w:pPr>
        <w:keepNext w:val="0"/>
        <w:keepLines w:val="0"/>
        <w:pageBreakBefore w:val="0"/>
        <w:pBdr>
          <w:bottom w:val="single" w:color="auto" w:sz="6" w:space="1"/>
        </w:pBdr>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或招标代理机构</w:t>
      </w:r>
      <w:r>
        <w:rPr>
          <w:rFonts w:hint="eastAsia" w:ascii="宋体" w:hAnsi="宋体" w:eastAsia="宋体" w:cs="宋体"/>
          <w:color w:val="auto"/>
          <w:sz w:val="21"/>
          <w:szCs w:val="21"/>
          <w:highlight w:val="none"/>
        </w:rPr>
        <w:t>对开标过程进行记录，并存档备查，</w:t>
      </w:r>
      <w:r>
        <w:rPr>
          <w:rFonts w:hint="eastAsia" w:ascii="宋体" w:hAnsi="宋体" w:eastAsia="宋体" w:cs="宋体"/>
          <w:color w:val="auto"/>
          <w:sz w:val="21"/>
          <w:szCs w:val="21"/>
          <w:highlight w:val="none"/>
          <w:u w:val="single"/>
        </w:rPr>
        <w:t>参加开标会的</w:t>
      </w:r>
      <w:r>
        <w:rPr>
          <w:rFonts w:hint="eastAsia" w:ascii="宋体" w:hAnsi="宋体" w:eastAsia="宋体" w:cs="宋体"/>
          <w:color w:val="auto"/>
          <w:sz w:val="21"/>
          <w:szCs w:val="21"/>
          <w:highlight w:val="none"/>
        </w:rPr>
        <w:t>投标人在开标记录上签字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投标人未签字且未提成异议的将被视为默认开标结果。</w:t>
      </w:r>
    </w:p>
    <w:p>
      <w:pPr>
        <w:pStyle w:val="7"/>
        <w:spacing w:line="312" w:lineRule="auto"/>
        <w:ind w:firstLine="422"/>
        <w:rPr>
          <w:color w:val="auto"/>
          <w:sz w:val="21"/>
        </w:rPr>
      </w:pPr>
      <w:r>
        <w:rPr>
          <w:rFonts w:hint="eastAsia"/>
          <w:color w:val="auto"/>
          <w:sz w:val="21"/>
        </w:rPr>
        <w:t>条款号: 42.2               修改类型：修改</w:t>
      </w:r>
    </w:p>
    <w:p>
      <w:pPr>
        <w:spacing w:line="312"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p>
    <w:p>
      <w:pPr>
        <w:pBdr>
          <w:bottom w:val="single" w:color="auto" w:sz="6" w:space="1"/>
        </w:pBdr>
        <w:spacing w:line="312" w:lineRule="auto"/>
        <w:ind w:firstLine="422" w:firstLineChars="201"/>
        <w:rPr>
          <w:rFonts w:ascii="宋体" w:hAnsi="宋体" w:cs="宋体"/>
          <w:szCs w:val="21"/>
        </w:rPr>
      </w:pPr>
      <w:r>
        <w:rPr>
          <w:rFonts w:hint="eastAsia" w:ascii="宋体" w:hAnsi="宋体" w:cs="宋体"/>
          <w:szCs w:val="21"/>
        </w:rPr>
        <w:t>方式一：评标委员会为综合评标委员会，负责资格审查及评标工作。</w:t>
      </w:r>
    </w:p>
    <w:p>
      <w:pPr>
        <w:pBdr>
          <w:bottom w:val="single" w:color="auto" w:sz="6" w:space="1"/>
        </w:pBdr>
        <w:spacing w:line="312"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312"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42.2评标委员会的组成：方式</w:t>
      </w:r>
      <w:r>
        <w:rPr>
          <w:rFonts w:hint="eastAsia" w:ascii="宋体" w:hAnsi="宋体" w:cs="宋体"/>
          <w:szCs w:val="21"/>
          <w:u w:val="single"/>
        </w:rPr>
        <w:t>一</w:t>
      </w:r>
      <w:r>
        <w:rPr>
          <w:rFonts w:hint="eastAsia" w:ascii="宋体" w:hAnsi="宋体" w:cs="宋体"/>
          <w:szCs w:val="21"/>
        </w:rPr>
        <w:t>。</w:t>
      </w:r>
    </w:p>
    <w:p>
      <w:pPr>
        <w:pBdr>
          <w:bottom w:val="single" w:color="auto" w:sz="6" w:space="1"/>
        </w:pBdr>
        <w:spacing w:line="312" w:lineRule="auto"/>
        <w:ind w:firstLine="422" w:firstLineChars="201"/>
        <w:rPr>
          <w:rFonts w:ascii="宋体" w:hAnsi="宋体"/>
          <w:szCs w:val="21"/>
          <w:u w:val="single"/>
        </w:rPr>
      </w:pPr>
      <w:r>
        <w:rPr>
          <w:rFonts w:hint="eastAsia" w:ascii="宋体" w:hAnsi="宋体" w:cs="宋体"/>
          <w:szCs w:val="21"/>
        </w:rPr>
        <w:t>方式一：评标委员会为综合评标委员会，负责资格审查及评标工作。</w:t>
      </w:r>
    </w:p>
    <w:p>
      <w:pPr>
        <w:pStyle w:val="34"/>
        <w:spacing w:line="312" w:lineRule="auto"/>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43.6</w:t>
      </w:r>
      <w:r>
        <w:rPr>
          <w:rFonts w:hint="eastAsia" w:ascii="宋体" w:hAnsi="宋体" w:cs="宋体"/>
          <w:b/>
          <w:szCs w:val="21"/>
        </w:rPr>
        <w:t>修改类型：修改</w:t>
      </w:r>
    </w:p>
    <w:p>
      <w:pPr>
        <w:spacing w:line="312" w:lineRule="auto"/>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312"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pPr>
        <w:pStyle w:val="7"/>
        <w:spacing w:line="312" w:lineRule="auto"/>
        <w:ind w:firstLine="422"/>
        <w:rPr>
          <w:color w:val="auto"/>
          <w:sz w:val="21"/>
        </w:rPr>
      </w:pPr>
      <w:r>
        <w:rPr>
          <w:rFonts w:hint="eastAsia"/>
          <w:color w:val="auto"/>
          <w:sz w:val="21"/>
        </w:rPr>
        <w:t xml:space="preserve">条款号: </w:t>
      </w:r>
      <w:r>
        <w:rPr>
          <w:color w:val="auto"/>
          <w:sz w:val="21"/>
        </w:rPr>
        <w:t>44.2</w:t>
      </w:r>
      <w:r>
        <w:rPr>
          <w:rFonts w:hint="eastAsia"/>
          <w:color w:val="auto"/>
          <w:sz w:val="21"/>
        </w:rPr>
        <w:t xml:space="preserve">               修改类型：修改</w:t>
      </w:r>
    </w:p>
    <w:p>
      <w:pPr>
        <w:spacing w:line="312"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12" w:lineRule="auto"/>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投标人的技术标得分为各评委评分的算术平均值（若分数出现小数点时，保留小数点后二位，第三位小数四舍五入）。</w:t>
      </w:r>
    </w:p>
    <w:p>
      <w:pPr>
        <w:pStyle w:val="7"/>
        <w:spacing w:line="312" w:lineRule="auto"/>
        <w:ind w:firstLine="422"/>
        <w:rPr>
          <w:color w:val="auto"/>
          <w:sz w:val="21"/>
        </w:rPr>
      </w:pPr>
      <w:r>
        <w:rPr>
          <w:rFonts w:hint="eastAsia"/>
          <w:color w:val="auto"/>
          <w:sz w:val="21"/>
        </w:rPr>
        <w:t>条款号: 45.1               修改类型：修改</w:t>
      </w:r>
    </w:p>
    <w:p>
      <w:pPr>
        <w:spacing w:line="312"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12" w:lineRule="auto"/>
        <w:ind w:firstLine="424" w:firstLineChars="201"/>
        <w:rPr>
          <w:rFonts w:ascii="宋体" w:hAnsi="宋体" w:cs="宋体"/>
          <w:szCs w:val="21"/>
          <w:highlight w:val="none"/>
          <w:u w:val="single"/>
        </w:rPr>
      </w:pPr>
      <w:r>
        <w:rPr>
          <w:rFonts w:hint="eastAsia" w:ascii="宋体" w:hAnsi="宋体" w:cs="宋体"/>
          <w:b/>
          <w:bCs/>
          <w:szCs w:val="21"/>
        </w:rPr>
        <w:t>现</w:t>
      </w:r>
      <w:r>
        <w:rPr>
          <w:rFonts w:hint="eastAsia" w:ascii="宋体" w:hAnsi="宋体" w:cs="宋体"/>
          <w:b/>
          <w:bCs/>
          <w:szCs w:val="21"/>
          <w:highlight w:val="none"/>
        </w:rPr>
        <w:t>文</w:t>
      </w:r>
      <w:r>
        <w:rPr>
          <w:rFonts w:hint="eastAsia" w:ascii="宋体" w:hAnsi="宋体" w:cs="宋体"/>
          <w:szCs w:val="21"/>
          <w:highlight w:val="none"/>
        </w:rPr>
        <w:t>：45.1若通过技术标有效性审查的投标人中所有投标报价均大于等于最高投标限价*</w:t>
      </w:r>
      <w:r>
        <w:rPr>
          <w:rFonts w:hint="eastAsia" w:ascii="宋体" w:hAnsi="宋体" w:cs="宋体"/>
          <w:szCs w:val="21"/>
          <w:highlight w:val="none"/>
          <w:u w:val="single"/>
        </w:rPr>
        <w:t>100</w:t>
      </w:r>
      <w:r>
        <w:rPr>
          <w:rFonts w:hint="eastAsia" w:ascii="宋体" w:hAnsi="宋体" w:cs="宋体"/>
          <w:szCs w:val="21"/>
          <w:highlight w:val="none"/>
        </w:rPr>
        <w:t>%的（具体金额为：</w:t>
      </w:r>
      <w:r>
        <w:rPr>
          <w:rFonts w:hint="eastAsia" w:ascii="宋体" w:hAnsi="宋体" w:cs="宋体"/>
          <w:szCs w:val="21"/>
          <w:highlight w:val="none"/>
          <w:lang w:val="en-US" w:eastAsia="zh-CN"/>
        </w:rPr>
        <w:t>40178673.05</w:t>
      </w:r>
      <w:r>
        <w:rPr>
          <w:rFonts w:hint="eastAsia" w:ascii="宋体" w:hAnsi="宋体" w:cs="宋体"/>
          <w:szCs w:val="21"/>
          <w:highlight w:val="none"/>
        </w:rPr>
        <w:t>元），则本项目招标失败，由招标人依法重新招标。</w:t>
      </w:r>
    </w:p>
    <w:p>
      <w:pPr>
        <w:pStyle w:val="7"/>
        <w:spacing w:line="312" w:lineRule="auto"/>
        <w:ind w:firstLine="422"/>
        <w:rPr>
          <w:color w:val="auto"/>
          <w:sz w:val="21"/>
        </w:rPr>
      </w:pPr>
      <w:r>
        <w:rPr>
          <w:rFonts w:hint="eastAsia"/>
          <w:color w:val="auto"/>
          <w:sz w:val="21"/>
          <w:highlight w:val="none"/>
        </w:rPr>
        <w:t xml:space="preserve">条款号: 45.2               </w:t>
      </w:r>
      <w:r>
        <w:rPr>
          <w:rFonts w:hint="eastAsia"/>
          <w:color w:val="auto"/>
          <w:sz w:val="21"/>
        </w:rPr>
        <w:t>修改类型：修改</w:t>
      </w:r>
    </w:p>
    <w:p>
      <w:pPr>
        <w:pStyle w:val="34"/>
        <w:tabs>
          <w:tab w:val="left" w:pos="7380"/>
        </w:tabs>
        <w:snapToGrid w:val="0"/>
        <w:spacing w:line="312" w:lineRule="auto"/>
        <w:ind w:firstLine="422" w:firstLineChars="200"/>
        <w:rPr>
          <w:rFonts w:ascii="宋体"/>
          <w:szCs w:val="21"/>
        </w:rPr>
      </w:pPr>
      <w:r>
        <w:rPr>
          <w:rFonts w:hint="eastAsia" w:ascii="宋体" w:hAnsi="宋体" w:cs="宋体"/>
          <w:b/>
          <w:szCs w:val="21"/>
        </w:rPr>
        <w:t>原文：</w:t>
      </w:r>
      <w:r>
        <w:rPr>
          <w:rFonts w:hint="eastAsia" w:ascii="宋体" w:hAnsi="宋体"/>
          <w:szCs w:val="21"/>
        </w:rPr>
        <w:t>45.2按方法计算评标参考价：</w:t>
      </w:r>
    </w:p>
    <w:p>
      <w:pPr>
        <w:widowControl/>
        <w:spacing w:line="312"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12" w:lineRule="auto"/>
        <w:ind w:firstLine="420" w:firstLineChars="200"/>
        <w:rPr>
          <w:rFonts w:ascii="宋体" w:hAnsi="宋体" w:cs="仿宋"/>
          <w:szCs w:val="21"/>
        </w:rPr>
      </w:pPr>
      <w:r>
        <w:rPr>
          <w:rFonts w:hint="eastAsia" w:ascii="宋体" w:hAnsi="宋体" w:cs="仿宋"/>
          <w:szCs w:val="21"/>
        </w:rPr>
        <w:t>技术标或技术标加诚信得分（具体由招标人自定）前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12"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12"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0" distR="0">
            <wp:extent cx="379730" cy="448310"/>
            <wp:effectExtent l="0" t="0" r="1270" b="889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separate"/>
      </w:r>
      <w:r>
        <w:rPr>
          <w:rFonts w:ascii="宋体" w:hAnsi="宋体"/>
          <w:szCs w:val="21"/>
        </w:rPr>
        <w:drawing>
          <wp:inline distT="0" distB="0" distL="0" distR="0">
            <wp:extent cx="379730" cy="44831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15240" b="31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15240" b="317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w:t>
      </w:r>
    </w:p>
    <w:p>
      <w:pPr>
        <w:widowControl/>
        <w:spacing w:line="312"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12"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12"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12"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12"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12" w:lineRule="auto"/>
        <w:ind w:firstLine="422" w:firstLineChars="201"/>
        <w:rPr>
          <w:rFonts w:ascii="宋体" w:hAnsi="宋体" w:cs="宋体"/>
          <w:szCs w:val="21"/>
          <w:highlight w:val="none"/>
        </w:rPr>
      </w:pPr>
      <w:r>
        <w:rPr>
          <w:rFonts w:ascii="宋体" w:hAnsi="宋体" w:cs="仿宋"/>
          <w:szCs w:val="21"/>
        </w:rPr>
        <w:t>X:</w:t>
      </w:r>
      <w:r>
        <w:rPr>
          <w:rFonts w:hint="eastAsia" w:ascii="宋体" w:hAnsi="宋体" w:cs="仿宋"/>
          <w:szCs w:val="21"/>
        </w:rPr>
        <w:t>为等分点值，在开标前从[0,100]整数中随机抽</w:t>
      </w:r>
      <w:r>
        <w:rPr>
          <w:rFonts w:hint="eastAsia" w:ascii="宋体" w:hAnsi="宋体" w:cs="仿宋"/>
          <w:szCs w:val="21"/>
          <w:highlight w:val="none"/>
        </w:rPr>
        <w:t>取。</w:t>
      </w:r>
    </w:p>
    <w:p>
      <w:pPr>
        <w:spacing w:line="312" w:lineRule="auto"/>
        <w:ind w:firstLine="424" w:firstLineChars="201"/>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45.2按方法</w:t>
      </w:r>
      <w:r>
        <w:rPr>
          <w:rFonts w:hint="eastAsia" w:ascii="宋体" w:hAnsi="宋体" w:cs="宋体"/>
          <w:szCs w:val="21"/>
          <w:highlight w:val="none"/>
          <w:u w:val="single"/>
        </w:rPr>
        <w:t xml:space="preserve">  一</w:t>
      </w:r>
      <w:r>
        <w:rPr>
          <w:rFonts w:hint="eastAsia" w:ascii="宋体" w:hAnsi="宋体" w:cs="宋体"/>
          <w:szCs w:val="21"/>
          <w:highlight w:val="none"/>
        </w:rPr>
        <w:t xml:space="preserve">计算评标参考价： </w:t>
      </w:r>
    </w:p>
    <w:p>
      <w:pPr>
        <w:spacing w:line="312" w:lineRule="auto"/>
        <w:ind w:firstLine="424" w:firstLineChars="201"/>
        <w:rPr>
          <w:rFonts w:ascii="宋体" w:hAnsi="宋体" w:cs="宋体"/>
          <w:b/>
          <w:bCs/>
          <w:kern w:val="0"/>
          <w:szCs w:val="21"/>
          <w:highlight w:val="none"/>
        </w:rPr>
      </w:pPr>
      <w:r>
        <w:rPr>
          <w:rFonts w:hint="eastAsia" w:ascii="宋体" w:hAnsi="宋体" w:cs="宋体"/>
          <w:b/>
          <w:bCs/>
          <w:kern w:val="0"/>
          <w:szCs w:val="21"/>
          <w:highlight w:val="none"/>
        </w:rPr>
        <w:t>方法一：加权平均法</w:t>
      </w:r>
    </w:p>
    <w:p>
      <w:pPr>
        <w:spacing w:line="312" w:lineRule="auto"/>
        <w:ind w:firstLine="411" w:firstLineChars="196"/>
        <w:rPr>
          <w:rFonts w:ascii="宋体" w:hAnsi="宋体" w:cs="宋体"/>
          <w:bCs/>
          <w:szCs w:val="21"/>
          <w:highlight w:val="none"/>
        </w:rPr>
      </w:pPr>
      <w:r>
        <w:rPr>
          <w:rFonts w:hint="eastAsia" w:ascii="宋体" w:hAnsi="宋体" w:cs="宋体"/>
          <w:bCs/>
          <w:szCs w:val="21"/>
          <w:highlight w:val="none"/>
          <w:u w:val="single"/>
        </w:rPr>
        <w:t>通过技术标有效性审查的投标人技术标得分前5名（N=5，不足5名时，取所有满足前述条件的投标人数量）</w:t>
      </w:r>
      <w:r>
        <w:rPr>
          <w:rFonts w:hint="eastAsia" w:ascii="宋体" w:hAnsi="宋体" w:cs="宋体"/>
          <w:bCs/>
          <w:szCs w:val="21"/>
          <w:highlight w:val="none"/>
        </w:rPr>
        <w:t>的经济报价加权平均，计算评标参考价。公式如下：</w:t>
      </w:r>
    </w:p>
    <w:p>
      <w:pPr>
        <w:spacing w:line="312" w:lineRule="auto"/>
        <w:ind w:firstLine="411" w:firstLineChars="196"/>
        <w:rPr>
          <w:rFonts w:ascii="宋体" w:hAnsi="宋体" w:cs="宋体"/>
          <w:bCs/>
          <w:szCs w:val="21"/>
          <w:highlight w:val="none"/>
        </w:rPr>
      </w:pPr>
      <w:r>
        <w:rPr>
          <w:rFonts w:hint="eastAsia" w:ascii="宋体" w:hAnsi="宋体" w:cs="宋体"/>
          <w:bCs/>
          <w:szCs w:val="21"/>
          <w:highlight w:val="none"/>
        </w:rPr>
        <w:t>评标参考价=Σ（投标人的投标报价*报价权重）。</w:t>
      </w:r>
    </w:p>
    <w:p>
      <w:pPr>
        <w:widowControl/>
        <w:spacing w:line="312" w:lineRule="auto"/>
        <w:rPr>
          <w:rFonts w:cs="宋体"/>
          <w:szCs w:val="21"/>
          <w:highlight w:val="none"/>
        </w:rPr>
      </w:pPr>
      <w:r>
        <w:rPr>
          <w:rFonts w:hint="eastAsia" w:cs="宋体"/>
          <w:szCs w:val="21"/>
          <w:highlight w:val="none"/>
        </w:rPr>
        <w:t>其中：报价权重的计算方法为：将N名投标人按第一阶段入围得分由高至低进行排序，</w:t>
      </w:r>
      <w:r>
        <w:rPr>
          <w:rFonts w:hint="eastAsia" w:ascii="宋体" w:hAnsi="宋体" w:cs="仿宋"/>
          <w:szCs w:val="21"/>
          <w:highlight w:val="none"/>
        </w:rPr>
        <w:t>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0" distR="0">
            <wp:extent cx="379730" cy="448310"/>
            <wp:effectExtent l="0" t="0" r="1270" b="889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0" distR="0">
            <wp:extent cx="379730" cy="448310"/>
            <wp:effectExtent l="0" t="0" r="1270" b="889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0" distR="0">
            <wp:extent cx="327660" cy="396875"/>
            <wp:effectExtent l="0" t="0" r="15240" b="317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0" distR="0">
            <wp:extent cx="327660" cy="396875"/>
            <wp:effectExtent l="0" t="0" r="15240" b="317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0" distR="0">
            <wp:extent cx="327660" cy="396875"/>
            <wp:effectExtent l="0" t="0" r="15240" b="3175"/>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0" distR="0">
            <wp:extent cx="327660" cy="396875"/>
            <wp:effectExtent l="0" t="0" r="15240" b="3175"/>
            <wp:docPr id="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pBdr>
          <w:bottom w:val="single" w:color="auto" w:sz="4" w:space="7"/>
        </w:pBdr>
        <w:spacing w:line="312" w:lineRule="auto"/>
        <w:ind w:firstLine="411" w:firstLineChars="196"/>
        <w:rPr>
          <w:rFonts w:ascii="宋体" w:hAnsi="宋体" w:cs="宋体"/>
          <w:szCs w:val="21"/>
          <w:highlight w:val="none"/>
          <w:u w:val="single"/>
        </w:rPr>
      </w:pPr>
      <w:r>
        <w:rPr>
          <w:rFonts w:hint="eastAsia" w:ascii="宋体" w:hAnsi="宋体" w:cs="宋体"/>
          <w:bCs/>
          <w:szCs w:val="21"/>
          <w:highlight w:val="none"/>
          <w:u w:val="single"/>
        </w:rPr>
        <w:t>若投标人技术标得分相同的，则以施工企业-房建60日诚信综合评价得分较高的排前；若技术标得分和诚信综合评价得分仍相同的，则以投标总报价较低的排前；如仍存在相同情况，则对具有相同情况的投标人，按确定评标参考价的投标人数量规定，由评标委员会采用记名投票方式，确定投标人技术标得分名次的排序。记名投票方式确定排序的具体操作步骤为：由评标委员会对出现该情况的投标人进行编号，然后进行记名投票，按得票数从高到低排列先后次序，以得票数高的排前，依次确定技术标得分名次的排序。</w:t>
      </w:r>
    </w:p>
    <w:p>
      <w:pPr>
        <w:pStyle w:val="7"/>
        <w:spacing w:line="312" w:lineRule="auto"/>
        <w:ind w:firstLine="422"/>
        <w:rPr>
          <w:color w:val="auto"/>
          <w:sz w:val="21"/>
          <w:highlight w:val="none"/>
        </w:rPr>
      </w:pPr>
      <w:r>
        <w:rPr>
          <w:rFonts w:hint="eastAsia"/>
          <w:color w:val="auto"/>
          <w:sz w:val="21"/>
          <w:highlight w:val="none"/>
        </w:rPr>
        <w:t>条款号: 45.3               修改类型：修改</w:t>
      </w:r>
    </w:p>
    <w:p>
      <w:pPr>
        <w:spacing w:line="312" w:lineRule="auto"/>
        <w:ind w:firstLine="424" w:firstLineChars="201"/>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kern w:val="0"/>
          <w:szCs w:val="21"/>
          <w:highlight w:val="none"/>
        </w:rPr>
        <w:t>45.3</w:t>
      </w:r>
      <w:r>
        <w:rPr>
          <w:rFonts w:hint="eastAsia" w:ascii="宋体" w:hAnsi="宋体" w:cs="宋体"/>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12" w:lineRule="auto"/>
        <w:ind w:firstLine="424" w:firstLineChars="201"/>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w:t>
      </w:r>
      <w:r>
        <w:rPr>
          <w:rFonts w:hint="eastAsia" w:ascii="宋体" w:hAnsi="宋体" w:cs="宋体"/>
          <w:kern w:val="0"/>
          <w:szCs w:val="21"/>
          <w:highlight w:val="none"/>
        </w:rPr>
        <w:t>45.3</w:t>
      </w:r>
      <w:r>
        <w:rPr>
          <w:rFonts w:hint="eastAsia" w:ascii="宋体" w:hAnsi="宋体" w:cs="宋体"/>
          <w:szCs w:val="21"/>
          <w:highlight w:val="none"/>
        </w:rPr>
        <w:t>当</w:t>
      </w:r>
      <w:r>
        <w:rPr>
          <w:rFonts w:hint="eastAsia" w:ascii="宋体" w:hAnsi="宋体" w:cs="宋体"/>
          <w:szCs w:val="21"/>
          <w:highlight w:val="none"/>
          <w:u w:val="single"/>
        </w:rPr>
        <w:t>投标总报价</w:t>
      </w:r>
      <w:r>
        <w:rPr>
          <w:rFonts w:hint="eastAsia" w:ascii="宋体" w:hAnsi="宋体" w:cs="宋体"/>
          <w:szCs w:val="21"/>
          <w:highlight w:val="none"/>
        </w:rPr>
        <w:t>等于评标参考价时得100分，</w:t>
      </w:r>
      <w:r>
        <w:rPr>
          <w:rFonts w:hint="eastAsia" w:ascii="宋体" w:hAnsi="宋体" w:cs="宋体"/>
          <w:szCs w:val="21"/>
          <w:highlight w:val="none"/>
          <w:u w:val="single"/>
        </w:rPr>
        <w:t>投标总报价</w:t>
      </w:r>
      <w:r>
        <w:rPr>
          <w:rFonts w:hint="eastAsia" w:ascii="宋体" w:hAnsi="宋体" w:cs="宋体"/>
          <w:szCs w:val="21"/>
          <w:highlight w:val="none"/>
        </w:rPr>
        <w:t>每高于评标参考价1%，扣</w:t>
      </w:r>
      <w:r>
        <w:rPr>
          <w:rFonts w:hint="eastAsia" w:ascii="宋体" w:hAnsi="宋体" w:cs="宋体"/>
          <w:szCs w:val="21"/>
          <w:highlight w:val="none"/>
          <w:u w:val="single"/>
        </w:rPr>
        <w:t>0.2</w:t>
      </w:r>
      <w:r>
        <w:rPr>
          <w:rFonts w:hint="eastAsia" w:ascii="宋体" w:hAnsi="宋体" w:cs="宋体"/>
          <w:szCs w:val="21"/>
          <w:highlight w:val="none"/>
        </w:rPr>
        <w:t>分，每低于评标参考价1%，扣</w:t>
      </w:r>
      <w:r>
        <w:rPr>
          <w:rFonts w:hint="eastAsia" w:ascii="宋体" w:hAnsi="宋体" w:cs="宋体"/>
          <w:szCs w:val="21"/>
          <w:highlight w:val="none"/>
          <w:u w:val="single"/>
        </w:rPr>
        <w:t>0.1</w:t>
      </w:r>
      <w:r>
        <w:rPr>
          <w:rFonts w:hint="eastAsia" w:ascii="宋体" w:hAnsi="宋体" w:cs="宋体"/>
          <w:szCs w:val="21"/>
          <w:highlight w:val="none"/>
        </w:rPr>
        <w:t>分，扣至0分为止，得出经济分，精确到小数点后两位。</w:t>
      </w:r>
    </w:p>
    <w:p>
      <w:pPr>
        <w:pStyle w:val="7"/>
        <w:spacing w:line="312" w:lineRule="auto"/>
        <w:ind w:firstLine="422"/>
        <w:rPr>
          <w:color w:val="auto"/>
          <w:sz w:val="21"/>
          <w:highlight w:val="none"/>
        </w:rPr>
      </w:pPr>
      <w:r>
        <w:rPr>
          <w:rFonts w:hint="eastAsia"/>
          <w:color w:val="auto"/>
          <w:sz w:val="21"/>
          <w:highlight w:val="none"/>
        </w:rPr>
        <w:t>条款号: 45.</w:t>
      </w:r>
      <w:r>
        <w:rPr>
          <w:color w:val="auto"/>
          <w:sz w:val="21"/>
          <w:highlight w:val="none"/>
        </w:rPr>
        <w:t>4</w:t>
      </w:r>
      <w:r>
        <w:rPr>
          <w:rFonts w:hint="eastAsia"/>
          <w:color w:val="auto"/>
          <w:sz w:val="21"/>
          <w:highlight w:val="none"/>
        </w:rPr>
        <w:t xml:space="preserve">               修改类型：修改</w:t>
      </w:r>
    </w:p>
    <w:p>
      <w:pPr>
        <w:spacing w:line="312" w:lineRule="auto"/>
        <w:ind w:firstLine="424" w:firstLineChars="201"/>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kern w:val="0"/>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12" w:lineRule="auto"/>
        <w:ind w:firstLine="413" w:firstLineChars="196"/>
        <w:rPr>
          <w:rFonts w:ascii="宋体" w:hAnsi="宋体" w:cs="宋体"/>
          <w:kern w:val="0"/>
          <w:szCs w:val="21"/>
          <w:highlight w:val="none"/>
        </w:rPr>
      </w:pPr>
      <w:r>
        <w:rPr>
          <w:rFonts w:hint="eastAsia" w:ascii="宋体" w:hAnsi="宋体" w:cs="宋体"/>
          <w:b/>
          <w:szCs w:val="21"/>
          <w:highlight w:val="none"/>
        </w:rPr>
        <w:t>现文</w:t>
      </w:r>
      <w:r>
        <w:rPr>
          <w:rFonts w:hint="eastAsia" w:ascii="宋体" w:hAnsi="宋体" w:cs="宋体"/>
          <w:szCs w:val="21"/>
          <w:highlight w:val="none"/>
        </w:rPr>
        <w:t>：计算通过技术标有效性审查的投标人总得分。投标人总得分=【技术得分（满分20分）＋经济得分×经济得分权重（80%）】×80%＋综合诚信评价排名得分×综合诚信评价分数权重（20%）。总得分四舍五入保留两位小数，并按照总得分从高到低排序。总得分相同的投标文件，以报价较低的排前；总得分与报价均相同的投标文件，以技术得分较高的排前；总得分、报价与技术得分均相同的投标文件，以诚信综合评价分数高的排前；如仍存在相同情况，则对具有相同情况的投标人，由评标委员会采用记名投票方式，确定投标人的排序。</w:t>
      </w:r>
    </w:p>
    <w:p>
      <w:pPr>
        <w:pStyle w:val="7"/>
        <w:spacing w:line="312" w:lineRule="auto"/>
        <w:ind w:firstLine="422"/>
        <w:rPr>
          <w:color w:val="auto"/>
          <w:sz w:val="21"/>
        </w:rPr>
      </w:pPr>
      <w:r>
        <w:rPr>
          <w:rFonts w:hint="eastAsia"/>
          <w:color w:val="auto"/>
          <w:sz w:val="21"/>
        </w:rPr>
        <w:t>条款号: 4</w:t>
      </w:r>
      <w:r>
        <w:rPr>
          <w:rFonts w:hint="eastAsia"/>
          <w:color w:val="auto"/>
          <w:sz w:val="21"/>
          <w:lang w:val="en-US" w:eastAsia="zh-CN"/>
        </w:rPr>
        <w:t>6.2.8</w:t>
      </w:r>
      <w:r>
        <w:rPr>
          <w:rFonts w:hint="eastAsia"/>
          <w:color w:val="auto"/>
          <w:sz w:val="21"/>
        </w:rPr>
        <w:t xml:space="preserve">        修改类型：修改</w:t>
      </w:r>
    </w:p>
    <w:p>
      <w:pPr>
        <w:pBdr>
          <w:bottom w:val="single" w:color="auto" w:sz="6" w:space="1"/>
        </w:pBdr>
        <w:spacing w:line="360" w:lineRule="auto"/>
        <w:ind w:firstLine="424" w:firstLineChars="201"/>
        <w:rPr>
          <w:rFonts w:hint="default" w:ascii="宋体" w:hAnsi="宋体" w:cs="宋体"/>
          <w:bCs/>
          <w:kern w:val="0"/>
          <w:szCs w:val="21"/>
        </w:rPr>
      </w:pPr>
      <w:r>
        <w:rPr>
          <w:rFonts w:hint="eastAsia" w:ascii="宋体" w:hAnsi="宋体" w:cs="宋体"/>
          <w:b/>
          <w:szCs w:val="21"/>
        </w:rPr>
        <w:t>原文：</w:t>
      </w:r>
      <w:r>
        <w:rPr>
          <w:rFonts w:hint="eastAsia" w:ascii="宋体" w:hAnsi="宋体" w:cs="宋体"/>
          <w:b w:val="0"/>
          <w:bCs/>
          <w:szCs w:val="21"/>
          <w:lang w:val="en-US" w:eastAsia="zh-CN"/>
        </w:rPr>
        <w:t xml:space="preserve">46.2.8 </w:t>
      </w:r>
      <w:r>
        <w:rPr>
          <w:rFonts w:hint="eastAsia" w:ascii="宋体" w:hAnsi="宋体" w:cs="宋体"/>
          <w:b w:val="0"/>
          <w:bCs/>
          <w:szCs w:val="21"/>
        </w:rPr>
        <w:t>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424" w:firstLineChars="201"/>
        <w:rPr>
          <w:rFonts w:hint="default"/>
          <w:lang w:val="en-US" w:eastAsia="zh-CN"/>
        </w:rPr>
      </w:pPr>
      <w:r>
        <w:rPr>
          <w:rFonts w:hint="eastAsia" w:ascii="宋体" w:hAnsi="宋体" w:cs="宋体"/>
          <w:b/>
          <w:szCs w:val="21"/>
        </w:rPr>
        <w:t>现文：</w:t>
      </w:r>
      <w:r>
        <w:rPr>
          <w:rFonts w:hint="eastAsia" w:ascii="宋体" w:hAnsi="宋体" w:cs="宋体"/>
          <w:b w:val="0"/>
          <w:bCs/>
          <w:szCs w:val="21"/>
          <w:lang w:val="en-US" w:eastAsia="zh-CN"/>
        </w:rPr>
        <w:t xml:space="preserve">46.2.8 </w:t>
      </w:r>
      <w:r>
        <w:rPr>
          <w:rFonts w:hint="eastAsia" w:ascii="宋体" w:hAnsi="宋体" w:cs="宋体"/>
          <w:b w:val="0"/>
          <w:bCs/>
          <w:szCs w:val="21"/>
        </w:rPr>
        <w:t>按上述修正错误的原则及方法调整或修正投标文件的投标报价，调整后的投标报价对投标人起约束作用。如果投标人不接受修正后的报价，则取消其投标资格。</w:t>
      </w:r>
    </w:p>
    <w:p>
      <w:pPr>
        <w:pStyle w:val="7"/>
        <w:spacing w:line="312" w:lineRule="auto"/>
        <w:ind w:firstLine="422"/>
        <w:rPr>
          <w:color w:val="auto"/>
          <w:sz w:val="21"/>
        </w:rPr>
      </w:pPr>
      <w:r>
        <w:rPr>
          <w:rFonts w:hint="eastAsia"/>
          <w:color w:val="auto"/>
          <w:sz w:val="21"/>
        </w:rPr>
        <w:t>条款号: 4</w:t>
      </w:r>
      <w:r>
        <w:rPr>
          <w:color w:val="auto"/>
          <w:sz w:val="21"/>
        </w:rPr>
        <w:t>8</w:t>
      </w:r>
      <w:r>
        <w:rPr>
          <w:rFonts w:hint="eastAsia"/>
          <w:color w:val="auto"/>
          <w:sz w:val="21"/>
        </w:rPr>
        <w:t xml:space="preserve">        修改类型：修改</w:t>
      </w:r>
    </w:p>
    <w:p>
      <w:pPr>
        <w:pBdr>
          <w:bottom w:val="single" w:color="auto" w:sz="6" w:space="1"/>
        </w:pBdr>
        <w:spacing w:line="312" w:lineRule="auto"/>
        <w:ind w:firstLine="424" w:firstLineChars="201"/>
        <w:rPr>
          <w:rFonts w:ascii="宋体" w:hAnsi="宋体" w:cs="宋体"/>
          <w:kern w:val="0"/>
          <w:szCs w:val="21"/>
        </w:rPr>
      </w:pPr>
      <w:r>
        <w:rPr>
          <w:rFonts w:hint="eastAsia" w:ascii="宋体" w:hAnsi="宋体" w:cs="宋体"/>
          <w:b/>
          <w:szCs w:val="21"/>
        </w:rPr>
        <w:t>原文：</w:t>
      </w:r>
      <w:r>
        <w:rPr>
          <w:rFonts w:hint="eastAsia" w:ascii="宋体" w:hAnsi="宋体" w:cs="宋体"/>
          <w:kern w:val="0"/>
          <w:szCs w:val="21"/>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12"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kern w:val="0"/>
          <w:szCs w:val="21"/>
        </w:rPr>
        <w:t>评标委员会应在通过投标文件经济标有效性审查的投标人中，按步骤45.4确定的投标人排序，推荐前3名依次为第一中标候选人至第三中标候选人,并编制评标报告。</w:t>
      </w:r>
    </w:p>
    <w:p>
      <w:pPr>
        <w:pStyle w:val="34"/>
        <w:spacing w:line="312" w:lineRule="auto"/>
        <w:rPr>
          <w:rFonts w:ascii="宋体" w:hAnsi="宋体" w:cs="宋体"/>
          <w:szCs w:val="21"/>
        </w:rPr>
      </w:pPr>
      <w:r>
        <w:rPr>
          <w:rFonts w:hint="eastAsia" w:ascii="宋体" w:hAnsi="宋体" w:cs="宋体"/>
          <w:b/>
          <w:szCs w:val="21"/>
        </w:rPr>
        <w:t>条款号：49 修改类型：修改</w:t>
      </w:r>
    </w:p>
    <w:p>
      <w:pPr>
        <w:spacing w:line="312" w:lineRule="auto"/>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312"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49.若通过经济标有效性审查的投标人不足三家，应当依法重新招标。</w:t>
      </w:r>
    </w:p>
    <w:p>
      <w:pPr>
        <w:pStyle w:val="7"/>
        <w:spacing w:line="312" w:lineRule="auto"/>
        <w:ind w:firstLine="422"/>
        <w:rPr>
          <w:color w:val="auto"/>
          <w:sz w:val="21"/>
        </w:rPr>
      </w:pPr>
      <w:r>
        <w:rPr>
          <w:rFonts w:hint="eastAsia"/>
          <w:color w:val="auto"/>
          <w:sz w:val="21"/>
        </w:rPr>
        <w:t>条款号: 附表一《资格审查表》           修改类型：修改</w:t>
      </w:r>
    </w:p>
    <w:p>
      <w:pPr>
        <w:spacing w:line="312"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详见本招标文件第二章附表一《资格审查表》</w:t>
      </w:r>
    </w:p>
    <w:p>
      <w:pPr>
        <w:pStyle w:val="7"/>
        <w:spacing w:line="312" w:lineRule="auto"/>
        <w:ind w:firstLine="422"/>
        <w:rPr>
          <w:color w:val="auto"/>
          <w:sz w:val="21"/>
        </w:rPr>
      </w:pPr>
      <w:r>
        <w:rPr>
          <w:rFonts w:hint="eastAsia"/>
          <w:color w:val="auto"/>
          <w:sz w:val="21"/>
        </w:rPr>
        <w:t>条款号: 附表二《技术标有效性审查表》      修改类型：修改</w:t>
      </w:r>
    </w:p>
    <w:p>
      <w:pPr>
        <w:pBdr>
          <w:bottom w:val="single" w:color="auto" w:sz="6" w:space="1"/>
        </w:pBdr>
        <w:spacing w:line="312"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详见本招标文件第二章附表二《技术标有效性审查表》</w:t>
      </w:r>
    </w:p>
    <w:p>
      <w:pPr>
        <w:pStyle w:val="7"/>
        <w:spacing w:line="312" w:lineRule="auto"/>
        <w:ind w:firstLine="422"/>
        <w:rPr>
          <w:rFonts w:cs="宋体"/>
          <w:b w:val="0"/>
          <w:color w:val="auto"/>
        </w:rPr>
      </w:pPr>
      <w:r>
        <w:rPr>
          <w:rFonts w:hint="eastAsia"/>
          <w:color w:val="auto"/>
          <w:sz w:val="21"/>
        </w:rPr>
        <w:t>条款号: 附表三《经济标有效性审查表》           修改类型：修改</w:t>
      </w:r>
    </w:p>
    <w:p>
      <w:pPr>
        <w:spacing w:line="312"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详见本招标文件第二章附表三《经济标有效性审查表》</w:t>
      </w:r>
    </w:p>
    <w:p>
      <w:pPr>
        <w:pStyle w:val="7"/>
        <w:spacing w:line="312" w:lineRule="auto"/>
        <w:ind w:firstLine="422"/>
        <w:rPr>
          <w:color w:val="auto"/>
          <w:sz w:val="21"/>
        </w:rPr>
      </w:pPr>
      <w:r>
        <w:rPr>
          <w:rFonts w:hint="eastAsia"/>
          <w:color w:val="auto"/>
          <w:sz w:val="21"/>
        </w:rPr>
        <w:t xml:space="preserve">条款号: 附表四《技术标详细审查评分表》         修改类型：修改  </w:t>
      </w:r>
    </w:p>
    <w:p>
      <w:pPr>
        <w:spacing w:line="312"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详见本招标文件第二章附表四《技术标详细审查评分表》</w:t>
      </w:r>
    </w:p>
    <w:p>
      <w:pPr>
        <w:pStyle w:val="7"/>
        <w:spacing w:line="312" w:lineRule="auto"/>
        <w:ind w:firstLine="422"/>
        <w:rPr>
          <w:color w:val="auto"/>
          <w:sz w:val="21"/>
        </w:rPr>
      </w:pPr>
      <w:r>
        <w:rPr>
          <w:rFonts w:hint="eastAsia"/>
          <w:color w:val="auto"/>
          <w:sz w:val="21"/>
        </w:rPr>
        <w:t>条款号: 附表五（适用于区间抽取法）《经济标评分表》        修改类型：删除</w:t>
      </w:r>
    </w:p>
    <w:p>
      <w:pPr>
        <w:pBdr>
          <w:bottom w:val="single" w:color="auto" w:sz="6" w:space="1"/>
        </w:pBdr>
        <w:spacing w:line="312"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6"/>
      </w:pPr>
      <w:bookmarkStart w:id="20" w:name="_Toc2272556"/>
      <w:r>
        <w:br w:type="page"/>
      </w:r>
    </w:p>
    <w:bookmarkEnd w:id="20"/>
    <w:p>
      <w:pPr>
        <w:pStyle w:val="6"/>
      </w:pPr>
      <w:bookmarkStart w:id="21" w:name="_Toc115117424"/>
      <w:r>
        <w:rPr>
          <w:rFonts w:hint="eastAsia"/>
        </w:rPr>
        <w:t>二、开标、评标及定标办法</w:t>
      </w:r>
      <w:r>
        <w:rPr>
          <w:rFonts w:hint="eastAsia"/>
          <w:szCs w:val="30"/>
        </w:rPr>
        <w:t>通用条款</w:t>
      </w:r>
      <w:bookmarkEnd w:id="21"/>
    </w:p>
    <w:p>
      <w:pPr>
        <w:spacing w:before="156" w:beforeLines="50" w:after="156" w:afterLines="50"/>
        <w:jc w:val="center"/>
        <w:rPr>
          <w:b/>
          <w:sz w:val="24"/>
          <w:szCs w:val="24"/>
        </w:rPr>
      </w:pPr>
      <w:bookmarkStart w:id="22" w:name="_Toc2272557"/>
      <w:bookmarkEnd w:id="22"/>
      <w:r>
        <w:rPr>
          <w:rFonts w:hint="eastAsia"/>
          <w:b/>
          <w:sz w:val="24"/>
          <w:szCs w:val="24"/>
        </w:rPr>
        <w:t>（一）总则</w:t>
      </w:r>
    </w:p>
    <w:p>
      <w:pPr>
        <w:pStyle w:val="7"/>
        <w:ind w:firstLine="482"/>
        <w:rPr>
          <w:color w:val="auto"/>
        </w:rPr>
      </w:pPr>
      <w:r>
        <w:rPr>
          <w:color w:val="auto"/>
        </w:rPr>
        <w:t>35</w:t>
      </w:r>
      <w:r>
        <w:rPr>
          <w:rFonts w:hint="eastAsia"/>
          <w:color w:val="auto"/>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pStyle w:val="7"/>
        <w:ind w:firstLine="482"/>
        <w:rPr>
          <w:color w:val="auto"/>
        </w:rPr>
      </w:pPr>
      <w:r>
        <w:rPr>
          <w:color w:val="auto"/>
        </w:rPr>
        <w:t>36</w:t>
      </w:r>
      <w:r>
        <w:rPr>
          <w:rFonts w:hint="eastAsia"/>
          <w:color w:val="auto"/>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pStyle w:val="7"/>
        <w:ind w:firstLine="482"/>
        <w:rPr>
          <w:color w:val="auto"/>
        </w:rPr>
      </w:pPr>
      <w:r>
        <w:rPr>
          <w:color w:val="auto"/>
        </w:rPr>
        <w:t>37</w:t>
      </w:r>
      <w:r>
        <w:rPr>
          <w:rFonts w:hint="eastAsia"/>
          <w:color w:val="auto"/>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pStyle w:val="7"/>
        <w:ind w:firstLine="482"/>
        <w:rPr>
          <w:color w:val="auto"/>
        </w:rPr>
      </w:pPr>
      <w:r>
        <w:rPr>
          <w:color w:val="auto"/>
        </w:rPr>
        <w:t>38</w:t>
      </w:r>
      <w:r>
        <w:rPr>
          <w:rFonts w:hint="eastAsia"/>
          <w:color w:val="auto"/>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7"/>
        <w:ind w:firstLine="482"/>
        <w:rPr>
          <w:color w:val="auto"/>
        </w:rPr>
      </w:pPr>
      <w:r>
        <w:rPr>
          <w:color w:val="auto"/>
        </w:rPr>
        <w:t>39</w:t>
      </w:r>
      <w:r>
        <w:rPr>
          <w:rFonts w:hint="eastAsia"/>
          <w:color w:val="auto"/>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156" w:beforeLines="50" w:after="156" w:afterLines="50"/>
        <w:jc w:val="center"/>
        <w:rPr>
          <w:b/>
          <w:sz w:val="24"/>
          <w:szCs w:val="24"/>
        </w:rPr>
      </w:pPr>
      <w:bookmarkStart w:id="23" w:name="_Toc2272558"/>
      <w:bookmarkEnd w:id="23"/>
      <w:r>
        <w:rPr>
          <w:rFonts w:hint="eastAsia"/>
          <w:b/>
          <w:sz w:val="24"/>
          <w:szCs w:val="24"/>
        </w:rPr>
        <w:t>（二）开标评标办法程序和细则</w:t>
      </w:r>
    </w:p>
    <w:p>
      <w:pPr>
        <w:spacing w:line="360" w:lineRule="auto"/>
        <w:ind w:firstLine="480" w:firstLineChars="200"/>
        <w:rPr>
          <w:rFonts w:ascii="宋体" w:hAnsi="宋体"/>
          <w:sz w:val="24"/>
          <w:szCs w:val="24"/>
        </w:rPr>
      </w:pPr>
      <w:r>
        <w:rPr>
          <w:rFonts w:hint="eastAsia" w:ascii="宋体" w:hAnsi="宋体"/>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pPr>
        <w:pStyle w:val="7"/>
        <w:ind w:firstLine="482"/>
        <w:jc w:val="center"/>
        <w:rPr>
          <w:color w:val="auto"/>
        </w:rPr>
      </w:pPr>
      <w:bookmarkStart w:id="24" w:name="_Toc2272564"/>
      <w:bookmarkEnd w:id="24"/>
      <w:r>
        <w:rPr>
          <w:rFonts w:hint="eastAsia"/>
          <w:color w:val="auto"/>
        </w:rPr>
        <w:t>可选办法七（适合综合评分法四，技术标与经济标同时开启）</w:t>
      </w:r>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42. 资格审查及评标细则</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34"/>
        <w:tabs>
          <w:tab w:val="left" w:pos="7380"/>
        </w:tabs>
        <w:snapToGrid w:val="0"/>
        <w:spacing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43．投标人资格审查</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43.2汇总资格审查情况，编写资格审查报告。</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44．技术标评审</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34"/>
        <w:tabs>
          <w:tab w:val="left" w:pos="7380"/>
        </w:tabs>
        <w:snapToGrid w:val="0"/>
        <w:spacing w:line="360" w:lineRule="auto"/>
        <w:ind w:firstLine="480" w:firstLineChars="200"/>
        <w:rPr>
          <w:rFonts w:ascii="宋体"/>
          <w:sz w:val="24"/>
          <w:szCs w:val="24"/>
        </w:rPr>
      </w:pPr>
      <w:r>
        <w:rPr>
          <w:rFonts w:hint="eastAsia" w:ascii="宋体"/>
          <w:sz w:val="24"/>
          <w:szCs w:val="24"/>
        </w:rPr>
        <w:t>45．经济标评审和得分汇总</w:t>
      </w:r>
    </w:p>
    <w:p>
      <w:pPr>
        <w:pStyle w:val="34"/>
        <w:tabs>
          <w:tab w:val="left" w:pos="7380"/>
        </w:tabs>
        <w:snapToGrid w:val="0"/>
        <w:spacing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34"/>
        <w:tabs>
          <w:tab w:val="left" w:pos="7380"/>
        </w:tabs>
        <w:snapToGrid w:val="0"/>
        <w:spacing w:line="360" w:lineRule="auto"/>
        <w:ind w:firstLine="480" w:firstLineChars="20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34"/>
        <w:tabs>
          <w:tab w:val="left" w:pos="7380"/>
        </w:tabs>
        <w:snapToGrid w:val="0"/>
        <w:spacing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34"/>
        <w:tabs>
          <w:tab w:val="left" w:pos="7380"/>
        </w:tabs>
        <w:snapToGrid w:val="0"/>
        <w:spacing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start="1"/>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6"/>
        <w:jc w:val="left"/>
      </w:pPr>
      <w:bookmarkStart w:id="25" w:name="_Toc115117425"/>
      <w:r>
        <w:rPr>
          <w:rFonts w:hint="eastAsia"/>
        </w:rPr>
        <w:t xml:space="preserve">附表一 </w:t>
      </w:r>
      <w:bookmarkEnd w:id="25"/>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tbl>
      <w:tblPr>
        <w:tblStyle w:val="36"/>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left"/>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持有项目负责人安全生产考核合格证（</w:t>
            </w:r>
            <w:r>
              <w:rPr>
                <w:rFonts w:ascii="宋体" w:hAnsi="宋体"/>
                <w:szCs w:val="21"/>
              </w:rPr>
              <w:t>B类）或</w:t>
            </w:r>
            <w:r>
              <w:rPr>
                <w:rFonts w:hint="eastAsia" w:ascii="宋体" w:hAnsi="宋体"/>
                <w:szCs w:val="21"/>
              </w:rPr>
              <w:t>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项目负责人安全生产考核合格证（</w:t>
            </w:r>
            <w:r>
              <w:rPr>
                <w:rFonts w:ascii="宋体" w:hAnsi="宋体"/>
                <w:szCs w:val="21"/>
              </w:rPr>
              <w:t>B</w:t>
            </w:r>
            <w:r>
              <w:rPr>
                <w:rFonts w:hint="eastAsia" w:ascii="宋体" w:hAnsi="宋体"/>
                <w:szCs w:val="21"/>
              </w:rPr>
              <w:t>类</w:t>
            </w:r>
            <w:r>
              <w:rPr>
                <w:rFonts w:ascii="宋体" w:hAnsi="宋体"/>
                <w:szCs w:val="21"/>
              </w:rPr>
              <w:t>）</w:t>
            </w:r>
            <w:r>
              <w:rPr>
                <w:rFonts w:hint="eastAsia" w:ascii="宋体" w:hAnsi="宋体"/>
                <w:szCs w:val="21"/>
              </w:rPr>
              <w:t>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cs="宋体"/>
                <w:bCs/>
                <w:szCs w:val="21"/>
                <w:u w:val="single"/>
              </w:rPr>
              <w:t>拟委派技术负责人的职称证书清晰扫描件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专职安全员须具有安全生产考核合格证（</w:t>
            </w:r>
            <w:r>
              <w:rPr>
                <w:rFonts w:ascii="宋体" w:hAnsi="宋体" w:cs="宋体"/>
                <w:szCs w:val="21"/>
              </w:rPr>
              <w:t>C</w:t>
            </w:r>
            <w:r>
              <w:rPr>
                <w:rFonts w:hint="eastAsia" w:ascii="宋体" w:hAnsi="宋体"/>
                <w:szCs w:val="21"/>
              </w:rPr>
              <w:t>类</w:t>
            </w:r>
            <w:r>
              <w:rPr>
                <w:rFonts w:hint="eastAsia" w:ascii="宋体" w:hAnsi="宋体" w:cs="宋体"/>
                <w:szCs w:val="21"/>
              </w:rPr>
              <w:t>）或建筑施工企业专职安全生产管理人员安全生产考核合格证（C3）</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专职安全员的安全生产考核合格证（C类）或建筑施工企业专职安全生产管理人员安全生产考核合格证（C3）在广州市住建行业信用管理平台内上传件；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szCs w:val="21"/>
              </w:rPr>
            </w:pPr>
            <w:r>
              <w:rPr>
                <w:rFonts w:hint="eastAsia" w:ascii="宋体" w:hAnsi="宋体" w:cs="宋体"/>
                <w:kern w:val="0"/>
                <w:szCs w:val="21"/>
              </w:rPr>
              <w:t>关于联合体投标：</w:t>
            </w:r>
            <w:r>
              <w:rPr>
                <w:rFonts w:hint="eastAsia" w:ascii="宋体" w:hAnsi="宋体" w:cs="宋体"/>
                <w:kern w:val="0"/>
                <w:szCs w:val="21"/>
                <w:u w:val="single"/>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szCs w:val="21"/>
              </w:rPr>
            </w:pPr>
            <w:r>
              <w:rPr>
                <w:rFonts w:hint="eastAsia" w:ascii="宋体" w:hAnsi="宋体" w:cs="宋体"/>
                <w:szCs w:val="21"/>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资格审查前，投标人须</w:t>
            </w:r>
            <w:r>
              <w:rPr>
                <w:rFonts w:ascii="宋体" w:hAnsi="宋体" w:cs="宋体"/>
                <w:szCs w:val="21"/>
              </w:rPr>
              <w:t>在</w:t>
            </w:r>
            <w:r>
              <w:rPr>
                <w:rFonts w:hint="eastAsia" w:ascii="宋体" w:hAnsi="宋体" w:cs="宋体"/>
                <w:szCs w:val="21"/>
              </w:rPr>
              <w:t>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未被列入拖欠农民工工资失信联合惩戒对象名单</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r>
        <w:rPr>
          <w:rFonts w:hint="eastAsia"/>
        </w:rPr>
        <w:t xml:space="preserve">1、每一项目符合的打“○”，不符合的打“×”； </w:t>
      </w:r>
    </w:p>
    <w:p>
      <w:r>
        <w:rPr>
          <w:rFonts w:hint="eastAsia"/>
        </w:rPr>
        <w:t>2、若评委意见不一致时，则按少数服从多数的原则，作出评审结论。汇总后，出现一个“×”的结论为“不通过”。</w:t>
      </w:r>
    </w:p>
    <w:p>
      <w:r>
        <w:rPr>
          <w:rFonts w:hint="eastAsia"/>
        </w:rPr>
        <w:t>3.</w:t>
      </w:r>
      <w:r>
        <w:t>不得将</w:t>
      </w:r>
      <w:r>
        <w:rPr>
          <w:rFonts w:hint="eastAsia"/>
        </w:rPr>
        <w:t>文件顺序、</w:t>
      </w:r>
      <w:r>
        <w:t>明显的文字错误等列为否</w:t>
      </w:r>
      <w:r>
        <w:rPr>
          <w:rFonts w:hint="eastAsia"/>
        </w:rPr>
        <w:t>决</w:t>
      </w:r>
      <w:r>
        <w:t>投标的</w:t>
      </w:r>
      <w:r>
        <w:rPr>
          <w:rFonts w:hint="eastAsia"/>
        </w:rPr>
        <w:t>情形。评委</w:t>
      </w:r>
      <w:r>
        <w:t>发现</w:t>
      </w:r>
      <w:r>
        <w:rPr>
          <w:rFonts w:hint="eastAsia"/>
        </w:rPr>
        <w:t>资格审查文件</w:t>
      </w:r>
      <w:r>
        <w:t>中</w:t>
      </w:r>
      <w:r>
        <w:rPr>
          <w:rFonts w:hint="eastAsia"/>
        </w:rPr>
        <w:t>含义不明确</w:t>
      </w:r>
      <w:r>
        <w:t>、对同类问题表述不一致、有明显</w:t>
      </w:r>
      <w:r>
        <w:rPr>
          <w:rFonts w:hint="eastAsia"/>
        </w:rPr>
        <w:t>文字</w:t>
      </w:r>
      <w:r>
        <w:t>和计算错误的，应当</w:t>
      </w:r>
      <w:r>
        <w:rPr>
          <w:rFonts w:hint="eastAsia"/>
        </w:rPr>
        <w:t>要求</w:t>
      </w:r>
      <w:r>
        <w:t>投标人作必要的澄清、说明</w:t>
      </w:r>
      <w:r>
        <w:rPr>
          <w:rFonts w:hint="eastAsia"/>
        </w:rPr>
        <w:t>后再判定投标人是否通过资格审查</w:t>
      </w:r>
      <w:r>
        <w:t>，不得直接</w:t>
      </w:r>
      <w:r>
        <w:rPr>
          <w:rFonts w:hint="eastAsia"/>
        </w:rPr>
        <w:t>认定其不通过资格审查。</w:t>
      </w:r>
    </w:p>
    <w:p>
      <w:pPr>
        <w:spacing w:line="360" w:lineRule="auto"/>
        <w:ind w:firstLine="459"/>
        <w:sectPr>
          <w:endnotePr>
            <w:numFmt w:val="decimal"/>
          </w:endnotePr>
          <w:pgSz w:w="16838" w:h="11906" w:orient="landscape"/>
          <w:pgMar w:top="1418" w:right="1134" w:bottom="1418" w:left="1247" w:header="851" w:footer="907" w:gutter="0"/>
          <w:cols w:space="425" w:num="1"/>
          <w:titlePg/>
          <w:docGrid w:type="linesAndChars" w:linePitch="312" w:charSpace="0"/>
        </w:sectPr>
      </w:pPr>
      <w:r>
        <w:rPr>
          <w:rFonts w:hint="eastAsia"/>
          <w:kern w:val="0"/>
          <w:szCs w:val="21"/>
        </w:rPr>
        <w:t>评委签名：                                                                        日期：</w:t>
      </w:r>
    </w:p>
    <w:p>
      <w:pPr>
        <w:pStyle w:val="6"/>
        <w:spacing w:before="0" w:beforeAutospacing="0" w:after="0" w:afterAutospacing="0"/>
        <w:jc w:val="left"/>
        <w:rPr>
          <w:sz w:val="36"/>
          <w:szCs w:val="36"/>
        </w:rPr>
      </w:pPr>
      <w:bookmarkStart w:id="26" w:name="_Toc115117426"/>
      <w:r>
        <w:rPr>
          <w:rFonts w:hint="eastAsia"/>
        </w:rPr>
        <w:t xml:space="preserve">附表二 </w:t>
      </w:r>
      <w:bookmarkEnd w:id="26"/>
      <w:r>
        <w:rPr>
          <w:rFonts w:hint="eastAsia"/>
        </w:rPr>
        <w:t xml:space="preserve">                                 </w:t>
      </w:r>
      <w:r>
        <w:rPr>
          <w:rFonts w:hint="eastAsia"/>
          <w:sz w:val="36"/>
          <w:szCs w:val="36"/>
        </w:rPr>
        <w:t>技术标有效性审查表</w:t>
      </w:r>
    </w:p>
    <w:p>
      <w:pPr>
        <w:rPr>
          <w:szCs w:val="21"/>
        </w:rPr>
      </w:pPr>
      <w:r>
        <w:rPr>
          <w:rFonts w:hint="eastAsia"/>
          <w:szCs w:val="21"/>
        </w:rPr>
        <w:t>工程名称：</w:t>
      </w:r>
    </w:p>
    <w:tbl>
      <w:tblPr>
        <w:tblStyle w:val="36"/>
        <w:tblW w:w="14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495"/>
        <w:gridCol w:w="1069"/>
        <w:gridCol w:w="118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10495"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6510" w:firstLineChars="310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1</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《广州建设工程施工招标投标书》中填报的投标总工期不符合招标文件要求的；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2</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《广州建设工程施工招标投标书》中填报的工程质量标准不符合招标文件要求的；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3</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4</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投标文件未按规定的格式</w:t>
            </w:r>
            <w:r>
              <w:rPr>
                <w:rFonts w:hint="eastAsia" w:ascii="宋体" w:hAnsi="宋体" w:cs="宋体"/>
                <w:b/>
                <w:bCs/>
                <w:szCs w:val="21"/>
                <w:u w:val="single"/>
              </w:rPr>
              <w:t>（指</w:t>
            </w:r>
            <w:r>
              <w:rPr>
                <w:rFonts w:hint="eastAsia"/>
                <w:b/>
                <w:bCs/>
                <w:u w:val="single"/>
              </w:rPr>
              <w:t>“第四章投标文件格式”的格式二、格式六、格式七、格式九</w:t>
            </w:r>
            <w:r>
              <w:rPr>
                <w:rFonts w:hint="eastAsia" w:ascii="宋体" w:hAnsi="宋体" w:cs="宋体"/>
                <w:b/>
                <w:bCs/>
                <w:szCs w:val="21"/>
                <w:u w:val="single"/>
              </w:rPr>
              <w:t>）</w:t>
            </w:r>
            <w:r>
              <w:rPr>
                <w:rFonts w:hint="eastAsia" w:ascii="宋体" w:hAnsi="宋体" w:cs="宋体"/>
                <w:szCs w:val="21"/>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5</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6</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szCs w:val="21"/>
                <w:lang w:eastAsia="zh-CN"/>
              </w:rPr>
            </w:pPr>
            <w:r>
              <w:rPr>
                <w:rFonts w:hint="eastAsia" w:ascii="宋体" w:hAnsi="宋体"/>
                <w:szCs w:val="21"/>
                <w:lang w:val="en-US" w:eastAsia="zh-CN"/>
              </w:rPr>
              <w:t>7</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pStyle w:val="19"/>
        <w:rPr>
          <w:rFonts w:hAnsi="宋体"/>
          <w:szCs w:val="21"/>
        </w:rPr>
      </w:pPr>
      <w:r>
        <w:rPr>
          <w:rFonts w:hint="eastAsia"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pStyle w:val="19"/>
        <w:rPr>
          <w:rFonts w:hAnsi="宋体"/>
          <w:szCs w:val="21"/>
        </w:rPr>
      </w:pPr>
      <w:r>
        <w:rPr>
          <w:rFonts w:hint="eastAsia"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19"/>
        <w:rPr>
          <w:rFonts w:hAnsi="宋体"/>
          <w:szCs w:val="21"/>
        </w:rPr>
      </w:pPr>
      <w:r>
        <w:rPr>
          <w:rFonts w:hint="eastAsia" w:hAnsi="宋体"/>
          <w:szCs w:val="21"/>
        </w:rPr>
        <w:t>3.凡出现以上任何一项情形，结论均为无效，否则就为有效。</w:t>
      </w:r>
    </w:p>
    <w:p>
      <w:pPr>
        <w:pStyle w:val="19"/>
      </w:pPr>
      <w:r>
        <w:rPr>
          <w:rFonts w:hint="eastAsia" w:hAnsi="宋体"/>
          <w:szCs w:val="21"/>
        </w:rPr>
        <w:t>4.如对本表中某种情形的评审意见不一致时，以评标委员会过半数成员的意见作为评标委员会对该情形的认定结论。</w:t>
      </w:r>
    </w:p>
    <w:p>
      <w:pPr>
        <w:spacing w:line="360" w:lineRule="auto"/>
        <w:ind w:firstLine="459"/>
        <w:rPr>
          <w:rFonts w:ascii="宋体" w:hAnsi="宋体" w:cs="仿宋_GB2312"/>
          <w:szCs w:val="21"/>
        </w:rPr>
      </w:pPr>
      <w:r>
        <w:rPr>
          <w:rFonts w:hint="eastAsia"/>
          <w:kern w:val="0"/>
          <w:szCs w:val="21"/>
        </w:rPr>
        <w:t>评委签名：                                                                        日期：</w:t>
      </w:r>
    </w:p>
    <w:p>
      <w:pPr>
        <w:pStyle w:val="7"/>
        <w:ind w:firstLine="0" w:firstLineChars="0"/>
        <w:rPr>
          <w:color w:val="auto"/>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425" w:num="1"/>
          <w:docGrid w:type="linesAndChars" w:linePitch="312" w:charSpace="0"/>
        </w:sectPr>
      </w:pPr>
    </w:p>
    <w:p>
      <w:pPr>
        <w:rPr>
          <w:b/>
          <w:sz w:val="36"/>
          <w:szCs w:val="36"/>
        </w:rPr>
      </w:pPr>
      <w:bookmarkStart w:id="27" w:name="_Toc115117427"/>
      <w:r>
        <w:rPr>
          <w:rFonts w:hint="eastAsia"/>
          <w:b/>
          <w:bCs/>
        </w:rPr>
        <w:t>附表三</w:t>
      </w:r>
      <w:r>
        <w:rPr>
          <w:rFonts w:hint="eastAsia"/>
        </w:rPr>
        <w:t xml:space="preserve"> </w:t>
      </w:r>
      <w:bookmarkEnd w:id="27"/>
      <w:r>
        <w:rPr>
          <w:rFonts w:hint="eastAsia"/>
          <w:b/>
          <w:sz w:val="36"/>
          <w:szCs w:val="36"/>
        </w:rPr>
        <w:t xml:space="preserve">                              经济标有效性审查表</w:t>
      </w:r>
    </w:p>
    <w:p>
      <w:pPr>
        <w:rPr>
          <w:szCs w:val="21"/>
        </w:rPr>
      </w:pPr>
      <w:r>
        <w:rPr>
          <w:rFonts w:hint="eastAsia"/>
          <w:szCs w:val="21"/>
        </w:rPr>
        <w:t>工程名称：</w:t>
      </w:r>
    </w:p>
    <w:tbl>
      <w:tblPr>
        <w:tblStyle w:val="36"/>
        <w:tblW w:w="14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19"/>
        <w:gridCol w:w="1069"/>
        <w:gridCol w:w="108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10719" w:type="dxa"/>
            <w:tcBorders>
              <w:top w:val="single" w:color="auto" w:sz="4" w:space="0"/>
              <w:left w:val="single" w:color="auto" w:sz="4" w:space="0"/>
              <w:bottom w:val="single" w:color="auto" w:sz="4" w:space="0"/>
              <w:right w:val="single" w:color="auto" w:sz="4" w:space="0"/>
              <w:tl2br w:val="single" w:color="auto" w:sz="4" w:space="0"/>
            </w:tcBorders>
          </w:tcPr>
          <w:p>
            <w:pPr>
              <w:ind w:firstLine="6090" w:firstLineChars="2900"/>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投标总报价高于最高投标限价的；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107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cs="宋体"/>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投标文件未按规定的格式</w:t>
            </w:r>
            <w:r>
              <w:rPr>
                <w:rFonts w:hint="eastAsia" w:ascii="宋体" w:hAnsi="宋体" w:cs="宋体"/>
                <w:b/>
                <w:bCs/>
                <w:szCs w:val="21"/>
                <w:u w:val="single"/>
              </w:rPr>
              <w:t>（指</w:t>
            </w:r>
            <w:r>
              <w:rPr>
                <w:rFonts w:hint="eastAsia"/>
                <w:b/>
                <w:bCs/>
                <w:u w:val="single"/>
              </w:rPr>
              <w:t>“第四章投标文件格式”的格式十一、格式十二、格式十三</w:t>
            </w:r>
            <w:r>
              <w:rPr>
                <w:rFonts w:hint="eastAsia" w:ascii="宋体" w:hAnsi="宋体" w:cs="宋体"/>
                <w:b/>
                <w:bCs/>
                <w:szCs w:val="21"/>
                <w:u w:val="single"/>
              </w:rPr>
              <w:t>）</w:t>
            </w:r>
            <w:r>
              <w:rPr>
                <w:rFonts w:hint="eastAsia" w:ascii="宋体" w:hAnsi="宋体" w:cs="宋体"/>
                <w:szCs w:val="21"/>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59"/>
        <w:rPr>
          <w:rFonts w:ascii="宋体" w:hAnsi="宋体" w:cs="仿宋_GB2312"/>
          <w:szCs w:val="21"/>
        </w:rPr>
      </w:pPr>
      <w:bookmarkStart w:id="28" w:name="_Toc79144512"/>
      <w:r>
        <w:rPr>
          <w:rFonts w:hint="eastAsia"/>
          <w:kern w:val="0"/>
          <w:szCs w:val="21"/>
        </w:rPr>
        <w:t>评委签名：                                                                        日期：</w:t>
      </w:r>
    </w:p>
    <w:bookmarkEnd w:id="28"/>
    <w:p>
      <w:pPr>
        <w:pStyle w:val="6"/>
        <w:jc w:val="left"/>
        <w:rPr>
          <w:sz w:val="36"/>
          <w:szCs w:val="36"/>
        </w:rPr>
      </w:pPr>
      <w:bookmarkStart w:id="29" w:name="_Toc115117428"/>
      <w:r>
        <w:rPr>
          <w:rFonts w:hint="eastAsia"/>
        </w:rPr>
        <w:t xml:space="preserve">附表四 </w:t>
      </w:r>
      <w:bookmarkEnd w:id="29"/>
      <w:r>
        <w:rPr>
          <w:rFonts w:hint="eastAsia"/>
        </w:rPr>
        <w:t xml:space="preserve">                                       </w:t>
      </w:r>
      <w:r>
        <w:rPr>
          <w:rFonts w:hint="eastAsia"/>
          <w:sz w:val="36"/>
          <w:szCs w:val="36"/>
        </w:rPr>
        <w:t>技术标详细审查评分表</w:t>
      </w:r>
    </w:p>
    <w:p>
      <w:pPr>
        <w:pStyle w:val="2"/>
        <w:ind w:firstLine="0"/>
      </w:pPr>
      <w:r>
        <w:rPr>
          <w:rFonts w:hint="eastAsia" w:ascii="宋体" w:hAnsi="宋体" w:cs="宋体"/>
          <w:szCs w:val="21"/>
        </w:rPr>
        <w:t>工程名称：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70"/>
        <w:gridCol w:w="1695"/>
        <w:gridCol w:w="735"/>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r>
              <w:rPr>
                <w:rFonts w:hint="eastAsia" w:ascii="宋体" w:hAnsi="宋体" w:cs="宋体"/>
                <w:bCs/>
                <w:szCs w:val="21"/>
              </w:rPr>
              <w:t>序号</w:t>
            </w:r>
          </w:p>
        </w:tc>
        <w:tc>
          <w:tcPr>
            <w:tcW w:w="1170"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szCs w:val="21"/>
              </w:rPr>
            </w:pPr>
            <w:r>
              <w:rPr>
                <w:rFonts w:hint="eastAsia" w:ascii="宋体" w:hAnsi="宋体" w:cs="宋体"/>
                <w:bCs/>
                <w:szCs w:val="21"/>
              </w:rPr>
              <w:t>评分项目</w:t>
            </w:r>
          </w:p>
        </w:tc>
        <w:tc>
          <w:tcPr>
            <w:tcW w:w="169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szCs w:val="21"/>
              </w:rPr>
            </w:pPr>
            <w:r>
              <w:rPr>
                <w:rFonts w:hint="eastAsia" w:ascii="宋体" w:hAnsi="宋体" w:cs="宋体"/>
                <w:bCs/>
                <w:szCs w:val="21"/>
              </w:rPr>
              <w:t>评分内容</w:t>
            </w:r>
          </w:p>
        </w:tc>
        <w:tc>
          <w:tcPr>
            <w:tcW w:w="73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szCs w:val="21"/>
              </w:rPr>
            </w:pPr>
            <w:r>
              <w:rPr>
                <w:rFonts w:hint="eastAsia" w:ascii="宋体" w:hAnsi="宋体" w:cs="宋体"/>
                <w:bCs/>
                <w:szCs w:val="21"/>
              </w:rPr>
              <w:t>分值</w:t>
            </w:r>
          </w:p>
        </w:tc>
        <w:tc>
          <w:tcPr>
            <w:tcW w:w="988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trPr>
        <w:tc>
          <w:tcPr>
            <w:tcW w:w="637" w:type="dxa"/>
            <w:vMerge w:val="restart"/>
            <w:tcBorders>
              <w:top w:val="single" w:color="auto" w:sz="4" w:space="0"/>
              <w:left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r>
              <w:rPr>
                <w:rFonts w:hint="eastAsia" w:ascii="宋体" w:hAnsi="宋体" w:cs="宋体"/>
                <w:bCs/>
                <w:szCs w:val="21"/>
              </w:rPr>
              <w:t>1</w:t>
            </w:r>
          </w:p>
        </w:tc>
        <w:tc>
          <w:tcPr>
            <w:tcW w:w="1170" w:type="dxa"/>
            <w:vMerge w:val="restart"/>
            <w:tcBorders>
              <w:top w:val="single" w:color="auto" w:sz="4" w:space="0"/>
              <w:left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r>
              <w:rPr>
                <w:rFonts w:hint="eastAsia" w:ascii="宋体" w:hAnsi="宋体" w:cs="宋体"/>
                <w:bCs/>
                <w:szCs w:val="21"/>
              </w:rPr>
              <w:t>项目管理机构能力（14分）</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rPr>
              <w:t>技术负责人</w:t>
            </w:r>
          </w:p>
        </w:tc>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rPr>
              <w:t>4</w:t>
            </w:r>
          </w:p>
        </w:tc>
        <w:tc>
          <w:tcPr>
            <w:tcW w:w="9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szCs w:val="21"/>
              </w:rPr>
            </w:pPr>
            <w:r>
              <w:rPr>
                <w:rFonts w:hint="eastAsia" w:ascii="宋体" w:hAnsi="宋体"/>
                <w:szCs w:val="21"/>
              </w:rPr>
              <w:t>具有</w:t>
            </w:r>
            <w:r>
              <w:rPr>
                <w:rFonts w:hint="eastAsia"/>
              </w:rPr>
              <w:t>建筑工程相关专业高级工程师或以上的</w:t>
            </w:r>
            <w:r>
              <w:rPr>
                <w:rFonts w:hint="eastAsia" w:ascii="宋体" w:hAnsi="宋体"/>
                <w:szCs w:val="21"/>
              </w:rPr>
              <w:t>，得4分；</w:t>
            </w:r>
            <w:r>
              <w:rPr>
                <w:rFonts w:hint="eastAsia" w:ascii="宋体" w:hAnsi="宋体"/>
              </w:rPr>
              <w:t>其他情况不得分。本小项最多得4分。</w:t>
            </w:r>
            <w:r>
              <w:rPr>
                <w:rFonts w:hint="eastAsia" w:ascii="宋体" w:hAnsi="宋体"/>
                <w:szCs w:val="21"/>
              </w:rPr>
              <w:t>须提供职称证书原件扫描件。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blHeader/>
        </w:trPr>
        <w:tc>
          <w:tcPr>
            <w:tcW w:w="637" w:type="dxa"/>
            <w:vMerge w:val="continue"/>
            <w:tcBorders>
              <w:left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p>
        </w:tc>
        <w:tc>
          <w:tcPr>
            <w:tcW w:w="1170" w:type="dxa"/>
            <w:vMerge w:val="continue"/>
            <w:tcBorders>
              <w:left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rPr>
              <w:t>质量负责人</w:t>
            </w:r>
          </w:p>
        </w:tc>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rPr>
              <w:t>4</w:t>
            </w:r>
          </w:p>
        </w:tc>
        <w:tc>
          <w:tcPr>
            <w:tcW w:w="9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szCs w:val="21"/>
              </w:rPr>
            </w:pPr>
            <w:r>
              <w:rPr>
                <w:rFonts w:hint="eastAsia" w:ascii="宋体" w:hAnsi="宋体"/>
                <w:szCs w:val="21"/>
              </w:rPr>
              <w:t>具有</w:t>
            </w:r>
            <w:r>
              <w:rPr>
                <w:rFonts w:hint="eastAsia"/>
              </w:rPr>
              <w:t>建筑工程相关专业高级工程师或以上的</w:t>
            </w:r>
            <w:r>
              <w:rPr>
                <w:rFonts w:hint="eastAsia" w:ascii="宋体" w:hAnsi="宋体"/>
                <w:szCs w:val="21"/>
              </w:rPr>
              <w:t>，得4分；具有建筑工程相关专业技术职称中级的，得2分；</w:t>
            </w:r>
            <w:r>
              <w:rPr>
                <w:rFonts w:hint="eastAsia" w:ascii="宋体" w:hAnsi="宋体"/>
              </w:rPr>
              <w:t>其他情况不得分。本小项最多得4分。</w:t>
            </w:r>
            <w:r>
              <w:rPr>
                <w:rFonts w:hint="eastAsia" w:ascii="宋体" w:hAnsi="宋体"/>
                <w:szCs w:val="21"/>
              </w:rPr>
              <w:t>须提供职称证书原件扫描件。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blHeader/>
        </w:trPr>
        <w:tc>
          <w:tcPr>
            <w:tcW w:w="637" w:type="dxa"/>
            <w:vMerge w:val="continue"/>
            <w:tcBorders>
              <w:left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p>
        </w:tc>
        <w:tc>
          <w:tcPr>
            <w:tcW w:w="1170" w:type="dxa"/>
            <w:vMerge w:val="continue"/>
            <w:tcBorders>
              <w:left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rPr>
              <w:t>安全负责人</w:t>
            </w:r>
          </w:p>
        </w:tc>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cs="宋体"/>
                <w:szCs w:val="21"/>
              </w:rPr>
              <w:t>3</w:t>
            </w:r>
          </w:p>
        </w:tc>
        <w:tc>
          <w:tcPr>
            <w:tcW w:w="9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szCs w:val="21"/>
              </w:rPr>
            </w:pPr>
            <w:r>
              <w:rPr>
                <w:rFonts w:hint="eastAsia" w:ascii="宋体" w:hAnsi="宋体"/>
                <w:szCs w:val="21"/>
              </w:rPr>
              <w:t>具有注册安全工程师证书</w:t>
            </w:r>
            <w:r>
              <w:rPr>
                <w:rFonts w:hint="eastAsia" w:ascii="宋体" w:hAnsi="宋体"/>
                <w:szCs w:val="21"/>
                <w:lang w:eastAsia="zh-CN"/>
              </w:rPr>
              <w:t>（</w:t>
            </w:r>
            <w:r>
              <w:rPr>
                <w:rFonts w:hint="eastAsia" w:ascii="宋体" w:hAnsi="宋体"/>
                <w:szCs w:val="21"/>
                <w:lang w:val="en-US" w:eastAsia="zh-CN"/>
              </w:rPr>
              <w:t>注册专业类型为建筑施工安全</w:t>
            </w:r>
            <w:r>
              <w:rPr>
                <w:rFonts w:hint="eastAsia" w:ascii="宋体" w:hAnsi="宋体"/>
                <w:szCs w:val="21"/>
                <w:lang w:eastAsia="zh-CN"/>
              </w:rPr>
              <w:t>）</w:t>
            </w:r>
            <w:r>
              <w:rPr>
                <w:rFonts w:hint="eastAsia" w:ascii="宋体" w:hAnsi="宋体"/>
                <w:szCs w:val="21"/>
              </w:rPr>
              <w:t>（有效期内），得</w:t>
            </w:r>
            <w:r>
              <w:rPr>
                <w:rFonts w:hint="eastAsia" w:ascii="宋体" w:hAnsi="宋体"/>
                <w:szCs w:val="21"/>
                <w:lang w:val="en-US" w:eastAsia="zh-CN"/>
              </w:rPr>
              <w:t>3</w:t>
            </w:r>
            <w:r>
              <w:rPr>
                <w:rFonts w:hint="eastAsia" w:ascii="宋体" w:hAnsi="宋体"/>
                <w:szCs w:val="21"/>
              </w:rPr>
              <w:t>分；</w:t>
            </w:r>
          </w:p>
          <w:p>
            <w:pPr>
              <w:adjustRightInd w:val="0"/>
              <w:snapToGrid w:val="0"/>
              <w:spacing w:line="276" w:lineRule="auto"/>
              <w:rPr>
                <w:rFonts w:ascii="宋体" w:hAnsi="宋体"/>
                <w:szCs w:val="21"/>
              </w:rPr>
            </w:pPr>
            <w:r>
              <w:rPr>
                <w:rFonts w:hint="eastAsia" w:ascii="宋体" w:hAnsi="宋体"/>
                <w:szCs w:val="21"/>
              </w:rPr>
              <w:t>其他情况不得分。</w:t>
            </w:r>
          </w:p>
          <w:p>
            <w:pPr>
              <w:adjustRightInd w:val="0"/>
              <w:snapToGrid w:val="0"/>
              <w:spacing w:line="276" w:lineRule="auto"/>
              <w:rPr>
                <w:rFonts w:ascii="宋体" w:hAnsi="宋体"/>
                <w:szCs w:val="21"/>
              </w:rPr>
            </w:pPr>
            <w:r>
              <w:rPr>
                <w:rFonts w:hint="eastAsia" w:ascii="宋体" w:hAnsi="宋体"/>
                <w:szCs w:val="21"/>
              </w:rPr>
              <w:t>本小项最多得3分。须提供安全工程师注册证书原件扫描件。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blHeader/>
        </w:trPr>
        <w:tc>
          <w:tcPr>
            <w:tcW w:w="637" w:type="dxa"/>
            <w:vMerge w:val="continue"/>
            <w:tcBorders>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p>
        </w:tc>
        <w:tc>
          <w:tcPr>
            <w:tcW w:w="1170" w:type="dxa"/>
            <w:vMerge w:val="continue"/>
            <w:tcBorders>
              <w:left w:val="single" w:color="auto" w:sz="4" w:space="0"/>
              <w:bottom w:val="single" w:color="auto" w:sz="4" w:space="0"/>
              <w:right w:val="single" w:color="auto" w:sz="4" w:space="0"/>
            </w:tcBorders>
            <w:vAlign w:val="center"/>
          </w:tcPr>
          <w:p>
            <w:pPr>
              <w:tabs>
                <w:tab w:val="left" w:pos="360"/>
              </w:tabs>
              <w:spacing w:line="276" w:lineRule="auto"/>
              <w:jc w:val="center"/>
              <w:rPr>
                <w:rFonts w:ascii="宋体" w:hAnsi="宋体" w:cs="宋体"/>
                <w:bCs/>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rPr>
              <w:t>造价负责人</w:t>
            </w:r>
          </w:p>
        </w:tc>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szCs w:val="21"/>
              </w:rPr>
            </w:pPr>
            <w:r>
              <w:rPr>
                <w:rFonts w:hint="eastAsia" w:ascii="宋体" w:hAnsi="宋体" w:cs="宋体"/>
                <w:szCs w:val="21"/>
              </w:rPr>
              <w:t>3</w:t>
            </w:r>
          </w:p>
        </w:tc>
        <w:tc>
          <w:tcPr>
            <w:tcW w:w="9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hint="eastAsia" w:ascii="宋体" w:hAnsi="宋体" w:eastAsia="宋体"/>
                <w:szCs w:val="21"/>
                <w:lang w:val="en-US" w:eastAsia="zh-CN"/>
              </w:rPr>
            </w:pPr>
            <w:r>
              <w:rPr>
                <w:rFonts w:hint="eastAsia" w:ascii="宋体" w:hAnsi="宋体"/>
                <w:szCs w:val="21"/>
              </w:rPr>
              <w:t>具有一级注册造价工程师执业资格（须在有效期内），得</w:t>
            </w:r>
            <w:r>
              <w:rPr>
                <w:rFonts w:hint="eastAsia" w:ascii="宋体" w:hAnsi="宋体"/>
                <w:szCs w:val="21"/>
                <w:lang w:val="en-US" w:eastAsia="zh-CN"/>
              </w:rPr>
              <w:t>3</w:t>
            </w:r>
            <w:r>
              <w:rPr>
                <w:rFonts w:hint="eastAsia" w:ascii="宋体" w:hAnsi="宋体"/>
                <w:szCs w:val="21"/>
              </w:rPr>
              <w:t>分；</w:t>
            </w:r>
            <w:r>
              <w:rPr>
                <w:rFonts w:hint="eastAsia" w:ascii="宋体" w:hAnsi="宋体"/>
                <w:szCs w:val="21"/>
                <w:lang w:val="en-US" w:eastAsia="zh-CN"/>
              </w:rPr>
              <w:t>具有二级注册造价工程师职业资格</w:t>
            </w:r>
            <w:r>
              <w:rPr>
                <w:rFonts w:hint="eastAsia" w:ascii="宋体" w:hAnsi="宋体"/>
                <w:szCs w:val="21"/>
              </w:rPr>
              <w:t>（须在有效期内），得</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p>
          <w:p>
            <w:pPr>
              <w:adjustRightInd w:val="0"/>
              <w:snapToGrid w:val="0"/>
              <w:spacing w:line="276" w:lineRule="auto"/>
              <w:rPr>
                <w:rFonts w:ascii="宋体" w:hAnsi="宋体"/>
                <w:szCs w:val="21"/>
              </w:rPr>
            </w:pPr>
            <w:r>
              <w:rPr>
                <w:rFonts w:hint="eastAsia" w:ascii="宋体" w:hAnsi="宋体"/>
                <w:szCs w:val="21"/>
              </w:rPr>
              <w:t>其他情况不得分。</w:t>
            </w:r>
          </w:p>
          <w:p>
            <w:pPr>
              <w:adjustRightInd w:val="0"/>
              <w:snapToGrid w:val="0"/>
              <w:spacing w:line="276" w:lineRule="auto"/>
              <w:rPr>
                <w:rFonts w:ascii="宋体" w:hAnsi="宋体"/>
                <w:szCs w:val="21"/>
              </w:rPr>
            </w:pPr>
            <w:r>
              <w:rPr>
                <w:rFonts w:hint="eastAsia" w:ascii="宋体" w:hAnsi="宋体"/>
                <w:szCs w:val="21"/>
              </w:rPr>
              <w:t>本小项最多得3分。须提供造价工程师注册证书原件扫描件。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trPr>
        <w:tc>
          <w:tcPr>
            <w:tcW w:w="637" w:type="dxa"/>
            <w:vMerge w:val="restart"/>
            <w:tcBorders>
              <w:top w:val="single" w:color="auto" w:sz="4" w:space="0"/>
              <w:left w:val="single" w:color="auto" w:sz="4" w:space="0"/>
              <w:right w:val="single" w:color="auto" w:sz="4" w:space="0"/>
            </w:tcBorders>
            <w:vAlign w:val="center"/>
          </w:tcPr>
          <w:p>
            <w:pPr>
              <w:spacing w:line="276" w:lineRule="auto"/>
              <w:ind w:right="134" w:rightChars="64"/>
              <w:jc w:val="center"/>
              <w:rPr>
                <w:rFonts w:ascii="宋体" w:hAnsi="宋体" w:cs="宋体"/>
                <w:szCs w:val="21"/>
              </w:rPr>
            </w:pPr>
            <w:r>
              <w:rPr>
                <w:rFonts w:hint="eastAsia" w:ascii="宋体" w:hAnsi="宋体" w:cs="宋体"/>
                <w:szCs w:val="21"/>
              </w:rPr>
              <w:t xml:space="preserve"> 2</w:t>
            </w:r>
          </w:p>
        </w:tc>
        <w:tc>
          <w:tcPr>
            <w:tcW w:w="1170" w:type="dxa"/>
            <w:vMerge w:val="restart"/>
            <w:tcBorders>
              <w:top w:val="single" w:color="auto" w:sz="4" w:space="0"/>
              <w:left w:val="single" w:color="auto" w:sz="4" w:space="0"/>
              <w:right w:val="single" w:color="auto" w:sz="4" w:space="0"/>
            </w:tcBorders>
            <w:vAlign w:val="center"/>
          </w:tcPr>
          <w:p>
            <w:pPr>
              <w:spacing w:line="276" w:lineRule="auto"/>
              <w:ind w:right="134" w:rightChars="64"/>
              <w:jc w:val="center"/>
              <w:rPr>
                <w:rFonts w:ascii="宋体" w:hAnsi="宋体" w:cs="宋体"/>
                <w:szCs w:val="21"/>
              </w:rPr>
            </w:pPr>
            <w:r>
              <w:rPr>
                <w:rFonts w:hint="eastAsia" w:ascii="宋体" w:hAnsi="宋体" w:cs="宋体"/>
                <w:szCs w:val="21"/>
              </w:rPr>
              <w:t>企业资信情况（6分）</w:t>
            </w:r>
          </w:p>
        </w:tc>
        <w:tc>
          <w:tcPr>
            <w:tcW w:w="1695" w:type="dxa"/>
            <w:tcBorders>
              <w:top w:val="single" w:color="auto" w:sz="4" w:space="0"/>
              <w:left w:val="single" w:color="auto" w:sz="4" w:space="0"/>
              <w:bottom w:val="single" w:color="auto" w:sz="4" w:space="0"/>
              <w:right w:val="single" w:color="auto" w:sz="4" w:space="0"/>
            </w:tcBorders>
            <w:vAlign w:val="center"/>
          </w:tcPr>
          <w:p>
            <w:pPr>
              <w:spacing w:line="276" w:lineRule="auto"/>
              <w:ind w:right="134" w:rightChars="64"/>
              <w:jc w:val="center"/>
              <w:rPr>
                <w:rFonts w:ascii="宋体" w:hAnsi="宋体" w:cs="宋体"/>
                <w:szCs w:val="21"/>
              </w:rPr>
            </w:pPr>
            <w:r>
              <w:rPr>
                <w:rFonts w:hint="eastAsia" w:ascii="宋体" w:hAnsi="宋体" w:cs="宋体"/>
                <w:szCs w:val="21"/>
              </w:rPr>
              <w:t>企业类似工程业绩</w:t>
            </w:r>
          </w:p>
        </w:tc>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4</w:t>
            </w:r>
          </w:p>
        </w:tc>
        <w:tc>
          <w:tcPr>
            <w:tcW w:w="98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highlight w:val="none"/>
              </w:rPr>
            </w:pPr>
            <w:r>
              <w:rPr>
                <w:rFonts w:hint="eastAsia" w:hAnsi="宋体"/>
              </w:rPr>
              <w:t>投标人</w:t>
            </w:r>
            <w:r>
              <w:rPr>
                <w:rFonts w:hint="eastAsia" w:ascii="宋体" w:hAnsi="宋体"/>
              </w:rPr>
              <w:t>自2020年1月1日至投标截止时间，完成过质量合</w:t>
            </w:r>
            <w:r>
              <w:rPr>
                <w:rFonts w:hint="eastAsia" w:ascii="宋体" w:hAnsi="宋体"/>
                <w:highlight w:val="none"/>
              </w:rPr>
              <w:t>格的</w:t>
            </w:r>
            <w:r>
              <w:rPr>
                <w:rFonts w:hint="eastAsia" w:ascii="宋体" w:hAnsi="宋体"/>
                <w:highlight w:val="none"/>
                <w:lang w:val="en-US" w:eastAsia="zh-CN"/>
              </w:rPr>
              <w:t>20</w:t>
            </w:r>
            <w:r>
              <w:rPr>
                <w:rFonts w:hint="eastAsia" w:ascii="宋体" w:hAnsi="宋体"/>
                <w:highlight w:val="none"/>
              </w:rPr>
              <w:t>00万元或以上的建筑工程施工总承包业绩</w:t>
            </w:r>
            <w:r>
              <w:rPr>
                <w:rFonts w:hint="eastAsia" w:ascii="宋体" w:hAnsi="宋体" w:cs="宋体"/>
                <w:bCs/>
                <w:szCs w:val="21"/>
              </w:rPr>
              <w:t>（与招标公告资质要求相符）</w:t>
            </w:r>
            <w:r>
              <w:rPr>
                <w:rFonts w:hint="eastAsia" w:ascii="宋体" w:hAnsi="宋体"/>
                <w:szCs w:val="21"/>
                <w:highlight w:val="none"/>
              </w:rPr>
              <w:t>：</w:t>
            </w:r>
          </w:p>
          <w:p>
            <w:pPr>
              <w:widowControl/>
              <w:spacing w:line="300" w:lineRule="exact"/>
              <w:jc w:val="left"/>
              <w:rPr>
                <w:rFonts w:ascii="宋体" w:hAnsi="宋体"/>
              </w:rPr>
            </w:pPr>
            <w:r>
              <w:rPr>
                <w:rFonts w:hint="eastAsia" w:ascii="宋体" w:hAnsi="宋体"/>
              </w:rPr>
              <w:t>按数量由多到少横向对比排名，第1-3名得2.4分；第4-6名得1.2分；第7-9名得0.6分；第10名及往后排名得0.3分，没有完成业绩的或不符合上述条件或未提供证明材料的不得分。（若出现排名相同的则名次并列，占用下一名次。）</w:t>
            </w:r>
          </w:p>
          <w:p>
            <w:pPr>
              <w:widowControl/>
              <w:spacing w:line="300" w:lineRule="exact"/>
              <w:jc w:val="left"/>
              <w:rPr>
                <w:rFonts w:ascii="宋体" w:hAnsi="宋体" w:cs="宋体"/>
                <w:szCs w:val="21"/>
              </w:rPr>
            </w:pPr>
            <w:r>
              <w:rPr>
                <w:rFonts w:hint="eastAsia" w:ascii="宋体" w:hAnsi="宋体"/>
              </w:rPr>
              <w:t>不符合上述条件的不得分，本项最高得2.</w:t>
            </w:r>
            <w:r>
              <w:rPr>
                <w:rFonts w:hint="eastAsia" w:ascii="宋体" w:hAnsi="宋体"/>
                <w:lang w:val="en-US" w:eastAsia="zh-CN"/>
              </w:rPr>
              <w:t>4</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blHeader/>
        </w:trPr>
        <w:tc>
          <w:tcPr>
            <w:tcW w:w="637" w:type="dxa"/>
            <w:vMerge w:val="continue"/>
            <w:tcBorders>
              <w:left w:val="single" w:color="auto" w:sz="4" w:space="0"/>
              <w:right w:val="single" w:color="auto" w:sz="4" w:space="0"/>
            </w:tcBorders>
            <w:vAlign w:val="center"/>
          </w:tcPr>
          <w:p>
            <w:pPr>
              <w:spacing w:line="276" w:lineRule="auto"/>
              <w:ind w:right="134" w:rightChars="64"/>
              <w:jc w:val="center"/>
              <w:rPr>
                <w:rFonts w:ascii="宋体" w:hAnsi="宋体" w:cs="宋体"/>
                <w:szCs w:val="21"/>
              </w:rPr>
            </w:pPr>
          </w:p>
        </w:tc>
        <w:tc>
          <w:tcPr>
            <w:tcW w:w="1170" w:type="dxa"/>
            <w:vMerge w:val="continue"/>
            <w:tcBorders>
              <w:left w:val="single" w:color="auto" w:sz="4" w:space="0"/>
              <w:right w:val="single" w:color="auto" w:sz="4" w:space="0"/>
            </w:tcBorders>
            <w:vAlign w:val="center"/>
          </w:tcPr>
          <w:p>
            <w:pPr>
              <w:spacing w:line="276" w:lineRule="auto"/>
              <w:ind w:right="134" w:rightChars="64"/>
              <w:jc w:val="center"/>
              <w:rPr>
                <w:rFonts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76" w:lineRule="auto"/>
              <w:ind w:right="134" w:rightChars="64"/>
              <w:jc w:val="center"/>
              <w:rPr>
                <w:rFonts w:ascii="宋体" w:hAnsi="宋体" w:cs="宋体"/>
                <w:szCs w:val="21"/>
              </w:rPr>
            </w:pPr>
            <w:r>
              <w:rPr>
                <w:rFonts w:hint="eastAsia" w:ascii="宋体" w:hAnsi="宋体" w:cs="宋体"/>
                <w:szCs w:val="21"/>
              </w:rPr>
              <w:t>工程获奖</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2</w:t>
            </w:r>
          </w:p>
        </w:tc>
        <w:tc>
          <w:tcPr>
            <w:tcW w:w="98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pPr>
            <w:r>
              <w:rPr>
                <w:rFonts w:hint="eastAsia" w:hAnsi="宋体"/>
              </w:rPr>
              <w:t>投标人</w:t>
            </w:r>
            <w:r>
              <w:rPr>
                <w:rFonts w:hint="eastAsia" w:ascii="宋体" w:hAnsi="宋体" w:cs="宋体"/>
                <w:szCs w:val="21"/>
              </w:rPr>
              <w:t>自2020年1月1日至投标截止时间（以获奖证书颁发时间为准），投标人</w:t>
            </w:r>
            <w:r>
              <w:rPr>
                <w:rFonts w:hint="eastAsia" w:ascii="宋体" w:hAnsi="宋体"/>
              </w:rPr>
              <w:t>承接过的建筑工程施工总承包业绩</w:t>
            </w:r>
            <w:r>
              <w:rPr>
                <w:rFonts w:hint="eastAsia" w:ascii="宋体" w:hAnsi="宋体" w:cs="宋体"/>
                <w:szCs w:val="21"/>
              </w:rPr>
              <w:t>获得过市级或以上工程质量奖项的</w:t>
            </w:r>
            <w:r>
              <w:rPr>
                <w:rFonts w:hint="eastAsia" w:ascii="宋体" w:hAnsi="宋体"/>
                <w:szCs w:val="21"/>
              </w:rPr>
              <w:t>：</w:t>
            </w:r>
          </w:p>
          <w:p>
            <w:pPr>
              <w:widowControl/>
              <w:spacing w:line="300" w:lineRule="exact"/>
              <w:jc w:val="left"/>
              <w:rPr>
                <w:rFonts w:ascii="宋体" w:hAnsi="宋体"/>
              </w:rPr>
            </w:pPr>
            <w:r>
              <w:rPr>
                <w:rFonts w:hint="eastAsia" w:ascii="宋体" w:hAnsi="宋体"/>
              </w:rPr>
              <w:t>（1）累计15项以上（不含15项）的，得1.</w:t>
            </w:r>
            <w:r>
              <w:rPr>
                <w:rFonts w:hint="eastAsia" w:ascii="宋体" w:hAnsi="宋体"/>
                <w:lang w:val="en-US" w:eastAsia="zh-CN"/>
              </w:rPr>
              <w:t>2</w:t>
            </w:r>
            <w:r>
              <w:rPr>
                <w:rFonts w:hint="eastAsia" w:ascii="宋体" w:hAnsi="宋体"/>
              </w:rPr>
              <w:t>分；</w:t>
            </w:r>
          </w:p>
          <w:p>
            <w:pPr>
              <w:widowControl/>
              <w:spacing w:line="300" w:lineRule="exact"/>
              <w:jc w:val="left"/>
              <w:rPr>
                <w:rFonts w:ascii="宋体" w:hAnsi="宋体"/>
              </w:rPr>
            </w:pPr>
            <w:r>
              <w:rPr>
                <w:rFonts w:hint="eastAsia" w:ascii="宋体" w:hAnsi="宋体"/>
              </w:rPr>
              <w:t>（2）累计11～15项的，得0.</w:t>
            </w:r>
            <w:r>
              <w:rPr>
                <w:rFonts w:hint="eastAsia" w:ascii="宋体" w:hAnsi="宋体"/>
                <w:lang w:val="en-US" w:eastAsia="zh-CN"/>
              </w:rPr>
              <w:t>6</w:t>
            </w:r>
            <w:r>
              <w:rPr>
                <w:rFonts w:hint="eastAsia" w:ascii="宋体" w:hAnsi="宋体"/>
              </w:rPr>
              <w:t>分；</w:t>
            </w:r>
          </w:p>
          <w:p>
            <w:pPr>
              <w:widowControl/>
              <w:spacing w:line="300" w:lineRule="exact"/>
              <w:jc w:val="left"/>
              <w:rPr>
                <w:rFonts w:ascii="宋体" w:hAnsi="宋体"/>
              </w:rPr>
            </w:pPr>
            <w:r>
              <w:rPr>
                <w:rFonts w:hint="eastAsia" w:ascii="宋体" w:hAnsi="宋体"/>
              </w:rPr>
              <w:t>（3）累计6～10项的，得0.3分；</w:t>
            </w:r>
          </w:p>
          <w:p>
            <w:pPr>
              <w:widowControl/>
              <w:spacing w:line="300" w:lineRule="exact"/>
              <w:jc w:val="left"/>
              <w:rPr>
                <w:rFonts w:ascii="宋体" w:hAnsi="宋体"/>
              </w:rPr>
            </w:pPr>
            <w:r>
              <w:rPr>
                <w:rFonts w:hint="eastAsia" w:ascii="宋体" w:hAnsi="宋体"/>
              </w:rPr>
              <w:t>（4）累计1～5项的，得0.1分。</w:t>
            </w:r>
          </w:p>
          <w:p>
            <w:pPr>
              <w:spacing w:line="276" w:lineRule="auto"/>
              <w:rPr>
                <w:rFonts w:ascii="宋体" w:hAnsi="宋体" w:cs="宋体"/>
                <w:szCs w:val="21"/>
              </w:rPr>
            </w:pPr>
            <w:r>
              <w:rPr>
                <w:rFonts w:hint="eastAsia" w:ascii="宋体" w:hAnsi="宋体"/>
              </w:rPr>
              <w:t>不符合上述条件的不得分，本项最高得1.</w:t>
            </w:r>
            <w:r>
              <w:rPr>
                <w:rFonts w:hint="eastAsia" w:ascii="宋体" w:hAnsi="宋体"/>
                <w:lang w:val="en-US" w:eastAsia="zh-CN"/>
              </w:rPr>
              <w:t>2</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blHeader/>
        </w:trPr>
        <w:tc>
          <w:tcPr>
            <w:tcW w:w="637" w:type="dxa"/>
            <w:vMerge w:val="continue"/>
            <w:tcBorders>
              <w:left w:val="single" w:color="auto" w:sz="4" w:space="0"/>
              <w:right w:val="single" w:color="auto" w:sz="4" w:space="0"/>
            </w:tcBorders>
            <w:vAlign w:val="center"/>
          </w:tcPr>
          <w:p>
            <w:pPr>
              <w:spacing w:line="276" w:lineRule="auto"/>
              <w:ind w:right="134" w:rightChars="64"/>
              <w:jc w:val="center"/>
              <w:rPr>
                <w:rFonts w:ascii="宋体" w:hAnsi="宋体" w:cs="宋体"/>
                <w:szCs w:val="21"/>
              </w:rPr>
            </w:pPr>
          </w:p>
        </w:tc>
        <w:tc>
          <w:tcPr>
            <w:tcW w:w="1170" w:type="dxa"/>
            <w:vMerge w:val="continue"/>
            <w:tcBorders>
              <w:left w:val="single" w:color="auto" w:sz="4" w:space="0"/>
              <w:right w:val="single" w:color="auto" w:sz="4" w:space="0"/>
            </w:tcBorders>
            <w:vAlign w:val="center"/>
          </w:tcPr>
          <w:p>
            <w:pPr>
              <w:spacing w:line="276" w:lineRule="auto"/>
              <w:ind w:right="134" w:rightChars="64"/>
              <w:jc w:val="center"/>
              <w:rPr>
                <w:rFonts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76" w:lineRule="auto"/>
              <w:ind w:right="134" w:rightChars="64"/>
              <w:jc w:val="center"/>
              <w:rPr>
                <w:rFonts w:ascii="宋体" w:hAnsi="宋体" w:cs="宋体"/>
                <w:szCs w:val="21"/>
              </w:rPr>
            </w:pPr>
            <w:r>
              <w:rPr>
                <w:rFonts w:hint="eastAsia" w:ascii="宋体" w:hAnsi="宋体"/>
                <w:szCs w:val="21"/>
              </w:rPr>
              <w:t>工程研发能力</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.8</w:t>
            </w:r>
          </w:p>
        </w:tc>
        <w:tc>
          <w:tcPr>
            <w:tcW w:w="9885" w:type="dxa"/>
            <w:tcBorders>
              <w:top w:val="single" w:color="auto" w:sz="4" w:space="0"/>
              <w:left w:val="single" w:color="auto" w:sz="4" w:space="0"/>
              <w:bottom w:val="single" w:color="auto" w:sz="4" w:space="0"/>
              <w:right w:val="single" w:color="auto" w:sz="4" w:space="0"/>
            </w:tcBorders>
            <w:vAlign w:val="center"/>
          </w:tcPr>
          <w:p>
            <w:pPr>
              <w:tabs>
                <w:tab w:val="left" w:pos="0"/>
                <w:tab w:val="left" w:pos="501"/>
              </w:tabs>
              <w:adjustRightInd w:val="0"/>
              <w:rPr>
                <w:rFonts w:hint="eastAsia" w:ascii="宋体" w:hAnsi="宋体" w:eastAsia="宋体" w:cs="宋体"/>
                <w:szCs w:val="21"/>
                <w:lang w:val="zh-TW" w:eastAsia="zh-CN"/>
              </w:rPr>
            </w:pPr>
            <w:r>
              <w:rPr>
                <w:rFonts w:hint="eastAsia" w:ascii="宋体" w:hAnsi="宋体"/>
                <w:szCs w:val="21"/>
              </w:rPr>
              <w:t>①投标人自2020年1月1日至投标截止时间止，承接过</w:t>
            </w:r>
            <w:r>
              <w:rPr>
                <w:rFonts w:hint="eastAsia" w:ascii="宋体" w:hAnsi="宋体" w:cs="宋体"/>
                <w:szCs w:val="21"/>
                <w:lang w:val="zh-TW"/>
              </w:rPr>
              <w:t>的</w:t>
            </w:r>
            <w:r>
              <w:rPr>
                <w:rFonts w:hint="eastAsia" w:ascii="宋体" w:hAnsi="宋体" w:cs="宋体"/>
                <w:szCs w:val="21"/>
              </w:rPr>
              <w:t>建筑</w:t>
            </w:r>
            <w:r>
              <w:rPr>
                <w:rFonts w:hint="eastAsia" w:ascii="宋体" w:hAnsi="宋体" w:cs="宋体"/>
                <w:szCs w:val="21"/>
                <w:lang w:val="zh-TW"/>
              </w:rPr>
              <w:t>工程</w:t>
            </w:r>
            <w:r>
              <w:rPr>
                <w:rFonts w:hint="eastAsia" w:ascii="宋体" w:hAnsi="宋体" w:cs="宋体"/>
                <w:szCs w:val="21"/>
                <w:lang w:val="en-US" w:eastAsia="zh-CN"/>
              </w:rPr>
              <w:t>施工</w:t>
            </w:r>
            <w:r>
              <w:rPr>
                <w:rFonts w:hint="eastAsia" w:ascii="宋体" w:hAnsi="宋体" w:cs="宋体"/>
                <w:szCs w:val="21"/>
                <w:lang w:val="zh-TW"/>
              </w:rPr>
              <w:t>项目获得</w:t>
            </w:r>
            <w:r>
              <w:rPr>
                <w:rFonts w:hint="eastAsia" w:ascii="宋体" w:hAnsi="宋体" w:cs="宋体"/>
                <w:szCs w:val="21"/>
                <w:lang w:val="en-US" w:eastAsia="zh-CN"/>
              </w:rPr>
              <w:t>过</w:t>
            </w:r>
            <w:r>
              <w:rPr>
                <w:rFonts w:hint="eastAsia" w:ascii="宋体" w:hAnsi="宋体" w:cs="宋体"/>
                <w:szCs w:val="21"/>
                <w:lang w:val="zh-TW"/>
              </w:rPr>
              <w:t>技术创新</w:t>
            </w:r>
            <w:r>
              <w:rPr>
                <w:rFonts w:hint="eastAsia" w:ascii="宋体" w:hAnsi="宋体" w:cs="宋体"/>
                <w:szCs w:val="21"/>
              </w:rPr>
              <w:t>QC</w:t>
            </w:r>
            <w:r>
              <w:rPr>
                <w:rFonts w:hint="eastAsia" w:ascii="宋体" w:hAnsi="宋体" w:cs="宋体"/>
                <w:szCs w:val="21"/>
                <w:lang w:val="zh-TW"/>
              </w:rPr>
              <w:t>成果（部优以上）奖的，得</w:t>
            </w:r>
            <w:r>
              <w:rPr>
                <w:rFonts w:hint="eastAsia" w:ascii="宋体" w:hAnsi="宋体" w:cs="宋体"/>
                <w:szCs w:val="21"/>
                <w:lang w:val="en-US" w:eastAsia="zh-CN"/>
              </w:rPr>
              <w:t>1.2</w:t>
            </w:r>
            <w:r>
              <w:rPr>
                <w:rFonts w:hint="eastAsia" w:ascii="宋体" w:hAnsi="宋体" w:cs="宋体"/>
                <w:szCs w:val="21"/>
                <w:lang w:val="zh-TW"/>
              </w:rPr>
              <w:t>分</w:t>
            </w:r>
            <w:r>
              <w:rPr>
                <w:rFonts w:hint="eastAsia" w:ascii="宋体" w:hAnsi="宋体" w:cs="宋体"/>
                <w:szCs w:val="21"/>
                <w:lang w:val="zh-TW" w:eastAsia="zh-CN"/>
              </w:rPr>
              <w:t>；</w:t>
            </w:r>
            <w:r>
              <w:rPr>
                <w:rFonts w:hint="eastAsia" w:ascii="宋体" w:hAnsi="宋体" w:cs="宋体"/>
                <w:szCs w:val="21"/>
                <w:lang w:val="zh-TW"/>
              </w:rPr>
              <w:t>获得</w:t>
            </w:r>
            <w:r>
              <w:rPr>
                <w:rFonts w:hint="eastAsia" w:ascii="宋体" w:hAnsi="宋体" w:cs="宋体"/>
                <w:szCs w:val="21"/>
                <w:lang w:val="en-US" w:eastAsia="zh-CN"/>
              </w:rPr>
              <w:t>过</w:t>
            </w:r>
            <w:r>
              <w:rPr>
                <w:rFonts w:hint="eastAsia" w:ascii="宋体" w:hAnsi="宋体" w:cs="宋体"/>
                <w:szCs w:val="21"/>
              </w:rPr>
              <w:t>技术创新QC成果（省市级）奖项</w:t>
            </w:r>
            <w:r>
              <w:rPr>
                <w:rFonts w:hint="eastAsia" w:ascii="宋体" w:hAnsi="宋体" w:cs="宋体"/>
                <w:szCs w:val="21"/>
                <w:lang w:val="zh-TW"/>
              </w:rPr>
              <w:t>，得</w:t>
            </w:r>
            <w:r>
              <w:rPr>
                <w:rFonts w:hint="eastAsia" w:ascii="宋体" w:hAnsi="宋体" w:cs="宋体"/>
                <w:szCs w:val="21"/>
              </w:rPr>
              <w:t>0.</w:t>
            </w:r>
            <w:r>
              <w:rPr>
                <w:rFonts w:hint="eastAsia" w:ascii="宋体" w:hAnsi="宋体" w:cs="宋体"/>
                <w:szCs w:val="21"/>
                <w:lang w:val="en-US" w:eastAsia="zh-CN"/>
              </w:rPr>
              <w:t>6</w:t>
            </w:r>
            <w:r>
              <w:rPr>
                <w:rFonts w:hint="eastAsia" w:ascii="宋体" w:hAnsi="宋体" w:cs="宋体"/>
                <w:szCs w:val="21"/>
                <w:lang w:val="zh-TW"/>
              </w:rPr>
              <w:t>分</w:t>
            </w:r>
            <w:r>
              <w:rPr>
                <w:rFonts w:hint="eastAsia" w:ascii="宋体" w:hAnsi="宋体" w:cs="宋体"/>
                <w:szCs w:val="21"/>
                <w:lang w:val="zh-TW" w:eastAsia="zh-CN"/>
              </w:rPr>
              <w:t>。</w:t>
            </w:r>
            <w:r>
              <w:rPr>
                <w:rFonts w:hint="eastAsia" w:ascii="宋体" w:hAnsi="宋体" w:cs="宋体"/>
                <w:szCs w:val="21"/>
                <w:lang w:val="zh-TW"/>
              </w:rPr>
              <w:t>本小项最高得</w:t>
            </w:r>
            <w:r>
              <w:rPr>
                <w:rFonts w:hint="eastAsia" w:ascii="宋体" w:hAnsi="宋体" w:cs="宋体"/>
                <w:szCs w:val="21"/>
                <w:lang w:val="en-US" w:eastAsia="zh-CN"/>
              </w:rPr>
              <w:t>1.2</w:t>
            </w:r>
            <w:r>
              <w:rPr>
                <w:rFonts w:hint="eastAsia" w:ascii="宋体" w:hAnsi="宋体" w:cs="宋体"/>
                <w:szCs w:val="21"/>
                <w:lang w:val="zh-TW"/>
              </w:rPr>
              <w:t>分</w:t>
            </w:r>
            <w:r>
              <w:rPr>
                <w:rFonts w:hint="eastAsia" w:ascii="宋体" w:hAnsi="宋体" w:cs="宋体"/>
                <w:szCs w:val="21"/>
                <w:lang w:val="zh-TW" w:eastAsia="zh-CN"/>
              </w:rPr>
              <w:t>。</w:t>
            </w:r>
          </w:p>
          <w:p>
            <w:pPr>
              <w:widowControl/>
              <w:ind w:right="210" w:rightChars="100"/>
              <w:jc w:val="left"/>
              <w:rPr>
                <w:rFonts w:ascii="宋体" w:hAnsi="宋体" w:cs="宋体"/>
                <w:szCs w:val="21"/>
                <w:lang w:val="zh-TW"/>
              </w:rPr>
            </w:pPr>
            <w:r>
              <w:rPr>
                <w:rFonts w:hint="eastAsia" w:ascii="宋体" w:hAnsi="宋体"/>
                <w:szCs w:val="21"/>
              </w:rPr>
              <w:t>②</w:t>
            </w:r>
            <w:r>
              <w:rPr>
                <w:rFonts w:ascii="宋体" w:hAnsi="宋体"/>
                <w:szCs w:val="21"/>
              </w:rPr>
              <w:t>投标人</w:t>
            </w:r>
            <w:r>
              <w:rPr>
                <w:rFonts w:hint="eastAsia" w:ascii="宋体" w:hAnsi="宋体" w:cs="宋体"/>
                <w:szCs w:val="21"/>
              </w:rPr>
              <w:t>自</w:t>
            </w:r>
            <w:r>
              <w:rPr>
                <w:rFonts w:ascii="宋体" w:hAnsi="宋体" w:cs="宋体"/>
                <w:szCs w:val="21"/>
              </w:rPr>
              <w:t>20</w:t>
            </w:r>
            <w:r>
              <w:rPr>
                <w:rFonts w:hint="eastAsia" w:ascii="宋体" w:hAnsi="宋体" w:cs="宋体"/>
                <w:szCs w:val="21"/>
              </w:rPr>
              <w:t>20年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w:t>
            </w:r>
            <w:r>
              <w:rPr>
                <w:rFonts w:ascii="宋体" w:hAnsi="宋体" w:cs="宋体"/>
                <w:szCs w:val="21"/>
              </w:rPr>
              <w:t>至投标截止时间止</w:t>
            </w:r>
            <w:r>
              <w:rPr>
                <w:rFonts w:hint="eastAsia" w:ascii="宋体" w:hAnsi="宋体" w:cs="宋体"/>
                <w:szCs w:val="21"/>
              </w:rPr>
              <w:t>，</w:t>
            </w:r>
            <w:r>
              <w:rPr>
                <w:rFonts w:hint="eastAsia" w:ascii="宋体" w:hAnsi="宋体" w:cs="宋体"/>
                <w:szCs w:val="21"/>
                <w:lang w:val="zh-TW"/>
              </w:rPr>
              <w:t>获得国家版权局颁发的工程类软件著作权登记证书的：</w:t>
            </w:r>
          </w:p>
          <w:p>
            <w:pPr>
              <w:widowControl/>
              <w:ind w:right="210" w:rightChars="100"/>
              <w:jc w:val="left"/>
              <w:rPr>
                <w:rFonts w:ascii="宋体" w:hAnsi="宋体" w:cs="宋体"/>
                <w:szCs w:val="21"/>
                <w:lang w:val="zh-TW"/>
              </w:rPr>
            </w:pPr>
            <w:r>
              <w:rPr>
                <w:rFonts w:hint="eastAsia" w:ascii="宋体" w:hAnsi="宋体" w:cs="宋体"/>
                <w:szCs w:val="21"/>
                <w:lang w:val="zh-TW"/>
              </w:rPr>
              <w:t>（1）10项以上（不含10项）的,得</w:t>
            </w:r>
            <w:r>
              <w:rPr>
                <w:rFonts w:hint="eastAsia" w:ascii="宋体" w:hAnsi="宋体" w:cs="宋体"/>
                <w:szCs w:val="21"/>
              </w:rPr>
              <w:t>0.</w:t>
            </w:r>
            <w:r>
              <w:rPr>
                <w:rFonts w:hint="eastAsia" w:ascii="宋体" w:hAnsi="宋体" w:cs="宋体"/>
                <w:szCs w:val="21"/>
                <w:lang w:val="en-US" w:eastAsia="zh-CN"/>
              </w:rPr>
              <w:t>6</w:t>
            </w:r>
            <w:r>
              <w:rPr>
                <w:rFonts w:hint="eastAsia" w:ascii="宋体" w:hAnsi="宋体" w:cs="宋体"/>
                <w:szCs w:val="21"/>
                <w:lang w:val="zh-TW"/>
              </w:rPr>
              <w:t>分；</w:t>
            </w:r>
          </w:p>
          <w:p>
            <w:pPr>
              <w:widowControl/>
              <w:ind w:right="210" w:rightChars="100"/>
              <w:jc w:val="left"/>
              <w:rPr>
                <w:rFonts w:ascii="宋体" w:hAnsi="宋体" w:cs="宋体"/>
                <w:szCs w:val="21"/>
                <w:lang w:val="zh-TW"/>
              </w:rPr>
            </w:pPr>
            <w:r>
              <w:rPr>
                <w:rFonts w:hint="eastAsia" w:ascii="宋体" w:hAnsi="宋体" w:cs="宋体"/>
                <w:szCs w:val="21"/>
                <w:lang w:val="zh-TW"/>
              </w:rPr>
              <w:t>（2）6</w:t>
            </w:r>
            <w:r>
              <w:rPr>
                <w:rFonts w:hint="eastAsia" w:ascii="宋体" w:hAnsi="宋体"/>
              </w:rPr>
              <w:t>～</w:t>
            </w:r>
            <w:r>
              <w:rPr>
                <w:rFonts w:hint="eastAsia" w:ascii="宋体" w:hAnsi="宋体" w:cs="宋体"/>
                <w:szCs w:val="21"/>
                <w:lang w:val="zh-TW"/>
              </w:rPr>
              <w:t>10项的，得</w:t>
            </w:r>
            <w:r>
              <w:rPr>
                <w:rFonts w:hint="eastAsia" w:ascii="宋体" w:hAnsi="宋体" w:cs="宋体"/>
                <w:szCs w:val="21"/>
              </w:rPr>
              <w:t>0.3</w:t>
            </w:r>
            <w:r>
              <w:rPr>
                <w:rFonts w:hint="eastAsia" w:ascii="宋体" w:hAnsi="宋体" w:cs="宋体"/>
                <w:szCs w:val="21"/>
                <w:lang w:val="zh-TW"/>
              </w:rPr>
              <w:t>分。</w:t>
            </w:r>
          </w:p>
          <w:p>
            <w:pPr>
              <w:widowControl/>
              <w:ind w:right="210" w:rightChars="100"/>
              <w:jc w:val="left"/>
              <w:rPr>
                <w:lang w:val="zh-TW"/>
              </w:rPr>
            </w:pPr>
            <w:r>
              <w:rPr>
                <w:rFonts w:hint="eastAsia" w:ascii="宋体" w:hAnsi="宋体" w:cs="宋体"/>
                <w:szCs w:val="21"/>
                <w:lang w:val="zh-TW"/>
              </w:rPr>
              <w:t>（3）</w:t>
            </w:r>
            <w:r>
              <w:rPr>
                <w:rFonts w:hint="eastAsia" w:ascii="宋体" w:hAnsi="宋体"/>
              </w:rPr>
              <w:t>1～5项</w:t>
            </w:r>
            <w:r>
              <w:rPr>
                <w:rFonts w:hint="eastAsia" w:ascii="宋体" w:hAnsi="宋体" w:cs="宋体"/>
                <w:szCs w:val="21"/>
                <w:lang w:val="zh-TW"/>
              </w:rPr>
              <w:t>的，得0.</w:t>
            </w:r>
            <w:r>
              <w:rPr>
                <w:rFonts w:hint="eastAsia" w:ascii="宋体" w:hAnsi="宋体" w:cs="宋体"/>
                <w:szCs w:val="21"/>
              </w:rPr>
              <w:t>1</w:t>
            </w:r>
            <w:r>
              <w:rPr>
                <w:rFonts w:hint="eastAsia" w:ascii="宋体" w:hAnsi="宋体" w:cs="宋体"/>
                <w:szCs w:val="21"/>
                <w:lang w:val="zh-TW"/>
              </w:rPr>
              <w:t>分。本小项最高得</w:t>
            </w:r>
            <w:r>
              <w:rPr>
                <w:rFonts w:hint="eastAsia" w:ascii="宋体" w:hAnsi="宋体" w:cs="宋体"/>
                <w:szCs w:val="21"/>
                <w:lang w:val="en-US" w:eastAsia="zh-CN"/>
              </w:rPr>
              <w:t>0.6</w:t>
            </w:r>
            <w:r>
              <w:rPr>
                <w:rFonts w:hint="eastAsia" w:ascii="宋体" w:hAnsi="宋体" w:cs="宋体"/>
                <w:szCs w:val="21"/>
                <w:lang w:val="zh-TW"/>
              </w:rPr>
              <w:t>分</w:t>
            </w:r>
          </w:p>
          <w:p>
            <w:pPr>
              <w:rPr>
                <w:rFonts w:ascii="宋体" w:hAnsi="宋体"/>
              </w:rPr>
            </w:pPr>
            <w:r>
              <w:rPr>
                <w:rFonts w:hint="eastAsia" w:ascii="宋体" w:hAnsi="宋体"/>
              </w:rPr>
              <w:t>不符合上述条件的不得分，本项合计最高得1</w:t>
            </w:r>
            <w:r>
              <w:rPr>
                <w:rFonts w:hint="eastAsia" w:ascii="宋体" w:hAnsi="宋体"/>
                <w:lang w:val="en-US" w:eastAsia="zh-CN"/>
              </w:rPr>
              <w:t>.8</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blHeader/>
        </w:trPr>
        <w:tc>
          <w:tcPr>
            <w:tcW w:w="637" w:type="dxa"/>
            <w:vMerge w:val="continue"/>
            <w:tcBorders>
              <w:left w:val="single" w:color="auto" w:sz="4" w:space="0"/>
              <w:right w:val="single" w:color="auto" w:sz="4" w:space="0"/>
            </w:tcBorders>
            <w:vAlign w:val="center"/>
          </w:tcPr>
          <w:p>
            <w:pPr>
              <w:spacing w:line="276" w:lineRule="auto"/>
              <w:ind w:right="134" w:rightChars="64"/>
              <w:jc w:val="center"/>
              <w:rPr>
                <w:rFonts w:ascii="宋体" w:hAnsi="宋体" w:cs="宋体"/>
                <w:szCs w:val="21"/>
              </w:rPr>
            </w:pPr>
          </w:p>
        </w:tc>
        <w:tc>
          <w:tcPr>
            <w:tcW w:w="1170" w:type="dxa"/>
            <w:vMerge w:val="continue"/>
            <w:tcBorders>
              <w:left w:val="single" w:color="auto" w:sz="4" w:space="0"/>
              <w:right w:val="single" w:color="auto" w:sz="4" w:space="0"/>
            </w:tcBorders>
            <w:vAlign w:val="center"/>
          </w:tcPr>
          <w:p>
            <w:pPr>
              <w:spacing w:line="276" w:lineRule="auto"/>
              <w:ind w:right="134" w:rightChars="64"/>
              <w:jc w:val="center"/>
              <w:rPr>
                <w:rFonts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cs="宋体"/>
                <w:bCs/>
                <w:kern w:val="0"/>
                <w:szCs w:val="21"/>
              </w:rPr>
              <w:t>第三方评价</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0.6</w:t>
            </w:r>
          </w:p>
        </w:tc>
        <w:tc>
          <w:tcPr>
            <w:tcW w:w="98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pPr>
            <w:r>
              <w:rPr>
                <w:rFonts w:hint="eastAsia"/>
              </w:rPr>
              <w:t>投标人至今（须含最近评审年度（2022年度））获得纳税信用A级纳税人情况：</w:t>
            </w:r>
          </w:p>
          <w:p>
            <w:pPr>
              <w:widowControl/>
              <w:spacing w:line="300" w:lineRule="exact"/>
              <w:jc w:val="left"/>
            </w:pPr>
            <w:r>
              <w:rPr>
                <w:rFonts w:hint="eastAsia"/>
              </w:rPr>
              <w:t>（1）累计连续8个年度以上（不含8个年度）获得纳税信用A级纳税人称号的，得0.</w:t>
            </w:r>
            <w:r>
              <w:rPr>
                <w:rFonts w:hint="eastAsia"/>
                <w:lang w:val="en-US" w:eastAsia="zh-CN"/>
              </w:rPr>
              <w:t>6</w:t>
            </w:r>
            <w:r>
              <w:rPr>
                <w:rFonts w:hint="eastAsia"/>
              </w:rPr>
              <w:t>分；</w:t>
            </w:r>
          </w:p>
          <w:p>
            <w:pPr>
              <w:widowControl/>
              <w:spacing w:line="300" w:lineRule="exact"/>
              <w:jc w:val="left"/>
            </w:pPr>
            <w:r>
              <w:rPr>
                <w:rFonts w:hint="eastAsia"/>
              </w:rPr>
              <w:t>（2）累计连续5-8个年度获得纳税信用A级纳税人称号的，得0.</w:t>
            </w:r>
            <w:r>
              <w:rPr>
                <w:rFonts w:hint="eastAsia"/>
                <w:lang w:val="en-US" w:eastAsia="zh-CN"/>
              </w:rPr>
              <w:t>3</w:t>
            </w:r>
            <w:r>
              <w:rPr>
                <w:rFonts w:hint="eastAsia"/>
              </w:rPr>
              <w:t>分；</w:t>
            </w:r>
          </w:p>
          <w:p>
            <w:pPr>
              <w:widowControl/>
              <w:spacing w:line="300" w:lineRule="exact"/>
              <w:jc w:val="left"/>
            </w:pPr>
            <w:r>
              <w:rPr>
                <w:rFonts w:hint="eastAsia"/>
              </w:rPr>
              <w:t>（3）累计连续1-4个年度获得纳税信用A级纳税人称号的，得0.1分；</w:t>
            </w:r>
          </w:p>
          <w:p>
            <w:pPr>
              <w:widowControl/>
              <w:spacing w:line="300" w:lineRule="exact"/>
              <w:jc w:val="left"/>
            </w:pPr>
            <w:r>
              <w:rPr>
                <w:rFonts w:hint="eastAsia"/>
              </w:rPr>
              <w:t>不符合上述条件的不得分，本项合计最高得</w:t>
            </w:r>
            <w:r>
              <w:rPr>
                <w:rFonts w:hint="eastAsia"/>
                <w:lang w:val="en-US" w:eastAsia="zh-CN"/>
              </w:rPr>
              <w:t>0.6</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blHeader/>
        </w:trPr>
        <w:tc>
          <w:tcPr>
            <w:tcW w:w="3502" w:type="dxa"/>
            <w:gridSpan w:val="3"/>
            <w:tcBorders>
              <w:left w:val="single" w:color="auto" w:sz="4" w:space="0"/>
              <w:right w:val="single" w:color="auto" w:sz="4" w:space="0"/>
            </w:tcBorders>
            <w:vAlign w:val="center"/>
          </w:tcPr>
          <w:p>
            <w:pPr>
              <w:spacing w:line="276" w:lineRule="auto"/>
              <w:ind w:right="134" w:rightChars="64"/>
              <w:jc w:val="center"/>
              <w:rPr>
                <w:rFonts w:ascii="宋体" w:hAnsi="宋体" w:cs="宋体"/>
                <w:bCs/>
                <w:kern w:val="0"/>
                <w:szCs w:val="21"/>
              </w:rPr>
            </w:pPr>
            <w:r>
              <w:rPr>
                <w:rFonts w:hint="eastAsia" w:ascii="宋体" w:hAnsi="宋体" w:cs="宋体"/>
                <w:szCs w:val="21"/>
              </w:rPr>
              <w:t>合计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20</w:t>
            </w:r>
          </w:p>
        </w:tc>
        <w:tc>
          <w:tcPr>
            <w:tcW w:w="9885" w:type="dxa"/>
            <w:tcBorders>
              <w:top w:val="single" w:color="auto" w:sz="4" w:space="0"/>
              <w:left w:val="single" w:color="auto" w:sz="4" w:space="0"/>
              <w:bottom w:val="single" w:color="auto" w:sz="4" w:space="0"/>
              <w:right w:val="single" w:color="auto" w:sz="4" w:space="0"/>
            </w:tcBorders>
            <w:vAlign w:val="center"/>
          </w:tcPr>
          <w:p>
            <w:pPr>
              <w:pStyle w:val="19"/>
              <w:rPr>
                <w:rFonts w:hAnsi="宋体"/>
              </w:rPr>
            </w:pPr>
          </w:p>
        </w:tc>
      </w:tr>
    </w:tbl>
    <w:p>
      <w:pPr>
        <w:spacing w:line="276" w:lineRule="auto"/>
        <w:ind w:right="134" w:rightChars="64"/>
        <w:jc w:val="center"/>
        <w:rPr>
          <w:rFonts w:ascii="宋体" w:hAnsi="宋体" w:cs="宋体"/>
          <w:szCs w:val="21"/>
        </w:rPr>
      </w:pPr>
    </w:p>
    <w:p>
      <w:pPr>
        <w:snapToGrid w:val="0"/>
        <w:spacing w:line="276" w:lineRule="auto"/>
        <w:rPr>
          <w:rFonts w:ascii="宋体" w:hAnsi="宋体" w:cs="宋体"/>
        </w:rPr>
      </w:pPr>
      <w:r>
        <w:rPr>
          <w:rFonts w:hint="eastAsia" w:ascii="宋体" w:hAnsi="宋体" w:cs="宋体"/>
        </w:rPr>
        <w:t>备注：</w:t>
      </w:r>
    </w:p>
    <w:p>
      <w:pPr>
        <w:snapToGrid w:val="0"/>
        <w:spacing w:line="276" w:lineRule="auto"/>
        <w:rPr>
          <w:rFonts w:ascii="宋体" w:hAnsi="宋体" w:cs="宋体"/>
        </w:rPr>
      </w:pPr>
      <w:r>
        <w:rPr>
          <w:rFonts w:hint="eastAsia" w:ascii="宋体" w:hAnsi="宋体" w:cs="宋体"/>
          <w:b/>
          <w:bCs/>
        </w:rPr>
        <w:t>1、</w:t>
      </w:r>
      <w:r>
        <w:rPr>
          <w:rFonts w:hint="eastAsia" w:ascii="宋体" w:hAnsi="宋体" w:cs="宋体"/>
        </w:rPr>
        <w:t>投标人如果同时满足多个评分档次的，按所满足的最高档得分。</w:t>
      </w:r>
    </w:p>
    <w:p>
      <w:pPr>
        <w:snapToGrid w:val="0"/>
        <w:spacing w:line="276" w:lineRule="auto"/>
        <w:rPr>
          <w:rFonts w:ascii="宋体" w:hAnsi="宋体" w:cs="宋体"/>
          <w:b/>
          <w:bCs/>
        </w:rPr>
      </w:pPr>
      <w:r>
        <w:rPr>
          <w:rFonts w:hint="eastAsia" w:ascii="宋体" w:hAnsi="宋体" w:cs="宋体"/>
          <w:b/>
          <w:bCs/>
        </w:rPr>
        <w:t>2、项目管理机构：</w:t>
      </w:r>
    </w:p>
    <w:p>
      <w:pPr>
        <w:snapToGrid w:val="0"/>
        <w:spacing w:line="276" w:lineRule="auto"/>
        <w:ind w:firstLine="420" w:firstLineChars="200"/>
        <w:rPr>
          <w:rFonts w:ascii="宋体" w:hAnsi="宋体" w:cs="宋体"/>
        </w:rPr>
      </w:pPr>
      <w:r>
        <w:rPr>
          <w:rFonts w:hint="eastAsia" w:ascii="宋体" w:hAnsi="宋体" w:cs="宋体"/>
        </w:rPr>
        <w:t>①上述人员须需按评审标准的要求提供证明材料及投标截止前近1个月（2023年</w:t>
      </w:r>
      <w:r>
        <w:rPr>
          <w:rFonts w:hint="eastAsia" w:ascii="宋体" w:hAnsi="宋体" w:cs="宋体"/>
          <w:lang w:val="en-US" w:eastAsia="zh-CN"/>
        </w:rPr>
        <w:t>7</w:t>
      </w:r>
      <w:r>
        <w:rPr>
          <w:rFonts w:hint="eastAsia" w:ascii="宋体" w:hAnsi="宋体" w:cs="宋体"/>
        </w:rPr>
        <w:t>月）有效社保证明，未提供或所提供的证明资料不符合要求的，则该评分项不得分。其中注册造价工程师须提供“全国建筑市场监管公共服务平台（</w:t>
      </w:r>
      <w:r>
        <w:rPr>
          <w:rFonts w:ascii="宋体" w:hAnsi="宋体" w:cs="宋体"/>
        </w:rPr>
        <w:t>https://jzsc.mohurd.gov.cn/home）”查询结果网页信息截图；注</w:t>
      </w:r>
      <w:r>
        <w:rPr>
          <w:rFonts w:hint="eastAsia" w:ascii="宋体" w:hAnsi="宋体" w:cs="宋体"/>
        </w:rPr>
        <w:t>册安全工程师须提供“应急管理部注册安全工程师查询（https://zwfw.mem.gov.cn/zwthlw/pages/hlwmh/yyfw/zcaqgcscx/index.html）”的查询结果网页信息截图。所有资料为扫描件并盖投标人电子公章；</w:t>
      </w:r>
    </w:p>
    <w:p>
      <w:pPr>
        <w:snapToGrid w:val="0"/>
        <w:spacing w:line="276" w:lineRule="auto"/>
        <w:ind w:firstLine="420" w:firstLineChars="200"/>
        <w:rPr>
          <w:rFonts w:ascii="宋体" w:hAnsi="宋体" w:cs="宋体"/>
        </w:rPr>
      </w:pPr>
      <w:r>
        <w:rPr>
          <w:rFonts w:hint="eastAsia" w:ascii="宋体" w:hAnsi="宋体" w:cs="宋体"/>
        </w:rPr>
        <w:t>②</w:t>
      </w:r>
      <w:r>
        <w:rPr>
          <w:rFonts w:hint="eastAsia"/>
          <w:szCs w:val="21"/>
        </w:rPr>
        <w:t>按照《造价工程师职业资格制度规定》的规定，根据原人事部、原建设部发布的《造价工程师执业资格制度暂行规定》（人发〔1996〕77号）取得的造价工程师执业资格，并经注册且在有效期内的，等同于一级注册造价工程师。</w:t>
      </w:r>
    </w:p>
    <w:p>
      <w:pPr>
        <w:snapToGrid w:val="0"/>
        <w:spacing w:line="276" w:lineRule="auto"/>
        <w:ind w:firstLine="420" w:firstLineChars="200"/>
        <w:rPr>
          <w:rFonts w:ascii="宋体" w:hAnsi="宋体" w:cs="宋体"/>
        </w:rPr>
      </w:pPr>
      <w:r>
        <w:rPr>
          <w:rFonts w:hint="eastAsia" w:ascii="宋体" w:hAnsi="宋体" w:cs="宋体"/>
        </w:rPr>
        <w:t>③项目负责人、技术负责人、质量负责人、安全负责人、造价负责人不为同一人，且安全负责人不能同时兼任专职安全员。</w:t>
      </w:r>
    </w:p>
    <w:p>
      <w:pPr>
        <w:tabs>
          <w:tab w:val="left" w:pos="360"/>
        </w:tabs>
        <w:snapToGrid w:val="0"/>
        <w:spacing w:line="276" w:lineRule="auto"/>
        <w:rPr>
          <w:rFonts w:ascii="宋体" w:hAnsi="宋体" w:cs="宋体"/>
          <w:bCs/>
          <w:kern w:val="0"/>
          <w:szCs w:val="21"/>
        </w:rPr>
      </w:pPr>
      <w:r>
        <w:rPr>
          <w:rFonts w:hint="eastAsia" w:ascii="宋体" w:hAnsi="宋体" w:cs="宋体"/>
          <w:b/>
          <w:bCs/>
        </w:rPr>
        <w:t>3、</w:t>
      </w:r>
      <w:r>
        <w:rPr>
          <w:rFonts w:hint="eastAsia" w:ascii="宋体" w:hAnsi="宋体" w:cs="宋体"/>
          <w:b/>
          <w:bCs/>
          <w:szCs w:val="21"/>
        </w:rPr>
        <w:t>企业类似工程业绩</w:t>
      </w:r>
      <w:r>
        <w:rPr>
          <w:rFonts w:hint="eastAsia" w:ascii="宋体" w:hAnsi="宋体" w:cs="宋体"/>
          <w:bCs/>
          <w:kern w:val="0"/>
          <w:szCs w:val="21"/>
        </w:rPr>
        <w:t>：</w:t>
      </w:r>
    </w:p>
    <w:p>
      <w:pPr>
        <w:tabs>
          <w:tab w:val="left" w:pos="360"/>
        </w:tabs>
        <w:snapToGrid w:val="0"/>
        <w:spacing w:line="276" w:lineRule="auto"/>
        <w:ind w:firstLine="424" w:firstLineChars="202"/>
        <w:rPr>
          <w:rFonts w:ascii="宋体" w:hAnsi="宋体" w:cs="宋体"/>
        </w:rPr>
      </w:pPr>
      <w:r>
        <w:rPr>
          <w:rFonts w:hint="eastAsia" w:ascii="宋体" w:hAnsi="宋体"/>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库内分别对应不同业绩的，以项目名称对应的业绩为准②项目名称存在对应业绩的</w:t>
      </w:r>
      <w:r>
        <w:rPr>
          <w:rFonts w:hint="eastAsia" w:ascii="宋体" w:hAnsi="宋体" w:cs="宋体"/>
        </w:rPr>
        <w:t>，项目编号在库内不存在对应业绩，以项目名称对应的业绩为准③项目名称在库内不存在对应业绩，项目编号存在对应业绩的，以项目编号对应的业绩为准。</w:t>
      </w:r>
    </w:p>
    <w:p>
      <w:pPr>
        <w:tabs>
          <w:tab w:val="left" w:pos="360"/>
        </w:tabs>
        <w:snapToGrid w:val="0"/>
        <w:spacing w:line="276" w:lineRule="auto"/>
        <w:ind w:firstLine="424" w:firstLineChars="202"/>
        <w:rPr>
          <w:rFonts w:ascii="宋体" w:hAnsi="宋体"/>
        </w:rPr>
      </w:pPr>
      <w:r>
        <w:rPr>
          <w:rFonts w:hint="eastAsia" w:ascii="宋体" w:hAnsi="宋体"/>
        </w:rPr>
        <w:t>用于本项目投标的类似业绩，在广州市住建行业信用管理平台中“工程对应的企业资质”栏中须登记有与本项目要求相对应的资质(“建筑工程施工总承包资质”)。</w:t>
      </w:r>
    </w:p>
    <w:p>
      <w:pPr>
        <w:tabs>
          <w:tab w:val="left" w:pos="360"/>
        </w:tabs>
        <w:snapToGrid w:val="0"/>
        <w:spacing w:line="276" w:lineRule="auto"/>
        <w:ind w:firstLine="424" w:firstLineChars="202"/>
        <w:rPr>
          <w:rFonts w:ascii="宋体" w:hAnsi="宋体" w:cs="宋体"/>
        </w:rPr>
      </w:pPr>
      <w:r>
        <w:rPr>
          <w:rFonts w:ascii="宋体" w:hAnsi="宋体" w:cs="宋体"/>
        </w:rPr>
        <w:t>1</w:t>
      </w:r>
      <w:r>
        <w:rPr>
          <w:rFonts w:hint="eastAsia" w:ascii="宋体" w:hAnsi="宋体" w:cs="宋体"/>
        </w:rPr>
        <w:t>）评标委员会对业绩的评审以投标截止时间止在库内业绩上传件为依据；</w:t>
      </w:r>
    </w:p>
    <w:p>
      <w:pPr>
        <w:tabs>
          <w:tab w:val="left" w:pos="360"/>
        </w:tabs>
        <w:snapToGrid w:val="0"/>
        <w:spacing w:line="276" w:lineRule="auto"/>
        <w:ind w:firstLine="424" w:firstLineChars="202"/>
        <w:rPr>
          <w:rFonts w:ascii="宋体" w:hAnsi="宋体" w:cs="宋体"/>
        </w:rPr>
      </w:pPr>
      <w:r>
        <w:rPr>
          <w:rFonts w:hint="eastAsia" w:ascii="宋体" w:hAnsi="宋体" w:cs="宋体"/>
        </w:rPr>
        <w:t>2）金额以中标通知书为准，完成时间以竣工验收文件为准。验收文件至少具有建设单位、设计、施工和监理单位盖章；</w:t>
      </w:r>
    </w:p>
    <w:p>
      <w:pPr>
        <w:tabs>
          <w:tab w:val="left" w:pos="360"/>
        </w:tabs>
        <w:snapToGrid w:val="0"/>
        <w:spacing w:line="276" w:lineRule="auto"/>
        <w:ind w:firstLine="424" w:firstLineChars="202"/>
        <w:rPr>
          <w:rFonts w:ascii="宋体" w:hAnsi="宋体"/>
        </w:rPr>
      </w:pPr>
      <w:r>
        <w:rPr>
          <w:rFonts w:hint="eastAsia" w:ascii="宋体" w:hAnsi="宋体" w:cs="宋体"/>
        </w:rPr>
        <w:t>3）库内业绩上传件不符合上述要求的或登记的工程资质内容与施工合同等业绩证明资料不相符的，该项业绩不予认定</w:t>
      </w:r>
      <w:r>
        <w:rPr>
          <w:rFonts w:hint="eastAsia" w:ascii="宋体" w:hAnsi="宋体"/>
        </w:rPr>
        <w:t>。</w:t>
      </w:r>
    </w:p>
    <w:p>
      <w:pPr>
        <w:numPr>
          <w:ilvl w:val="0"/>
          <w:numId w:val="3"/>
        </w:numPr>
        <w:snapToGrid w:val="0"/>
        <w:spacing w:line="276" w:lineRule="auto"/>
        <w:rPr>
          <w:rFonts w:ascii="宋体" w:hAnsi="宋体"/>
        </w:rPr>
      </w:pPr>
      <w:r>
        <w:rPr>
          <w:rFonts w:hint="eastAsia" w:ascii="宋体" w:hAnsi="宋体" w:cs="宋体"/>
          <w:b/>
          <w:bCs/>
        </w:rPr>
        <w:t>工程业绩获奖：</w:t>
      </w:r>
    </w:p>
    <w:p>
      <w:pPr>
        <w:pStyle w:val="137"/>
        <w:spacing w:line="360" w:lineRule="exact"/>
        <w:ind w:firstLine="420" w:firstLineChars="200"/>
        <w:jc w:val="left"/>
        <w:rPr>
          <w:rFonts w:ascii="宋体" w:hAnsi="宋体" w:cs="宋体"/>
          <w:b w:val="0"/>
          <w:bCs/>
          <w:szCs w:val="21"/>
        </w:rPr>
      </w:pPr>
      <w:r>
        <w:rPr>
          <w:rFonts w:hint="eastAsia" w:ascii="宋体" w:hAnsi="宋体" w:cs="宋体"/>
          <w:b w:val="0"/>
          <w:bCs/>
          <w:szCs w:val="21"/>
        </w:rPr>
        <w:t>业绩获奖须提供获奖证书</w:t>
      </w:r>
      <w:r>
        <w:rPr>
          <w:rFonts w:hint="eastAsia" w:ascii="宋体" w:hAnsi="宋体" w:cs="宋体"/>
          <w:b w:val="0"/>
          <w:bCs/>
          <w:szCs w:val="21"/>
          <w:lang w:val="en-US" w:eastAsia="zh-CN"/>
        </w:rPr>
        <w:t>扫描件</w:t>
      </w:r>
      <w:r>
        <w:rPr>
          <w:rFonts w:hint="eastAsia" w:ascii="宋体" w:hAnsi="宋体" w:cs="宋体"/>
          <w:b w:val="0"/>
          <w:bCs/>
          <w:szCs w:val="21"/>
        </w:rPr>
        <w:t>。①国家级工程质量奖包括：鲁班奖、国家优质工程金质奖、国家优质工程奖（原国家优质工程银质奖）、中国土木工程詹天佑奖；②仅计算工程质量类奖项；其它如安全文明、绿色施工、技术创新、QC成果、装饰装修、科技进步及技术应用类奖项不参与计分。③奖项只计算承建单位，不含参建单位。④只计算房建工程项目质量奖项，其他非房建工程项目，如路桥、铁路、水利、电力、化工、冶金、市政等获奖不参与计分。同一项目获得多个奖项的，该项目获奖只按其中一个奖项所在最高级别计算一次分数，不得重复计算。奖项内容和级别以奖项名称信息为准。不符合上述条件的获奖业绩不予评审。</w:t>
      </w:r>
      <w:r>
        <w:rPr>
          <w:rFonts w:hint="eastAsia" w:ascii="宋体" w:hAnsi="宋体" w:cs="宋体"/>
          <w:b w:val="0"/>
          <w:bCs/>
          <w:szCs w:val="21"/>
          <w:lang w:val="zh-CN"/>
        </w:rPr>
        <w:t>如提供相关行业协会</w:t>
      </w:r>
      <w:r>
        <w:rPr>
          <w:rFonts w:hint="eastAsia" w:ascii="宋体" w:hAnsi="宋体" w:cs="宋体"/>
          <w:b w:val="0"/>
          <w:bCs/>
          <w:szCs w:val="21"/>
          <w:lang w:val="en-US" w:eastAsia="zh-CN"/>
        </w:rPr>
        <w:t>或学会</w:t>
      </w:r>
      <w:r>
        <w:rPr>
          <w:rFonts w:hint="eastAsia" w:ascii="宋体" w:hAnsi="宋体" w:cs="宋体"/>
          <w:b w:val="0"/>
          <w:bCs/>
          <w:szCs w:val="21"/>
          <w:lang w:val="zh-CN"/>
        </w:rPr>
        <w:t>颁发的证书，则须同时提供该行业协会</w:t>
      </w:r>
      <w:r>
        <w:rPr>
          <w:rFonts w:hint="eastAsia" w:ascii="宋体" w:hAnsi="宋体" w:cs="宋体"/>
          <w:b w:val="0"/>
          <w:bCs/>
          <w:szCs w:val="21"/>
          <w:lang w:val="en-US" w:eastAsia="zh-CN"/>
        </w:rPr>
        <w:t>或学会</w:t>
      </w:r>
      <w:r>
        <w:rPr>
          <w:rFonts w:hint="eastAsia" w:ascii="宋体" w:hAnsi="宋体" w:cs="宋体"/>
          <w:b w:val="0"/>
          <w:bCs/>
          <w:szCs w:val="21"/>
          <w:lang w:val="zh-CN"/>
        </w:rPr>
        <w:t>在“中国社会组织政务服务平台”有登记的网页查询截图（网址：https://chinanpo.mca.gov.cn/）证明其有登记备案。不同协会</w:t>
      </w:r>
      <w:r>
        <w:rPr>
          <w:rFonts w:hint="eastAsia" w:ascii="宋体" w:hAnsi="宋体" w:cs="宋体"/>
          <w:b w:val="0"/>
          <w:bCs/>
          <w:szCs w:val="21"/>
          <w:lang w:val="en-US" w:eastAsia="zh-CN"/>
        </w:rPr>
        <w:t>或学会</w:t>
      </w:r>
      <w:r>
        <w:rPr>
          <w:rFonts w:hint="eastAsia" w:ascii="宋体" w:hAnsi="宋体" w:cs="宋体"/>
          <w:b w:val="0"/>
          <w:bCs/>
          <w:szCs w:val="21"/>
          <w:lang w:val="zh-CN"/>
        </w:rPr>
        <w:t>颁发的证书不互相累加。</w:t>
      </w:r>
    </w:p>
    <w:p>
      <w:pPr>
        <w:numPr>
          <w:ilvl w:val="0"/>
          <w:numId w:val="3"/>
        </w:numPr>
        <w:snapToGrid w:val="0"/>
        <w:spacing w:line="276" w:lineRule="auto"/>
        <w:rPr>
          <w:rFonts w:ascii="宋体" w:hAnsi="宋体"/>
          <w:bCs/>
          <w:szCs w:val="21"/>
        </w:rPr>
      </w:pPr>
      <w:r>
        <w:rPr>
          <w:rFonts w:hint="eastAsia" w:ascii="宋体" w:hAnsi="宋体"/>
          <w:bCs/>
          <w:szCs w:val="21"/>
        </w:rPr>
        <w:t>工程研发能力：</w:t>
      </w:r>
    </w:p>
    <w:p>
      <w:pPr>
        <w:numPr>
          <w:ilvl w:val="0"/>
          <w:numId w:val="4"/>
        </w:numPr>
        <w:snapToGrid w:val="0"/>
        <w:spacing w:line="276" w:lineRule="auto"/>
        <w:ind w:firstLine="420" w:firstLineChars="200"/>
        <w:rPr>
          <w:rFonts w:ascii="宋体" w:hAnsi="宋体" w:cs="宋体"/>
          <w:szCs w:val="21"/>
        </w:rPr>
      </w:pPr>
      <w:r>
        <w:rPr>
          <w:rFonts w:hint="eastAsia" w:ascii="宋体" w:hAnsi="宋体" w:cs="宋体"/>
          <w:szCs w:val="21"/>
        </w:rPr>
        <w:t>技术创新QC成果</w:t>
      </w:r>
      <w:r>
        <w:rPr>
          <w:rFonts w:hint="eastAsia" w:ascii="宋体" w:hAnsi="宋体" w:cs="宋体"/>
          <w:szCs w:val="21"/>
          <w:lang w:val="zh-TW"/>
        </w:rPr>
        <w:t>（部优以上）</w:t>
      </w:r>
      <w:r>
        <w:rPr>
          <w:rFonts w:hint="eastAsia" w:ascii="宋体" w:hAnsi="宋体" w:cs="宋体"/>
          <w:szCs w:val="21"/>
        </w:rPr>
        <w:t>取自广州市住建行业信用管理平台，投标人须提供获奖工程业绩的项目名称及业绩在广州市住建行业信用管理平台中业绩编号、相应业绩在广州市住建行业信用管理平台的网页信息截图和获奖证书扫描件并加盖投标人企业电子印章。不提供项目名称及业绩编号、网页信息截图和获奖证书扫描件的业绩不予评审。技术创新QC成果（省市级）奖项获奖信息须提供获奖证书扫描件并加盖投标人企业电子印章。只计算建筑类项目获奖得分，</w:t>
      </w:r>
      <w:r>
        <w:rPr>
          <w:rFonts w:hint="eastAsia" w:ascii="宋体" w:hAnsi="宋体" w:cs="宋体"/>
          <w:bCs/>
          <w:szCs w:val="21"/>
        </w:rPr>
        <w:t>其他非建筑工程项目，如路桥、铁路、水利、电力、化工、冶金、市政等获奖不参与计分</w:t>
      </w:r>
      <w:r>
        <w:rPr>
          <w:rFonts w:hint="eastAsia" w:ascii="宋体" w:hAnsi="宋体" w:cs="宋体"/>
          <w:bCs/>
          <w:szCs w:val="21"/>
          <w:lang w:eastAsia="zh-CN"/>
        </w:rPr>
        <w:t>，</w:t>
      </w:r>
      <w:r>
        <w:rPr>
          <w:rFonts w:hint="eastAsia" w:ascii="宋体" w:hAnsi="宋体" w:cs="宋体"/>
          <w:szCs w:val="21"/>
        </w:rPr>
        <w:t>时间以获奖证书时间为准。</w:t>
      </w:r>
      <w:r>
        <w:rPr>
          <w:rFonts w:hint="eastAsia" w:ascii="宋体" w:hAnsi="宋体" w:cs="宋体"/>
          <w:b w:val="0"/>
          <w:bCs/>
          <w:szCs w:val="21"/>
          <w:lang w:val="zh-CN"/>
        </w:rPr>
        <w:t>如提供相关行业协会</w:t>
      </w:r>
      <w:r>
        <w:rPr>
          <w:rFonts w:hint="eastAsia" w:ascii="宋体" w:hAnsi="宋体" w:cs="宋体"/>
          <w:b w:val="0"/>
          <w:bCs/>
          <w:szCs w:val="21"/>
          <w:lang w:val="en-US" w:eastAsia="zh-CN"/>
        </w:rPr>
        <w:t>或学会</w:t>
      </w:r>
      <w:r>
        <w:rPr>
          <w:rFonts w:hint="eastAsia" w:ascii="宋体" w:hAnsi="宋体" w:cs="宋体"/>
          <w:b w:val="0"/>
          <w:bCs/>
          <w:szCs w:val="21"/>
          <w:lang w:val="zh-CN"/>
        </w:rPr>
        <w:t>颁发的证书，则须同时提供该行业协会</w:t>
      </w:r>
      <w:r>
        <w:rPr>
          <w:rFonts w:hint="eastAsia" w:ascii="宋体" w:hAnsi="宋体" w:cs="宋体"/>
          <w:b w:val="0"/>
          <w:bCs/>
          <w:szCs w:val="21"/>
          <w:lang w:val="en-US" w:eastAsia="zh-CN"/>
        </w:rPr>
        <w:t>或学会</w:t>
      </w:r>
      <w:r>
        <w:rPr>
          <w:rFonts w:hint="eastAsia" w:ascii="宋体" w:hAnsi="宋体" w:cs="宋体"/>
          <w:b w:val="0"/>
          <w:bCs/>
          <w:szCs w:val="21"/>
          <w:lang w:val="zh-CN"/>
        </w:rPr>
        <w:t>在“中国社会组织政务服务平台”有登记的网页查询截图（网址：https://chinanpo.mca.gov.cn/）证明其有登记备案。不同协会</w:t>
      </w:r>
      <w:r>
        <w:rPr>
          <w:rFonts w:hint="eastAsia" w:ascii="宋体" w:hAnsi="宋体" w:cs="宋体"/>
          <w:b w:val="0"/>
          <w:bCs/>
          <w:szCs w:val="21"/>
          <w:lang w:val="en-US" w:eastAsia="zh-CN"/>
        </w:rPr>
        <w:t>或学会</w:t>
      </w:r>
      <w:r>
        <w:rPr>
          <w:rFonts w:hint="eastAsia" w:ascii="宋体" w:hAnsi="宋体" w:cs="宋体"/>
          <w:b w:val="0"/>
          <w:bCs/>
          <w:szCs w:val="21"/>
          <w:lang w:val="zh-CN"/>
        </w:rPr>
        <w:t>颁发的证书不互相累加。</w:t>
      </w:r>
    </w:p>
    <w:p>
      <w:pPr>
        <w:snapToGrid w:val="0"/>
        <w:spacing w:line="276" w:lineRule="auto"/>
        <w:ind w:firstLine="420" w:firstLineChars="200"/>
        <w:rPr>
          <w:rFonts w:ascii="宋体" w:hAnsi="宋体" w:cs="宋体"/>
          <w:szCs w:val="21"/>
        </w:rPr>
      </w:pPr>
      <w:r>
        <w:rPr>
          <w:rFonts w:hint="eastAsia" w:ascii="宋体" w:hAnsi="宋体" w:cs="宋体"/>
          <w:szCs w:val="21"/>
        </w:rPr>
        <w:t>（2）软件著作权登记证书需提供中国版权保护中心（https://www.ccopyright.com.cn/）的软件登记公告网页查询截图和软件著作权登记证书扫描件。时间以登记日期为准，不符合上述条件或未提供上述资料的不得分。</w:t>
      </w:r>
    </w:p>
    <w:p>
      <w:pPr>
        <w:snapToGrid w:val="0"/>
        <w:spacing w:line="276" w:lineRule="auto"/>
        <w:rPr>
          <w:rFonts w:ascii="宋体" w:hAnsi="宋体" w:cs="宋体"/>
          <w:b/>
          <w:bCs/>
        </w:rPr>
      </w:pPr>
      <w:r>
        <w:rPr>
          <w:rFonts w:hint="eastAsia" w:ascii="宋体" w:hAnsi="宋体" w:cs="宋体"/>
          <w:b/>
          <w:bCs/>
        </w:rPr>
        <w:t>6、第三方评价：</w:t>
      </w:r>
    </w:p>
    <w:p>
      <w:pPr>
        <w:snapToGrid w:val="0"/>
        <w:spacing w:line="276" w:lineRule="auto"/>
        <w:ind w:firstLine="420" w:firstLineChars="200"/>
        <w:rPr>
          <w:rFonts w:ascii="宋体" w:hAnsi="宋体" w:cs="宋体"/>
        </w:rPr>
      </w:pPr>
      <w:r>
        <w:rPr>
          <w:rFonts w:hint="eastAsia" w:ascii="宋体" w:hAnsi="宋体" w:cs="宋体"/>
        </w:rPr>
        <w:t>纳税信用A级称号只计算投标人自身（不含投标人的分公司、子公司和分支机构）；投标人须提交省级或以上税务局纳税信用A级查询网页信息截图或税务局出具的纳税信用A级证明材料扫描件，时间以证书发证时间为准。</w:t>
      </w:r>
    </w:p>
    <w:p>
      <w:pPr>
        <w:spacing w:line="312" w:lineRule="auto"/>
        <w:ind w:firstLine="459"/>
        <w:rPr>
          <w:rFonts w:ascii="宋体" w:hAnsi="宋体" w:cs="仿宋_GB2312"/>
          <w:szCs w:val="21"/>
        </w:rPr>
      </w:pPr>
      <w:r>
        <w:rPr>
          <w:rFonts w:hint="eastAsia" w:ascii="宋体" w:hAnsi="宋体"/>
          <w:b/>
        </w:rPr>
        <w:t>7、</w:t>
      </w:r>
      <w:r>
        <w:rPr>
          <w:rFonts w:hint="eastAsia" w:ascii="宋体" w:hAnsi="宋体" w:cs="宋体"/>
        </w:rPr>
        <w:t>投标人的得分为各评委评分的算术平均值（若分数出现小数点时，保留小数点后二位，第三位小数四舍五入）。</w:t>
      </w:r>
    </w:p>
    <w:p>
      <w:pPr>
        <w:spacing w:line="312" w:lineRule="auto"/>
        <w:rPr>
          <w:rFonts w:ascii="宋体" w:hAnsi="宋体" w:cs="宋体"/>
        </w:rPr>
      </w:pPr>
      <w:bookmarkStart w:id="30" w:name="_Toc115117429"/>
      <w:r>
        <w:rPr>
          <w:rFonts w:hint="eastAsia" w:ascii="宋体" w:hAnsi="宋体" w:cs="宋体"/>
        </w:rPr>
        <w:t>评委签名：                     日期：</w:t>
      </w:r>
    </w:p>
    <w:p>
      <w:r>
        <w:rPr>
          <w:rFonts w:hint="eastAsia"/>
        </w:rPr>
        <w:br w:type="page"/>
      </w:r>
    </w:p>
    <w:p>
      <w:pPr>
        <w:pStyle w:val="6"/>
        <w:jc w:val="left"/>
      </w:pPr>
      <w:r>
        <w:rPr>
          <w:rFonts w:hint="eastAsia"/>
        </w:rPr>
        <w:t>附表五 经济标评分表</w:t>
      </w:r>
      <w:bookmarkEnd w:id="30"/>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ind w:firstLine="459"/>
        <w:rPr>
          <w:rFonts w:ascii="宋体" w:hAnsi="宋体" w:cs="仿宋_GB2312"/>
          <w:szCs w:val="21"/>
        </w:rPr>
      </w:pPr>
      <w:r>
        <w:rPr>
          <w:rFonts w:hint="eastAsia"/>
          <w:kern w:val="0"/>
          <w:szCs w:val="21"/>
        </w:rPr>
        <w:t>评委签名：                                                                        日期：</w:t>
      </w:r>
    </w:p>
    <w:p>
      <w:pPr>
        <w:rPr>
          <w:szCs w:val="21"/>
        </w:rPr>
      </w:pPr>
    </w:p>
    <w:p>
      <w:pPr>
        <w:pStyle w:val="6"/>
        <w:jc w:val="left"/>
      </w:pPr>
      <w:bookmarkStart w:id="31" w:name="_Toc115117430"/>
      <w:r>
        <w:rPr>
          <w:rFonts w:hint="eastAsia"/>
        </w:rPr>
        <w:t>附表六 算术复核表</w:t>
      </w:r>
      <w:bookmarkEnd w:id="31"/>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误差率 （</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spacing w:line="360" w:lineRule="auto"/>
        <w:ind w:firstLine="459"/>
        <w:rPr>
          <w:rFonts w:ascii="宋体" w:hAnsi="宋体" w:cs="仿宋_GB2312"/>
          <w:szCs w:val="21"/>
        </w:rPr>
      </w:pPr>
      <w:bookmarkStart w:id="32" w:name="_Toc2272566"/>
      <w:r>
        <w:rPr>
          <w:rFonts w:hint="eastAsia"/>
          <w:kern w:val="0"/>
          <w:szCs w:val="21"/>
        </w:rPr>
        <w:t>评委签名：                                                                        日期：</w:t>
      </w:r>
    </w:p>
    <w:p>
      <w:pPr>
        <w:pStyle w:val="5"/>
        <w:rPr>
          <w:color w:val="auto"/>
        </w:rPr>
        <w:sectPr>
          <w:pgSz w:w="16838" w:h="11906" w:orient="landscape"/>
          <w:pgMar w:top="1797" w:right="1440" w:bottom="1797" w:left="1440" w:header="851" w:footer="992" w:gutter="0"/>
          <w:cols w:space="425" w:num="1"/>
          <w:docGrid w:type="linesAndChars" w:linePitch="312" w:charSpace="0"/>
        </w:sectPr>
      </w:pPr>
    </w:p>
    <w:bookmarkEnd w:id="32"/>
    <w:p>
      <w:pPr>
        <w:pStyle w:val="5"/>
        <w:rPr>
          <w:color w:val="auto"/>
        </w:rPr>
      </w:pPr>
      <w:bookmarkStart w:id="33" w:name="_Toc115117431"/>
      <w:r>
        <w:rPr>
          <w:rFonts w:hint="eastAsia"/>
          <w:color w:val="auto"/>
        </w:rPr>
        <w:t>第三章合同条款</w:t>
      </w:r>
      <w:bookmarkEnd w:id="33"/>
    </w:p>
    <w:p>
      <w:pPr>
        <w:jc w:val="center"/>
        <w:rPr>
          <w:rFonts w:ascii="宋体"/>
          <w:b/>
          <w:sz w:val="24"/>
          <w:szCs w:val="24"/>
        </w:rPr>
      </w:pPr>
      <w:r>
        <w:rPr>
          <w:rFonts w:hint="eastAsia" w:ascii="宋体" w:hAnsi="宋体"/>
          <w:b/>
          <w:bCs/>
          <w:sz w:val="24"/>
          <w:szCs w:val="24"/>
        </w:rPr>
        <w:t>（另册）</w:t>
      </w:r>
      <w:r>
        <w:rPr>
          <w:rFonts w:hint="eastAsia" w:ascii="宋体" w:hAnsi="宋体"/>
          <w:b/>
          <w:bCs/>
          <w:sz w:val="28"/>
          <w:szCs w:val="28"/>
        </w:rPr>
        <w:t>最后以合同双方签订的为准。</w:t>
      </w:r>
    </w:p>
    <w:p>
      <w:pPr>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19"/>
        <w:spacing w:line="360" w:lineRule="auto"/>
        <w:rPr>
          <w:sz w:val="24"/>
          <w:szCs w:val="24"/>
        </w:rPr>
      </w:pPr>
    </w:p>
    <w:p>
      <w:pPr>
        <w:pStyle w:val="19"/>
        <w:spacing w:line="360" w:lineRule="auto"/>
        <w:rPr>
          <w:sz w:val="24"/>
          <w:szCs w:val="24"/>
        </w:rPr>
      </w:pPr>
      <w:r>
        <w:rPr>
          <w:sz w:val="24"/>
          <w:szCs w:val="24"/>
        </w:rPr>
        <w:br w:type="page"/>
      </w:r>
    </w:p>
    <w:p>
      <w:pPr>
        <w:pStyle w:val="5"/>
        <w:rPr>
          <w:color w:val="auto"/>
        </w:rPr>
      </w:pPr>
      <w:bookmarkStart w:id="34" w:name="_Toc2272567"/>
      <w:bookmarkEnd w:id="34"/>
      <w:bookmarkStart w:id="35" w:name="_Toc115117432"/>
      <w:r>
        <w:rPr>
          <w:rFonts w:hint="eastAsia"/>
          <w:color w:val="auto"/>
        </w:rPr>
        <w:t>第四章投标文件格式</w:t>
      </w:r>
      <w:bookmarkEnd w:id="35"/>
    </w:p>
    <w:p>
      <w:pPr>
        <w:pStyle w:val="6"/>
      </w:pPr>
      <w:bookmarkStart w:id="36" w:name="_Toc79144517"/>
      <w:bookmarkEnd w:id="36"/>
      <w:bookmarkStart w:id="37" w:name="_Toc115117433"/>
      <w:r>
        <w:t>一、</w:t>
      </w:r>
      <w:r>
        <w:rPr>
          <w:rFonts w:hint="eastAsia"/>
        </w:rPr>
        <w:t>技术标</w:t>
      </w:r>
      <w:r>
        <w:t>投标文件格式</w:t>
      </w:r>
      <w:bookmarkEnd w:id="37"/>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r>
        <w:br w:type="page"/>
      </w:r>
    </w:p>
    <w:p>
      <w:pPr>
        <w:pStyle w:val="19"/>
      </w:pPr>
    </w:p>
    <w:p>
      <w:pPr>
        <w:pStyle w:val="7"/>
        <w:ind w:left="-3" w:leftChars="-187" w:hanging="390" w:hangingChars="162"/>
        <w:rPr>
          <w:color w:val="auto"/>
        </w:rPr>
      </w:pPr>
      <w:bookmarkStart w:id="38" w:name="_Toc32684"/>
      <w:bookmarkEnd w:id="38"/>
      <w:bookmarkStart w:id="39" w:name="_Toc13272"/>
      <w:bookmarkEnd w:id="39"/>
      <w:bookmarkStart w:id="40" w:name="_Toc16053"/>
      <w:bookmarkEnd w:id="40"/>
      <w:r>
        <w:rPr>
          <w:rFonts w:hint="eastAsia"/>
          <w:color w:val="auto"/>
        </w:rPr>
        <w:t>格式一：技术标封面</w:t>
      </w:r>
    </w:p>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第一册  【技术投标文件（含资格审查文件）】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24"/>
          <w:szCs w:val="30"/>
        </w:rPr>
      </w:pPr>
      <w:r>
        <w:rPr>
          <w:rFonts w:hint="eastAsia" w:ascii="宋体" w:hAnsi="宋体" w:cs="宋体"/>
          <w:snapToGrid w:val="0"/>
          <w:spacing w:val="4"/>
          <w:kern w:val="0"/>
          <w:sz w:val="30"/>
          <w:szCs w:val="30"/>
        </w:rPr>
        <w:t>日  期：</w:t>
      </w:r>
    </w:p>
    <w:p/>
    <w:p/>
    <w:p>
      <w:pPr>
        <w:pStyle w:val="7"/>
        <w:ind w:left="-3" w:leftChars="-187" w:hanging="390" w:hangingChars="162"/>
        <w:rPr>
          <w:color w:val="auto"/>
        </w:rPr>
      </w:pPr>
      <w:bookmarkStart w:id="41" w:name="_Toc60070621"/>
      <w:bookmarkEnd w:id="41"/>
      <w:bookmarkStart w:id="42" w:name="_Toc79144518"/>
      <w:bookmarkEnd w:id="42"/>
      <w:bookmarkStart w:id="43" w:name="_Toc61541786"/>
      <w:bookmarkEnd w:id="43"/>
      <w:r>
        <w:rPr>
          <w:color w:val="auto"/>
        </w:rPr>
        <w:br w:type="page"/>
      </w:r>
      <w:r>
        <w:rPr>
          <w:rFonts w:hint="eastAsia"/>
          <w:color w:val="auto"/>
        </w:rPr>
        <w:t>格式二：</w:t>
      </w:r>
      <w:r>
        <w:rPr>
          <w:rFonts w:hint="eastAsia" w:cs="宋体"/>
          <w:snapToGrid w:val="0"/>
          <w:color w:val="auto"/>
          <w:spacing w:val="4"/>
          <w:kern w:val="0"/>
          <w:szCs w:val="24"/>
        </w:rPr>
        <w:t>广州建设工程施工招标投标书</w:t>
      </w:r>
    </w:p>
    <w:p>
      <w:pPr>
        <w:jc w:val="center"/>
        <w:rPr>
          <w:rFonts w:ascii="宋体" w:hAnsi="宋体" w:cs="宋体"/>
          <w:b/>
          <w:sz w:val="36"/>
          <w:szCs w:val="36"/>
        </w:rPr>
      </w:pPr>
      <w:bookmarkStart w:id="44" w:name="_Toc58838587"/>
      <w:bookmarkEnd w:id="44"/>
      <w:r>
        <w:rPr>
          <w:rFonts w:hint="eastAsia" w:ascii="宋体" w:hAnsi="宋体" w:cs="宋体"/>
          <w:b/>
          <w:sz w:val="36"/>
          <w:szCs w:val="36"/>
        </w:rPr>
        <w:t>广州建设工程施工招标投标书</w:t>
      </w:r>
    </w:p>
    <w:tbl>
      <w:tblPr>
        <w:tblStyle w:val="36"/>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val="zh-CN"/>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委派的技术负责人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pStyle w:val="19"/>
              <w:rPr>
                <w:lang w:val="zh-CN"/>
              </w:rPr>
            </w:pPr>
          </w:p>
        </w:tc>
      </w:tr>
    </w:tbl>
    <w:p>
      <w:pPr>
        <w:pStyle w:val="19"/>
      </w:pPr>
    </w:p>
    <w:p>
      <w:pPr>
        <w:pStyle w:val="120"/>
        <w:ind w:firstLine="3596" w:firstLineChars="1450"/>
        <w:rPr>
          <w:rFonts w:ascii="宋体" w:hAnsi="宋体"/>
        </w:rPr>
      </w:pPr>
      <w:bookmarkStart w:id="45" w:name="_Toc20777"/>
      <w:bookmarkEnd w:id="45"/>
      <w:bookmarkStart w:id="46" w:name="_Toc674"/>
      <w:bookmarkEnd w:id="46"/>
      <w:bookmarkStart w:id="47" w:name="_Toc442106472"/>
      <w:bookmarkEnd w:id="47"/>
    </w:p>
    <w:p>
      <w:pPr>
        <w:pStyle w:val="120"/>
        <w:ind w:firstLine="3596" w:firstLineChars="1450"/>
        <w:rPr>
          <w:rFonts w:ascii="宋体" w:hAnsi="宋体"/>
        </w:rPr>
      </w:pPr>
      <w:r>
        <w:rPr>
          <w:rFonts w:hint="eastAsia" w:ascii="宋体" w:hAnsi="宋体"/>
        </w:rPr>
        <w:t>投标人：　　（盖章）</w:t>
      </w:r>
    </w:p>
    <w:p>
      <w:pPr>
        <w:pStyle w:val="120"/>
        <w:ind w:firstLine="3596" w:firstLineChars="1450"/>
        <w:rPr>
          <w:rFonts w:ascii="宋体" w:hAnsi="宋体"/>
        </w:rPr>
      </w:pPr>
      <w:r>
        <w:rPr>
          <w:rFonts w:hint="eastAsia" w:ascii="宋体" w:hAnsi="宋体"/>
        </w:rPr>
        <w:t>法定代表人或授权代理人(签字或盖章)：</w:t>
      </w:r>
    </w:p>
    <w:p>
      <w:pPr>
        <w:pStyle w:val="120"/>
        <w:ind w:firstLine="3596" w:firstLineChars="1450"/>
        <w:rPr>
          <w:rFonts w:ascii="宋体" w:hAnsi="宋体"/>
        </w:rPr>
      </w:pPr>
      <w:r>
        <w:rPr>
          <w:rFonts w:hint="eastAsia" w:ascii="宋体" w:hAnsi="宋体"/>
        </w:rPr>
        <w:t>日   期：     年    月    日</w:t>
      </w:r>
    </w:p>
    <w:p>
      <w:pPr>
        <w:pStyle w:val="7"/>
        <w:ind w:left="-3" w:leftChars="-187" w:hanging="390" w:hangingChars="162"/>
        <w:rPr>
          <w:color w:val="auto"/>
        </w:rPr>
      </w:pPr>
      <w:r>
        <w:rPr>
          <w:color w:val="auto"/>
        </w:rPr>
        <w:br w:type="page"/>
      </w:r>
      <w:r>
        <w:rPr>
          <w:rFonts w:hint="eastAsia"/>
          <w:color w:val="auto"/>
        </w:rPr>
        <w:t>格式三：法定代表人证明书、法定代表人授权委托书</w:t>
      </w:r>
    </w:p>
    <w:p>
      <w:pPr>
        <w:pStyle w:val="2"/>
      </w:pPr>
    </w:p>
    <w:p>
      <w:pPr>
        <w:spacing w:line="360" w:lineRule="auto"/>
        <w:jc w:val="center"/>
        <w:rPr>
          <w:rFonts w:ascii="宋体" w:hAnsi="宋体" w:cs="宋体"/>
          <w:b/>
          <w:sz w:val="28"/>
        </w:rPr>
      </w:pPr>
      <w:r>
        <w:rPr>
          <w:rFonts w:hint="eastAsia" w:ascii="宋体" w:hAnsi="宋体" w:cs="宋体"/>
          <w:b/>
          <w:sz w:val="28"/>
        </w:rPr>
        <w:t>法定代表人证明书</w:t>
      </w:r>
    </w:p>
    <w:p>
      <w:pPr>
        <w:spacing w:line="360" w:lineRule="auto"/>
        <w:jc w:val="right"/>
        <w:rPr>
          <w:rFonts w:ascii="宋体" w:hAnsi="宋体" w:cs="宋体"/>
          <w:sz w:val="24"/>
        </w:rPr>
      </w:pPr>
      <w:r>
        <w:rPr>
          <w:rFonts w:hint="eastAsia" w:ascii="宋体" w:hAnsi="宋体" w:cs="宋体"/>
        </w:rPr>
        <w:t>（　 ）第　号</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有效期限：</w:t>
            </w:r>
            <w:r>
              <w:rPr>
                <w:rFonts w:hint="eastAsia" w:ascii="宋体" w:hAnsi="宋体" w:cs="宋体"/>
                <w:sz w:val="24"/>
                <w:u w:val="single"/>
              </w:rPr>
              <w:t>　　　　　　　　　　</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附：法定代表人（负责人）性别：</w:t>
            </w:r>
            <w:r>
              <w:rPr>
                <w:rFonts w:hint="eastAsia" w:ascii="宋体" w:hAnsi="宋体" w:cs="宋体"/>
                <w:sz w:val="24"/>
                <w:u w:val="single"/>
              </w:rPr>
              <w:t>　　</w:t>
            </w:r>
            <w:r>
              <w:rPr>
                <w:rFonts w:hint="eastAsia" w:ascii="宋体" w:hAnsi="宋体" w:cs="宋体"/>
                <w:sz w:val="24"/>
              </w:rPr>
              <w:t>年龄：</w:t>
            </w:r>
            <w:r>
              <w:rPr>
                <w:rFonts w:hint="eastAsia" w:ascii="宋体" w:hAnsi="宋体" w:cs="宋体"/>
                <w:sz w:val="24"/>
                <w:u w:val="single"/>
              </w:rPr>
              <w:t>　　</w:t>
            </w:r>
            <w:r>
              <w:rPr>
                <w:rFonts w:hint="eastAsia" w:ascii="宋体" w:hAnsi="宋体" w:cs="宋体"/>
                <w:sz w:val="24"/>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w:t>
            </w:r>
            <w:r>
              <w:rPr>
                <w:rFonts w:hint="eastAsia" w:ascii="宋体" w:hAnsi="宋体" w:cs="宋体"/>
                <w:sz w:val="24"/>
              </w:rPr>
              <w:t>企业类型：</w:t>
            </w:r>
            <w:r>
              <w:rPr>
                <w:rFonts w:hint="eastAsia" w:ascii="宋体" w:hAnsi="宋体" w:cs="宋体"/>
                <w:sz w:val="24"/>
                <w:u w:val="single"/>
              </w:rPr>
              <w:t>　　　　　　　　　　</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经营范围：</w:t>
            </w:r>
            <w:r>
              <w:rPr>
                <w:rFonts w:hint="eastAsia" w:ascii="宋体" w:hAnsi="宋体" w:cs="宋体"/>
                <w:sz w:val="24"/>
                <w:u w:val="single"/>
              </w:rPr>
              <w:t>　　　　　　　　　　</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　　　　　    年　月　　日</w:t>
            </w:r>
          </w:p>
        </w:tc>
      </w:tr>
    </w:tbl>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法定代表人授权委托书</w:t>
      </w:r>
    </w:p>
    <w:p>
      <w:pPr>
        <w:spacing w:line="360" w:lineRule="auto"/>
        <w:jc w:val="right"/>
        <w:rPr>
          <w:rFonts w:ascii="宋体" w:hAnsi="宋体" w:cs="宋体"/>
          <w:sz w:val="24"/>
        </w:rPr>
      </w:pPr>
      <w:r>
        <w:rPr>
          <w:rFonts w:hint="eastAsia" w:ascii="宋体" w:hAnsi="宋体" w:cs="宋体"/>
        </w:rPr>
        <w:t>（　 ）第　号</w:t>
      </w:r>
    </w:p>
    <w:tbl>
      <w:tblPr>
        <w:tblStyle w:val="36"/>
        <w:tblW w:w="9287" w:type="dxa"/>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u w:val="single"/>
              </w:rPr>
            </w:pPr>
            <w:r>
              <w:rPr>
                <w:rFonts w:hint="eastAsia" w:ascii="宋体" w:hAnsi="宋体" w:cs="宋体"/>
                <w:sz w:val="24"/>
              </w:rPr>
              <w:t>兹授权为我方委托代理人，其权限是：</w:t>
            </w:r>
            <w:r>
              <w:rPr>
                <w:rFonts w:hint="eastAsia" w:ascii="宋体" w:hAnsi="宋体" w:cs="宋体"/>
                <w:sz w:val="24"/>
                <w:u w:val="single"/>
              </w:rPr>
              <w:t>　　　　　　　　　　</w:t>
            </w:r>
          </w:p>
          <w:p>
            <w:pPr>
              <w:spacing w:line="360" w:lineRule="auto"/>
              <w:rPr>
                <w:rFonts w:ascii="宋体" w:hAnsi="宋体" w:cs="宋体"/>
                <w:sz w:val="24"/>
                <w:u w:val="single"/>
              </w:rPr>
            </w:pPr>
          </w:p>
          <w:p>
            <w:pPr>
              <w:spacing w:line="360" w:lineRule="auto"/>
              <w:rPr>
                <w:rFonts w:ascii="宋体" w:hAnsi="宋体" w:cs="宋体"/>
                <w:sz w:val="24"/>
                <w:u w:val="single"/>
              </w:rPr>
            </w:pPr>
            <w:r>
              <w:rPr>
                <w:rFonts w:hint="eastAsia" w:ascii="宋体" w:hAnsi="宋体" w:cs="宋体"/>
                <w:sz w:val="24"/>
              </w:rPr>
              <w:t>有效期限：</w:t>
            </w:r>
            <w:r>
              <w:rPr>
                <w:rFonts w:hint="eastAsia" w:ascii="宋体" w:hAnsi="宋体" w:cs="宋体"/>
                <w:sz w:val="24"/>
                <w:u w:val="single"/>
              </w:rPr>
              <w:t>　　　　　　　　　　</w:t>
            </w:r>
          </w:p>
          <w:p>
            <w:pPr>
              <w:spacing w:line="360" w:lineRule="auto"/>
              <w:rPr>
                <w:rFonts w:ascii="宋体" w:hAnsi="宋体" w:cs="宋体"/>
                <w:sz w:val="24"/>
              </w:rPr>
            </w:pPr>
            <w:r>
              <w:rPr>
                <w:rFonts w:hint="eastAsia" w:ascii="宋体" w:hAnsi="宋体" w:cs="宋体"/>
                <w:sz w:val="24"/>
              </w:rPr>
              <w:t>附：代理人性别：</w:t>
            </w:r>
            <w:r>
              <w:rPr>
                <w:rFonts w:hint="eastAsia" w:ascii="宋体" w:hAnsi="宋体" w:cs="宋体"/>
                <w:sz w:val="24"/>
                <w:u w:val="single"/>
              </w:rPr>
              <w:t>　　</w:t>
            </w:r>
            <w:r>
              <w:rPr>
                <w:rFonts w:hint="eastAsia" w:ascii="宋体" w:hAnsi="宋体" w:cs="宋体"/>
                <w:sz w:val="24"/>
              </w:rPr>
              <w:t>年龄：</w:t>
            </w:r>
            <w:r>
              <w:rPr>
                <w:rFonts w:hint="eastAsia" w:ascii="宋体" w:hAnsi="宋体" w:cs="宋体"/>
                <w:sz w:val="24"/>
                <w:u w:val="single"/>
              </w:rPr>
              <w:t>　　</w:t>
            </w:r>
            <w:r>
              <w:rPr>
                <w:rFonts w:hint="eastAsia" w:ascii="宋体" w:hAnsi="宋体" w:cs="宋体"/>
                <w:sz w:val="24"/>
              </w:rPr>
              <w:t>身份证号码：</w:t>
            </w:r>
            <w:r>
              <w:rPr>
                <w:rFonts w:hint="eastAsia" w:ascii="宋体" w:hAnsi="宋体" w:cs="宋体"/>
                <w:sz w:val="24"/>
                <w:u w:val="single"/>
              </w:rPr>
              <w:t>　　</w:t>
            </w:r>
          </w:p>
          <w:p>
            <w:pP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xml:space="preserve">　　     </w:t>
            </w:r>
            <w:r>
              <w:rPr>
                <w:rFonts w:hint="eastAsia" w:ascii="宋体" w:hAnsi="宋体" w:cs="宋体"/>
                <w:sz w:val="24"/>
              </w:rPr>
              <w:t xml:space="preserve">    企业类型：</w:t>
            </w:r>
            <w:r>
              <w:rPr>
                <w:rFonts w:hint="eastAsia" w:ascii="宋体" w:hAnsi="宋体" w:cs="宋体"/>
                <w:sz w:val="24"/>
                <w:u w:val="single"/>
              </w:rPr>
              <w:t>　　</w:t>
            </w:r>
          </w:p>
          <w:p>
            <w:pPr>
              <w:spacing w:line="360" w:lineRule="auto"/>
              <w:rPr>
                <w:rFonts w:ascii="宋体" w:hAnsi="宋体" w:cs="宋体"/>
                <w:sz w:val="24"/>
                <w:u w:val="single"/>
              </w:rPr>
            </w:pPr>
            <w:r>
              <w:rPr>
                <w:rFonts w:hint="eastAsia" w:ascii="宋体" w:hAnsi="宋体" w:cs="宋体"/>
                <w:sz w:val="24"/>
              </w:rPr>
              <w:t>经营范围：</w:t>
            </w:r>
            <w:r>
              <w:rPr>
                <w:rFonts w:hint="eastAsia" w:ascii="宋体" w:hAnsi="宋体" w:cs="宋体"/>
                <w:sz w:val="24"/>
                <w:u w:val="single"/>
              </w:rPr>
              <w:t>　　</w:t>
            </w:r>
          </w:p>
          <w:p>
            <w:pPr>
              <w:spacing w:line="360" w:lineRule="auto"/>
              <w:rPr>
                <w:rFonts w:ascii="宋体" w:hAnsi="宋体" w:cs="宋体"/>
                <w:sz w:val="24"/>
              </w:rPr>
            </w:pPr>
            <w:r>
              <w:rPr>
                <w:rFonts w:hint="eastAsia" w:ascii="宋体" w:hAnsi="宋体" w:cs="宋体"/>
                <w:sz w:val="24"/>
              </w:rPr>
              <w:t>法定代表人（负责人）：（签名或盖章）</w:t>
            </w:r>
          </w:p>
          <w:p>
            <w:pPr>
              <w:spacing w:line="360" w:lineRule="auto"/>
              <w:rPr>
                <w:rFonts w:ascii="宋体" w:hAnsi="宋体" w:cs="宋体"/>
                <w:sz w:val="24"/>
              </w:rPr>
            </w:pPr>
            <w:r>
              <w:rPr>
                <w:rFonts w:hint="eastAsia" w:ascii="宋体" w:hAnsi="宋体" w:cs="宋体"/>
                <w:sz w:val="24"/>
              </w:rPr>
              <w:t>授权单位：（盖章）</w:t>
            </w:r>
          </w:p>
          <w:p>
            <w:pPr>
              <w:spacing w:line="360" w:lineRule="auto"/>
              <w:ind w:firstLine="5880" w:firstLineChars="2450"/>
              <w:rPr>
                <w:rFonts w:ascii="宋体" w:hAnsi="宋体" w:cs="宋体"/>
                <w:sz w:val="24"/>
              </w:rPr>
            </w:pPr>
            <w:r>
              <w:rPr>
                <w:rFonts w:hint="eastAsia" w:ascii="宋体" w:hAnsi="宋体" w:cs="宋体"/>
                <w:sz w:val="24"/>
              </w:rPr>
              <w:t>年  月   日</w:t>
            </w:r>
          </w:p>
        </w:tc>
      </w:tr>
    </w:tbl>
    <w:p>
      <w:pPr>
        <w:spacing w:line="360" w:lineRule="auto"/>
        <w:rPr>
          <w:rFonts w:ascii="宋体" w:hAnsi="宋体" w:cs="宋体"/>
          <w:sz w:val="24"/>
        </w:rPr>
      </w:pPr>
    </w:p>
    <w:p>
      <w:pPr>
        <w:pStyle w:val="2"/>
      </w:pPr>
    </w:p>
    <w:p>
      <w:pPr>
        <w:pStyle w:val="19"/>
      </w:pPr>
    </w:p>
    <w:p>
      <w:pPr>
        <w:pStyle w:val="19"/>
      </w:pPr>
    </w:p>
    <w:p>
      <w:pPr>
        <w:pStyle w:val="19"/>
      </w:pPr>
    </w:p>
    <w:p>
      <w:pPr>
        <w:pStyle w:val="19"/>
      </w:pPr>
    </w:p>
    <w:p>
      <w:pPr>
        <w:pStyle w:val="19"/>
      </w:pPr>
    </w:p>
    <w:p>
      <w:pPr>
        <w:pStyle w:val="7"/>
        <w:ind w:left="-3" w:leftChars="-187" w:hanging="390" w:hangingChars="162"/>
        <w:rPr>
          <w:color w:val="auto"/>
        </w:rPr>
      </w:pPr>
      <w:bookmarkStart w:id="48" w:name="_Toc60070625"/>
      <w:bookmarkEnd w:id="48"/>
      <w:bookmarkStart w:id="49" w:name="_Toc79144522"/>
      <w:bookmarkEnd w:id="49"/>
      <w:bookmarkStart w:id="50" w:name="_Toc61541790"/>
      <w:bookmarkEnd w:id="50"/>
      <w:r>
        <w:rPr>
          <w:rFonts w:hint="eastAsia"/>
          <w:color w:val="auto"/>
        </w:rPr>
        <w:t>格式四：项目管理机构人员基本情况及业绩表</w:t>
      </w:r>
    </w:p>
    <w:p>
      <w:pPr>
        <w:pStyle w:val="119"/>
        <w:ind w:firstLine="723"/>
        <w:rPr>
          <w:rFonts w:eastAsia="宋体" w:cs="宋体"/>
          <w:spacing w:val="0"/>
        </w:rPr>
      </w:pPr>
      <w:r>
        <w:rPr>
          <w:rFonts w:hint="eastAsia" w:eastAsia="宋体" w:cs="宋体"/>
          <w:spacing w:val="0"/>
        </w:rPr>
        <w:t>项目管理机构人员基本情况及业绩表</w:t>
      </w:r>
    </w:p>
    <w:tbl>
      <w:tblPr>
        <w:tblStyle w:val="36"/>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从业简历</w:t>
            </w:r>
          </w:p>
        </w:tc>
      </w:tr>
      <w:tr>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本人完成施工项目概况</w:t>
            </w:r>
          </w:p>
        </w:tc>
      </w:tr>
      <w:tr>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项目规模</w:t>
            </w:r>
          </w:p>
          <w:p>
            <w:pPr>
              <w:jc w:val="center"/>
              <w:rPr>
                <w:rFonts w:ascii="宋体" w:hAnsi="宋体" w:cs="仿宋"/>
                <w:b/>
                <w:bCs/>
                <w:kern w:val="28"/>
                <w:position w:val="-40"/>
                <w:szCs w:val="21"/>
              </w:rPr>
            </w:pPr>
            <w:r>
              <w:rPr>
                <w:rFonts w:hint="eastAsia" w:ascii="宋体" w:hAnsi="宋体" w:cs="仿宋"/>
                <w:b/>
                <w:bCs/>
                <w:kern w:val="28"/>
                <w:position w:val="-40"/>
                <w:szCs w:val="21"/>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w:t>
            </w:r>
          </w:p>
          <w:p>
            <w:pPr>
              <w:jc w:val="center"/>
              <w:rPr>
                <w:rFonts w:ascii="宋体" w:hAnsi="宋体" w:cs="仿宋"/>
                <w:b/>
                <w:bCs/>
                <w:kern w:val="28"/>
                <w:position w:val="-40"/>
                <w:szCs w:val="21"/>
              </w:rPr>
            </w:pPr>
            <w:r>
              <w:rPr>
                <w:rFonts w:hint="eastAsia" w:ascii="宋体" w:hAnsi="宋体" w:cs="仿宋"/>
                <w:b/>
                <w:bCs/>
                <w:kern w:val="28"/>
                <w:position w:val="-40"/>
                <w:szCs w:val="21"/>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起止</w:t>
            </w:r>
          </w:p>
          <w:p>
            <w:pPr>
              <w:jc w:val="center"/>
              <w:rPr>
                <w:rFonts w:ascii="宋体" w:hAnsi="宋体" w:cs="仿宋"/>
                <w:b/>
                <w:bCs/>
                <w:kern w:val="28"/>
                <w:position w:val="-40"/>
                <w:szCs w:val="21"/>
              </w:rPr>
            </w:pPr>
            <w:r>
              <w:rPr>
                <w:rFonts w:hint="eastAsia" w:ascii="宋体" w:hAnsi="宋体" w:cs="仿宋"/>
                <w:b/>
                <w:bCs/>
                <w:kern w:val="28"/>
                <w:position w:val="-40"/>
                <w:szCs w:val="21"/>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完成项目的建筑业企业及资质等级</w:t>
            </w:r>
          </w:p>
        </w:tc>
      </w:tr>
      <w:tr>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r>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bl>
    <w:p>
      <w:pPr>
        <w:pStyle w:val="19"/>
      </w:pPr>
    </w:p>
    <w:p>
      <w:pPr>
        <w:pStyle w:val="19"/>
      </w:pPr>
    </w:p>
    <w:p>
      <w:pPr>
        <w:pStyle w:val="19"/>
      </w:pPr>
    </w:p>
    <w:p>
      <w:pPr>
        <w:pStyle w:val="19"/>
      </w:pPr>
    </w:p>
    <w:p>
      <w:pPr>
        <w:pStyle w:val="19"/>
      </w:pPr>
    </w:p>
    <w:p>
      <w:pPr>
        <w:pStyle w:val="19"/>
      </w:pPr>
    </w:p>
    <w:p>
      <w:pPr>
        <w:pStyle w:val="19"/>
      </w:pPr>
    </w:p>
    <w:p>
      <w:pPr>
        <w:pStyle w:val="7"/>
        <w:ind w:left="-3" w:leftChars="-187" w:hanging="390" w:hangingChars="162"/>
        <w:rPr>
          <w:color w:val="auto"/>
        </w:rPr>
      </w:pPr>
      <w:bookmarkStart w:id="51" w:name="_Toc79144523"/>
      <w:bookmarkEnd w:id="51"/>
      <w:r>
        <w:rPr>
          <w:color w:val="auto"/>
        </w:rPr>
        <w:br w:type="page"/>
      </w:r>
      <w:r>
        <w:rPr>
          <w:rFonts w:hint="eastAsia"/>
          <w:color w:val="auto"/>
        </w:rPr>
        <w:t>格式五 ：</w:t>
      </w:r>
      <w:r>
        <w:rPr>
          <w:rFonts w:hint="eastAsia" w:cs="宋体"/>
          <w:bCs/>
          <w:color w:val="auto"/>
          <w:u w:val="single"/>
        </w:rPr>
        <w:t>企业业绩表</w:t>
      </w:r>
    </w:p>
    <w:p>
      <w:pPr>
        <w:jc w:val="center"/>
        <w:rPr>
          <w:rFonts w:ascii="宋体" w:hAnsi="宋体" w:cs="宋体"/>
          <w:b/>
          <w:sz w:val="36"/>
          <w:szCs w:val="36"/>
        </w:rPr>
      </w:pPr>
      <w:r>
        <w:rPr>
          <w:rFonts w:hint="eastAsia" w:ascii="宋体" w:hAnsi="宋体" w:cs="宋体"/>
          <w:b/>
          <w:sz w:val="36"/>
          <w:szCs w:val="36"/>
        </w:rPr>
        <w:t>企业业绩表</w:t>
      </w:r>
    </w:p>
    <w:tbl>
      <w:tblPr>
        <w:tblStyle w:val="3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451"/>
        <w:gridCol w:w="4361"/>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序号</w:t>
            </w: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广州市住建行业信用管理平台中项目编号</w:t>
            </w: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项目名称</w:t>
            </w: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tabs>
          <w:tab w:val="left" w:pos="720"/>
        </w:tabs>
        <w:spacing w:line="360" w:lineRule="auto"/>
        <w:rPr>
          <w:rFonts w:ascii="宋体" w:hAnsi="宋体" w:cs="宋体"/>
          <w:szCs w:val="21"/>
        </w:rPr>
      </w:pPr>
      <w:r>
        <w:rPr>
          <w:rFonts w:hint="eastAsia" w:ascii="宋体" w:hAnsi="宋体" w:cs="宋体"/>
          <w:szCs w:val="21"/>
        </w:rPr>
        <w:t>注：按《技术标详细审查评分表》要求提供相应证明资料。</w:t>
      </w:r>
    </w:p>
    <w:p>
      <w:pPr>
        <w:pStyle w:val="2"/>
      </w:pPr>
    </w:p>
    <w:p>
      <w:pPr>
        <w:pStyle w:val="19"/>
      </w:pPr>
    </w:p>
    <w:p>
      <w:pPr>
        <w:pStyle w:val="19"/>
      </w:pPr>
    </w:p>
    <w:p>
      <w:pPr>
        <w:pStyle w:val="120"/>
        <w:ind w:firstLine="3596" w:firstLineChars="1450"/>
        <w:rPr>
          <w:rFonts w:ascii="宋体" w:hAnsi="宋体"/>
        </w:rPr>
      </w:pPr>
    </w:p>
    <w:p>
      <w:pPr>
        <w:pStyle w:val="120"/>
        <w:ind w:firstLine="3596" w:firstLineChars="1450"/>
        <w:rPr>
          <w:rFonts w:ascii="宋体" w:hAnsi="宋体"/>
        </w:rPr>
      </w:pPr>
      <w:r>
        <w:rPr>
          <w:rFonts w:hint="eastAsia" w:ascii="宋体" w:hAnsi="宋体"/>
        </w:rPr>
        <w:t>投标人：　　（盖章）</w:t>
      </w:r>
    </w:p>
    <w:p>
      <w:pPr>
        <w:pStyle w:val="120"/>
        <w:ind w:firstLine="3596" w:firstLineChars="1450"/>
        <w:rPr>
          <w:rFonts w:ascii="宋体" w:hAnsi="宋体"/>
        </w:rPr>
      </w:pPr>
      <w:r>
        <w:rPr>
          <w:rFonts w:hint="eastAsia" w:ascii="宋体" w:hAnsi="宋体"/>
        </w:rPr>
        <w:t>法定代表人或授权代理人(签字或盖章)：</w:t>
      </w:r>
    </w:p>
    <w:p>
      <w:pPr>
        <w:pStyle w:val="120"/>
        <w:ind w:firstLine="3596" w:firstLineChars="1450"/>
        <w:rPr>
          <w:rFonts w:ascii="宋体" w:hAnsi="宋体"/>
        </w:rPr>
      </w:pPr>
      <w:bookmarkStart w:id="52" w:name="_Toc510963892"/>
      <w:bookmarkEnd w:id="52"/>
      <w:bookmarkStart w:id="53" w:name="_Toc532475362"/>
      <w:bookmarkEnd w:id="53"/>
      <w:bookmarkStart w:id="54" w:name="_Toc532475795"/>
      <w:bookmarkEnd w:id="54"/>
      <w:r>
        <w:rPr>
          <w:rFonts w:hint="eastAsia" w:ascii="宋体" w:hAnsi="宋体"/>
        </w:rPr>
        <w:t>日   期：     年    月    日</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7"/>
        <w:ind w:left="-3" w:leftChars="-187" w:hanging="390" w:hangingChars="162"/>
        <w:rPr>
          <w:color w:val="auto"/>
        </w:rPr>
        <w:sectPr>
          <w:pgSz w:w="11906" w:h="16838"/>
          <w:pgMar w:top="1440" w:right="1800" w:bottom="1440" w:left="1800" w:header="851" w:footer="992" w:gutter="0"/>
          <w:cols w:space="720" w:num="1"/>
          <w:docGrid w:type="lines" w:linePitch="312" w:charSpace="0"/>
        </w:sectPr>
      </w:pPr>
    </w:p>
    <w:p>
      <w:pPr>
        <w:pStyle w:val="7"/>
        <w:ind w:left="-3" w:leftChars="-187" w:hanging="390" w:hangingChars="162"/>
        <w:rPr>
          <w:color w:val="auto"/>
        </w:rPr>
      </w:pPr>
      <w:r>
        <w:rPr>
          <w:rFonts w:hint="eastAsia"/>
          <w:color w:val="auto"/>
        </w:rPr>
        <w:t>格式六 ：投标函</w:t>
      </w:r>
    </w:p>
    <w:p>
      <w:pPr>
        <w:pStyle w:val="119"/>
        <w:ind w:firstLine="739"/>
        <w:rPr>
          <w:rFonts w:eastAsia="宋体" w:cs="宋体"/>
        </w:rPr>
      </w:pPr>
      <w:r>
        <w:rPr>
          <w:rFonts w:hint="eastAsia" w:eastAsia="宋体" w:cs="宋体"/>
        </w:rPr>
        <w:t>投 标 函</w:t>
      </w:r>
    </w:p>
    <w:p>
      <w:pPr>
        <w:pStyle w:val="120"/>
        <w:ind w:firstLine="496"/>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i/>
          <w:iCs/>
          <w:u w:val="single"/>
        </w:rPr>
        <w:t>（招标人名称）</w:t>
      </w:r>
      <w:r>
        <w:rPr>
          <w:rFonts w:hint="eastAsia" w:ascii="宋体" w:hAnsi="宋体" w:cs="宋体"/>
          <w:u w:val="single"/>
        </w:rPr>
        <w:t xml:space="preserve"> </w:t>
      </w:r>
    </w:p>
    <w:p>
      <w:pPr>
        <w:pStyle w:val="120"/>
        <w:ind w:firstLine="496"/>
        <w:rPr>
          <w:rFonts w:ascii="宋体" w:hAnsi="宋体" w:cs="宋体"/>
        </w:rPr>
      </w:pPr>
      <w:r>
        <w:rPr>
          <w:rFonts w:hint="eastAsia" w:ascii="宋体" w:hAnsi="宋体" w:cs="宋体"/>
        </w:rPr>
        <w:t>1.根据招标人</w:t>
      </w:r>
      <w:r>
        <w:rPr>
          <w:rFonts w:hint="eastAsia" w:ascii="宋体" w:hAnsi="宋体" w:cs="宋体"/>
          <w:u w:val="single"/>
        </w:rPr>
        <w:t xml:space="preserve"> </w:t>
      </w:r>
      <w:r>
        <w:rPr>
          <w:rFonts w:hint="eastAsia" w:ascii="宋体" w:hAnsi="宋体" w:cs="宋体"/>
          <w:i/>
          <w:iCs/>
          <w:u w:val="single"/>
        </w:rPr>
        <w:t>（工程项目名称）</w:t>
      </w:r>
      <w:r>
        <w:rPr>
          <w:rFonts w:hint="eastAsia" w:ascii="宋体" w:hAnsi="宋体" w:cs="宋体"/>
          <w:u w:val="single"/>
        </w:rPr>
        <w:t xml:space="preserve">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0"/>
        <w:ind w:firstLine="496"/>
        <w:rPr>
          <w:rFonts w:ascii="宋体" w:hAnsi="宋体" w:cs="宋体"/>
        </w:rPr>
      </w:pPr>
      <w:r>
        <w:rPr>
          <w:rFonts w:hint="eastAsia" w:ascii="宋体" w:hAnsi="宋体" w:cs="宋体"/>
        </w:rPr>
        <w:t>2.我方已详细审核全部招标文件，包括修改文件（如有时）及有关附件。</w:t>
      </w:r>
    </w:p>
    <w:p>
      <w:pPr>
        <w:pStyle w:val="120"/>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pPr>
        <w:pStyle w:val="120"/>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4.如果我方中标，我方承诺在充分考虑场地环境变化及政策性调整等风险因素的前提下，继续补充完善施工组织设计，直至招标人满意为止并加以实施，由此产生的费用已包含在投标报价中。</w:t>
      </w:r>
    </w:p>
    <w:p>
      <w:pPr>
        <w:pStyle w:val="120"/>
        <w:ind w:firstLine="496"/>
        <w:rPr>
          <w:rFonts w:ascii="宋体" w:hAnsi="宋体" w:cs="宋体"/>
          <w:u w:val="single"/>
        </w:rPr>
      </w:pPr>
      <w:r>
        <w:rPr>
          <w:rFonts w:hint="eastAsia" w:ascii="宋体" w:hAnsi="宋体" w:cs="宋体"/>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20"/>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pPr>
        <w:pStyle w:val="120"/>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pPr>
        <w:pStyle w:val="120"/>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pPr>
        <w:pStyle w:val="120"/>
        <w:ind w:firstLine="496"/>
        <w:rPr>
          <w:rFonts w:ascii="宋体" w:hAnsi="宋体" w:cs="宋体"/>
        </w:rPr>
      </w:pPr>
      <w:r>
        <w:rPr>
          <w:rFonts w:hint="eastAsia" w:ascii="宋体" w:hAnsi="宋体" w:cs="宋体"/>
        </w:rPr>
        <w:t>9.随同本投标文件，我方已提交人民币</w:t>
      </w:r>
      <w:r>
        <w:rPr>
          <w:rFonts w:hint="eastAsia" w:ascii="宋体" w:hAnsi="宋体" w:cs="宋体"/>
          <w:u w:val="single"/>
        </w:rPr>
        <w:t xml:space="preserve">           元</w:t>
      </w:r>
      <w:r>
        <w:rPr>
          <w:rFonts w:hint="eastAsia" w:ascii="宋体" w:hAnsi="宋体" w:cs="宋体"/>
        </w:rPr>
        <w:t>的投标担保。如果我方在投标文件有效期内撤销投标文件；或在接到中标通知书后28天内未能或拒绝签订合同协议书；或未能按招标文件要求提交履约担保，另选中标单位。</w:t>
      </w:r>
    </w:p>
    <w:p>
      <w:pPr>
        <w:pStyle w:val="120"/>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pPr>
        <w:pStyle w:val="120"/>
        <w:ind w:firstLine="496"/>
        <w:rPr>
          <w:rFonts w:ascii="宋体" w:hAnsi="宋体" w:cs="宋体"/>
        </w:rPr>
      </w:pPr>
      <w:r>
        <w:rPr>
          <w:rFonts w:hint="eastAsia" w:ascii="宋体" w:hAnsi="宋体" w:cs="宋体"/>
        </w:rPr>
        <w:t>投 标 人：（盖章）</w:t>
      </w:r>
    </w:p>
    <w:p>
      <w:pPr>
        <w:pStyle w:val="120"/>
        <w:ind w:firstLine="496"/>
        <w:rPr>
          <w:rFonts w:ascii="宋体" w:hAnsi="宋体" w:cs="宋体"/>
        </w:rPr>
      </w:pPr>
      <w:r>
        <w:rPr>
          <w:rFonts w:hint="eastAsia" w:ascii="宋体" w:hAnsi="宋体" w:cs="宋体"/>
        </w:rPr>
        <w:t>法定代表人或授权代理人（签字或盖章）：</w:t>
      </w:r>
    </w:p>
    <w:p>
      <w:pPr>
        <w:spacing w:line="360" w:lineRule="auto"/>
        <w:ind w:firstLine="420" w:firstLineChars="200"/>
        <w:jc w:val="left"/>
        <w:rPr>
          <w:rFonts w:ascii="宋体" w:hAnsi="宋体" w:cs="宋体"/>
        </w:rPr>
      </w:pPr>
      <w:r>
        <w:rPr>
          <w:rFonts w:hint="eastAsia" w:ascii="宋体" w:hAnsi="宋体" w:cs="宋体"/>
        </w:rPr>
        <w:t>日   期：    年    月    日</w:t>
      </w:r>
    </w:p>
    <w:p>
      <w:pPr>
        <w:pStyle w:val="2"/>
        <w:rPr>
          <w:rFonts w:ascii="宋体" w:hAnsi="宋体" w:cs="宋体"/>
        </w:rPr>
        <w:sectPr>
          <w:pgSz w:w="11906" w:h="16838"/>
          <w:pgMar w:top="1440" w:right="1800" w:bottom="1440" w:left="1800" w:header="851" w:footer="992" w:gutter="0"/>
          <w:cols w:space="720" w:num="1"/>
          <w:docGrid w:type="lines" w:linePitch="312" w:charSpace="0"/>
        </w:sectPr>
      </w:pPr>
    </w:p>
    <w:p>
      <w:pPr>
        <w:pStyle w:val="120"/>
        <w:ind w:firstLine="0" w:firstLineChars="0"/>
      </w:pPr>
      <w:bookmarkStart w:id="55" w:name="_Toc60070631"/>
      <w:bookmarkStart w:id="56" w:name="_Toc58838603"/>
      <w:bookmarkStart w:id="57" w:name="_Toc61541795"/>
    </w:p>
    <w:p>
      <w:pPr>
        <w:pStyle w:val="19"/>
        <w:jc w:val="left"/>
        <w:rPr>
          <w:rFonts w:hAnsi="宋体"/>
          <w:b/>
          <w:sz w:val="24"/>
          <w:szCs w:val="21"/>
        </w:rPr>
      </w:pPr>
      <w:r>
        <w:rPr>
          <w:rFonts w:hint="eastAsia" w:hAnsi="宋体"/>
          <w:b/>
          <w:sz w:val="24"/>
          <w:szCs w:val="21"/>
        </w:rPr>
        <w:t>格式七 ：施工项目管理团队人员信息表</w:t>
      </w:r>
    </w:p>
    <w:p>
      <w:pPr>
        <w:widowControl/>
        <w:shd w:val="clear" w:color="auto" w:fill="FFFFFF"/>
        <w:spacing w:line="480" w:lineRule="exact"/>
        <w:ind w:firstLine="643" w:firstLineChars="200"/>
        <w:jc w:val="center"/>
        <w:rPr>
          <w:rFonts w:cs="宋体"/>
          <w:b/>
          <w:kern w:val="0"/>
          <w:sz w:val="32"/>
          <w:szCs w:val="32"/>
          <w:lang w:bidi="ar"/>
        </w:rPr>
      </w:pPr>
      <w:r>
        <w:rPr>
          <w:rFonts w:hint="eastAsia" w:cs="宋体"/>
          <w:b/>
          <w:kern w:val="0"/>
          <w:sz w:val="32"/>
          <w:szCs w:val="32"/>
          <w:lang w:bidi="ar"/>
        </w:rPr>
        <w:t>施工项目管理团队人员信息表</w:t>
      </w:r>
    </w:p>
    <w:p>
      <w:pPr>
        <w:widowControl/>
        <w:shd w:val="clear" w:color="auto" w:fill="FFFFFF"/>
        <w:ind w:firstLine="201" w:firstLineChars="200"/>
        <w:jc w:val="center"/>
        <w:rPr>
          <w:rFonts w:cs="宋体"/>
          <w:b/>
          <w:kern w:val="0"/>
          <w:sz w:val="10"/>
          <w:szCs w:val="10"/>
          <w:lang w:bidi="ar"/>
        </w:rPr>
      </w:pPr>
    </w:p>
    <w:tbl>
      <w:tblPr>
        <w:tblStyle w:val="36"/>
        <w:tblW w:w="9038" w:type="dxa"/>
        <w:jc w:val="center"/>
        <w:tblLayout w:type="fixed"/>
        <w:tblCellMar>
          <w:top w:w="0" w:type="dxa"/>
          <w:left w:w="0" w:type="dxa"/>
          <w:bottom w:w="0" w:type="dxa"/>
          <w:right w:w="0" w:type="dxa"/>
        </w:tblCellMar>
      </w:tblPr>
      <w:tblGrid>
        <w:gridCol w:w="635"/>
        <w:gridCol w:w="1642"/>
        <w:gridCol w:w="2284"/>
        <w:gridCol w:w="1800"/>
        <w:gridCol w:w="2677"/>
      </w:tblGrid>
      <w:tr>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szCs w:val="21"/>
              </w:rPr>
            </w:pPr>
            <w:r>
              <w:rPr>
                <w:rFonts w:hint="eastAsia" w:cs="宋体"/>
                <w:b/>
                <w:kern w:val="0"/>
                <w:szCs w:val="21"/>
                <w:lang w:bidi="ar"/>
              </w:rPr>
              <w:t>序号</w:t>
            </w:r>
          </w:p>
        </w:tc>
        <w:tc>
          <w:tcPr>
            <w:tcW w:w="1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szCs w:val="21"/>
              </w:rPr>
            </w:pPr>
            <w:r>
              <w:rPr>
                <w:rFonts w:hint="eastAsia" w:cs="宋体"/>
                <w:b/>
                <w:kern w:val="0"/>
                <w:szCs w:val="21"/>
                <w:lang w:bidi="ar"/>
              </w:rPr>
              <w:t>姓名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szCs w:val="21"/>
              </w:rPr>
            </w:pPr>
            <w:r>
              <w:rPr>
                <w:rFonts w:hint="eastAsia" w:cs="宋体"/>
                <w:b/>
                <w:kern w:val="0"/>
                <w:szCs w:val="21"/>
                <w:lang w:bidi="ar"/>
              </w:rPr>
              <w:t>岗位</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szCs w:val="21"/>
              </w:rPr>
            </w:pPr>
            <w:r>
              <w:rPr>
                <w:rFonts w:hint="eastAsia" w:cs="宋体"/>
                <w:b/>
                <w:kern w:val="0"/>
                <w:szCs w:val="21"/>
                <w:lang w:bidi="ar"/>
              </w:rPr>
              <w:t>职称</w:t>
            </w:r>
          </w:p>
        </w:tc>
        <w:tc>
          <w:tcPr>
            <w:tcW w:w="2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szCs w:val="21"/>
              </w:rPr>
            </w:pPr>
            <w:r>
              <w:rPr>
                <w:rFonts w:hint="eastAsia" w:cs="宋体"/>
                <w:b/>
                <w:kern w:val="0"/>
                <w:szCs w:val="21"/>
                <w:lang w:bidi="ar"/>
              </w:rPr>
              <w:t>职称证书或资格证书编号</w:t>
            </w: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1</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2</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3</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4</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5</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6</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5"/>
              <w:jc w:val="center"/>
              <w:rPr>
                <w:rFonts w:ascii="宋体" w:hAnsi="宋体" w:cs="宋体"/>
                <w:szCs w:val="22"/>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szCs w:val="21"/>
              </w:rPr>
            </w:pPr>
            <w:r>
              <w:rPr>
                <w:rFonts w:hint="eastAsia" w:cs="宋体"/>
                <w:kern w:val="0"/>
                <w:szCs w:val="21"/>
                <w:lang w:bidi="ar"/>
              </w:rPr>
              <w:t>7</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r>
              <w:rPr>
                <w:rFonts w:hint="eastAsia" w:cs="宋体"/>
                <w:szCs w:val="21"/>
              </w:rPr>
              <w:t>8</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r>
              <w:rPr>
                <w:rFonts w:hint="eastAsia" w:cs="宋体"/>
                <w:kern w:val="0"/>
                <w:szCs w:val="21"/>
                <w:lang w:bidi="ar"/>
              </w:rPr>
              <w:t>……</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szCs w:val="21"/>
              </w:rPr>
            </w:pPr>
          </w:p>
        </w:tc>
      </w:tr>
      <w:tr>
        <w:tblPrEx>
          <w:tblCellMar>
            <w:top w:w="0" w:type="dxa"/>
            <w:left w:w="0" w:type="dxa"/>
            <w:bottom w:w="0" w:type="dxa"/>
            <w:right w:w="0" w:type="dxa"/>
          </w:tblCellMar>
        </w:tblPrEx>
        <w:trPr>
          <w:trHeight w:val="3644" w:hRule="atLeast"/>
          <w:jc w:val="center"/>
        </w:trPr>
        <w:tc>
          <w:tcPr>
            <w:tcW w:w="90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136"/>
                <w:rFonts w:hint="default" w:ascii="宋体" w:hAnsi="宋体" w:eastAsia="宋体" w:cs="宋体"/>
                <w:color w:val="auto"/>
                <w:sz w:val="21"/>
                <w:szCs w:val="21"/>
                <w:lang w:bidi="ar"/>
              </w:rPr>
            </w:pPr>
            <w:r>
              <w:rPr>
                <w:rStyle w:val="136"/>
                <w:rFonts w:hint="default" w:ascii="宋体" w:hAnsi="宋体" w:eastAsia="宋体" w:cs="宋体"/>
                <w:color w:val="auto"/>
                <w:sz w:val="21"/>
                <w:szCs w:val="21"/>
                <w:lang w:bidi="ar"/>
              </w:rPr>
              <w:t>备注：</w:t>
            </w:r>
          </w:p>
          <w:p>
            <w:pPr>
              <w:widowControl/>
              <w:jc w:val="left"/>
              <w:textAlignment w:val="center"/>
              <w:rPr>
                <w:rStyle w:val="136"/>
                <w:rFonts w:hint="default" w:ascii="宋体" w:hAnsi="宋体" w:eastAsia="宋体" w:cs="宋体"/>
                <w:color w:val="auto"/>
                <w:sz w:val="21"/>
                <w:szCs w:val="21"/>
                <w:lang w:bidi="ar"/>
              </w:rPr>
            </w:pPr>
            <w:r>
              <w:rPr>
                <w:rStyle w:val="136"/>
                <w:rFonts w:hint="default" w:ascii="宋体" w:hAnsi="宋体" w:eastAsia="宋体" w:cs="宋体"/>
                <w:color w:val="auto"/>
                <w:sz w:val="21"/>
                <w:szCs w:val="21"/>
                <w:lang w:bidi="ar"/>
              </w:rPr>
              <w:t>1、“岗位”要求</w:t>
            </w:r>
            <w:r>
              <w:rPr>
                <w:rStyle w:val="116"/>
                <w:rFonts w:hint="default" w:cs="宋体"/>
                <w:color w:val="auto"/>
                <w:sz w:val="21"/>
                <w:szCs w:val="21"/>
                <w:lang w:bidi="ar"/>
              </w:rPr>
              <w:t>（除项目负责人和专职安全员外）</w:t>
            </w:r>
            <w:r>
              <w:rPr>
                <w:rStyle w:val="136"/>
                <w:rFonts w:hint="default" w:ascii="宋体" w:hAnsi="宋体" w:eastAsia="宋体" w:cs="宋体"/>
                <w:color w:val="auto"/>
                <w:sz w:val="21"/>
                <w:szCs w:val="21"/>
                <w:lang w:bidi="ar"/>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136"/>
                <w:rFonts w:hint="default" w:ascii="宋体" w:hAnsi="宋体" w:eastAsia="宋体" w:cs="宋体"/>
                <w:color w:val="auto"/>
                <w:sz w:val="21"/>
                <w:szCs w:val="21"/>
                <w:lang w:bidi="ar"/>
              </w:rPr>
            </w:pPr>
            <w:r>
              <w:rPr>
                <w:rStyle w:val="136"/>
                <w:rFonts w:hint="default" w:ascii="宋体" w:hAnsi="宋体" w:eastAsia="宋体" w:cs="宋体"/>
                <w:color w:val="auto"/>
                <w:sz w:val="21"/>
                <w:szCs w:val="21"/>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cs="宋体"/>
                <w:szCs w:val="21"/>
              </w:rPr>
            </w:pPr>
            <w:r>
              <w:rPr>
                <w:rStyle w:val="136"/>
                <w:rFonts w:hint="default" w:ascii="宋体" w:hAnsi="宋体" w:eastAsia="宋体" w:cs="宋体"/>
                <w:color w:val="auto"/>
                <w:sz w:val="21"/>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20"/>
        <w:ind w:firstLine="3161" w:firstLineChars="1450"/>
        <w:rPr>
          <w:rFonts w:cs="宋体"/>
          <w:sz w:val="21"/>
          <w:szCs w:val="21"/>
        </w:rPr>
      </w:pPr>
      <w:r>
        <w:rPr>
          <w:rFonts w:cs="宋体"/>
          <w:sz w:val="21"/>
          <w:szCs w:val="21"/>
        </w:rPr>
        <w:t>投标人：　　（盖章）</w:t>
      </w:r>
    </w:p>
    <w:p>
      <w:pPr>
        <w:pStyle w:val="120"/>
        <w:ind w:firstLine="3161" w:firstLineChars="1450"/>
        <w:rPr>
          <w:rFonts w:cs="宋体"/>
          <w:sz w:val="21"/>
          <w:szCs w:val="21"/>
        </w:rPr>
      </w:pPr>
      <w:r>
        <w:rPr>
          <w:rFonts w:cs="宋体"/>
          <w:sz w:val="21"/>
          <w:szCs w:val="21"/>
        </w:rPr>
        <w:t>法定代表人或授权代理人（签字或盖章）：</w:t>
      </w:r>
    </w:p>
    <w:p>
      <w:pPr>
        <w:ind w:right="42" w:rightChars="20" w:firstLine="3150" w:firstLineChars="1500"/>
        <w:jc w:val="left"/>
        <w:rPr>
          <w:rFonts w:cs="宋体"/>
          <w:bCs/>
          <w:szCs w:val="24"/>
        </w:rPr>
      </w:pPr>
      <w:r>
        <w:rPr>
          <w:rFonts w:hint="eastAsia" w:cs="宋体"/>
          <w:szCs w:val="21"/>
        </w:rPr>
        <w:t>日   期：    年    月    日</w:t>
      </w:r>
    </w:p>
    <w:p>
      <w:pPr>
        <w:rPr>
          <w:rFonts w:hAnsi="宋体"/>
          <w:b/>
          <w:sz w:val="24"/>
          <w:szCs w:val="21"/>
        </w:rPr>
      </w:pPr>
      <w:r>
        <w:rPr>
          <w:rFonts w:hint="eastAsia" w:hAnsi="宋体"/>
          <w:b/>
          <w:sz w:val="24"/>
          <w:szCs w:val="21"/>
        </w:rPr>
        <w:br w:type="page"/>
      </w:r>
    </w:p>
    <w:p>
      <w:pPr>
        <w:pStyle w:val="19"/>
        <w:jc w:val="left"/>
        <w:rPr>
          <w:rFonts w:hAnsi="宋体"/>
          <w:b/>
          <w:sz w:val="24"/>
          <w:szCs w:val="21"/>
        </w:rPr>
      </w:pPr>
      <w:r>
        <w:rPr>
          <w:rFonts w:hint="eastAsia" w:hAnsi="宋体"/>
          <w:b/>
          <w:sz w:val="24"/>
          <w:szCs w:val="21"/>
        </w:rPr>
        <w:t>格式八 ：企业相关资料</w:t>
      </w:r>
    </w:p>
    <w:p>
      <w:pPr>
        <w:autoSpaceDE w:val="0"/>
        <w:autoSpaceDN w:val="0"/>
        <w:adjustRightInd w:val="0"/>
        <w:spacing w:line="360" w:lineRule="auto"/>
        <w:jc w:val="center"/>
        <w:rPr>
          <w:rFonts w:ascii="宋体" w:hAnsi="宋体" w:cs="宋体"/>
          <w:snapToGrid w:val="0"/>
          <w:spacing w:val="4"/>
          <w:kern w:val="0"/>
          <w:sz w:val="24"/>
          <w:szCs w:val="24"/>
        </w:rPr>
      </w:pPr>
      <w:r>
        <w:rPr>
          <w:rFonts w:hint="eastAsia" w:ascii="宋体" w:hAnsi="宋体" w:cs="宋体"/>
          <w:snapToGrid w:val="0"/>
          <w:spacing w:val="4"/>
          <w:kern w:val="0"/>
          <w:sz w:val="24"/>
          <w:szCs w:val="24"/>
        </w:rPr>
        <w:t>企业相关资料</w:t>
      </w:r>
    </w:p>
    <w:p>
      <w:pPr>
        <w:autoSpaceDE w:val="0"/>
        <w:autoSpaceDN w:val="0"/>
        <w:adjustRightInd w:val="0"/>
        <w:spacing w:line="360" w:lineRule="auto"/>
        <w:rPr>
          <w:rFonts w:ascii="宋体" w:hAnsi="宋体" w:cs="宋体"/>
          <w:snapToGrid w:val="0"/>
          <w:spacing w:val="4"/>
          <w:kern w:val="0"/>
          <w:sz w:val="24"/>
          <w:szCs w:val="24"/>
        </w:rPr>
      </w:pPr>
      <w:r>
        <w:rPr>
          <w:rFonts w:hint="eastAsia" w:ascii="宋体" w:hAnsi="宋体" w:cs="宋体"/>
          <w:snapToGrid w:val="0"/>
          <w:spacing w:val="4"/>
          <w:kern w:val="0"/>
          <w:sz w:val="24"/>
          <w:szCs w:val="24"/>
        </w:rPr>
        <w:t>(如有)</w:t>
      </w:r>
    </w:p>
    <w:p>
      <w:pPr>
        <w:autoSpaceDE w:val="0"/>
        <w:autoSpaceDN w:val="0"/>
        <w:adjustRightInd w:val="0"/>
        <w:spacing w:line="360" w:lineRule="auto"/>
        <w:rPr>
          <w:rFonts w:ascii="宋体" w:hAnsi="宋体" w:cs="宋体"/>
          <w:snapToGrid w:val="0"/>
          <w:spacing w:val="4"/>
          <w:kern w:val="0"/>
          <w:sz w:val="24"/>
          <w:szCs w:val="24"/>
        </w:rPr>
      </w:pPr>
      <w:r>
        <w:rPr>
          <w:rFonts w:hint="eastAsia" w:ascii="宋体" w:hAnsi="宋体" w:cs="宋体"/>
          <w:snapToGrid w:val="0"/>
          <w:spacing w:val="4"/>
          <w:kern w:val="0"/>
          <w:sz w:val="24"/>
          <w:szCs w:val="24"/>
        </w:rPr>
        <w:t>注：</w:t>
      </w:r>
    </w:p>
    <w:p>
      <w:pPr>
        <w:autoSpaceDE w:val="0"/>
        <w:autoSpaceDN w:val="0"/>
        <w:adjustRightInd w:val="0"/>
        <w:spacing w:line="360" w:lineRule="auto"/>
        <w:rPr>
          <w:rFonts w:ascii="宋体" w:hAnsi="宋体" w:cs="宋体"/>
          <w:snapToGrid w:val="0"/>
          <w:spacing w:val="4"/>
          <w:kern w:val="0"/>
          <w:sz w:val="24"/>
          <w:szCs w:val="24"/>
        </w:rPr>
      </w:pPr>
      <w:r>
        <w:rPr>
          <w:rFonts w:hint="eastAsia" w:ascii="宋体" w:hAnsi="宋体" w:cs="宋体"/>
          <w:snapToGrid w:val="0"/>
          <w:spacing w:val="4"/>
          <w:kern w:val="0"/>
          <w:sz w:val="24"/>
          <w:szCs w:val="24"/>
        </w:rPr>
        <w:t>1.企业类似工程业绩证明资料；</w:t>
      </w:r>
    </w:p>
    <w:p>
      <w:pPr>
        <w:autoSpaceDE w:val="0"/>
        <w:autoSpaceDN w:val="0"/>
        <w:adjustRightInd w:val="0"/>
        <w:spacing w:line="360" w:lineRule="auto"/>
        <w:rPr>
          <w:rFonts w:ascii="宋体" w:hAnsi="宋体" w:cs="宋体"/>
          <w:snapToGrid w:val="0"/>
          <w:spacing w:val="4"/>
          <w:kern w:val="0"/>
          <w:sz w:val="24"/>
          <w:szCs w:val="24"/>
        </w:rPr>
      </w:pPr>
      <w:r>
        <w:rPr>
          <w:rFonts w:hint="eastAsia" w:ascii="宋体" w:hAnsi="宋体" w:cs="宋体"/>
          <w:snapToGrid w:val="0"/>
          <w:spacing w:val="4"/>
          <w:kern w:val="0"/>
          <w:sz w:val="24"/>
          <w:szCs w:val="24"/>
        </w:rPr>
        <w:t>2.工程获奖证明资料；</w:t>
      </w:r>
    </w:p>
    <w:p>
      <w:pPr>
        <w:autoSpaceDE w:val="0"/>
        <w:autoSpaceDN w:val="0"/>
        <w:adjustRightInd w:val="0"/>
        <w:spacing w:line="360" w:lineRule="auto"/>
        <w:rPr>
          <w:rFonts w:ascii="宋体" w:hAnsi="宋体" w:cs="宋体"/>
          <w:snapToGrid w:val="0"/>
          <w:spacing w:val="4"/>
          <w:kern w:val="0"/>
          <w:sz w:val="24"/>
          <w:szCs w:val="24"/>
        </w:rPr>
      </w:pPr>
      <w:r>
        <w:rPr>
          <w:rFonts w:hint="eastAsia" w:ascii="宋体" w:hAnsi="宋体" w:cs="宋体"/>
          <w:snapToGrid w:val="0"/>
          <w:spacing w:val="4"/>
          <w:kern w:val="0"/>
          <w:sz w:val="24"/>
          <w:szCs w:val="24"/>
        </w:rPr>
        <w:t>3.第三方评价证明资料；</w:t>
      </w:r>
    </w:p>
    <w:p>
      <w:pPr>
        <w:topLinePunct/>
        <w:adjustRightInd w:val="0"/>
        <w:snapToGrid w:val="0"/>
        <w:spacing w:line="360" w:lineRule="auto"/>
        <w:rPr>
          <w:rFonts w:ascii="宋体" w:hAnsi="宋体"/>
          <w:kern w:val="0"/>
          <w:sz w:val="27"/>
          <w:szCs w:val="27"/>
        </w:rPr>
      </w:pPr>
      <w:r>
        <w:rPr>
          <w:rFonts w:hint="eastAsia" w:ascii="宋体" w:hAnsi="宋体" w:cs="宋体"/>
          <w:snapToGrid w:val="0"/>
          <w:spacing w:val="4"/>
          <w:kern w:val="0"/>
          <w:sz w:val="24"/>
          <w:szCs w:val="24"/>
        </w:rPr>
        <w:t>4.其他投标人认为须提交的资料。</w:t>
      </w:r>
    </w:p>
    <w:p>
      <w:pPr>
        <w:rPr>
          <w:rFonts w:ascii="宋体" w:hAnsi="宋体"/>
          <w:kern w:val="0"/>
          <w:sz w:val="27"/>
          <w:szCs w:val="27"/>
        </w:rPr>
      </w:pPr>
      <w:r>
        <w:rPr>
          <w:rFonts w:ascii="宋体" w:hAnsi="宋体"/>
          <w:kern w:val="0"/>
          <w:sz w:val="27"/>
          <w:szCs w:val="27"/>
        </w:rPr>
        <w:br w:type="page"/>
      </w:r>
    </w:p>
    <w:bookmarkEnd w:id="55"/>
    <w:bookmarkEnd w:id="56"/>
    <w:bookmarkEnd w:id="57"/>
    <w:p>
      <w:pPr>
        <w:pStyle w:val="7"/>
        <w:ind w:firstLine="0" w:firstLineChars="0"/>
        <w:rPr>
          <w:color w:val="auto"/>
        </w:rPr>
      </w:pPr>
      <w:bookmarkStart w:id="58" w:name="_Toc79144527"/>
      <w:bookmarkEnd w:id="58"/>
      <w:r>
        <w:rPr>
          <w:rFonts w:hint="eastAsia"/>
          <w:color w:val="auto"/>
        </w:rPr>
        <w:t>格式九：参与编制技术标投标文件人员名单</w:t>
      </w:r>
    </w:p>
    <w:p>
      <w:pPr>
        <w:jc w:val="center"/>
        <w:rPr>
          <w:rFonts w:ascii="宋体" w:hAnsi="宋体"/>
          <w:b/>
          <w:sz w:val="36"/>
          <w:szCs w:val="36"/>
        </w:rPr>
      </w:pPr>
      <w:r>
        <w:rPr>
          <w:rFonts w:hint="eastAsia" w:ascii="宋体" w:hAnsi="宋体"/>
          <w:b/>
          <w:sz w:val="36"/>
          <w:szCs w:val="36"/>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autoSpaceDE w:val="0"/>
        <w:autoSpaceDN w:val="0"/>
        <w:adjustRightInd w:val="0"/>
        <w:spacing w:line="360" w:lineRule="auto"/>
        <w:rPr>
          <w:rFonts w:ascii="宋体" w:hAnsi="宋体" w:cs="宋体"/>
          <w:bCs/>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pStyle w:val="19"/>
      </w:pPr>
    </w:p>
    <w:p>
      <w:pPr>
        <w:autoSpaceDE w:val="0"/>
        <w:autoSpaceDN w:val="0"/>
        <w:adjustRightInd w:val="0"/>
        <w:rPr>
          <w:bCs/>
          <w:szCs w:val="21"/>
        </w:rPr>
      </w:pPr>
    </w:p>
    <w:p>
      <w:pPr>
        <w:tabs>
          <w:tab w:val="left" w:pos="720"/>
        </w:tabs>
        <w:snapToGrid w:val="0"/>
        <w:spacing w:line="360" w:lineRule="auto"/>
        <w:rPr>
          <w:sz w:val="24"/>
          <w:szCs w:val="24"/>
        </w:rPr>
      </w:pPr>
    </w:p>
    <w:p>
      <w:bookmarkStart w:id="59" w:name="_Toc115117434"/>
      <w:r>
        <w:rPr>
          <w:rFonts w:hint="eastAsia"/>
        </w:rPr>
        <w:br w:type="page"/>
      </w:r>
    </w:p>
    <w:p>
      <w:pPr>
        <w:pStyle w:val="6"/>
      </w:pPr>
      <w:r>
        <w:rPr>
          <w:rFonts w:hint="eastAsia"/>
        </w:rPr>
        <w:t>二</w:t>
      </w:r>
      <w:r>
        <w:t>、</w:t>
      </w:r>
      <w:r>
        <w:rPr>
          <w:rFonts w:hint="eastAsia"/>
        </w:rPr>
        <w:t>经济标投标文件格式</w:t>
      </w:r>
      <w:bookmarkEnd w:id="59"/>
    </w:p>
    <w:p>
      <w:pPr>
        <w:pStyle w:val="7"/>
        <w:ind w:left="-3" w:leftChars="-187" w:hanging="390" w:hangingChars="162"/>
        <w:rPr>
          <w:rFonts w:cs="宋体"/>
          <w:snapToGrid w:val="0"/>
          <w:color w:val="auto"/>
          <w:spacing w:val="4"/>
          <w:kern w:val="0"/>
          <w:szCs w:val="24"/>
        </w:rPr>
      </w:pPr>
      <w:bookmarkStart w:id="60" w:name="_Toc32339"/>
      <w:bookmarkEnd w:id="60"/>
      <w:bookmarkStart w:id="61" w:name="_Toc21759"/>
      <w:bookmarkEnd w:id="61"/>
      <w:r>
        <w:rPr>
          <w:rFonts w:hint="eastAsia"/>
          <w:color w:val="auto"/>
        </w:rPr>
        <w:t>格式十：经济标封面</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第二册 （经济投标文件）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日  期：</w:t>
      </w:r>
    </w:p>
    <w:p/>
    <w:p>
      <w:pPr>
        <w:pStyle w:val="7"/>
        <w:ind w:left="-3" w:leftChars="-187" w:hanging="390" w:hangingChars="162"/>
        <w:rPr>
          <w:color w:val="auto"/>
          <w:lang w:val="zh-CN"/>
        </w:rPr>
      </w:pPr>
      <w:bookmarkStart w:id="62" w:name="_Toc61541797"/>
      <w:bookmarkEnd w:id="62"/>
      <w:bookmarkStart w:id="63" w:name="_Toc60070633"/>
      <w:bookmarkEnd w:id="63"/>
      <w:bookmarkStart w:id="64" w:name="_Toc6493862"/>
      <w:bookmarkEnd w:id="64"/>
      <w:bookmarkStart w:id="65" w:name="_Toc58838605"/>
      <w:bookmarkEnd w:id="65"/>
      <w:bookmarkStart w:id="66" w:name="_Toc113276358"/>
      <w:bookmarkEnd w:id="66"/>
      <w:r>
        <w:rPr>
          <w:rFonts w:hint="eastAsia"/>
          <w:color w:val="auto"/>
        </w:rPr>
        <w:t>格式十一：广州建设工程施工招标投标书（经济标）</w:t>
      </w:r>
    </w:p>
    <w:p>
      <w:pPr>
        <w:jc w:val="center"/>
        <w:rPr>
          <w:rFonts w:ascii="宋体" w:hAnsi="宋体" w:cs="宋体"/>
          <w:b/>
          <w:sz w:val="36"/>
          <w:szCs w:val="36"/>
        </w:rPr>
      </w:pPr>
      <w:bookmarkStart w:id="67" w:name="_Toc58838606"/>
      <w:bookmarkEnd w:id="67"/>
      <w:r>
        <w:rPr>
          <w:rFonts w:hint="eastAsia" w:ascii="宋体" w:hAnsi="宋体" w:cs="宋体"/>
          <w:b/>
          <w:sz w:val="36"/>
          <w:szCs w:val="36"/>
        </w:rPr>
        <w:t>广州建设工程施工招标投标书（经济标）</w:t>
      </w:r>
    </w:p>
    <w:tbl>
      <w:tblPr>
        <w:tblStyle w:val="3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工程质量标准</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保修期限</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bl>
    <w:p>
      <w:pPr>
        <w:pStyle w:val="2"/>
        <w:sectPr>
          <w:pgSz w:w="11906" w:h="16838"/>
          <w:pgMar w:top="1440" w:right="1800" w:bottom="1440" w:left="1800" w:header="851" w:footer="992" w:gutter="0"/>
          <w:cols w:space="720" w:num="1"/>
          <w:docGrid w:type="lines" w:linePitch="312" w:charSpace="0"/>
        </w:sectPr>
      </w:pPr>
    </w:p>
    <w:p>
      <w:pPr>
        <w:pStyle w:val="7"/>
        <w:ind w:left="-3" w:leftChars="-187" w:hanging="390" w:hangingChars="162"/>
        <w:rPr>
          <w:color w:val="auto"/>
          <w:szCs w:val="24"/>
        </w:rPr>
      </w:pPr>
      <w:r>
        <w:rPr>
          <w:rFonts w:hint="eastAsia"/>
          <w:color w:val="auto"/>
        </w:rPr>
        <w:t>格式十二：参与编制经济标投标文件人员名单</w:t>
      </w:r>
    </w:p>
    <w:p>
      <w:pPr>
        <w:tabs>
          <w:tab w:val="left" w:pos="720"/>
        </w:tabs>
        <w:snapToGrid w:val="0"/>
        <w:spacing w:line="360" w:lineRule="auto"/>
        <w:rPr>
          <w:sz w:val="24"/>
          <w:szCs w:val="24"/>
        </w:rPr>
      </w:pPr>
    </w:p>
    <w:p>
      <w:pPr>
        <w:jc w:val="center"/>
        <w:rPr>
          <w:rFonts w:ascii="宋体" w:hAnsi="宋体"/>
          <w:b/>
          <w:sz w:val="36"/>
          <w:szCs w:val="36"/>
        </w:rPr>
      </w:pPr>
      <w:r>
        <w:rPr>
          <w:rFonts w:hint="eastAsia" w:ascii="宋体" w:hAnsi="宋体"/>
          <w:b/>
          <w:sz w:val="36"/>
          <w:szCs w:val="36"/>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34"/>
        <w:spacing w:line="360" w:lineRule="auto"/>
        <w:ind w:left="-2" w:leftChars="-1" w:firstLine="367" w:firstLineChars="175"/>
        <w:jc w:val="left"/>
        <w:rPr>
          <w:szCs w:val="21"/>
        </w:rPr>
      </w:pPr>
      <w:r>
        <w:rPr>
          <w:rFonts w:hint="eastAsia"/>
          <w:szCs w:val="21"/>
        </w:rPr>
        <w:t>注：参与编制经济标投标文件所有人员名单应包括如编制各种专业工程量清单投标报价、负责清样校对、负责打印及复印等所有人员在内的人员名单。</w:t>
      </w: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34"/>
        <w:spacing w:line="360" w:lineRule="auto"/>
        <w:ind w:left="-2" w:leftChars="-1" w:firstLineChars="175"/>
        <w:jc w:val="center"/>
        <w:rPr>
          <w:sz w:val="24"/>
          <w:szCs w:val="24"/>
        </w:rPr>
      </w:pPr>
    </w:p>
    <w:p>
      <w:pPr>
        <w:pStyle w:val="7"/>
        <w:ind w:left="-3" w:leftChars="-187" w:hanging="390" w:hangingChars="162"/>
        <w:rPr>
          <w:color w:val="auto"/>
        </w:rPr>
      </w:pPr>
      <w:r>
        <w:rPr>
          <w:rFonts w:hint="eastAsia"/>
          <w:color w:val="auto"/>
        </w:rPr>
        <w:t>格式十三：对投标文件编制的承诺</w:t>
      </w:r>
    </w:p>
    <w:p>
      <w:pPr>
        <w:pStyle w:val="34"/>
        <w:spacing w:line="360" w:lineRule="auto"/>
        <w:ind w:firstLine="0"/>
        <w:jc w:val="center"/>
        <w:rPr>
          <w:sz w:val="32"/>
          <w:szCs w:val="32"/>
        </w:rPr>
      </w:pPr>
      <w:r>
        <w:rPr>
          <w:rFonts w:hint="eastAsia"/>
          <w:b/>
          <w:sz w:val="32"/>
          <w:szCs w:val="32"/>
        </w:rPr>
        <w:t>对投标文件编制的承诺</w:t>
      </w:r>
    </w:p>
    <w:p>
      <w:pPr>
        <w:pStyle w:val="34"/>
        <w:spacing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34"/>
        <w:spacing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34"/>
        <w:spacing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34"/>
        <w:spacing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34"/>
        <w:spacing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34"/>
        <w:spacing w:line="360" w:lineRule="auto"/>
        <w:ind w:firstLine="360" w:firstLineChars="150"/>
        <w:rPr>
          <w:rFonts w:ascii="宋体" w:hAnsi="宋体"/>
          <w:sz w:val="24"/>
          <w:szCs w:val="24"/>
        </w:rPr>
      </w:pPr>
    </w:p>
    <w:p>
      <w:pPr>
        <w:pStyle w:val="34"/>
        <w:spacing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34"/>
        <w:spacing w:line="360" w:lineRule="auto"/>
        <w:ind w:firstLine="0"/>
        <w:rPr>
          <w:b/>
          <w:sz w:val="32"/>
          <w:szCs w:val="32"/>
        </w:rPr>
      </w:pPr>
    </w:p>
    <w:p>
      <w:pPr>
        <w:pStyle w:val="34"/>
        <w:spacing w:line="360" w:lineRule="auto"/>
        <w:ind w:firstLine="643" w:firstLineChars="200"/>
        <w:jc w:val="center"/>
        <w:rPr>
          <w:sz w:val="18"/>
          <w:szCs w:val="18"/>
        </w:rPr>
      </w:pPr>
      <w:r>
        <w:rPr>
          <w:rFonts w:hint="eastAsia"/>
          <w:b/>
          <w:sz w:val="32"/>
          <w:szCs w:val="32"/>
        </w:rPr>
        <w:t>投标文件编制情况</w:t>
      </w:r>
    </w:p>
    <w:p>
      <w:pPr>
        <w:pStyle w:val="34"/>
        <w:spacing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34"/>
        <w:spacing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4"/>
              <w:spacing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34"/>
              <w:spacing w:line="360" w:lineRule="auto"/>
              <w:ind w:firstLine="0"/>
              <w:rPr>
                <w:rFonts w:ascii="宋体" w:hAnsi="宋体"/>
                <w:sz w:val="24"/>
                <w:szCs w:val="24"/>
              </w:rPr>
            </w:pPr>
            <w:r>
              <w:rPr>
                <w:rFonts w:hint="eastAsia" w:ascii="宋体" w:hAnsi="宋体"/>
                <w:sz w:val="24"/>
                <w:szCs w:val="24"/>
              </w:rPr>
              <w:t>电脑类型</w:t>
            </w:r>
          </w:p>
          <w:p>
            <w:pPr>
              <w:pStyle w:val="34"/>
              <w:spacing w:line="360" w:lineRule="auto"/>
              <w:ind w:firstLine="0"/>
              <w:rPr>
                <w:rFonts w:ascii="宋体" w:hAnsi="宋体"/>
                <w:sz w:val="24"/>
                <w:szCs w:val="24"/>
              </w:rPr>
            </w:pPr>
            <w:r>
              <w:rPr>
                <w:rFonts w:hint="eastAsia" w:ascii="宋体" w:hAnsi="宋体"/>
                <w:sz w:val="24"/>
                <w:szCs w:val="24"/>
              </w:rPr>
              <w:t>电脑所属单位</w:t>
            </w:r>
          </w:p>
          <w:p>
            <w:pPr>
              <w:pStyle w:val="34"/>
              <w:spacing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5"/>
        <w:rPr>
          <w:color w:val="auto"/>
        </w:rPr>
      </w:pPr>
      <w:bookmarkStart w:id="68" w:name="_Toc2272568"/>
      <w:bookmarkEnd w:id="68"/>
      <w:r>
        <w:rPr>
          <w:color w:val="auto"/>
        </w:rPr>
        <w:br w:type="page"/>
      </w:r>
      <w:bookmarkStart w:id="69" w:name="_Toc115117435"/>
      <w:r>
        <w:rPr>
          <w:rFonts w:hint="eastAsia"/>
          <w:color w:val="auto"/>
        </w:rPr>
        <w:t>第五章技术条件（工程建设标准）</w:t>
      </w:r>
      <w:bookmarkEnd w:id="69"/>
    </w:p>
    <w:p>
      <w:pPr>
        <w:spacing w:line="360" w:lineRule="auto"/>
        <w:ind w:firstLine="480"/>
        <w:jc w:val="left"/>
        <w:rPr>
          <w:rFonts w:ascii="宋体" w:hAnsi="宋体"/>
          <w:sz w:val="24"/>
          <w:szCs w:val="24"/>
        </w:rPr>
      </w:pPr>
      <w:r>
        <w:rPr>
          <w:rFonts w:hint="eastAsia" w:ascii="宋体" w:hAnsi="宋体"/>
          <w:sz w:val="24"/>
          <w:szCs w:val="24"/>
        </w:rPr>
        <w:t>本工程按照国家有关规定、规范进行施工、验收，具体以施工图纸及相关技术和验收标准、遵照招标人相关规定要求为准。</w:t>
      </w:r>
    </w:p>
    <w:p>
      <w:pPr>
        <w:spacing w:line="360" w:lineRule="auto"/>
        <w:ind w:firstLine="480"/>
        <w:jc w:val="left"/>
        <w:rPr>
          <w:rFonts w:ascii="宋体" w:hAnsi="宋体"/>
          <w:sz w:val="24"/>
          <w:szCs w:val="24"/>
        </w:rPr>
      </w:pPr>
      <w:r>
        <w:rPr>
          <w:rFonts w:hint="eastAsia" w:ascii="宋体" w:hAnsi="宋体"/>
          <w:sz w:val="24"/>
          <w:szCs w:val="24"/>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ascii="宋体" w:hAnsi="宋体"/>
          <w:sz w:val="24"/>
          <w:szCs w:val="24"/>
        </w:rPr>
      </w:pPr>
      <w:r>
        <w:rPr>
          <w:rFonts w:hint="eastAsia" w:ascii="宋体" w:hAnsi="宋体"/>
          <w:sz w:val="24"/>
          <w:szCs w:val="24"/>
        </w:rPr>
        <w:t>本工程实施中采用的材料、设备与工艺，都必须符合上述标准、规范及设计文件的相应要求。</w:t>
      </w:r>
    </w:p>
    <w:p>
      <w:pPr>
        <w:spacing w:line="360" w:lineRule="auto"/>
        <w:ind w:firstLine="480"/>
        <w:jc w:val="left"/>
        <w:rPr>
          <w:rFonts w:ascii="宋体" w:hAnsi="宋体"/>
          <w:sz w:val="24"/>
          <w:szCs w:val="24"/>
        </w:rPr>
      </w:pPr>
      <w:r>
        <w:rPr>
          <w:rFonts w:hint="eastAsia" w:ascii="宋体" w:hAnsi="宋体"/>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ascii="宋体" w:hAnsi="宋体"/>
          <w:sz w:val="24"/>
          <w:szCs w:val="24"/>
        </w:rPr>
      </w:pPr>
      <w:r>
        <w:rPr>
          <w:rFonts w:hint="eastAsia" w:ascii="宋体" w:hAnsi="宋体"/>
          <w:sz w:val="24"/>
          <w:szCs w:val="24"/>
        </w:rPr>
        <w:t>本招标工程所说明的工程规范是以中国国家公布的所有现行规范及地方政府有关的现行规定，承包人须按此等规范执行。</w:t>
      </w:r>
    </w:p>
    <w:p>
      <w:pPr>
        <w:spacing w:line="360" w:lineRule="auto"/>
        <w:ind w:firstLine="480"/>
        <w:jc w:val="left"/>
        <w:rPr>
          <w:rFonts w:ascii="宋体" w:hAnsi="宋体"/>
          <w:sz w:val="24"/>
          <w:szCs w:val="24"/>
        </w:rPr>
      </w:pPr>
      <w:bookmarkStart w:id="70" w:name="_Toc180547418"/>
      <w:bookmarkStart w:id="71" w:name="_Toc180500232"/>
      <w:bookmarkStart w:id="72" w:name="_Toc180499575"/>
      <w:r>
        <w:rPr>
          <w:rFonts w:hint="eastAsia" w:ascii="宋体" w:hAnsi="宋体"/>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70"/>
      <w:bookmarkEnd w:id="71"/>
      <w:bookmarkEnd w:id="72"/>
    </w:p>
    <w:p>
      <w:pPr>
        <w:spacing w:line="360" w:lineRule="auto"/>
        <w:ind w:firstLine="480" w:firstLineChars="200"/>
        <w:rPr>
          <w:rFonts w:ascii="宋体"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5"/>
        <w:ind w:left="0"/>
        <w:rPr>
          <w:color w:val="auto"/>
        </w:rPr>
      </w:pPr>
      <w:bookmarkStart w:id="73" w:name="_Toc2272569"/>
      <w:bookmarkEnd w:id="73"/>
      <w:r>
        <w:rPr>
          <w:color w:val="auto"/>
        </w:rPr>
        <w:br w:type="page"/>
      </w:r>
      <w:bookmarkStart w:id="74" w:name="_Toc115117436"/>
      <w:r>
        <w:rPr>
          <w:rFonts w:hint="eastAsia"/>
          <w:color w:val="auto"/>
        </w:rPr>
        <w:t>第六章图纸及勘察资料</w:t>
      </w:r>
      <w:bookmarkEnd w:id="74"/>
    </w:p>
    <w:p>
      <w:pPr>
        <w:jc w:val="center"/>
        <w:rPr>
          <w:rFonts w:ascii="宋体" w:hAnsi="宋体" w:cs="宋体"/>
          <w:sz w:val="24"/>
          <w:szCs w:val="24"/>
        </w:rPr>
      </w:pPr>
      <w:r>
        <w:rPr>
          <w:rFonts w:hint="eastAsia" w:ascii="宋体" w:hAnsi="宋体"/>
          <w:sz w:val="24"/>
          <w:szCs w:val="24"/>
        </w:rPr>
        <w:t>（另册）</w:t>
      </w:r>
    </w:p>
    <w:p>
      <w:pPr>
        <w:pStyle w:val="5"/>
        <w:ind w:left="0"/>
        <w:jc w:val="both"/>
        <w:rPr>
          <w:rFonts w:ascii="宋体"/>
          <w:color w:val="auto"/>
        </w:rPr>
      </w:pPr>
    </w:p>
    <w:p/>
    <w:p>
      <w:pPr>
        <w:pStyle w:val="5"/>
        <w:ind w:left="0"/>
        <w:rPr>
          <w:color w:val="auto"/>
        </w:rPr>
      </w:pPr>
      <w:bookmarkStart w:id="75" w:name="_Toc2272570"/>
      <w:bookmarkEnd w:id="75"/>
      <w:bookmarkStart w:id="76" w:name="_Toc115117437"/>
      <w:r>
        <w:rPr>
          <w:rFonts w:hint="eastAsia"/>
          <w:color w:val="auto"/>
        </w:rPr>
        <w:t>第七章工程量清单</w:t>
      </w:r>
      <w:bookmarkEnd w:id="76"/>
    </w:p>
    <w:p>
      <w:pPr>
        <w:jc w:val="center"/>
        <w:rPr>
          <w:rFonts w:ascii="宋体" w:hAnsi="宋体"/>
          <w:sz w:val="24"/>
          <w:szCs w:val="24"/>
        </w:rPr>
      </w:pPr>
      <w:r>
        <w:rPr>
          <w:rFonts w:hint="eastAsia" w:ascii="宋体" w:hAnsi="宋体"/>
          <w:sz w:val="24"/>
          <w:szCs w:val="24"/>
        </w:rPr>
        <w:t>（另册</w:t>
      </w:r>
      <w:bookmarkStart w:id="77" w:name="_Toc2272571"/>
      <w:bookmarkEnd w:id="77"/>
      <w:bookmarkStart w:id="78" w:name="_Toc115117438"/>
      <w:r>
        <w:rPr>
          <w:rFonts w:hint="eastAsia" w:ascii="宋体" w:hAnsi="宋体"/>
          <w:sz w:val="24"/>
          <w:szCs w:val="24"/>
        </w:rPr>
        <w:t>）</w:t>
      </w:r>
    </w:p>
    <w:p>
      <w:pPr>
        <w:pStyle w:val="5"/>
        <w:rPr>
          <w:color w:val="auto"/>
        </w:rPr>
      </w:pPr>
    </w:p>
    <w:p>
      <w:pPr>
        <w:pStyle w:val="5"/>
        <w:ind w:left="0"/>
        <w:rPr>
          <w:rFonts w:ascii="宋体"/>
          <w:color w:val="auto"/>
        </w:rPr>
      </w:pPr>
      <w:r>
        <w:rPr>
          <w:rFonts w:hint="eastAsia"/>
          <w:color w:val="auto"/>
        </w:rPr>
        <w:t>第八章最高投标限价</w:t>
      </w:r>
      <w:bookmarkEnd w:id="78"/>
    </w:p>
    <w:p>
      <w:pPr>
        <w:spacing w:line="360" w:lineRule="auto"/>
        <w:ind w:firstLine="480"/>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sz w:val="24"/>
          <w:szCs w:val="24"/>
        </w:rPr>
        <w:t>具体详见《最高投标限价公布函》。（另册）</w:t>
      </w:r>
    </w:p>
    <w:p>
      <w:pPr>
        <w:spacing w:line="360" w:lineRule="auto"/>
        <w:ind w:firstLine="480"/>
        <w:rPr>
          <w:rFonts w:ascii="宋体" w:hAnsi="宋体"/>
          <w:sz w:val="24"/>
          <w:szCs w:val="24"/>
          <w:u w:val="single"/>
        </w:rPr>
      </w:pPr>
    </w:p>
    <w:p>
      <w:pPr>
        <w:spacing w:line="360" w:lineRule="auto"/>
        <w:ind w:firstLine="480"/>
        <w:rPr>
          <w:rFonts w:ascii="宋体" w:hAnsi="宋体"/>
          <w:sz w:val="24"/>
          <w:szCs w:val="24"/>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24"/>
          <w:jc w:val="center"/>
        </w:pPr>
        <w:r>
          <w:fldChar w:fldCharType="begin"/>
        </w:r>
        <w:r>
          <w:instrText xml:space="preserve">PAGE   \* MERGEFORMAT</w:instrText>
        </w:r>
        <w:r>
          <w:fldChar w:fldCharType="separate"/>
        </w:r>
        <w:r>
          <w:rPr>
            <w:lang w:val="zh-CN"/>
          </w:rPr>
          <w:t>12</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2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4"/>
      <w:rPr>
        <w:rStyle w:val="4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24"/>
          <w:jc w:val="center"/>
        </w:pPr>
        <w:r>
          <w:rPr>
            <w:rFonts w:hint="eastAsia"/>
          </w:rPr>
          <w:t>1</w:t>
        </w:r>
      </w:p>
    </w:sdtContent>
  </w:sdt>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50</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76</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57539"/>
    <w:multiLevelType w:val="singleLevel"/>
    <w:tmpl w:val="CEB57539"/>
    <w:lvl w:ilvl="0" w:tentative="0">
      <w:start w:val="4"/>
      <w:numFmt w:val="decimal"/>
      <w:suff w:val="nothing"/>
      <w:lvlText w:val="%1、"/>
      <w:lvlJc w:val="left"/>
      <w:rPr>
        <w:rFonts w:hint="default"/>
        <w:b/>
        <w:bCs/>
      </w:rPr>
    </w:lvl>
  </w:abstractNum>
  <w:abstractNum w:abstractNumId="1">
    <w:nsid w:val="E80413C0"/>
    <w:multiLevelType w:val="singleLevel"/>
    <w:tmpl w:val="E80413C0"/>
    <w:lvl w:ilvl="0" w:tentative="0">
      <w:start w:val="1"/>
      <w:numFmt w:val="decimal"/>
      <w:suff w:val="nothing"/>
      <w:lvlText w:val="（%1）"/>
      <w:lvlJc w:val="left"/>
    </w:lvl>
  </w:abstractNum>
  <w:abstractNum w:abstractNumId="2">
    <w:nsid w:val="259905B5"/>
    <w:multiLevelType w:val="multilevel"/>
    <w:tmpl w:val="259905B5"/>
    <w:lvl w:ilvl="0" w:tentative="0">
      <w:start w:val="1"/>
      <w:numFmt w:val="chineseCountingThousand"/>
      <w:pStyle w:val="98"/>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RjNmY1YWExOGVhYTI3NmMwNTljZDZkODE0MGRhNDEifQ=="/>
  </w:docVars>
  <w:rsids>
    <w:rsidRoot w:val="007B41BE"/>
    <w:rsid w:val="000074E4"/>
    <w:rsid w:val="00015DAD"/>
    <w:rsid w:val="000200EE"/>
    <w:rsid w:val="000311F2"/>
    <w:rsid w:val="0003686F"/>
    <w:rsid w:val="00036894"/>
    <w:rsid w:val="00040851"/>
    <w:rsid w:val="00041293"/>
    <w:rsid w:val="00055CB5"/>
    <w:rsid w:val="000575F8"/>
    <w:rsid w:val="00067567"/>
    <w:rsid w:val="00072B82"/>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5656"/>
    <w:rsid w:val="00103AC7"/>
    <w:rsid w:val="0011247B"/>
    <w:rsid w:val="00112C77"/>
    <w:rsid w:val="0012217C"/>
    <w:rsid w:val="001221D1"/>
    <w:rsid w:val="00123FED"/>
    <w:rsid w:val="0013161C"/>
    <w:rsid w:val="00133FD1"/>
    <w:rsid w:val="00144550"/>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6A6A"/>
    <w:rsid w:val="001F1347"/>
    <w:rsid w:val="001F137B"/>
    <w:rsid w:val="001F149B"/>
    <w:rsid w:val="001F579D"/>
    <w:rsid w:val="001F5BB1"/>
    <w:rsid w:val="001F615D"/>
    <w:rsid w:val="00200540"/>
    <w:rsid w:val="00205692"/>
    <w:rsid w:val="00205C57"/>
    <w:rsid w:val="00206E6D"/>
    <w:rsid w:val="00221C2B"/>
    <w:rsid w:val="00223A7C"/>
    <w:rsid w:val="00225583"/>
    <w:rsid w:val="00227C77"/>
    <w:rsid w:val="00244D69"/>
    <w:rsid w:val="0024638E"/>
    <w:rsid w:val="00250C6A"/>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B35"/>
    <w:rsid w:val="002D7CEC"/>
    <w:rsid w:val="002E082A"/>
    <w:rsid w:val="002E2DB4"/>
    <w:rsid w:val="002E3E42"/>
    <w:rsid w:val="002E589E"/>
    <w:rsid w:val="002E6D1B"/>
    <w:rsid w:val="002F5A9D"/>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520A0"/>
    <w:rsid w:val="00357FE6"/>
    <w:rsid w:val="00362102"/>
    <w:rsid w:val="00372166"/>
    <w:rsid w:val="00372C2C"/>
    <w:rsid w:val="00380158"/>
    <w:rsid w:val="00380228"/>
    <w:rsid w:val="0038042D"/>
    <w:rsid w:val="00394C2F"/>
    <w:rsid w:val="003A1D23"/>
    <w:rsid w:val="003A5A5B"/>
    <w:rsid w:val="003A61AB"/>
    <w:rsid w:val="003A6423"/>
    <w:rsid w:val="003A754C"/>
    <w:rsid w:val="003A7871"/>
    <w:rsid w:val="003B2071"/>
    <w:rsid w:val="003B426C"/>
    <w:rsid w:val="003C73E9"/>
    <w:rsid w:val="003D1238"/>
    <w:rsid w:val="003D24DF"/>
    <w:rsid w:val="00407241"/>
    <w:rsid w:val="00410A29"/>
    <w:rsid w:val="004161AC"/>
    <w:rsid w:val="00433E85"/>
    <w:rsid w:val="004354D0"/>
    <w:rsid w:val="00435AEA"/>
    <w:rsid w:val="004370EC"/>
    <w:rsid w:val="004424B8"/>
    <w:rsid w:val="00445D04"/>
    <w:rsid w:val="004540A3"/>
    <w:rsid w:val="004704DD"/>
    <w:rsid w:val="00472A60"/>
    <w:rsid w:val="00473C2F"/>
    <w:rsid w:val="00484865"/>
    <w:rsid w:val="0048537E"/>
    <w:rsid w:val="00494198"/>
    <w:rsid w:val="00496DF8"/>
    <w:rsid w:val="004A20E9"/>
    <w:rsid w:val="004A354F"/>
    <w:rsid w:val="004B1F72"/>
    <w:rsid w:val="004B295D"/>
    <w:rsid w:val="004C23D1"/>
    <w:rsid w:val="004C54A5"/>
    <w:rsid w:val="004C6199"/>
    <w:rsid w:val="004D0741"/>
    <w:rsid w:val="004D6316"/>
    <w:rsid w:val="004F38F3"/>
    <w:rsid w:val="004F4569"/>
    <w:rsid w:val="00501AC3"/>
    <w:rsid w:val="00502826"/>
    <w:rsid w:val="0050500A"/>
    <w:rsid w:val="00512942"/>
    <w:rsid w:val="0051581C"/>
    <w:rsid w:val="00515D46"/>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554C7"/>
    <w:rsid w:val="00663926"/>
    <w:rsid w:val="00670AF4"/>
    <w:rsid w:val="00673B83"/>
    <w:rsid w:val="00680BFD"/>
    <w:rsid w:val="00680F1A"/>
    <w:rsid w:val="00682AC5"/>
    <w:rsid w:val="0068323F"/>
    <w:rsid w:val="00684357"/>
    <w:rsid w:val="00684B52"/>
    <w:rsid w:val="006A6782"/>
    <w:rsid w:val="006B1FDF"/>
    <w:rsid w:val="006B3A48"/>
    <w:rsid w:val="006B3DA4"/>
    <w:rsid w:val="006B6B0D"/>
    <w:rsid w:val="006C5202"/>
    <w:rsid w:val="006C64E6"/>
    <w:rsid w:val="006D091B"/>
    <w:rsid w:val="006E0BFC"/>
    <w:rsid w:val="006E24EE"/>
    <w:rsid w:val="006E40FB"/>
    <w:rsid w:val="006E5769"/>
    <w:rsid w:val="006E596C"/>
    <w:rsid w:val="006E6623"/>
    <w:rsid w:val="006E7E06"/>
    <w:rsid w:val="006F0066"/>
    <w:rsid w:val="006F11CD"/>
    <w:rsid w:val="006F3576"/>
    <w:rsid w:val="006F4666"/>
    <w:rsid w:val="006F64F4"/>
    <w:rsid w:val="00703AD7"/>
    <w:rsid w:val="00705C62"/>
    <w:rsid w:val="007219BF"/>
    <w:rsid w:val="007236E6"/>
    <w:rsid w:val="00723EE5"/>
    <w:rsid w:val="007320F2"/>
    <w:rsid w:val="0073229B"/>
    <w:rsid w:val="00742B51"/>
    <w:rsid w:val="00744066"/>
    <w:rsid w:val="007444FA"/>
    <w:rsid w:val="007475C9"/>
    <w:rsid w:val="007505F6"/>
    <w:rsid w:val="00757B9E"/>
    <w:rsid w:val="00771D7F"/>
    <w:rsid w:val="00780ADB"/>
    <w:rsid w:val="00780EC8"/>
    <w:rsid w:val="007830A7"/>
    <w:rsid w:val="007830F9"/>
    <w:rsid w:val="00785599"/>
    <w:rsid w:val="00790CE3"/>
    <w:rsid w:val="007939B3"/>
    <w:rsid w:val="007A1AF2"/>
    <w:rsid w:val="007B1729"/>
    <w:rsid w:val="007B308D"/>
    <w:rsid w:val="007B41BE"/>
    <w:rsid w:val="007B4D18"/>
    <w:rsid w:val="007C018A"/>
    <w:rsid w:val="007D3367"/>
    <w:rsid w:val="007D470C"/>
    <w:rsid w:val="007D6D06"/>
    <w:rsid w:val="007D6F25"/>
    <w:rsid w:val="007E0316"/>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4BFD"/>
    <w:rsid w:val="00887C1D"/>
    <w:rsid w:val="00894522"/>
    <w:rsid w:val="008A3D3E"/>
    <w:rsid w:val="008A7A70"/>
    <w:rsid w:val="008B207F"/>
    <w:rsid w:val="008B423F"/>
    <w:rsid w:val="008C0B87"/>
    <w:rsid w:val="008D2515"/>
    <w:rsid w:val="008D7A1A"/>
    <w:rsid w:val="008E4AD1"/>
    <w:rsid w:val="008E7032"/>
    <w:rsid w:val="008F30D8"/>
    <w:rsid w:val="008F3C51"/>
    <w:rsid w:val="008F4731"/>
    <w:rsid w:val="009076C1"/>
    <w:rsid w:val="0091516D"/>
    <w:rsid w:val="00920E49"/>
    <w:rsid w:val="00925369"/>
    <w:rsid w:val="00926B18"/>
    <w:rsid w:val="009361DF"/>
    <w:rsid w:val="00952E33"/>
    <w:rsid w:val="009705E6"/>
    <w:rsid w:val="00971A76"/>
    <w:rsid w:val="00974948"/>
    <w:rsid w:val="00974E6A"/>
    <w:rsid w:val="00977A02"/>
    <w:rsid w:val="009850C7"/>
    <w:rsid w:val="00986158"/>
    <w:rsid w:val="00987790"/>
    <w:rsid w:val="009877BB"/>
    <w:rsid w:val="00991949"/>
    <w:rsid w:val="00994ABB"/>
    <w:rsid w:val="00997ECA"/>
    <w:rsid w:val="009A08FD"/>
    <w:rsid w:val="009A2225"/>
    <w:rsid w:val="009A6336"/>
    <w:rsid w:val="009A6B2B"/>
    <w:rsid w:val="009A704D"/>
    <w:rsid w:val="009A77E7"/>
    <w:rsid w:val="009A7B57"/>
    <w:rsid w:val="009C14B5"/>
    <w:rsid w:val="009C2CC8"/>
    <w:rsid w:val="009C3090"/>
    <w:rsid w:val="009C438A"/>
    <w:rsid w:val="009E02DA"/>
    <w:rsid w:val="009E123F"/>
    <w:rsid w:val="009F0BA7"/>
    <w:rsid w:val="009F266D"/>
    <w:rsid w:val="009F63F0"/>
    <w:rsid w:val="00A0387A"/>
    <w:rsid w:val="00A0619D"/>
    <w:rsid w:val="00A13369"/>
    <w:rsid w:val="00A14E3F"/>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05C5"/>
    <w:rsid w:val="00A82AD9"/>
    <w:rsid w:val="00A83BD5"/>
    <w:rsid w:val="00A85D53"/>
    <w:rsid w:val="00A90834"/>
    <w:rsid w:val="00A94F43"/>
    <w:rsid w:val="00A96AF6"/>
    <w:rsid w:val="00AB39E3"/>
    <w:rsid w:val="00AB57CE"/>
    <w:rsid w:val="00AC0EEB"/>
    <w:rsid w:val="00AC3399"/>
    <w:rsid w:val="00AC4F76"/>
    <w:rsid w:val="00AC67E7"/>
    <w:rsid w:val="00AD2C19"/>
    <w:rsid w:val="00AD2EEF"/>
    <w:rsid w:val="00AD3DEE"/>
    <w:rsid w:val="00AD6716"/>
    <w:rsid w:val="00AE02FA"/>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0756F"/>
    <w:rsid w:val="00C104AC"/>
    <w:rsid w:val="00C22329"/>
    <w:rsid w:val="00C267C0"/>
    <w:rsid w:val="00C32C1E"/>
    <w:rsid w:val="00C408D3"/>
    <w:rsid w:val="00C552E4"/>
    <w:rsid w:val="00C557C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3951"/>
    <w:rsid w:val="00CD54D0"/>
    <w:rsid w:val="00CE278E"/>
    <w:rsid w:val="00CE48E9"/>
    <w:rsid w:val="00CE4913"/>
    <w:rsid w:val="00CE78A7"/>
    <w:rsid w:val="00CF1B52"/>
    <w:rsid w:val="00CF253C"/>
    <w:rsid w:val="00CF4633"/>
    <w:rsid w:val="00D218D8"/>
    <w:rsid w:val="00D2323C"/>
    <w:rsid w:val="00D30828"/>
    <w:rsid w:val="00D34C50"/>
    <w:rsid w:val="00D35149"/>
    <w:rsid w:val="00D354BD"/>
    <w:rsid w:val="00D3674E"/>
    <w:rsid w:val="00D368BF"/>
    <w:rsid w:val="00D40DD0"/>
    <w:rsid w:val="00D44C57"/>
    <w:rsid w:val="00D45494"/>
    <w:rsid w:val="00D56ED3"/>
    <w:rsid w:val="00D603B6"/>
    <w:rsid w:val="00D635C5"/>
    <w:rsid w:val="00D722EE"/>
    <w:rsid w:val="00D72460"/>
    <w:rsid w:val="00D72E18"/>
    <w:rsid w:val="00D75B45"/>
    <w:rsid w:val="00D75D9B"/>
    <w:rsid w:val="00D81163"/>
    <w:rsid w:val="00D84E64"/>
    <w:rsid w:val="00D90E6F"/>
    <w:rsid w:val="00D918C8"/>
    <w:rsid w:val="00D94D88"/>
    <w:rsid w:val="00DA0F87"/>
    <w:rsid w:val="00DA61F6"/>
    <w:rsid w:val="00DB3988"/>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86EA4"/>
    <w:rsid w:val="00E96D9D"/>
    <w:rsid w:val="00EA0246"/>
    <w:rsid w:val="00EA2F93"/>
    <w:rsid w:val="00EA5FDB"/>
    <w:rsid w:val="00EB6530"/>
    <w:rsid w:val="00EB6655"/>
    <w:rsid w:val="00EB668B"/>
    <w:rsid w:val="00EC014E"/>
    <w:rsid w:val="00EC05D2"/>
    <w:rsid w:val="00EC08A5"/>
    <w:rsid w:val="00EC7B11"/>
    <w:rsid w:val="00ED0EF6"/>
    <w:rsid w:val="00ED1CDA"/>
    <w:rsid w:val="00ED68AD"/>
    <w:rsid w:val="00EE1661"/>
    <w:rsid w:val="00EE5A5F"/>
    <w:rsid w:val="00EF1AEF"/>
    <w:rsid w:val="00EF796C"/>
    <w:rsid w:val="00F004B2"/>
    <w:rsid w:val="00F026D3"/>
    <w:rsid w:val="00F0331E"/>
    <w:rsid w:val="00F0712E"/>
    <w:rsid w:val="00F0779F"/>
    <w:rsid w:val="00F1644C"/>
    <w:rsid w:val="00F1721F"/>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7A2467"/>
    <w:rsid w:val="01C141A2"/>
    <w:rsid w:val="021878F5"/>
    <w:rsid w:val="030D7FB6"/>
    <w:rsid w:val="032D057A"/>
    <w:rsid w:val="03C27D17"/>
    <w:rsid w:val="04292C1E"/>
    <w:rsid w:val="045F1E48"/>
    <w:rsid w:val="04763EE5"/>
    <w:rsid w:val="04D415AB"/>
    <w:rsid w:val="04E156D1"/>
    <w:rsid w:val="04EB042F"/>
    <w:rsid w:val="050C7081"/>
    <w:rsid w:val="05196C9E"/>
    <w:rsid w:val="0545425D"/>
    <w:rsid w:val="05935ABA"/>
    <w:rsid w:val="05F21F93"/>
    <w:rsid w:val="061D4FBD"/>
    <w:rsid w:val="067750A1"/>
    <w:rsid w:val="06902D75"/>
    <w:rsid w:val="06FB7444"/>
    <w:rsid w:val="0715238B"/>
    <w:rsid w:val="072F44E3"/>
    <w:rsid w:val="074D330C"/>
    <w:rsid w:val="075E7878"/>
    <w:rsid w:val="07671DE5"/>
    <w:rsid w:val="077E558A"/>
    <w:rsid w:val="07A62D33"/>
    <w:rsid w:val="07BB4D21"/>
    <w:rsid w:val="07E42121"/>
    <w:rsid w:val="08003C5A"/>
    <w:rsid w:val="08471E20"/>
    <w:rsid w:val="089E7261"/>
    <w:rsid w:val="08B7697D"/>
    <w:rsid w:val="08D91018"/>
    <w:rsid w:val="09561076"/>
    <w:rsid w:val="09726BD2"/>
    <w:rsid w:val="098C2FDE"/>
    <w:rsid w:val="09A46B4A"/>
    <w:rsid w:val="09F33618"/>
    <w:rsid w:val="0A635F77"/>
    <w:rsid w:val="0AB55D42"/>
    <w:rsid w:val="0B2A1542"/>
    <w:rsid w:val="0B794947"/>
    <w:rsid w:val="0B9B3F10"/>
    <w:rsid w:val="0BDE4D19"/>
    <w:rsid w:val="0C2F32F7"/>
    <w:rsid w:val="0C866C92"/>
    <w:rsid w:val="0CA338CD"/>
    <w:rsid w:val="0CE20369"/>
    <w:rsid w:val="0D141379"/>
    <w:rsid w:val="0D17533F"/>
    <w:rsid w:val="0D4A6AF5"/>
    <w:rsid w:val="0D5746B6"/>
    <w:rsid w:val="0D7C44C4"/>
    <w:rsid w:val="0D8D4779"/>
    <w:rsid w:val="0DF5231E"/>
    <w:rsid w:val="0EC32FEE"/>
    <w:rsid w:val="0F566DED"/>
    <w:rsid w:val="0F6D274E"/>
    <w:rsid w:val="0F7C285A"/>
    <w:rsid w:val="0F7E4AB5"/>
    <w:rsid w:val="0F87702F"/>
    <w:rsid w:val="0FEF45D8"/>
    <w:rsid w:val="105323D2"/>
    <w:rsid w:val="10665B14"/>
    <w:rsid w:val="113E36DF"/>
    <w:rsid w:val="11E8746F"/>
    <w:rsid w:val="126A5F98"/>
    <w:rsid w:val="13017E15"/>
    <w:rsid w:val="13214181"/>
    <w:rsid w:val="13E33058"/>
    <w:rsid w:val="13FE217D"/>
    <w:rsid w:val="14C44E29"/>
    <w:rsid w:val="14D34591"/>
    <w:rsid w:val="14EA24B1"/>
    <w:rsid w:val="14EF6F90"/>
    <w:rsid w:val="14FF228F"/>
    <w:rsid w:val="155757C5"/>
    <w:rsid w:val="157D7BD6"/>
    <w:rsid w:val="15C011DA"/>
    <w:rsid w:val="15DB785B"/>
    <w:rsid w:val="15EE036C"/>
    <w:rsid w:val="16115AF6"/>
    <w:rsid w:val="16DF442B"/>
    <w:rsid w:val="17190E2C"/>
    <w:rsid w:val="171E4C85"/>
    <w:rsid w:val="175D15F5"/>
    <w:rsid w:val="176E7FAA"/>
    <w:rsid w:val="17813E0E"/>
    <w:rsid w:val="17F95F17"/>
    <w:rsid w:val="18151F96"/>
    <w:rsid w:val="181C07FE"/>
    <w:rsid w:val="181D6AC5"/>
    <w:rsid w:val="183E673F"/>
    <w:rsid w:val="185A794E"/>
    <w:rsid w:val="189503C0"/>
    <w:rsid w:val="18A46A48"/>
    <w:rsid w:val="18AA5735"/>
    <w:rsid w:val="18AE5DCD"/>
    <w:rsid w:val="18B93205"/>
    <w:rsid w:val="19117F30"/>
    <w:rsid w:val="1A2F4635"/>
    <w:rsid w:val="1A7F5449"/>
    <w:rsid w:val="1AD03189"/>
    <w:rsid w:val="1AD73281"/>
    <w:rsid w:val="1B506E9C"/>
    <w:rsid w:val="1B835430"/>
    <w:rsid w:val="1BF91C77"/>
    <w:rsid w:val="1C7821C5"/>
    <w:rsid w:val="1C9257DB"/>
    <w:rsid w:val="1CF071D4"/>
    <w:rsid w:val="1D044A59"/>
    <w:rsid w:val="1D365189"/>
    <w:rsid w:val="1D8C43FC"/>
    <w:rsid w:val="1DE03FF3"/>
    <w:rsid w:val="1DE35AF0"/>
    <w:rsid w:val="1E1F29AB"/>
    <w:rsid w:val="1E486D96"/>
    <w:rsid w:val="1EA36E9F"/>
    <w:rsid w:val="1EB24686"/>
    <w:rsid w:val="1EBA5A37"/>
    <w:rsid w:val="1EDB2E6A"/>
    <w:rsid w:val="1F8B3EF6"/>
    <w:rsid w:val="1F9D6372"/>
    <w:rsid w:val="1FA37E2C"/>
    <w:rsid w:val="1FD004F5"/>
    <w:rsid w:val="1FEF0F3A"/>
    <w:rsid w:val="20070AFB"/>
    <w:rsid w:val="2009466C"/>
    <w:rsid w:val="20735A50"/>
    <w:rsid w:val="20B727FE"/>
    <w:rsid w:val="20C90B34"/>
    <w:rsid w:val="20F41822"/>
    <w:rsid w:val="2128525E"/>
    <w:rsid w:val="21E4693B"/>
    <w:rsid w:val="21F02F14"/>
    <w:rsid w:val="222C18C8"/>
    <w:rsid w:val="22774200"/>
    <w:rsid w:val="22E70030"/>
    <w:rsid w:val="23492BDA"/>
    <w:rsid w:val="23982F2B"/>
    <w:rsid w:val="239A5ECC"/>
    <w:rsid w:val="23B343B6"/>
    <w:rsid w:val="24343749"/>
    <w:rsid w:val="24A972CC"/>
    <w:rsid w:val="24E1641D"/>
    <w:rsid w:val="252E5396"/>
    <w:rsid w:val="2555007A"/>
    <w:rsid w:val="257A33DD"/>
    <w:rsid w:val="26E64106"/>
    <w:rsid w:val="27763CFA"/>
    <w:rsid w:val="279D2044"/>
    <w:rsid w:val="27A30FEA"/>
    <w:rsid w:val="27BD3816"/>
    <w:rsid w:val="281954EB"/>
    <w:rsid w:val="28294FE4"/>
    <w:rsid w:val="285B1784"/>
    <w:rsid w:val="28694B8B"/>
    <w:rsid w:val="28790229"/>
    <w:rsid w:val="287D15A4"/>
    <w:rsid w:val="288F79AE"/>
    <w:rsid w:val="28B76D66"/>
    <w:rsid w:val="294C203B"/>
    <w:rsid w:val="299A34A9"/>
    <w:rsid w:val="29D0120B"/>
    <w:rsid w:val="2A094D9D"/>
    <w:rsid w:val="2A307F85"/>
    <w:rsid w:val="2A3A581F"/>
    <w:rsid w:val="2A880A7B"/>
    <w:rsid w:val="2AA26C6A"/>
    <w:rsid w:val="2B084FE7"/>
    <w:rsid w:val="2B3F4423"/>
    <w:rsid w:val="2B7963FB"/>
    <w:rsid w:val="2CAC3151"/>
    <w:rsid w:val="2CC678AB"/>
    <w:rsid w:val="2D43291C"/>
    <w:rsid w:val="2D8844E8"/>
    <w:rsid w:val="2D8D44A8"/>
    <w:rsid w:val="2DC4660F"/>
    <w:rsid w:val="2DF20ED7"/>
    <w:rsid w:val="2E0B79C6"/>
    <w:rsid w:val="2EA1408C"/>
    <w:rsid w:val="2F1B1FE6"/>
    <w:rsid w:val="2F8A4B43"/>
    <w:rsid w:val="2FAF02C5"/>
    <w:rsid w:val="2FC7009B"/>
    <w:rsid w:val="301461DC"/>
    <w:rsid w:val="30997F39"/>
    <w:rsid w:val="30A33D81"/>
    <w:rsid w:val="30AC0EFD"/>
    <w:rsid w:val="312406A1"/>
    <w:rsid w:val="312D4B28"/>
    <w:rsid w:val="31602125"/>
    <w:rsid w:val="318E4E10"/>
    <w:rsid w:val="31A86C68"/>
    <w:rsid w:val="31B5220F"/>
    <w:rsid w:val="31F97A8E"/>
    <w:rsid w:val="31FC79E7"/>
    <w:rsid w:val="326241AF"/>
    <w:rsid w:val="32715C70"/>
    <w:rsid w:val="32BA0F6E"/>
    <w:rsid w:val="32BF3509"/>
    <w:rsid w:val="33080523"/>
    <w:rsid w:val="33E91263"/>
    <w:rsid w:val="33FC4FDA"/>
    <w:rsid w:val="341E1E5F"/>
    <w:rsid w:val="34C5219B"/>
    <w:rsid w:val="34C76988"/>
    <w:rsid w:val="351129B0"/>
    <w:rsid w:val="35163A7E"/>
    <w:rsid w:val="351E4090"/>
    <w:rsid w:val="36273724"/>
    <w:rsid w:val="363F7384"/>
    <w:rsid w:val="36415851"/>
    <w:rsid w:val="36A64E33"/>
    <w:rsid w:val="36B75CA4"/>
    <w:rsid w:val="37502B7F"/>
    <w:rsid w:val="37511204"/>
    <w:rsid w:val="375D203C"/>
    <w:rsid w:val="379E5EB0"/>
    <w:rsid w:val="38026A6F"/>
    <w:rsid w:val="380E20F9"/>
    <w:rsid w:val="381F3D8E"/>
    <w:rsid w:val="382D5843"/>
    <w:rsid w:val="383C5560"/>
    <w:rsid w:val="386B1A1E"/>
    <w:rsid w:val="38D757B3"/>
    <w:rsid w:val="38E053F0"/>
    <w:rsid w:val="39902D77"/>
    <w:rsid w:val="39AA3054"/>
    <w:rsid w:val="39B16EF2"/>
    <w:rsid w:val="39C15447"/>
    <w:rsid w:val="39DA3FF3"/>
    <w:rsid w:val="3A064C87"/>
    <w:rsid w:val="3A646A35"/>
    <w:rsid w:val="3AA44217"/>
    <w:rsid w:val="3B5A363D"/>
    <w:rsid w:val="3BAE40AD"/>
    <w:rsid w:val="3C0C6B6C"/>
    <w:rsid w:val="3C222DB6"/>
    <w:rsid w:val="3C5378D5"/>
    <w:rsid w:val="3C9C5E11"/>
    <w:rsid w:val="3CA65B5E"/>
    <w:rsid w:val="3D3659E4"/>
    <w:rsid w:val="3D60411F"/>
    <w:rsid w:val="3D8D4B54"/>
    <w:rsid w:val="3DB42BA6"/>
    <w:rsid w:val="3DC506AF"/>
    <w:rsid w:val="3E524823"/>
    <w:rsid w:val="3EAC237F"/>
    <w:rsid w:val="3F6A17C0"/>
    <w:rsid w:val="3F725A04"/>
    <w:rsid w:val="3F9D1D4A"/>
    <w:rsid w:val="3FA602DD"/>
    <w:rsid w:val="400976D3"/>
    <w:rsid w:val="40383591"/>
    <w:rsid w:val="407C658D"/>
    <w:rsid w:val="408A3E42"/>
    <w:rsid w:val="40955117"/>
    <w:rsid w:val="40DC3D2E"/>
    <w:rsid w:val="41443566"/>
    <w:rsid w:val="41547773"/>
    <w:rsid w:val="417C5FA7"/>
    <w:rsid w:val="41E657FF"/>
    <w:rsid w:val="42135F24"/>
    <w:rsid w:val="428E1E1E"/>
    <w:rsid w:val="42E36523"/>
    <w:rsid w:val="42FB2906"/>
    <w:rsid w:val="430613E3"/>
    <w:rsid w:val="43252C5A"/>
    <w:rsid w:val="43430E5B"/>
    <w:rsid w:val="43717DB0"/>
    <w:rsid w:val="43907716"/>
    <w:rsid w:val="44073F74"/>
    <w:rsid w:val="440D22C5"/>
    <w:rsid w:val="44893B2C"/>
    <w:rsid w:val="44C168B5"/>
    <w:rsid w:val="44F524A9"/>
    <w:rsid w:val="4523004F"/>
    <w:rsid w:val="45455BD4"/>
    <w:rsid w:val="45797A33"/>
    <w:rsid w:val="45BC1BBA"/>
    <w:rsid w:val="46BE4F54"/>
    <w:rsid w:val="46E60D0D"/>
    <w:rsid w:val="471C20E2"/>
    <w:rsid w:val="47795069"/>
    <w:rsid w:val="47A6353A"/>
    <w:rsid w:val="47F40BE4"/>
    <w:rsid w:val="48436D42"/>
    <w:rsid w:val="48523C0A"/>
    <w:rsid w:val="4856518C"/>
    <w:rsid w:val="486A157C"/>
    <w:rsid w:val="48FB6420"/>
    <w:rsid w:val="49035E1A"/>
    <w:rsid w:val="494871CB"/>
    <w:rsid w:val="49AB29E8"/>
    <w:rsid w:val="4A394D65"/>
    <w:rsid w:val="4A5E6CED"/>
    <w:rsid w:val="4A9430EC"/>
    <w:rsid w:val="4ACC4C41"/>
    <w:rsid w:val="4AE94F1B"/>
    <w:rsid w:val="4B3F6B82"/>
    <w:rsid w:val="4B6B7860"/>
    <w:rsid w:val="4B9B111C"/>
    <w:rsid w:val="4BB55D35"/>
    <w:rsid w:val="4C38395F"/>
    <w:rsid w:val="4C7A063F"/>
    <w:rsid w:val="4CB17402"/>
    <w:rsid w:val="4CCE5420"/>
    <w:rsid w:val="4CD970BA"/>
    <w:rsid w:val="4D302F78"/>
    <w:rsid w:val="4DFF248B"/>
    <w:rsid w:val="4E5D3ACD"/>
    <w:rsid w:val="4E6C325B"/>
    <w:rsid w:val="4E7E3F10"/>
    <w:rsid w:val="4EB15145"/>
    <w:rsid w:val="4EC65936"/>
    <w:rsid w:val="4ED21621"/>
    <w:rsid w:val="4EF23735"/>
    <w:rsid w:val="4F545038"/>
    <w:rsid w:val="4F5849BE"/>
    <w:rsid w:val="501E7652"/>
    <w:rsid w:val="502B2D68"/>
    <w:rsid w:val="5032028D"/>
    <w:rsid w:val="50631FDA"/>
    <w:rsid w:val="50A1368B"/>
    <w:rsid w:val="50A32F39"/>
    <w:rsid w:val="51405AB3"/>
    <w:rsid w:val="52B43844"/>
    <w:rsid w:val="52C52155"/>
    <w:rsid w:val="52DC416C"/>
    <w:rsid w:val="53045149"/>
    <w:rsid w:val="53634BDE"/>
    <w:rsid w:val="53B13EB4"/>
    <w:rsid w:val="53F92C98"/>
    <w:rsid w:val="54053811"/>
    <w:rsid w:val="5474139C"/>
    <w:rsid w:val="54744033"/>
    <w:rsid w:val="547C3D79"/>
    <w:rsid w:val="5486504B"/>
    <w:rsid w:val="54B01F13"/>
    <w:rsid w:val="54E96E17"/>
    <w:rsid w:val="551E7032"/>
    <w:rsid w:val="5597669C"/>
    <w:rsid w:val="55EC3BE6"/>
    <w:rsid w:val="55FF59F9"/>
    <w:rsid w:val="561D185F"/>
    <w:rsid w:val="56635487"/>
    <w:rsid w:val="56690780"/>
    <w:rsid w:val="56CA56C3"/>
    <w:rsid w:val="56E21A48"/>
    <w:rsid w:val="57376D96"/>
    <w:rsid w:val="5750710D"/>
    <w:rsid w:val="57CB65E9"/>
    <w:rsid w:val="582619E7"/>
    <w:rsid w:val="584B550F"/>
    <w:rsid w:val="585B5F8C"/>
    <w:rsid w:val="58861056"/>
    <w:rsid w:val="593B4E2B"/>
    <w:rsid w:val="596445E0"/>
    <w:rsid w:val="59797D22"/>
    <w:rsid w:val="59964B3E"/>
    <w:rsid w:val="59C9560C"/>
    <w:rsid w:val="5A5654C0"/>
    <w:rsid w:val="5AF076BC"/>
    <w:rsid w:val="5B131A50"/>
    <w:rsid w:val="5B310EEC"/>
    <w:rsid w:val="5BB96F6B"/>
    <w:rsid w:val="5C083248"/>
    <w:rsid w:val="5C9C4E60"/>
    <w:rsid w:val="5CD70054"/>
    <w:rsid w:val="5CDF456F"/>
    <w:rsid w:val="5CF128C9"/>
    <w:rsid w:val="5D572C78"/>
    <w:rsid w:val="5DDB3DE9"/>
    <w:rsid w:val="5E4D2B46"/>
    <w:rsid w:val="5E637189"/>
    <w:rsid w:val="5E792B51"/>
    <w:rsid w:val="5EBA601D"/>
    <w:rsid w:val="5EC22DDD"/>
    <w:rsid w:val="5EC25A09"/>
    <w:rsid w:val="5EDE6B45"/>
    <w:rsid w:val="5F345AE7"/>
    <w:rsid w:val="5F4B72E8"/>
    <w:rsid w:val="5FB124E3"/>
    <w:rsid w:val="60450484"/>
    <w:rsid w:val="606A75CF"/>
    <w:rsid w:val="60B81318"/>
    <w:rsid w:val="60D97040"/>
    <w:rsid w:val="60FD73A5"/>
    <w:rsid w:val="616A6747"/>
    <w:rsid w:val="618A39AC"/>
    <w:rsid w:val="62020EC8"/>
    <w:rsid w:val="622C274E"/>
    <w:rsid w:val="623B7475"/>
    <w:rsid w:val="62C5122B"/>
    <w:rsid w:val="63367C3C"/>
    <w:rsid w:val="63483AFA"/>
    <w:rsid w:val="637200B7"/>
    <w:rsid w:val="63FC0E86"/>
    <w:rsid w:val="64432611"/>
    <w:rsid w:val="6453045E"/>
    <w:rsid w:val="64C06852"/>
    <w:rsid w:val="650563DC"/>
    <w:rsid w:val="65331F49"/>
    <w:rsid w:val="653505E7"/>
    <w:rsid w:val="653B778C"/>
    <w:rsid w:val="66001977"/>
    <w:rsid w:val="665C2ACE"/>
    <w:rsid w:val="66EF1291"/>
    <w:rsid w:val="68152516"/>
    <w:rsid w:val="685A73A3"/>
    <w:rsid w:val="68774F7F"/>
    <w:rsid w:val="68F82B5D"/>
    <w:rsid w:val="69865FB5"/>
    <w:rsid w:val="69A753F0"/>
    <w:rsid w:val="69AE677E"/>
    <w:rsid w:val="69FC19EA"/>
    <w:rsid w:val="6A3041B7"/>
    <w:rsid w:val="6A360124"/>
    <w:rsid w:val="6ACC2E43"/>
    <w:rsid w:val="6AD84B9A"/>
    <w:rsid w:val="6BCC261F"/>
    <w:rsid w:val="6BE4064C"/>
    <w:rsid w:val="6BFB3B13"/>
    <w:rsid w:val="6C7621DF"/>
    <w:rsid w:val="6C787452"/>
    <w:rsid w:val="6CBD10DF"/>
    <w:rsid w:val="6CDE17A2"/>
    <w:rsid w:val="6CEF4F0F"/>
    <w:rsid w:val="6D001702"/>
    <w:rsid w:val="6D08089B"/>
    <w:rsid w:val="6D317097"/>
    <w:rsid w:val="6DAA7B81"/>
    <w:rsid w:val="6DAB59DE"/>
    <w:rsid w:val="6DB024FC"/>
    <w:rsid w:val="6DE948B7"/>
    <w:rsid w:val="6E573BA4"/>
    <w:rsid w:val="6E6C508C"/>
    <w:rsid w:val="6E6D03FE"/>
    <w:rsid w:val="6E812667"/>
    <w:rsid w:val="6ECA3061"/>
    <w:rsid w:val="6EF0269B"/>
    <w:rsid w:val="6F937017"/>
    <w:rsid w:val="6FB912E0"/>
    <w:rsid w:val="6FE04A26"/>
    <w:rsid w:val="6FEB42EB"/>
    <w:rsid w:val="709D2356"/>
    <w:rsid w:val="70D11404"/>
    <w:rsid w:val="715D4BA3"/>
    <w:rsid w:val="71902C0D"/>
    <w:rsid w:val="71A92CC7"/>
    <w:rsid w:val="71AA3891"/>
    <w:rsid w:val="71B7157E"/>
    <w:rsid w:val="73261A7B"/>
    <w:rsid w:val="733B651C"/>
    <w:rsid w:val="73565609"/>
    <w:rsid w:val="735F57C1"/>
    <w:rsid w:val="739F1F42"/>
    <w:rsid w:val="73AB1F81"/>
    <w:rsid w:val="73BB0752"/>
    <w:rsid w:val="73CC483B"/>
    <w:rsid w:val="73CD3FDE"/>
    <w:rsid w:val="73DA6C90"/>
    <w:rsid w:val="73EF080F"/>
    <w:rsid w:val="74362F81"/>
    <w:rsid w:val="748367B7"/>
    <w:rsid w:val="748A4189"/>
    <w:rsid w:val="74A75050"/>
    <w:rsid w:val="74CB36A7"/>
    <w:rsid w:val="74FF55A4"/>
    <w:rsid w:val="75975C48"/>
    <w:rsid w:val="762F6E99"/>
    <w:rsid w:val="76363379"/>
    <w:rsid w:val="76544B8E"/>
    <w:rsid w:val="76CC6E4A"/>
    <w:rsid w:val="76F459ED"/>
    <w:rsid w:val="77004681"/>
    <w:rsid w:val="771E2277"/>
    <w:rsid w:val="77FC2DAB"/>
    <w:rsid w:val="784442A1"/>
    <w:rsid w:val="784D43EA"/>
    <w:rsid w:val="786B0225"/>
    <w:rsid w:val="78A4106E"/>
    <w:rsid w:val="78A771BA"/>
    <w:rsid w:val="78B446BC"/>
    <w:rsid w:val="78B55C83"/>
    <w:rsid w:val="792615E4"/>
    <w:rsid w:val="792627D5"/>
    <w:rsid w:val="79703990"/>
    <w:rsid w:val="7A1D390B"/>
    <w:rsid w:val="7A6F2ADF"/>
    <w:rsid w:val="7A9705A2"/>
    <w:rsid w:val="7ADC31A8"/>
    <w:rsid w:val="7B1648FA"/>
    <w:rsid w:val="7B210CDA"/>
    <w:rsid w:val="7B3B1D75"/>
    <w:rsid w:val="7B3C0116"/>
    <w:rsid w:val="7B757CC1"/>
    <w:rsid w:val="7BC711A1"/>
    <w:rsid w:val="7C3B4091"/>
    <w:rsid w:val="7CC27488"/>
    <w:rsid w:val="7CC2793E"/>
    <w:rsid w:val="7D1C13E8"/>
    <w:rsid w:val="7D1F57D0"/>
    <w:rsid w:val="7D6C6217"/>
    <w:rsid w:val="7DA210B4"/>
    <w:rsid w:val="7DD50E79"/>
    <w:rsid w:val="7E5F7EB8"/>
    <w:rsid w:val="7E8B5B16"/>
    <w:rsid w:val="7E981082"/>
    <w:rsid w:val="7EA8756A"/>
    <w:rsid w:val="7EAC6A6C"/>
    <w:rsid w:val="7EAF0B77"/>
    <w:rsid w:val="7EBC1269"/>
    <w:rsid w:val="7F005A4D"/>
    <w:rsid w:val="7F8042C1"/>
    <w:rsid w:val="7FB77874"/>
    <w:rsid w:val="7FBD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4"/>
    <w:qFormat/>
    <w:uiPriority w:val="0"/>
    <w:pPr>
      <w:keepNext/>
      <w:keepLines/>
      <w:spacing w:after="120" w:line="360" w:lineRule="auto"/>
      <w:outlineLvl w:val="0"/>
    </w:pPr>
    <w:rPr>
      <w:kern w:val="44"/>
      <w:sz w:val="28"/>
      <w:szCs w:val="28"/>
    </w:rPr>
  </w:style>
  <w:style w:type="paragraph" w:styleId="5">
    <w:name w:val="heading 2"/>
    <w:basedOn w:val="1"/>
    <w:next w:val="1"/>
    <w:link w:val="6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9"/>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6"/>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7"/>
    <w:qFormat/>
    <w:uiPriority w:val="0"/>
    <w:pPr>
      <w:spacing w:line="240" w:lineRule="exact"/>
      <w:outlineLvl w:val="4"/>
    </w:pPr>
  </w:style>
  <w:style w:type="paragraph" w:styleId="9">
    <w:name w:val="heading 6"/>
    <w:basedOn w:val="1"/>
    <w:next w:val="1"/>
    <w:link w:val="6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9"/>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70"/>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71"/>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25"/>
    <w:qFormat/>
    <w:uiPriority w:val="0"/>
    <w:pPr>
      <w:ind w:firstLine="420"/>
    </w:pPr>
    <w:rPr>
      <w:rFonts w:ascii="Times New Roman" w:hAnsi="Times New Roman"/>
      <w:szCs w:val="20"/>
    </w:rPr>
  </w:style>
  <w:style w:type="paragraph" w:styleId="4">
    <w:name w:val="Title"/>
    <w:basedOn w:val="1"/>
    <w:link w:val="73"/>
    <w:qFormat/>
    <w:uiPriority w:val="0"/>
    <w:pPr>
      <w:spacing w:before="120" w:after="60"/>
      <w:jc w:val="center"/>
    </w:pPr>
    <w:rPr>
      <w:rFonts w:ascii="Arial" w:hAnsi="Arial"/>
      <w:b/>
      <w:sz w:val="44"/>
      <w:szCs w:val="20"/>
    </w:rPr>
  </w:style>
  <w:style w:type="paragraph" w:styleId="13">
    <w:name w:val="Document Map"/>
    <w:basedOn w:val="1"/>
    <w:link w:val="83"/>
    <w:qFormat/>
    <w:uiPriority w:val="0"/>
    <w:pPr>
      <w:shd w:val="clear" w:color="auto" w:fill="000080"/>
    </w:pPr>
    <w:rPr>
      <w:rFonts w:ascii="Times New Roman" w:hAnsi="Times New Roman"/>
      <w:szCs w:val="20"/>
    </w:rPr>
  </w:style>
  <w:style w:type="paragraph" w:styleId="14">
    <w:name w:val="annotation text"/>
    <w:basedOn w:val="1"/>
    <w:link w:val="109"/>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5"/>
    <w:qFormat/>
    <w:uiPriority w:val="0"/>
    <w:pPr>
      <w:spacing w:after="120"/>
    </w:pPr>
    <w:rPr>
      <w:rFonts w:ascii="Times New Roman" w:hAnsi="Times New Roman"/>
      <w:szCs w:val="20"/>
    </w:rPr>
  </w:style>
  <w:style w:type="paragraph" w:styleId="16">
    <w:name w:val="Body Text Indent"/>
    <w:basedOn w:val="1"/>
    <w:next w:val="17"/>
    <w:link w:val="81"/>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5"/>
    <w:qFormat/>
    <w:uiPriority w:val="0"/>
    <w:rPr>
      <w:rFonts w:ascii="宋体" w:hAnsi="Courier New"/>
      <w:szCs w:val="20"/>
    </w:rPr>
  </w:style>
  <w:style w:type="paragraph" w:styleId="20">
    <w:name w:val="Date"/>
    <w:basedOn w:val="1"/>
    <w:next w:val="1"/>
    <w:link w:val="79"/>
    <w:qFormat/>
    <w:uiPriority w:val="0"/>
    <w:rPr>
      <w:rFonts w:ascii="Times New Roman" w:hAnsi="Times New Roman"/>
      <w:szCs w:val="20"/>
    </w:rPr>
  </w:style>
  <w:style w:type="paragraph" w:styleId="21">
    <w:name w:val="Body Text Indent 2"/>
    <w:basedOn w:val="1"/>
    <w:link w:val="87"/>
    <w:qFormat/>
    <w:uiPriority w:val="0"/>
    <w:pPr>
      <w:spacing w:line="400" w:lineRule="exact"/>
      <w:ind w:left="425"/>
    </w:pPr>
    <w:rPr>
      <w:rFonts w:ascii="Times New Roman" w:hAnsi="Times New Roman"/>
      <w:color w:val="000000"/>
      <w:sz w:val="24"/>
      <w:szCs w:val="20"/>
    </w:rPr>
  </w:style>
  <w:style w:type="paragraph" w:styleId="22">
    <w:name w:val="endnote text"/>
    <w:basedOn w:val="1"/>
    <w:link w:val="96"/>
    <w:qFormat/>
    <w:uiPriority w:val="0"/>
    <w:pPr>
      <w:snapToGrid w:val="0"/>
      <w:jc w:val="left"/>
    </w:pPr>
    <w:rPr>
      <w:rFonts w:ascii="Times New Roman" w:hAnsi="Times New Roman"/>
      <w:szCs w:val="20"/>
    </w:rPr>
  </w:style>
  <w:style w:type="paragraph" w:styleId="23">
    <w:name w:val="Balloon Text"/>
    <w:basedOn w:val="1"/>
    <w:link w:val="106"/>
    <w:qFormat/>
    <w:uiPriority w:val="0"/>
    <w:rPr>
      <w:rFonts w:ascii="Times New Roman" w:hAnsi="Times New Roman"/>
      <w:sz w:val="18"/>
      <w:szCs w:val="18"/>
    </w:rPr>
  </w:style>
  <w:style w:type="paragraph" w:styleId="24">
    <w:name w:val="footer"/>
    <w:basedOn w:val="1"/>
    <w:link w:val="63"/>
    <w:unhideWhenUsed/>
    <w:qFormat/>
    <w:uiPriority w:val="99"/>
    <w:pPr>
      <w:tabs>
        <w:tab w:val="center" w:pos="4153"/>
        <w:tab w:val="right" w:pos="8306"/>
      </w:tabs>
      <w:snapToGrid w:val="0"/>
      <w:jc w:val="left"/>
    </w:pPr>
    <w:rPr>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1"/>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3"/>
    <w:qFormat/>
    <w:uiPriority w:val="0"/>
    <w:rPr>
      <w:rFonts w:ascii="宋体" w:hAnsi="宋体"/>
      <w:szCs w:val="24"/>
      <w:u w:val="single"/>
    </w:rPr>
  </w:style>
  <w:style w:type="paragraph" w:styleId="31">
    <w:name w:val="Normal (Web)"/>
    <w:basedOn w:val="1"/>
    <w:unhideWhenUsed/>
    <w:qFormat/>
    <w:uiPriority w:val="99"/>
    <w:pPr>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4"/>
    <w:next w:val="14"/>
    <w:link w:val="113"/>
    <w:qFormat/>
    <w:uiPriority w:val="0"/>
    <w:rPr>
      <w:b/>
      <w:bCs/>
    </w:rPr>
  </w:style>
  <w:style w:type="paragraph" w:styleId="34">
    <w:name w:val="Body Text First Indent"/>
    <w:basedOn w:val="1"/>
    <w:link w:val="77"/>
    <w:qFormat/>
    <w:uiPriority w:val="0"/>
    <w:pPr>
      <w:ind w:firstLine="420"/>
    </w:pPr>
  </w:style>
  <w:style w:type="paragraph" w:styleId="35">
    <w:name w:val="Body Text First Indent 2"/>
    <w:basedOn w:val="16"/>
    <w:semiHidden/>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TML Definition"/>
    <w:basedOn w:val="38"/>
    <w:semiHidden/>
    <w:unhideWhenUsed/>
    <w:qFormat/>
    <w:uiPriority w:val="99"/>
    <w:rPr>
      <w:i/>
      <w:iCs/>
    </w:rPr>
  </w:style>
  <w:style w:type="character" w:styleId="44">
    <w:name w:val="Hyperlink"/>
    <w:basedOn w:val="38"/>
    <w:qFormat/>
    <w:uiPriority w:val="99"/>
    <w:rPr>
      <w:color w:val="0000FF"/>
      <w:u w:val="single"/>
    </w:rPr>
  </w:style>
  <w:style w:type="character" w:styleId="45">
    <w:name w:val="HTML Code"/>
    <w:basedOn w:val="38"/>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styleId="48">
    <w:name w:val="HTML Keyboard"/>
    <w:basedOn w:val="38"/>
    <w:semiHidden/>
    <w:unhideWhenUsed/>
    <w:qFormat/>
    <w:uiPriority w:val="99"/>
    <w:rPr>
      <w:rFonts w:ascii="Consolas" w:hAnsi="Consolas" w:eastAsia="Consolas" w:cs="Consolas"/>
      <w:color w:val="FFFFFF"/>
      <w:sz w:val="21"/>
      <w:szCs w:val="21"/>
      <w:shd w:val="clear" w:color="auto" w:fill="333333"/>
    </w:rPr>
  </w:style>
  <w:style w:type="character" w:styleId="49">
    <w:name w:val="HTML Sample"/>
    <w:basedOn w:val="38"/>
    <w:semiHidden/>
    <w:unhideWhenUsed/>
    <w:qFormat/>
    <w:uiPriority w:val="99"/>
    <w:rPr>
      <w:rFonts w:hint="default" w:ascii="Consolas" w:hAnsi="Consolas" w:eastAsia="Consolas" w:cs="Consolas"/>
      <w:sz w:val="21"/>
      <w:szCs w:val="21"/>
    </w:rPr>
  </w:style>
  <w:style w:type="character" w:customStyle="1" w:styleId="50">
    <w:name w:val="标题 1 字符"/>
    <w:qFormat/>
    <w:uiPriority w:val="9"/>
    <w:rPr>
      <w:rFonts w:ascii="Calibri" w:hAnsi="Calibri" w:eastAsia="宋体" w:cs="Times New Roman"/>
      <w:b/>
      <w:bCs/>
      <w:kern w:val="44"/>
      <w:sz w:val="44"/>
      <w:szCs w:val="44"/>
    </w:rPr>
  </w:style>
  <w:style w:type="character" w:customStyle="1" w:styleId="51">
    <w:name w:val="标题 2 字符"/>
    <w:semiHidden/>
    <w:qFormat/>
    <w:uiPriority w:val="9"/>
    <w:rPr>
      <w:rFonts w:ascii="等线 Light" w:hAnsi="等线 Light" w:eastAsia="等线 Light" w:cs="Times New Roman"/>
      <w:b/>
      <w:bCs/>
      <w:sz w:val="32"/>
      <w:szCs w:val="32"/>
    </w:rPr>
  </w:style>
  <w:style w:type="character" w:customStyle="1" w:styleId="52">
    <w:name w:val="标题 3 字符"/>
    <w:semiHidden/>
    <w:qFormat/>
    <w:uiPriority w:val="9"/>
    <w:rPr>
      <w:rFonts w:ascii="Calibri" w:hAnsi="Calibri" w:eastAsia="宋体" w:cs="Times New Roman"/>
      <w:b/>
      <w:bCs/>
      <w:sz w:val="32"/>
      <w:szCs w:val="32"/>
    </w:rPr>
  </w:style>
  <w:style w:type="character" w:customStyle="1" w:styleId="53">
    <w:name w:val="标题 4 字符"/>
    <w:semiHidden/>
    <w:qFormat/>
    <w:uiPriority w:val="9"/>
    <w:rPr>
      <w:rFonts w:ascii="等线 Light" w:hAnsi="等线 Light" w:eastAsia="等线 Light" w:cs="Times New Roman"/>
      <w:b/>
      <w:bCs/>
      <w:sz w:val="28"/>
      <w:szCs w:val="28"/>
    </w:rPr>
  </w:style>
  <w:style w:type="character" w:customStyle="1" w:styleId="54">
    <w:name w:val="标题 5 字符"/>
    <w:semiHidden/>
    <w:qFormat/>
    <w:uiPriority w:val="9"/>
    <w:rPr>
      <w:rFonts w:ascii="Calibri" w:hAnsi="Calibri" w:eastAsia="宋体" w:cs="Times New Roman"/>
      <w:b/>
      <w:bCs/>
      <w:sz w:val="28"/>
      <w:szCs w:val="28"/>
    </w:rPr>
  </w:style>
  <w:style w:type="character" w:customStyle="1" w:styleId="55">
    <w:name w:val="标题 6 字符"/>
    <w:semiHidden/>
    <w:qFormat/>
    <w:uiPriority w:val="9"/>
    <w:rPr>
      <w:rFonts w:ascii="等线 Light" w:hAnsi="等线 Light" w:eastAsia="等线 Light" w:cs="Times New Roman"/>
      <w:b/>
      <w:bCs/>
      <w:sz w:val="24"/>
      <w:szCs w:val="24"/>
    </w:rPr>
  </w:style>
  <w:style w:type="character" w:customStyle="1" w:styleId="56">
    <w:name w:val="标题 7 字符"/>
    <w:semiHidden/>
    <w:qFormat/>
    <w:uiPriority w:val="9"/>
    <w:rPr>
      <w:rFonts w:ascii="Calibri" w:hAnsi="Calibri" w:eastAsia="宋体" w:cs="Times New Roman"/>
      <w:b/>
      <w:bCs/>
      <w:sz w:val="24"/>
      <w:szCs w:val="24"/>
    </w:rPr>
  </w:style>
  <w:style w:type="character" w:customStyle="1" w:styleId="57">
    <w:name w:val="标题 8 字符"/>
    <w:semiHidden/>
    <w:qFormat/>
    <w:uiPriority w:val="9"/>
    <w:rPr>
      <w:rFonts w:ascii="等线 Light" w:hAnsi="等线 Light" w:eastAsia="等线 Light" w:cs="Times New Roman"/>
      <w:sz w:val="24"/>
      <w:szCs w:val="24"/>
    </w:rPr>
  </w:style>
  <w:style w:type="character" w:customStyle="1" w:styleId="58">
    <w:name w:val="标题 9 字符"/>
    <w:semiHidden/>
    <w:qFormat/>
    <w:uiPriority w:val="9"/>
    <w:rPr>
      <w:rFonts w:ascii="等线 Light" w:hAnsi="等线 Light" w:eastAsia="等线 Light" w:cs="Times New Roman"/>
      <w:szCs w:val="21"/>
    </w:rPr>
  </w:style>
  <w:style w:type="character" w:customStyle="1" w:styleId="59">
    <w:name w:val="标题 3 Char"/>
    <w:link w:val="6"/>
    <w:qFormat/>
    <w:uiPriority w:val="0"/>
    <w:rPr>
      <w:rFonts w:ascii="宋体" w:hAnsi="宋体" w:eastAsia="宋体" w:cs="宋体"/>
      <w:b/>
      <w:sz w:val="24"/>
      <w:szCs w:val="27"/>
    </w:rPr>
  </w:style>
  <w:style w:type="character" w:customStyle="1" w:styleId="60">
    <w:name w:val="页眉 字符"/>
    <w:semiHidden/>
    <w:qFormat/>
    <w:uiPriority w:val="99"/>
    <w:rPr>
      <w:rFonts w:ascii="Calibri" w:hAnsi="Calibri" w:eastAsia="宋体" w:cs="Times New Roman"/>
      <w:sz w:val="18"/>
      <w:szCs w:val="18"/>
    </w:rPr>
  </w:style>
  <w:style w:type="character" w:customStyle="1" w:styleId="61">
    <w:name w:val="页眉 Char"/>
    <w:link w:val="25"/>
    <w:qFormat/>
    <w:uiPriority w:val="99"/>
    <w:rPr>
      <w:rFonts w:ascii="Calibri" w:hAnsi="Calibri" w:eastAsia="宋体" w:cs="Times New Roman"/>
      <w:sz w:val="18"/>
      <w:szCs w:val="18"/>
    </w:rPr>
  </w:style>
  <w:style w:type="character" w:customStyle="1" w:styleId="62">
    <w:name w:val="页脚 字符"/>
    <w:qFormat/>
    <w:uiPriority w:val="99"/>
    <w:rPr>
      <w:rFonts w:ascii="Calibri" w:hAnsi="Calibri" w:eastAsia="宋体" w:cs="Times New Roman"/>
      <w:sz w:val="18"/>
      <w:szCs w:val="18"/>
    </w:rPr>
  </w:style>
  <w:style w:type="character" w:customStyle="1" w:styleId="63">
    <w:name w:val="页脚 Char"/>
    <w:link w:val="24"/>
    <w:qFormat/>
    <w:uiPriority w:val="99"/>
    <w:rPr>
      <w:rFonts w:ascii="Calibri" w:hAnsi="Calibri" w:eastAsia="宋体" w:cs="Times New Roman"/>
      <w:sz w:val="18"/>
      <w:szCs w:val="18"/>
    </w:rPr>
  </w:style>
  <w:style w:type="character" w:customStyle="1" w:styleId="64">
    <w:name w:val="标题 1 Char"/>
    <w:link w:val="3"/>
    <w:qFormat/>
    <w:uiPriority w:val="0"/>
    <w:rPr>
      <w:rFonts w:ascii="Arial" w:hAnsi="Arial" w:eastAsia="宋体"/>
      <w:b/>
      <w:kern w:val="44"/>
      <w:sz w:val="28"/>
      <w:szCs w:val="28"/>
    </w:rPr>
  </w:style>
  <w:style w:type="character" w:customStyle="1" w:styleId="65">
    <w:name w:val="标题 2 Char"/>
    <w:link w:val="5"/>
    <w:qFormat/>
    <w:uiPriority w:val="0"/>
    <w:rPr>
      <w:rFonts w:ascii="Arial" w:hAnsi="Arial" w:eastAsia="宋体" w:cs="Times New Roman"/>
      <w:b/>
      <w:color w:val="000000"/>
      <w:sz w:val="24"/>
      <w:szCs w:val="24"/>
    </w:rPr>
  </w:style>
  <w:style w:type="character" w:customStyle="1" w:styleId="66">
    <w:name w:val="标题 4 Char"/>
    <w:link w:val="7"/>
    <w:qFormat/>
    <w:uiPriority w:val="0"/>
    <w:rPr>
      <w:rFonts w:ascii="宋体" w:hAnsi="宋体" w:eastAsia="宋体"/>
      <w:b/>
      <w:color w:val="000000"/>
      <w:kern w:val="2"/>
      <w:sz w:val="24"/>
      <w:szCs w:val="21"/>
    </w:rPr>
  </w:style>
  <w:style w:type="character" w:customStyle="1" w:styleId="67">
    <w:name w:val="标题 5 Char"/>
    <w:link w:val="8"/>
    <w:qFormat/>
    <w:uiPriority w:val="0"/>
    <w:rPr>
      <w:rFonts w:ascii="Arial" w:hAnsi="Arial" w:eastAsia="宋体" w:cs="Times New Roman"/>
      <w:color w:val="000000"/>
      <w:szCs w:val="21"/>
    </w:rPr>
  </w:style>
  <w:style w:type="character" w:customStyle="1" w:styleId="68">
    <w:name w:val="标题 6 Char"/>
    <w:link w:val="9"/>
    <w:qFormat/>
    <w:uiPriority w:val="0"/>
    <w:rPr>
      <w:rFonts w:ascii="Arial" w:hAnsi="Arial" w:eastAsia="黑体" w:cs="Times New Roman"/>
      <w:b/>
      <w:bCs/>
      <w:sz w:val="24"/>
      <w:szCs w:val="24"/>
    </w:rPr>
  </w:style>
  <w:style w:type="character" w:customStyle="1" w:styleId="69">
    <w:name w:val="标题 7 Char"/>
    <w:link w:val="10"/>
    <w:qFormat/>
    <w:uiPriority w:val="0"/>
    <w:rPr>
      <w:rFonts w:ascii="Times New Roman" w:hAnsi="Times New Roman" w:eastAsia="宋体" w:cs="Times New Roman"/>
      <w:b/>
      <w:sz w:val="24"/>
      <w:szCs w:val="20"/>
    </w:rPr>
  </w:style>
  <w:style w:type="character" w:customStyle="1" w:styleId="70">
    <w:name w:val="标题 8 Char"/>
    <w:link w:val="11"/>
    <w:qFormat/>
    <w:uiPriority w:val="0"/>
    <w:rPr>
      <w:rFonts w:ascii="Arial" w:hAnsi="Arial" w:eastAsia="黑体" w:cs="Times New Roman"/>
      <w:sz w:val="24"/>
      <w:szCs w:val="20"/>
    </w:rPr>
  </w:style>
  <w:style w:type="character" w:customStyle="1" w:styleId="71">
    <w:name w:val="标题 9 Char"/>
    <w:link w:val="12"/>
    <w:qFormat/>
    <w:uiPriority w:val="0"/>
    <w:rPr>
      <w:rFonts w:ascii="Arial" w:hAnsi="Arial" w:eastAsia="黑体" w:cs="Times New Roman"/>
      <w:szCs w:val="20"/>
    </w:rPr>
  </w:style>
  <w:style w:type="character" w:customStyle="1" w:styleId="72">
    <w:name w:val="标题 字符"/>
    <w:qFormat/>
    <w:uiPriority w:val="10"/>
    <w:rPr>
      <w:rFonts w:ascii="等线 Light" w:hAnsi="等线 Light" w:eastAsia="等线 Light" w:cs="Times New Roman"/>
      <w:b/>
      <w:bCs/>
      <w:sz w:val="32"/>
      <w:szCs w:val="32"/>
    </w:rPr>
  </w:style>
  <w:style w:type="character" w:customStyle="1" w:styleId="73">
    <w:name w:val="标题 Char"/>
    <w:link w:val="4"/>
    <w:qFormat/>
    <w:uiPriority w:val="0"/>
    <w:rPr>
      <w:rFonts w:ascii="Arial" w:hAnsi="Arial" w:eastAsia="宋体" w:cs="Times New Roman"/>
      <w:b/>
      <w:sz w:val="44"/>
      <w:szCs w:val="20"/>
    </w:rPr>
  </w:style>
  <w:style w:type="character" w:customStyle="1" w:styleId="74">
    <w:name w:val="正文文本 字符"/>
    <w:semiHidden/>
    <w:qFormat/>
    <w:uiPriority w:val="99"/>
    <w:rPr>
      <w:rFonts w:ascii="Calibri" w:hAnsi="Calibri" w:eastAsia="宋体" w:cs="Times New Roman"/>
    </w:rPr>
  </w:style>
  <w:style w:type="character" w:customStyle="1" w:styleId="75">
    <w:name w:val="正文文本 Char"/>
    <w:link w:val="15"/>
    <w:qFormat/>
    <w:uiPriority w:val="0"/>
    <w:rPr>
      <w:rFonts w:ascii="Times New Roman" w:hAnsi="Times New Roman" w:eastAsia="宋体" w:cs="Times New Roman"/>
      <w:szCs w:val="20"/>
    </w:rPr>
  </w:style>
  <w:style w:type="character" w:customStyle="1" w:styleId="76">
    <w:name w:val="正文首行缩进 字符"/>
    <w:basedOn w:val="74"/>
    <w:semiHidden/>
    <w:qFormat/>
    <w:uiPriority w:val="99"/>
    <w:rPr>
      <w:rFonts w:ascii="Calibri" w:hAnsi="Calibri" w:eastAsia="宋体" w:cs="Times New Roman"/>
    </w:rPr>
  </w:style>
  <w:style w:type="character" w:customStyle="1" w:styleId="77">
    <w:name w:val="正文首行缩进 Char"/>
    <w:link w:val="34"/>
    <w:qFormat/>
    <w:uiPriority w:val="0"/>
  </w:style>
  <w:style w:type="character" w:customStyle="1" w:styleId="78">
    <w:name w:val="日期 字符"/>
    <w:semiHidden/>
    <w:qFormat/>
    <w:uiPriority w:val="99"/>
    <w:rPr>
      <w:rFonts w:ascii="Calibri" w:hAnsi="Calibri" w:eastAsia="宋体" w:cs="Times New Roman"/>
    </w:rPr>
  </w:style>
  <w:style w:type="character" w:customStyle="1" w:styleId="79">
    <w:name w:val="日期 Char"/>
    <w:link w:val="20"/>
    <w:qFormat/>
    <w:uiPriority w:val="0"/>
    <w:rPr>
      <w:rFonts w:ascii="Times New Roman" w:hAnsi="Times New Roman" w:eastAsia="宋体" w:cs="Times New Roman"/>
      <w:szCs w:val="20"/>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正文文本缩进 Char"/>
    <w:link w:val="16"/>
    <w:qFormat/>
    <w:uiPriority w:val="0"/>
    <w:rPr>
      <w:rFonts w:ascii="Times New Roman" w:hAnsi="Times New Roman" w:eastAsia="宋体" w:cs="Times New Roman"/>
      <w:sz w:val="28"/>
      <w:szCs w:val="20"/>
    </w:rPr>
  </w:style>
  <w:style w:type="character" w:customStyle="1" w:styleId="82">
    <w:name w:val="文档结构图 字符"/>
    <w:semiHidden/>
    <w:qFormat/>
    <w:uiPriority w:val="99"/>
    <w:rPr>
      <w:rFonts w:ascii="Microsoft YaHei UI" w:hAnsi="Calibri" w:eastAsia="Microsoft YaHei UI" w:cs="Times New Roman"/>
      <w:sz w:val="18"/>
      <w:szCs w:val="18"/>
    </w:rPr>
  </w:style>
  <w:style w:type="character" w:customStyle="1" w:styleId="83">
    <w:name w:val="文档结构图 Char"/>
    <w:link w:val="13"/>
    <w:qFormat/>
    <w:uiPriority w:val="0"/>
    <w:rPr>
      <w:rFonts w:ascii="Times New Roman" w:hAnsi="Times New Roman" w:eastAsia="宋体" w:cs="Times New Roman"/>
      <w:szCs w:val="20"/>
      <w:shd w:val="clear" w:color="auto" w:fill="000080"/>
    </w:rPr>
  </w:style>
  <w:style w:type="character" w:customStyle="1" w:styleId="84">
    <w:name w:val="纯文本 字符"/>
    <w:qFormat/>
    <w:uiPriority w:val="0"/>
    <w:rPr>
      <w:rFonts w:ascii="等线" w:hAnsi="Courier New" w:cs="Courier New"/>
    </w:rPr>
  </w:style>
  <w:style w:type="character" w:customStyle="1" w:styleId="85">
    <w:name w:val="纯文本 Char"/>
    <w:link w:val="19"/>
    <w:qFormat/>
    <w:uiPriority w:val="0"/>
    <w:rPr>
      <w:rFonts w:ascii="宋体" w:hAnsi="Courier New" w:eastAsia="宋体" w:cs="Times New Roman"/>
      <w:szCs w:val="20"/>
    </w:rPr>
  </w:style>
  <w:style w:type="character" w:customStyle="1" w:styleId="86">
    <w:name w:val="正文文本缩进 2 字符"/>
    <w:semiHidden/>
    <w:qFormat/>
    <w:uiPriority w:val="99"/>
    <w:rPr>
      <w:rFonts w:ascii="Calibri" w:hAnsi="Calibri" w:eastAsia="宋体" w:cs="Times New Roman"/>
    </w:rPr>
  </w:style>
  <w:style w:type="character" w:customStyle="1" w:styleId="87">
    <w:name w:val="正文文本缩进 2 Char"/>
    <w:link w:val="21"/>
    <w:qFormat/>
    <w:uiPriority w:val="0"/>
    <w:rPr>
      <w:rFonts w:ascii="Times New Roman" w:hAnsi="Times New Roman" w:eastAsia="宋体" w:cs="Times New Roman"/>
      <w:color w:val="000000"/>
      <w:sz w:val="24"/>
      <w:szCs w:val="20"/>
    </w:rPr>
  </w:style>
  <w:style w:type="character" w:customStyle="1" w:styleId="88">
    <w:name w:val="正文文本缩进 3 字符"/>
    <w:semiHidden/>
    <w:qFormat/>
    <w:uiPriority w:val="99"/>
    <w:rPr>
      <w:rFonts w:ascii="Calibri" w:hAnsi="Calibri" w:eastAsia="宋体" w:cs="Times New Roman"/>
      <w:sz w:val="16"/>
      <w:szCs w:val="16"/>
    </w:rPr>
  </w:style>
  <w:style w:type="character" w:customStyle="1" w:styleId="89">
    <w:name w:val="正文文本缩进 3 Char"/>
    <w:link w:val="28"/>
    <w:qFormat/>
    <w:uiPriority w:val="0"/>
    <w:rPr>
      <w:rFonts w:ascii="Times New Roman" w:hAnsi="Times New Roman" w:eastAsia="宋体" w:cs="Times New Roman"/>
      <w:color w:val="000000"/>
      <w:sz w:val="24"/>
      <w:szCs w:val="20"/>
    </w:rPr>
  </w:style>
  <w:style w:type="paragraph" w:customStyle="1" w:styleId="9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1">
    <w:name w:val="_Style 69"/>
    <w:qFormat/>
    <w:uiPriority w:val="0"/>
    <w:rPr>
      <w:rFonts w:ascii="等线" w:hAnsi="等线" w:eastAsia="等线" w:cs="Times New Roman"/>
      <w:lang w:val="en-US" w:eastAsia="zh-CN" w:bidi="ar-SA"/>
    </w:rPr>
  </w:style>
  <w:style w:type="character" w:customStyle="1" w:styleId="92">
    <w:name w:val="正文文本 2 字符"/>
    <w:semiHidden/>
    <w:qFormat/>
    <w:uiPriority w:val="99"/>
    <w:rPr>
      <w:rFonts w:ascii="Calibri" w:hAnsi="Calibri" w:eastAsia="宋体" w:cs="Times New Roman"/>
    </w:rPr>
  </w:style>
  <w:style w:type="character" w:customStyle="1" w:styleId="93">
    <w:name w:val="正文文本 2 Char"/>
    <w:link w:val="30"/>
    <w:qFormat/>
    <w:uiPriority w:val="0"/>
    <w:rPr>
      <w:rFonts w:ascii="宋体" w:hAnsi="宋体" w:eastAsia="宋体" w:cs="Times New Roman"/>
      <w:szCs w:val="24"/>
      <w:u w:val="single"/>
    </w:rPr>
  </w:style>
  <w:style w:type="paragraph" w:customStyle="1" w:styleId="94">
    <w:name w:val="表头"/>
    <w:basedOn w:val="1"/>
    <w:qFormat/>
    <w:uiPriority w:val="0"/>
    <w:pPr>
      <w:spacing w:line="360" w:lineRule="auto"/>
      <w:jc w:val="center"/>
    </w:pPr>
    <w:rPr>
      <w:rFonts w:ascii="黑体" w:hAnsi="Times New Roman" w:eastAsia="黑体"/>
      <w:kern w:val="0"/>
      <w:sz w:val="24"/>
      <w:szCs w:val="20"/>
    </w:rPr>
  </w:style>
  <w:style w:type="character" w:customStyle="1" w:styleId="95">
    <w:name w:val="尾注文本 字符"/>
    <w:semiHidden/>
    <w:qFormat/>
    <w:uiPriority w:val="99"/>
    <w:rPr>
      <w:rFonts w:ascii="Calibri" w:hAnsi="Calibri" w:eastAsia="宋体" w:cs="Times New Roman"/>
    </w:rPr>
  </w:style>
  <w:style w:type="character" w:customStyle="1" w:styleId="96">
    <w:name w:val="尾注文本 Char"/>
    <w:link w:val="22"/>
    <w:qFormat/>
    <w:uiPriority w:val="0"/>
    <w:rPr>
      <w:rFonts w:ascii="Times New Roman" w:hAnsi="Times New Roman" w:eastAsia="宋体" w:cs="Times New Roman"/>
      <w:szCs w:val="20"/>
    </w:rPr>
  </w:style>
  <w:style w:type="paragraph" w:customStyle="1" w:styleId="97">
    <w:name w:val="Char"/>
    <w:basedOn w:val="1"/>
    <w:qFormat/>
    <w:uiPriority w:val="0"/>
    <w:rPr>
      <w:rFonts w:ascii="Tahoma" w:hAnsi="Tahoma"/>
      <w:sz w:val="24"/>
      <w:szCs w:val="20"/>
    </w:rPr>
  </w:style>
  <w:style w:type="paragraph" w:customStyle="1" w:styleId="98">
    <w:name w:val="Char1"/>
    <w:basedOn w:val="1"/>
    <w:qFormat/>
    <w:uiPriority w:val="0"/>
    <w:pPr>
      <w:numPr>
        <w:ilvl w:val="0"/>
        <w:numId w:val="2"/>
      </w:numPr>
    </w:pPr>
    <w:rPr>
      <w:rFonts w:ascii="Times New Roman" w:hAnsi="Times New Roman"/>
      <w:sz w:val="24"/>
      <w:szCs w:val="24"/>
    </w:rPr>
  </w:style>
  <w:style w:type="paragraph" w:customStyle="1" w:styleId="99">
    <w:name w:val="公文抬头"/>
    <w:basedOn w:val="2"/>
    <w:qFormat/>
    <w:uiPriority w:val="0"/>
    <w:pPr>
      <w:ind w:firstLine="0"/>
    </w:pPr>
    <w:rPr>
      <w:rFonts w:ascii="仿宋_GB2312" w:eastAsia="仿宋_GB2312"/>
      <w:sz w:val="30"/>
      <w:szCs w:val="24"/>
    </w:rPr>
  </w:style>
  <w:style w:type="paragraph" w:customStyle="1" w:styleId="100">
    <w:name w:val="Char Char Char1 Char"/>
    <w:basedOn w:val="13"/>
    <w:qFormat/>
    <w:uiPriority w:val="0"/>
    <w:rPr>
      <w:rFonts w:ascii="Tahoma" w:hAnsi="Tahoma"/>
      <w:sz w:val="24"/>
      <w:szCs w:val="24"/>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3">
    <w:name w:val="发文落款"/>
    <w:basedOn w:val="101"/>
    <w:qFormat/>
    <w:uiPriority w:val="0"/>
    <w:pPr>
      <w:ind w:left="4094" w:right="607" w:firstLine="0"/>
      <w:jc w:val="center"/>
    </w:pPr>
  </w:style>
  <w:style w:type="paragraph" w:customStyle="1" w:styleId="104">
    <w:name w:val="Char Char Char Char"/>
    <w:basedOn w:val="1"/>
    <w:qFormat/>
    <w:uiPriority w:val="0"/>
    <w:rPr>
      <w:rFonts w:ascii="Times New Roman" w:hAnsi="Times New Roman"/>
      <w:sz w:val="30"/>
      <w:szCs w:val="24"/>
    </w:rPr>
  </w:style>
  <w:style w:type="character" w:customStyle="1" w:styleId="105">
    <w:name w:val="批注框文本 字符"/>
    <w:semiHidden/>
    <w:qFormat/>
    <w:uiPriority w:val="99"/>
    <w:rPr>
      <w:rFonts w:ascii="Calibri" w:hAnsi="Calibri" w:eastAsia="宋体" w:cs="Times New Roman"/>
      <w:sz w:val="18"/>
      <w:szCs w:val="18"/>
    </w:rPr>
  </w:style>
  <w:style w:type="character" w:customStyle="1" w:styleId="106">
    <w:name w:val="批注框文本 Char"/>
    <w:link w:val="23"/>
    <w:qFormat/>
    <w:uiPriority w:val="0"/>
    <w:rPr>
      <w:rFonts w:ascii="Times New Roman" w:hAnsi="Times New Roman" w:eastAsia="宋体" w:cs="Times New Roman"/>
      <w:sz w:val="18"/>
      <w:szCs w:val="18"/>
    </w:rPr>
  </w:style>
  <w:style w:type="paragraph" w:customStyle="1" w:styleId="107">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8">
    <w:name w:val="批注文字 字符"/>
    <w:semiHidden/>
    <w:qFormat/>
    <w:uiPriority w:val="99"/>
    <w:rPr>
      <w:rFonts w:ascii="Calibri" w:hAnsi="Calibri" w:eastAsia="宋体" w:cs="Times New Roman"/>
    </w:rPr>
  </w:style>
  <w:style w:type="character" w:customStyle="1" w:styleId="109">
    <w:name w:val="批注文字 Char"/>
    <w:link w:val="14"/>
    <w:qFormat/>
    <w:uiPriority w:val="0"/>
    <w:rPr>
      <w:rFonts w:ascii="宋体" w:hAnsi="宋体" w:eastAsia="宋体" w:cs="Times New Roman"/>
      <w:sz w:val="24"/>
      <w:szCs w:val="24"/>
    </w:rPr>
  </w:style>
  <w:style w:type="character" w:customStyle="1" w:styleId="110">
    <w:name w:val="脚注文本 字符"/>
    <w:semiHidden/>
    <w:qFormat/>
    <w:uiPriority w:val="99"/>
    <w:rPr>
      <w:rFonts w:ascii="Calibri" w:hAnsi="Calibri" w:eastAsia="宋体" w:cs="Times New Roman"/>
      <w:sz w:val="18"/>
      <w:szCs w:val="18"/>
    </w:rPr>
  </w:style>
  <w:style w:type="character" w:customStyle="1" w:styleId="111">
    <w:name w:val="脚注文本 Char"/>
    <w:link w:val="27"/>
    <w:qFormat/>
    <w:uiPriority w:val="0"/>
    <w:rPr>
      <w:rFonts w:ascii="宋体" w:hAnsi="宋体" w:eastAsia="宋体" w:cs="Times New Roman"/>
      <w:sz w:val="18"/>
      <w:szCs w:val="18"/>
    </w:rPr>
  </w:style>
  <w:style w:type="character" w:customStyle="1" w:styleId="112">
    <w:name w:val="批注主题 字符"/>
    <w:semiHidden/>
    <w:qFormat/>
    <w:uiPriority w:val="99"/>
    <w:rPr>
      <w:rFonts w:ascii="Calibri" w:hAnsi="Calibri" w:eastAsia="宋体" w:cs="Times New Roman"/>
      <w:b/>
      <w:bCs/>
    </w:rPr>
  </w:style>
  <w:style w:type="character" w:customStyle="1" w:styleId="113">
    <w:name w:val="批注主题 Char"/>
    <w:link w:val="33"/>
    <w:qFormat/>
    <w:uiPriority w:val="0"/>
    <w:rPr>
      <w:rFonts w:ascii="宋体" w:hAnsi="宋体" w:eastAsia="宋体" w:cs="Times New Roman"/>
      <w:b/>
      <w:bCs/>
      <w:sz w:val="24"/>
      <w:szCs w:val="24"/>
    </w:rPr>
  </w:style>
  <w:style w:type="paragraph" w:styleId="114">
    <w:name w:val="List Paragraph"/>
    <w:basedOn w:val="1"/>
    <w:qFormat/>
    <w:uiPriority w:val="34"/>
    <w:pPr>
      <w:ind w:firstLine="420" w:firstLineChars="200"/>
    </w:pPr>
    <w:rPr>
      <w:rFonts w:ascii="Times New Roman" w:hAnsi="Times New Roman"/>
      <w:szCs w:val="20"/>
    </w:rPr>
  </w:style>
  <w:style w:type="paragraph" w:customStyle="1" w:styleId="115">
    <w:name w:val="修订1"/>
    <w:semiHidden/>
    <w:qFormat/>
    <w:uiPriority w:val="99"/>
    <w:rPr>
      <w:rFonts w:ascii="Times New Roman" w:hAnsi="Times New Roman" w:eastAsia="宋体" w:cs="Times New Roman"/>
      <w:kern w:val="2"/>
      <w:sz w:val="21"/>
      <w:lang w:val="en-US" w:eastAsia="zh-CN" w:bidi="ar-SA"/>
    </w:rPr>
  </w:style>
  <w:style w:type="character" w:customStyle="1" w:styleId="116">
    <w:name w:val="font11"/>
    <w:qFormat/>
    <w:uiPriority w:val="0"/>
    <w:rPr>
      <w:rFonts w:hint="eastAsia" w:ascii="宋体" w:hAnsi="宋体" w:eastAsia="宋体"/>
      <w:color w:val="000000"/>
      <w:sz w:val="24"/>
      <w:szCs w:val="24"/>
      <w:u w:val="single"/>
    </w:rPr>
  </w:style>
  <w:style w:type="paragraph" w:customStyle="1" w:styleId="117">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8">
    <w:name w:val="正文文本缩进 New New"/>
    <w:basedOn w:val="1"/>
    <w:qFormat/>
    <w:uiPriority w:val="0"/>
    <w:pPr>
      <w:spacing w:after="120"/>
      <w:ind w:left="420" w:leftChars="200"/>
    </w:pPr>
    <w:rPr>
      <w:rFonts w:ascii="Times New Roman" w:eastAsia="楷体_GB2312"/>
      <w:szCs w:val="20"/>
    </w:rPr>
  </w:style>
  <w:style w:type="paragraph" w:customStyle="1" w:styleId="119">
    <w:name w:val="正题"/>
    <w:basedOn w:val="120"/>
    <w:qFormat/>
    <w:uiPriority w:val="0"/>
    <w:pPr>
      <w:jc w:val="center"/>
    </w:pPr>
    <w:rPr>
      <w:rFonts w:ascii="宋体" w:hAnsi="宋体" w:eastAsia="黑体" w:cstheme="minorBidi"/>
      <w:b/>
      <w:sz w:val="36"/>
      <w:szCs w:val="36"/>
    </w:rPr>
  </w:style>
  <w:style w:type="paragraph" w:customStyle="1" w:styleId="120">
    <w:name w:val="文一"/>
    <w:link w:val="123"/>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21">
    <w:name w:val="No Spacing"/>
    <w:link w:val="122"/>
    <w:qFormat/>
    <w:uiPriority w:val="1"/>
    <w:rPr>
      <w:rFonts w:asciiTheme="minorHAnsi" w:hAnsiTheme="minorHAnsi" w:eastAsiaTheme="minorEastAsia" w:cstheme="minorBidi"/>
      <w:sz w:val="22"/>
      <w:szCs w:val="22"/>
      <w:lang w:val="en-US" w:eastAsia="zh-CN" w:bidi="ar-SA"/>
    </w:rPr>
  </w:style>
  <w:style w:type="character" w:customStyle="1" w:styleId="122">
    <w:name w:val="无间隔 Char"/>
    <w:basedOn w:val="38"/>
    <w:link w:val="121"/>
    <w:qFormat/>
    <w:uiPriority w:val="1"/>
    <w:rPr>
      <w:rFonts w:asciiTheme="minorHAnsi" w:hAnsiTheme="minorHAnsi" w:eastAsiaTheme="minorEastAsia" w:cstheme="minorBidi"/>
      <w:sz w:val="22"/>
      <w:szCs w:val="22"/>
    </w:rPr>
  </w:style>
  <w:style w:type="character" w:customStyle="1" w:styleId="123">
    <w:name w:val="文一 Char"/>
    <w:link w:val="120"/>
    <w:qFormat/>
    <w:uiPriority w:val="0"/>
    <w:rPr>
      <w:rFonts w:ascii="Calibri" w:hAnsi="Calibri" w:eastAsia="宋体"/>
      <w:snapToGrid w:val="0"/>
      <w:spacing w:val="4"/>
      <w:sz w:val="24"/>
      <w:szCs w:val="24"/>
    </w:rPr>
  </w:style>
  <w:style w:type="paragraph" w:customStyle="1" w:styleId="124">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5">
    <w:name w:val="正文缩进 Char"/>
    <w:link w:val="2"/>
    <w:qFormat/>
    <w:uiPriority w:val="0"/>
    <w:rPr>
      <w:rFonts w:ascii="Times New Roman" w:hAnsi="Times New Roman" w:eastAsia="宋体"/>
      <w:kern w:val="2"/>
      <w:sz w:val="21"/>
    </w:rPr>
  </w:style>
  <w:style w:type="paragraph" w:customStyle="1" w:styleId="126">
    <w:name w:val="正文 New New"/>
    <w:basedOn w:val="1"/>
    <w:qFormat/>
    <w:uiPriority w:val="0"/>
    <w:rPr>
      <w:rFonts w:ascii="Times New Roman" w:hAnsi="Times New Roman" w:eastAsia="楷体_GB2312" w:cs="宋体"/>
      <w:szCs w:val="21"/>
    </w:rPr>
  </w:style>
  <w:style w:type="paragraph" w:customStyle="1" w:styleId="127">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8">
    <w:name w:val="未处理的提及1"/>
    <w:basedOn w:val="38"/>
    <w:semiHidden/>
    <w:unhideWhenUsed/>
    <w:qFormat/>
    <w:uiPriority w:val="99"/>
    <w:rPr>
      <w:color w:val="605E5C"/>
      <w:shd w:val="clear" w:color="auto" w:fill="E1DFDD"/>
    </w:rPr>
  </w:style>
  <w:style w:type="character" w:customStyle="1" w:styleId="129">
    <w:name w:val="username"/>
    <w:basedOn w:val="38"/>
    <w:qFormat/>
    <w:uiPriority w:val="0"/>
  </w:style>
  <w:style w:type="character" w:customStyle="1" w:styleId="130">
    <w:name w:val="title26"/>
    <w:basedOn w:val="38"/>
    <w:qFormat/>
    <w:uiPriority w:val="0"/>
  </w:style>
  <w:style w:type="character" w:customStyle="1" w:styleId="131">
    <w:name w:val="title21"/>
    <w:basedOn w:val="38"/>
    <w:qFormat/>
    <w:uiPriority w:val="0"/>
  </w:style>
  <w:style w:type="paragraph" w:customStyle="1" w:styleId="132">
    <w:name w:val="章节三"/>
    <w:basedOn w:val="120"/>
    <w:qFormat/>
    <w:uiPriority w:val="0"/>
    <w:pPr>
      <w:spacing w:beforeLines="50" w:afterLines="50" w:line="240" w:lineRule="auto"/>
      <w:ind w:firstLine="0" w:firstLineChars="0"/>
      <w:jc w:val="left"/>
      <w:outlineLvl w:val="2"/>
    </w:pPr>
    <w:rPr>
      <w:rFonts w:ascii="黑体" w:hAnsi="宋体" w:eastAsia="黑体"/>
      <w:b/>
    </w:rPr>
  </w:style>
  <w:style w:type="character" w:customStyle="1" w:styleId="133">
    <w:name w:val="未处理的提及2"/>
    <w:basedOn w:val="38"/>
    <w:semiHidden/>
    <w:unhideWhenUsed/>
    <w:qFormat/>
    <w:uiPriority w:val="99"/>
    <w:rPr>
      <w:color w:val="605E5C"/>
      <w:shd w:val="clear" w:color="auto" w:fill="E1DFDD"/>
    </w:rPr>
  </w:style>
  <w:style w:type="paragraph" w:customStyle="1" w:styleId="134">
    <w:name w:val="Table Paragraph"/>
    <w:basedOn w:val="1"/>
    <w:unhideWhenUsed/>
    <w:qFormat/>
    <w:uiPriority w:val="1"/>
    <w:rPr>
      <w:sz w:val="24"/>
      <w:szCs w:val="24"/>
    </w:rPr>
  </w:style>
  <w:style w:type="paragraph" w:customStyle="1" w:styleId="135">
    <w:name w:val="修订2"/>
    <w:hidden/>
    <w:semiHidden/>
    <w:qFormat/>
    <w:uiPriority w:val="99"/>
    <w:rPr>
      <w:rFonts w:ascii="Calibri" w:hAnsi="Calibri" w:eastAsia="宋体" w:cs="Times New Roman"/>
      <w:kern w:val="2"/>
      <w:sz w:val="21"/>
      <w:szCs w:val="22"/>
      <w:lang w:val="en-US" w:eastAsia="zh-CN" w:bidi="ar-SA"/>
    </w:rPr>
  </w:style>
  <w:style w:type="character" w:customStyle="1" w:styleId="136">
    <w:name w:val="font01"/>
    <w:qFormat/>
    <w:uiPriority w:val="0"/>
    <w:rPr>
      <w:rFonts w:hint="eastAsia" w:ascii="仿宋" w:hAnsi="仿宋" w:eastAsia="仿宋" w:cs="仿宋"/>
      <w:color w:val="000000"/>
      <w:sz w:val="28"/>
      <w:szCs w:val="28"/>
      <w:u w:val="none"/>
    </w:rPr>
  </w:style>
  <w:style w:type="paragraph" w:customStyle="1" w:styleId="137">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FB855-EC4A-486B-962D-CBBBCDE05BA5}">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75</Pages>
  <Words>43909</Words>
  <Characters>46460</Characters>
  <Lines>372</Lines>
  <Paragraphs>104</Paragraphs>
  <TotalTime>0</TotalTime>
  <ScaleCrop>false</ScaleCrop>
  <LinksUpToDate>false</LinksUpToDate>
  <CharactersWithSpaces>48351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2022-09-26T09:44:00Z</dcterms:created>
  <dc:creator>Administrator</dc:creator>
  <cp:lastModifiedBy>L</cp:lastModifiedBy>
  <cp:lastPrinted>2023-04-13T13:19:00Z</cp:lastPrinted>
  <dcterms:modified xsi:type="dcterms:W3CDTF">2023-08-18T08:10:03Z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0B9F70865E564054A74A78BC06A96C6B</vt:lpwstr>
  </property>
</Properties>
</file>