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ascii="宋体" w:hAnsi="宋体"/>
          <w:color w:val="auto"/>
          <w:sz w:val="36"/>
          <w:szCs w:val="36"/>
          <w:highlight w:val="none"/>
        </w:rPr>
      </w:pPr>
      <w:bookmarkStart w:id="0" w:name="_Toc251569647"/>
      <w:bookmarkStart w:id="1" w:name="_Toc288578279"/>
      <w:bookmarkStart w:id="2" w:name="_Toc197843635"/>
    </w:p>
    <w:p>
      <w:pPr>
        <w:pStyle w:val="12"/>
        <w:rPr>
          <w:color w:val="auto"/>
        </w:rPr>
      </w:pPr>
    </w:p>
    <w:p>
      <w:pPr>
        <w:jc w:val="center"/>
        <w:rPr>
          <w:rFonts w:ascii="宋体" w:hAnsi="宋体"/>
          <w:color w:val="auto"/>
          <w:sz w:val="52"/>
          <w:szCs w:val="52"/>
          <w:highlight w:val="none"/>
          <w:u w:val="single"/>
        </w:rPr>
      </w:pPr>
      <w:r>
        <w:rPr>
          <w:rFonts w:hint="eastAsia" w:hAnsi="宋体"/>
          <w:b/>
          <w:bCs/>
          <w:color w:val="auto"/>
          <w:sz w:val="52"/>
          <w:szCs w:val="52"/>
          <w:highlight w:val="none"/>
          <w:lang w:eastAsia="zh-CN"/>
        </w:rPr>
        <w:t>西区智造科创园（高清光学显示芯片项目）第三方检测、监测</w:t>
      </w:r>
    </w:p>
    <w:p>
      <w:pPr>
        <w:jc w:val="center"/>
        <w:rPr>
          <w:rFonts w:hint="eastAsia" w:ascii="宋体" w:hAnsi="宋体"/>
          <w:color w:val="auto"/>
          <w:sz w:val="32"/>
          <w:szCs w:val="32"/>
          <w:highlight w:val="none"/>
        </w:rPr>
      </w:pPr>
    </w:p>
    <w:p>
      <w:pPr>
        <w:jc w:val="center"/>
        <w:rPr>
          <w:rFonts w:ascii="宋体" w:hAnsi="宋体"/>
          <w:color w:val="auto"/>
          <w:sz w:val="32"/>
          <w:szCs w:val="32"/>
          <w:highlight w:val="none"/>
        </w:rPr>
      </w:pPr>
      <w:r>
        <w:rPr>
          <w:rFonts w:hint="eastAsia" w:ascii="宋体" w:hAnsi="宋体"/>
          <w:color w:val="auto"/>
          <w:sz w:val="32"/>
          <w:szCs w:val="32"/>
          <w:highlight w:val="none"/>
        </w:rPr>
        <w:t>（招标编号：</w:t>
      </w:r>
      <w:r>
        <w:rPr>
          <w:rFonts w:hint="eastAsia" w:ascii="宋体" w:hAnsi="宋体"/>
          <w:color w:val="auto"/>
          <w:sz w:val="32"/>
          <w:szCs w:val="32"/>
          <w:highlight w:val="none"/>
          <w:u w:val="single"/>
        </w:rPr>
        <w:t xml:space="preserve">       </w:t>
      </w:r>
      <w:r>
        <w:rPr>
          <w:rFonts w:hint="eastAsia" w:ascii="宋体" w:hAnsi="宋体"/>
          <w:color w:val="auto"/>
          <w:sz w:val="32"/>
          <w:szCs w:val="32"/>
          <w:highlight w:val="none"/>
        </w:rPr>
        <w:t>）</w:t>
      </w:r>
    </w:p>
    <w:p>
      <w:pPr>
        <w:jc w:val="center"/>
        <w:rPr>
          <w:rFonts w:ascii="宋体" w:hAnsi="宋体"/>
          <w:color w:val="auto"/>
          <w:sz w:val="32"/>
          <w:szCs w:val="32"/>
          <w:highlight w:val="none"/>
        </w:rPr>
      </w:pPr>
    </w:p>
    <w:p>
      <w:pPr>
        <w:spacing w:line="400" w:lineRule="exact"/>
        <w:jc w:val="center"/>
        <w:rPr>
          <w:rFonts w:ascii="宋体" w:hAnsi="宋体"/>
          <w:color w:val="auto"/>
          <w:sz w:val="32"/>
          <w:szCs w:val="32"/>
          <w:highlight w:val="none"/>
        </w:rPr>
      </w:pPr>
    </w:p>
    <w:p>
      <w:pPr>
        <w:jc w:val="center"/>
        <w:rPr>
          <w:rFonts w:ascii="宋体" w:hAnsi="宋体"/>
          <w:color w:val="auto"/>
          <w:sz w:val="32"/>
          <w:szCs w:val="32"/>
          <w:highlight w:val="none"/>
          <w:u w:val="single"/>
        </w:rPr>
      </w:pPr>
    </w:p>
    <w:p>
      <w:pPr>
        <w:jc w:val="center"/>
        <w:rPr>
          <w:rFonts w:ascii="宋体" w:hAnsi="宋体"/>
          <w:color w:val="auto"/>
          <w:sz w:val="32"/>
          <w:szCs w:val="32"/>
          <w:highlight w:val="none"/>
          <w:u w:val="single"/>
        </w:rPr>
      </w:pPr>
    </w:p>
    <w:p>
      <w:pPr>
        <w:jc w:val="center"/>
        <w:rPr>
          <w:rFonts w:ascii="宋体" w:hAnsi="宋体"/>
          <w:color w:val="auto"/>
          <w:sz w:val="32"/>
          <w:szCs w:val="32"/>
          <w:highlight w:val="none"/>
          <w:u w:val="single"/>
        </w:rPr>
      </w:pPr>
    </w:p>
    <w:p>
      <w:pPr>
        <w:jc w:val="center"/>
        <w:rPr>
          <w:rFonts w:ascii="宋体" w:hAnsi="宋体"/>
          <w:color w:val="auto"/>
          <w:sz w:val="72"/>
          <w:szCs w:val="72"/>
          <w:highlight w:val="none"/>
        </w:rPr>
      </w:pPr>
      <w:r>
        <w:rPr>
          <w:rFonts w:hint="eastAsia" w:ascii="宋体" w:hAnsi="宋体"/>
          <w:color w:val="auto"/>
          <w:sz w:val="72"/>
          <w:szCs w:val="72"/>
          <w:highlight w:val="none"/>
        </w:rPr>
        <w:t>招标文件</w:t>
      </w:r>
    </w:p>
    <w:p>
      <w:pPr>
        <w:jc w:val="center"/>
        <w:rPr>
          <w:rFonts w:ascii="宋体" w:hAnsi="宋体"/>
          <w:color w:val="auto"/>
          <w:sz w:val="32"/>
          <w:szCs w:val="32"/>
          <w:highlight w:val="none"/>
          <w:u w:val="single"/>
        </w:rPr>
      </w:pPr>
    </w:p>
    <w:p>
      <w:pPr>
        <w:jc w:val="center"/>
        <w:rPr>
          <w:rFonts w:ascii="宋体" w:hAnsi="宋体"/>
          <w:color w:val="auto"/>
          <w:sz w:val="32"/>
          <w:szCs w:val="32"/>
          <w:highlight w:val="none"/>
          <w:u w:val="single"/>
        </w:rPr>
      </w:pPr>
    </w:p>
    <w:p>
      <w:pPr>
        <w:jc w:val="center"/>
        <w:rPr>
          <w:rFonts w:ascii="宋体" w:hAnsi="宋体"/>
          <w:color w:val="auto"/>
          <w:sz w:val="32"/>
          <w:szCs w:val="32"/>
          <w:highlight w:val="none"/>
          <w:u w:val="single"/>
        </w:rPr>
      </w:pPr>
    </w:p>
    <w:p>
      <w:pPr>
        <w:jc w:val="center"/>
        <w:rPr>
          <w:rFonts w:ascii="宋体" w:hAnsi="宋体"/>
          <w:color w:val="auto"/>
          <w:sz w:val="32"/>
          <w:szCs w:val="32"/>
          <w:highlight w:val="none"/>
          <w:u w:val="single"/>
        </w:rPr>
      </w:pPr>
    </w:p>
    <w:p>
      <w:pPr>
        <w:rPr>
          <w:rFonts w:ascii="宋体" w:hAnsi="宋体"/>
          <w:color w:val="auto"/>
          <w:sz w:val="32"/>
          <w:szCs w:val="32"/>
          <w:highlight w:val="none"/>
          <w:u w:val="single"/>
        </w:rPr>
      </w:pPr>
    </w:p>
    <w:p>
      <w:pPr>
        <w:rPr>
          <w:rFonts w:ascii="宋体" w:hAnsi="宋体"/>
          <w:color w:val="auto"/>
          <w:sz w:val="32"/>
          <w:szCs w:val="32"/>
          <w:highlight w:val="none"/>
          <w:u w:val="single"/>
        </w:rPr>
      </w:pPr>
    </w:p>
    <w:p>
      <w:pPr>
        <w:snapToGrid w:val="0"/>
        <w:spacing w:line="360" w:lineRule="auto"/>
        <w:ind w:leftChars="700" w:firstLine="0" w:firstLineChars="0"/>
        <w:jc w:val="both"/>
        <w:rPr>
          <w:rFonts w:ascii="宋体" w:hAnsi="宋体"/>
          <w:b/>
          <w:color w:val="auto"/>
          <w:sz w:val="28"/>
          <w:szCs w:val="24"/>
          <w:highlight w:val="none"/>
          <w:u w:val="single"/>
        </w:rPr>
      </w:pPr>
      <w:r>
        <w:rPr>
          <w:rFonts w:hint="eastAsia" w:ascii="宋体" w:hAnsi="宋体"/>
          <w:b/>
          <w:color w:val="auto"/>
          <w:sz w:val="28"/>
          <w:szCs w:val="24"/>
          <w:highlight w:val="none"/>
        </w:rPr>
        <w:t>招标人：</w:t>
      </w:r>
      <w:r>
        <w:rPr>
          <w:rFonts w:hint="eastAsia" w:ascii="宋体" w:hAnsi="宋体"/>
          <w:b/>
          <w:color w:val="auto"/>
          <w:sz w:val="28"/>
          <w:szCs w:val="24"/>
          <w:highlight w:val="none"/>
          <w:u w:val="single"/>
          <w:lang w:eastAsia="zh-CN"/>
        </w:rPr>
        <w:t>广州开投穗港科创投资运营有限公司</w:t>
      </w:r>
      <w:r>
        <w:rPr>
          <w:rFonts w:hint="eastAsia" w:ascii="宋体" w:hAnsi="宋体"/>
          <w:b/>
          <w:color w:val="auto"/>
          <w:sz w:val="28"/>
          <w:szCs w:val="24"/>
          <w:highlight w:val="none"/>
        </w:rPr>
        <w:t>（盖单位章）</w:t>
      </w:r>
    </w:p>
    <w:p>
      <w:pPr>
        <w:snapToGrid w:val="0"/>
        <w:spacing w:line="360" w:lineRule="auto"/>
        <w:ind w:leftChars="700" w:firstLine="0" w:firstLineChars="0"/>
        <w:jc w:val="both"/>
        <w:rPr>
          <w:rFonts w:ascii="宋体" w:hAnsi="宋体"/>
          <w:b/>
          <w:color w:val="auto"/>
          <w:sz w:val="28"/>
          <w:szCs w:val="24"/>
          <w:highlight w:val="none"/>
        </w:rPr>
      </w:pPr>
      <w:r>
        <w:rPr>
          <w:rFonts w:hint="eastAsia" w:ascii="宋体" w:hAnsi="宋体"/>
          <w:b/>
          <w:color w:val="auto"/>
          <w:sz w:val="28"/>
          <w:szCs w:val="24"/>
          <w:highlight w:val="none"/>
        </w:rPr>
        <w:t>项目代建单位：</w:t>
      </w:r>
      <w:r>
        <w:rPr>
          <w:rFonts w:hint="eastAsia" w:ascii="宋体" w:hAnsi="宋体"/>
          <w:b/>
          <w:color w:val="auto"/>
          <w:sz w:val="28"/>
          <w:szCs w:val="24"/>
          <w:highlight w:val="none"/>
          <w:u w:val="single"/>
        </w:rPr>
        <w:t>广州开发区建设投资有限公司</w:t>
      </w:r>
      <w:r>
        <w:rPr>
          <w:rFonts w:hint="eastAsia" w:ascii="宋体" w:hAnsi="宋体"/>
          <w:b/>
          <w:color w:val="auto"/>
          <w:sz w:val="28"/>
          <w:szCs w:val="24"/>
          <w:highlight w:val="none"/>
        </w:rPr>
        <w:t>（盖单位章）</w:t>
      </w:r>
    </w:p>
    <w:p>
      <w:pPr>
        <w:snapToGrid w:val="0"/>
        <w:spacing w:line="360" w:lineRule="auto"/>
        <w:ind w:leftChars="700" w:firstLine="0" w:firstLineChars="0"/>
        <w:jc w:val="both"/>
        <w:rPr>
          <w:rFonts w:ascii="宋体" w:hAnsi="宋体"/>
          <w:b/>
          <w:color w:val="auto"/>
          <w:sz w:val="28"/>
          <w:szCs w:val="24"/>
          <w:highlight w:val="none"/>
        </w:rPr>
      </w:pPr>
      <w:r>
        <w:rPr>
          <w:rFonts w:hint="eastAsia" w:ascii="宋体" w:hAnsi="宋体"/>
          <w:b/>
          <w:color w:val="auto"/>
          <w:sz w:val="28"/>
          <w:szCs w:val="24"/>
          <w:highlight w:val="none"/>
        </w:rPr>
        <w:t>招标代理机构：</w:t>
      </w:r>
      <w:r>
        <w:rPr>
          <w:rFonts w:hint="eastAsia" w:ascii="宋体" w:hAnsi="宋体"/>
          <w:b/>
          <w:color w:val="auto"/>
          <w:sz w:val="28"/>
          <w:szCs w:val="24"/>
          <w:highlight w:val="none"/>
          <w:u w:val="single"/>
          <w:lang w:eastAsia="zh-CN"/>
        </w:rPr>
        <w:t>广州天行咨询服务有限公司</w:t>
      </w:r>
      <w:r>
        <w:rPr>
          <w:rFonts w:hint="eastAsia" w:ascii="宋体" w:hAnsi="宋体"/>
          <w:b/>
          <w:color w:val="auto"/>
          <w:sz w:val="28"/>
          <w:szCs w:val="24"/>
          <w:highlight w:val="none"/>
        </w:rPr>
        <w:t>（盖单位章）</w:t>
      </w:r>
    </w:p>
    <w:p>
      <w:pPr>
        <w:snapToGrid w:val="0"/>
        <w:spacing w:line="360" w:lineRule="auto"/>
        <w:jc w:val="center"/>
        <w:rPr>
          <w:rFonts w:ascii="宋体" w:hAnsi="宋体"/>
          <w:b/>
          <w:color w:val="auto"/>
          <w:sz w:val="28"/>
          <w:szCs w:val="24"/>
          <w:highlight w:val="none"/>
        </w:rPr>
      </w:pPr>
      <w:r>
        <w:rPr>
          <w:rFonts w:hint="eastAsia" w:ascii="宋体" w:hAnsi="宋体"/>
          <w:b/>
          <w:color w:val="auto"/>
          <w:sz w:val="28"/>
          <w:szCs w:val="24"/>
          <w:highlight w:val="none"/>
          <w:u w:val="single"/>
        </w:rPr>
        <w:t>202</w:t>
      </w:r>
      <w:r>
        <w:rPr>
          <w:rFonts w:hint="eastAsia" w:ascii="宋体" w:hAnsi="宋体"/>
          <w:b/>
          <w:color w:val="auto"/>
          <w:sz w:val="28"/>
          <w:szCs w:val="24"/>
          <w:highlight w:val="none"/>
          <w:u w:val="single"/>
          <w:lang w:val="en-US" w:eastAsia="zh-CN"/>
        </w:rPr>
        <w:t>3</w:t>
      </w:r>
      <w:r>
        <w:rPr>
          <w:rFonts w:hint="eastAsia" w:ascii="宋体" w:hAnsi="宋体"/>
          <w:b/>
          <w:color w:val="auto"/>
          <w:sz w:val="28"/>
          <w:szCs w:val="24"/>
          <w:highlight w:val="none"/>
        </w:rPr>
        <w:t>年</w:t>
      </w:r>
      <w:r>
        <w:rPr>
          <w:rFonts w:hint="eastAsia" w:ascii="宋体" w:hAnsi="宋体"/>
          <w:b/>
          <w:color w:val="auto"/>
          <w:sz w:val="28"/>
          <w:szCs w:val="24"/>
          <w:highlight w:val="none"/>
          <w:u w:val="single"/>
          <w:lang w:val="en-US" w:eastAsia="zh-CN"/>
        </w:rPr>
        <w:t>8</w:t>
      </w:r>
      <w:r>
        <w:rPr>
          <w:rFonts w:hint="eastAsia" w:ascii="宋体" w:hAnsi="宋体"/>
          <w:b/>
          <w:color w:val="auto"/>
          <w:sz w:val="28"/>
          <w:szCs w:val="24"/>
          <w:highlight w:val="none"/>
        </w:rPr>
        <w:t>月</w:t>
      </w:r>
    </w:p>
    <w:p>
      <w:pPr>
        <w:spacing w:line="360" w:lineRule="auto"/>
        <w:jc w:val="center"/>
        <w:rPr>
          <w:rFonts w:hint="eastAsia" w:ascii="宋体" w:hAnsi="宋体"/>
          <w:bCs/>
          <w:color w:val="auto"/>
          <w:sz w:val="52"/>
          <w:highlight w:val="none"/>
        </w:rPr>
        <w:sectPr>
          <w:footerReference r:id="rId3" w:type="even"/>
          <w:pgSz w:w="11906" w:h="16838"/>
          <w:pgMar w:top="1440" w:right="1080" w:bottom="1440" w:left="1080" w:header="851" w:footer="1020" w:gutter="0"/>
          <w:pgNumType w:start="1"/>
          <w:cols w:space="720" w:num="1"/>
          <w:docGrid w:type="lines" w:linePitch="312" w:charSpace="0"/>
        </w:sectPr>
      </w:pPr>
    </w:p>
    <w:p>
      <w:pPr>
        <w:spacing w:line="360" w:lineRule="auto"/>
        <w:jc w:val="center"/>
        <w:rPr>
          <w:rFonts w:ascii="宋体" w:hAnsi="宋体"/>
          <w:bCs/>
          <w:color w:val="auto"/>
          <w:sz w:val="52"/>
          <w:highlight w:val="none"/>
        </w:rPr>
      </w:pPr>
      <w:r>
        <w:rPr>
          <w:rFonts w:hint="eastAsia" w:ascii="宋体" w:hAnsi="宋体"/>
          <w:bCs/>
          <w:color w:val="auto"/>
          <w:sz w:val="52"/>
          <w:highlight w:val="none"/>
        </w:rPr>
        <w:t>重要提示</w:t>
      </w:r>
    </w:p>
    <w:p>
      <w:pPr>
        <w:spacing w:line="360" w:lineRule="auto"/>
        <w:ind w:firstLine="537" w:firstLineChars="224"/>
        <w:jc w:val="center"/>
        <w:rPr>
          <w:rFonts w:ascii="宋体" w:hAnsi="宋体"/>
          <w:bCs/>
          <w:color w:val="auto"/>
          <w:sz w:val="24"/>
          <w:highlight w:val="none"/>
        </w:rPr>
      </w:pP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本项目实施电子招投标，投标人应先认真阅读</w:t>
      </w:r>
      <w:r>
        <w:rPr>
          <w:rFonts w:hint="eastAsia" w:ascii="宋体" w:hAnsi="宋体"/>
          <w:color w:val="auto"/>
          <w:sz w:val="24"/>
          <w:szCs w:val="24"/>
          <w:highlight w:val="none"/>
        </w:rPr>
        <w:t>最新指引</w:t>
      </w:r>
      <w:r>
        <w:rPr>
          <w:rFonts w:hint="eastAsia" w:ascii="宋体" w:hAnsi="宋体"/>
          <w:color w:val="auto"/>
          <w:sz w:val="24"/>
          <w:highlight w:val="none"/>
        </w:rPr>
        <w:t>。</w:t>
      </w:r>
    </w:p>
    <w:p>
      <w:pPr>
        <w:jc w:val="center"/>
        <w:rPr>
          <w:rFonts w:ascii="宋体" w:hAnsi="宋体"/>
          <w:b/>
          <w:color w:val="auto"/>
          <w:sz w:val="28"/>
          <w:szCs w:val="28"/>
          <w:highlight w:val="none"/>
        </w:rPr>
      </w:pPr>
    </w:p>
    <w:p>
      <w:pPr>
        <w:spacing w:line="360" w:lineRule="auto"/>
        <w:ind w:firstLine="1164" w:firstLineChars="224"/>
        <w:jc w:val="center"/>
        <w:rPr>
          <w:rFonts w:ascii="宋体" w:hAnsi="宋体"/>
          <w:bCs/>
          <w:color w:val="auto"/>
          <w:sz w:val="52"/>
          <w:highlight w:val="none"/>
        </w:rPr>
        <w:sectPr>
          <w:footerReference r:id="rId4" w:type="default"/>
          <w:pgSz w:w="11906" w:h="16838"/>
          <w:pgMar w:top="1440" w:right="1080" w:bottom="1440" w:left="1080" w:header="851" w:footer="1020" w:gutter="0"/>
          <w:pgNumType w:start="1"/>
          <w:cols w:space="720" w:num="1"/>
          <w:docGrid w:type="lines" w:linePitch="312" w:charSpace="0"/>
        </w:sectPr>
      </w:pPr>
    </w:p>
    <w:p>
      <w:pPr>
        <w:jc w:val="center"/>
        <w:rPr>
          <w:rFonts w:ascii="宋体" w:hAnsi="宋体"/>
          <w:b/>
          <w:bCs/>
          <w:color w:val="auto"/>
          <w:sz w:val="48"/>
          <w:szCs w:val="48"/>
          <w:highlight w:val="none"/>
        </w:rPr>
      </w:pPr>
      <w:r>
        <w:rPr>
          <w:rFonts w:hint="eastAsia" w:ascii="宋体" w:hAnsi="宋体"/>
          <w:b/>
          <w:bCs/>
          <w:color w:val="auto"/>
          <w:sz w:val="48"/>
          <w:szCs w:val="48"/>
          <w:highlight w:val="none"/>
        </w:rPr>
        <w:t>目录</w:t>
      </w:r>
    </w:p>
    <w:p>
      <w:pPr>
        <w:pStyle w:val="23"/>
        <w:tabs>
          <w:tab w:val="right" w:leader="dot" w:pos="9746"/>
        </w:tabs>
        <w:rPr>
          <w:color w:val="auto"/>
          <w:highlight w:val="none"/>
        </w:rPr>
      </w:pPr>
      <w:r>
        <w:rPr>
          <w:rFonts w:ascii="宋体" w:hAnsi="宋体"/>
          <w:color w:val="auto"/>
          <w:sz w:val="28"/>
          <w:szCs w:val="28"/>
          <w:highlight w:val="none"/>
        </w:rPr>
        <w:fldChar w:fldCharType="begin"/>
      </w:r>
      <w:r>
        <w:rPr>
          <w:rFonts w:ascii="宋体" w:hAnsi="宋体"/>
          <w:color w:val="auto"/>
          <w:sz w:val="28"/>
          <w:szCs w:val="28"/>
          <w:highlight w:val="none"/>
        </w:rPr>
        <w:instrText xml:space="preserve">TOC \o "1-3" \h \u </w:instrText>
      </w:r>
      <w:r>
        <w:rPr>
          <w:rFonts w:ascii="宋体" w:hAnsi="宋体"/>
          <w:color w:val="auto"/>
          <w:sz w:val="28"/>
          <w:szCs w:val="28"/>
          <w:highlight w:val="none"/>
        </w:rPr>
        <w:fldChar w:fldCharType="separate"/>
      </w:r>
      <w:r>
        <w:rPr>
          <w:rFonts w:ascii="宋体" w:hAnsi="宋体"/>
          <w:color w:val="auto"/>
          <w:szCs w:val="28"/>
          <w:highlight w:val="none"/>
        </w:rPr>
        <w:fldChar w:fldCharType="begin"/>
      </w:r>
      <w:r>
        <w:rPr>
          <w:rFonts w:ascii="宋体" w:hAnsi="宋体"/>
          <w:color w:val="auto"/>
          <w:szCs w:val="28"/>
          <w:highlight w:val="none"/>
        </w:rPr>
        <w:instrText xml:space="preserve"> HYPERLINK \l _Toc11772 </w:instrText>
      </w:r>
      <w:r>
        <w:rPr>
          <w:rFonts w:ascii="宋体" w:hAnsi="宋体"/>
          <w:color w:val="auto"/>
          <w:szCs w:val="28"/>
          <w:highlight w:val="none"/>
        </w:rPr>
        <w:fldChar w:fldCharType="separate"/>
      </w:r>
      <w:r>
        <w:rPr>
          <w:rFonts w:hint="eastAsia"/>
          <w:color w:val="auto"/>
          <w:highlight w:val="none"/>
        </w:rPr>
        <w:t>第一卷</w:t>
      </w:r>
      <w:r>
        <w:rPr>
          <w:color w:val="auto"/>
          <w:highlight w:val="none"/>
        </w:rPr>
        <w:tab/>
      </w:r>
      <w:r>
        <w:rPr>
          <w:rFonts w:hint="eastAsia"/>
          <w:color w:val="auto"/>
          <w:highlight w:val="none"/>
          <w:lang w:val="en-US" w:eastAsia="zh-CN"/>
        </w:rPr>
        <w:t>3</w:t>
      </w:r>
      <w:r>
        <w:rPr>
          <w:rFonts w:ascii="宋体" w:hAnsi="宋体"/>
          <w:color w:val="auto"/>
          <w:szCs w:val="28"/>
          <w:highlight w:val="none"/>
        </w:rPr>
        <w:fldChar w:fldCharType="end"/>
      </w:r>
    </w:p>
    <w:p>
      <w:pPr>
        <w:pStyle w:val="23"/>
        <w:tabs>
          <w:tab w:val="right" w:leader="dot" w:pos="9746"/>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_Toc29404 </w:instrText>
      </w:r>
      <w:r>
        <w:rPr>
          <w:rFonts w:ascii="宋体" w:hAnsi="宋体"/>
          <w:color w:val="auto"/>
          <w:szCs w:val="28"/>
          <w:highlight w:val="none"/>
        </w:rPr>
        <w:fldChar w:fldCharType="separate"/>
      </w:r>
      <w:r>
        <w:rPr>
          <w:rFonts w:hint="eastAsia"/>
          <w:color w:val="auto"/>
          <w:highlight w:val="none"/>
        </w:rPr>
        <w:t>第一章  招标公告</w:t>
      </w:r>
      <w:r>
        <w:rPr>
          <w:color w:val="auto"/>
          <w:highlight w:val="none"/>
        </w:rPr>
        <w:tab/>
      </w:r>
      <w:r>
        <w:rPr>
          <w:rFonts w:hint="eastAsia"/>
          <w:color w:val="auto"/>
          <w:highlight w:val="none"/>
          <w:lang w:val="en-US" w:eastAsia="zh-CN"/>
        </w:rPr>
        <w:t>3</w:t>
      </w:r>
      <w:r>
        <w:rPr>
          <w:rFonts w:ascii="宋体" w:hAnsi="宋体"/>
          <w:color w:val="auto"/>
          <w:szCs w:val="28"/>
          <w:highlight w:val="none"/>
        </w:rPr>
        <w:fldChar w:fldCharType="end"/>
      </w:r>
    </w:p>
    <w:p>
      <w:pPr>
        <w:pStyle w:val="23"/>
        <w:tabs>
          <w:tab w:val="right" w:leader="dot" w:pos="9746"/>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_Toc14062 </w:instrText>
      </w:r>
      <w:r>
        <w:rPr>
          <w:rFonts w:ascii="宋体" w:hAnsi="宋体"/>
          <w:color w:val="auto"/>
          <w:szCs w:val="28"/>
          <w:highlight w:val="none"/>
        </w:rPr>
        <w:fldChar w:fldCharType="separate"/>
      </w:r>
      <w:r>
        <w:rPr>
          <w:rFonts w:hint="eastAsia"/>
          <w:color w:val="auto"/>
          <w:highlight w:val="none"/>
        </w:rPr>
        <w:t>第二章  投标人须知</w:t>
      </w:r>
      <w:r>
        <w:rPr>
          <w:color w:val="auto"/>
          <w:highlight w:val="none"/>
        </w:rPr>
        <w:tab/>
      </w:r>
      <w:r>
        <w:rPr>
          <w:rFonts w:hint="eastAsia"/>
          <w:color w:val="auto"/>
          <w:highlight w:val="none"/>
          <w:lang w:val="en-US" w:eastAsia="zh-CN"/>
        </w:rPr>
        <w:t>4</w:t>
      </w:r>
      <w:r>
        <w:rPr>
          <w:rFonts w:ascii="宋体" w:hAnsi="宋体"/>
          <w:color w:val="auto"/>
          <w:szCs w:val="28"/>
          <w:highlight w:val="none"/>
        </w:rPr>
        <w:fldChar w:fldCharType="end"/>
      </w:r>
    </w:p>
    <w:p>
      <w:pPr>
        <w:pStyle w:val="24"/>
        <w:tabs>
          <w:tab w:val="right" w:leader="dot" w:pos="9746"/>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_Toc16663 </w:instrText>
      </w:r>
      <w:r>
        <w:rPr>
          <w:rFonts w:ascii="宋体" w:hAnsi="宋体"/>
          <w:color w:val="auto"/>
          <w:szCs w:val="28"/>
          <w:highlight w:val="none"/>
        </w:rPr>
        <w:fldChar w:fldCharType="separate"/>
      </w:r>
      <w:r>
        <w:rPr>
          <w:rFonts w:hint="eastAsia" w:ascii="宋体" w:hAnsi="宋体"/>
          <w:color w:val="auto"/>
          <w:highlight w:val="none"/>
        </w:rPr>
        <w:t>投标人须知前附表</w:t>
      </w:r>
      <w:r>
        <w:rPr>
          <w:color w:val="auto"/>
          <w:highlight w:val="none"/>
        </w:rPr>
        <w:tab/>
      </w:r>
      <w:r>
        <w:rPr>
          <w:rFonts w:hint="eastAsia"/>
          <w:color w:val="auto"/>
          <w:highlight w:val="none"/>
          <w:lang w:val="en-US" w:eastAsia="zh-CN"/>
        </w:rPr>
        <w:t>4</w:t>
      </w:r>
      <w:r>
        <w:rPr>
          <w:rFonts w:ascii="宋体" w:hAnsi="宋体"/>
          <w:color w:val="auto"/>
          <w:szCs w:val="28"/>
          <w:highlight w:val="none"/>
        </w:rPr>
        <w:fldChar w:fldCharType="end"/>
      </w:r>
    </w:p>
    <w:p>
      <w:pPr>
        <w:pStyle w:val="16"/>
        <w:tabs>
          <w:tab w:val="right" w:leader="dot" w:pos="9746"/>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_Toc13362 </w:instrText>
      </w:r>
      <w:r>
        <w:rPr>
          <w:rFonts w:ascii="宋体" w:hAnsi="宋体"/>
          <w:color w:val="auto"/>
          <w:szCs w:val="28"/>
          <w:highlight w:val="none"/>
        </w:rPr>
        <w:fldChar w:fldCharType="separate"/>
      </w:r>
      <w:r>
        <w:rPr>
          <w:color w:val="auto"/>
          <w:highlight w:val="none"/>
        </w:rPr>
        <w:t xml:space="preserve">1. </w:t>
      </w:r>
      <w:r>
        <w:rPr>
          <w:rFonts w:hint="eastAsia"/>
          <w:color w:val="auto"/>
          <w:highlight w:val="none"/>
        </w:rPr>
        <w:t>总则</w:t>
      </w:r>
      <w:r>
        <w:rPr>
          <w:color w:val="auto"/>
          <w:highlight w:val="none"/>
        </w:rPr>
        <w:tab/>
      </w:r>
      <w:r>
        <w:rPr>
          <w:color w:val="auto"/>
          <w:highlight w:val="none"/>
        </w:rPr>
        <w:fldChar w:fldCharType="begin"/>
      </w:r>
      <w:r>
        <w:rPr>
          <w:color w:val="auto"/>
          <w:highlight w:val="none"/>
        </w:rPr>
        <w:instrText xml:space="preserve"> PAGEREF _Toc13362 \h </w:instrText>
      </w:r>
      <w:r>
        <w:rPr>
          <w:color w:val="auto"/>
          <w:highlight w:val="none"/>
        </w:rPr>
        <w:fldChar w:fldCharType="separate"/>
      </w:r>
      <w:r>
        <w:rPr>
          <w:color w:val="auto"/>
          <w:highlight w:val="none"/>
        </w:rPr>
        <w:t>12</w:t>
      </w:r>
      <w:r>
        <w:rPr>
          <w:color w:val="auto"/>
          <w:highlight w:val="none"/>
        </w:rPr>
        <w:fldChar w:fldCharType="end"/>
      </w:r>
      <w:r>
        <w:rPr>
          <w:rFonts w:ascii="宋体" w:hAnsi="宋体"/>
          <w:color w:val="auto"/>
          <w:szCs w:val="28"/>
          <w:highlight w:val="none"/>
        </w:rPr>
        <w:fldChar w:fldCharType="end"/>
      </w:r>
    </w:p>
    <w:p>
      <w:pPr>
        <w:pStyle w:val="16"/>
        <w:tabs>
          <w:tab w:val="right" w:leader="dot" w:pos="9746"/>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_Toc10251 </w:instrText>
      </w:r>
      <w:r>
        <w:rPr>
          <w:rFonts w:ascii="宋体" w:hAnsi="宋体"/>
          <w:color w:val="auto"/>
          <w:szCs w:val="28"/>
          <w:highlight w:val="none"/>
        </w:rPr>
        <w:fldChar w:fldCharType="separate"/>
      </w:r>
      <w:r>
        <w:rPr>
          <w:color w:val="auto"/>
          <w:highlight w:val="none"/>
        </w:rPr>
        <w:t xml:space="preserve">2. </w:t>
      </w:r>
      <w:r>
        <w:rPr>
          <w:rFonts w:hint="eastAsia"/>
          <w:color w:val="auto"/>
          <w:highlight w:val="none"/>
        </w:rPr>
        <w:t>招标文件</w:t>
      </w:r>
      <w:r>
        <w:rPr>
          <w:color w:val="auto"/>
          <w:highlight w:val="none"/>
        </w:rPr>
        <w:tab/>
      </w:r>
      <w:r>
        <w:rPr>
          <w:color w:val="auto"/>
          <w:highlight w:val="none"/>
        </w:rPr>
        <w:fldChar w:fldCharType="begin"/>
      </w:r>
      <w:r>
        <w:rPr>
          <w:color w:val="auto"/>
          <w:highlight w:val="none"/>
        </w:rPr>
        <w:instrText xml:space="preserve"> PAGEREF _Toc10251 \h </w:instrText>
      </w:r>
      <w:r>
        <w:rPr>
          <w:color w:val="auto"/>
          <w:highlight w:val="none"/>
        </w:rPr>
        <w:fldChar w:fldCharType="separate"/>
      </w:r>
      <w:r>
        <w:rPr>
          <w:color w:val="auto"/>
          <w:highlight w:val="none"/>
        </w:rPr>
        <w:t>14</w:t>
      </w:r>
      <w:r>
        <w:rPr>
          <w:color w:val="auto"/>
          <w:highlight w:val="none"/>
        </w:rPr>
        <w:fldChar w:fldCharType="end"/>
      </w:r>
      <w:r>
        <w:rPr>
          <w:rFonts w:ascii="宋体" w:hAnsi="宋体"/>
          <w:color w:val="auto"/>
          <w:szCs w:val="28"/>
          <w:highlight w:val="none"/>
        </w:rPr>
        <w:fldChar w:fldCharType="end"/>
      </w:r>
    </w:p>
    <w:p>
      <w:pPr>
        <w:pStyle w:val="16"/>
        <w:tabs>
          <w:tab w:val="right" w:leader="dot" w:pos="9746"/>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_Toc7990 </w:instrText>
      </w:r>
      <w:r>
        <w:rPr>
          <w:rFonts w:ascii="宋体" w:hAnsi="宋体"/>
          <w:color w:val="auto"/>
          <w:szCs w:val="28"/>
          <w:highlight w:val="none"/>
        </w:rPr>
        <w:fldChar w:fldCharType="separate"/>
      </w:r>
      <w:r>
        <w:rPr>
          <w:color w:val="auto"/>
          <w:highlight w:val="none"/>
        </w:rPr>
        <w:t xml:space="preserve">3. </w:t>
      </w:r>
      <w:r>
        <w:rPr>
          <w:rFonts w:hint="eastAsia"/>
          <w:color w:val="auto"/>
          <w:highlight w:val="none"/>
        </w:rPr>
        <w:t>投标文件</w:t>
      </w:r>
      <w:r>
        <w:rPr>
          <w:color w:val="auto"/>
          <w:highlight w:val="none"/>
        </w:rPr>
        <w:tab/>
      </w:r>
      <w:r>
        <w:rPr>
          <w:color w:val="auto"/>
          <w:highlight w:val="none"/>
        </w:rPr>
        <w:fldChar w:fldCharType="begin"/>
      </w:r>
      <w:r>
        <w:rPr>
          <w:color w:val="auto"/>
          <w:highlight w:val="none"/>
        </w:rPr>
        <w:instrText xml:space="preserve"> PAGEREF _Toc7990 \h </w:instrText>
      </w:r>
      <w:r>
        <w:rPr>
          <w:color w:val="auto"/>
          <w:highlight w:val="none"/>
        </w:rPr>
        <w:fldChar w:fldCharType="separate"/>
      </w:r>
      <w:r>
        <w:rPr>
          <w:color w:val="auto"/>
          <w:highlight w:val="none"/>
        </w:rPr>
        <w:t>15</w:t>
      </w:r>
      <w:r>
        <w:rPr>
          <w:color w:val="auto"/>
          <w:highlight w:val="none"/>
        </w:rPr>
        <w:fldChar w:fldCharType="end"/>
      </w:r>
      <w:r>
        <w:rPr>
          <w:rFonts w:ascii="宋体" w:hAnsi="宋体"/>
          <w:color w:val="auto"/>
          <w:szCs w:val="28"/>
          <w:highlight w:val="none"/>
        </w:rPr>
        <w:fldChar w:fldCharType="end"/>
      </w:r>
    </w:p>
    <w:p>
      <w:pPr>
        <w:pStyle w:val="16"/>
        <w:tabs>
          <w:tab w:val="right" w:leader="dot" w:pos="9746"/>
        </w:tabs>
        <w:rPr>
          <w:rFonts w:hint="eastAsia" w:eastAsia="宋体"/>
          <w:color w:val="auto"/>
          <w:highlight w:val="none"/>
          <w:lang w:val="en-US" w:eastAsia="zh-CN"/>
        </w:rPr>
      </w:pPr>
      <w:r>
        <w:rPr>
          <w:rFonts w:ascii="宋体" w:hAnsi="宋体"/>
          <w:color w:val="auto"/>
          <w:szCs w:val="28"/>
          <w:highlight w:val="none"/>
        </w:rPr>
        <w:fldChar w:fldCharType="begin"/>
      </w:r>
      <w:r>
        <w:rPr>
          <w:rFonts w:ascii="宋体" w:hAnsi="宋体"/>
          <w:color w:val="auto"/>
          <w:szCs w:val="28"/>
          <w:highlight w:val="none"/>
        </w:rPr>
        <w:instrText xml:space="preserve"> HYPERLINK \l _Toc21250 </w:instrText>
      </w:r>
      <w:r>
        <w:rPr>
          <w:rFonts w:ascii="宋体" w:hAnsi="宋体"/>
          <w:color w:val="auto"/>
          <w:szCs w:val="28"/>
          <w:highlight w:val="none"/>
        </w:rPr>
        <w:fldChar w:fldCharType="separate"/>
      </w:r>
      <w:r>
        <w:rPr>
          <w:color w:val="auto"/>
          <w:highlight w:val="none"/>
        </w:rPr>
        <w:t xml:space="preserve">4. </w:t>
      </w:r>
      <w:r>
        <w:rPr>
          <w:rFonts w:hint="eastAsia"/>
          <w:color w:val="auto"/>
          <w:highlight w:val="none"/>
        </w:rPr>
        <w:t>投标</w:t>
      </w:r>
      <w:r>
        <w:rPr>
          <w:color w:val="auto"/>
          <w:highlight w:val="none"/>
        </w:rPr>
        <w:tab/>
      </w:r>
      <w:r>
        <w:rPr>
          <w:rFonts w:hint="eastAsia"/>
          <w:color w:val="auto"/>
          <w:highlight w:val="none"/>
          <w:lang w:val="en-US" w:eastAsia="zh-CN"/>
        </w:rPr>
        <w:t>1</w:t>
      </w:r>
      <w:r>
        <w:rPr>
          <w:rFonts w:ascii="宋体" w:hAnsi="宋体"/>
          <w:color w:val="auto"/>
          <w:szCs w:val="28"/>
          <w:highlight w:val="none"/>
        </w:rPr>
        <w:fldChar w:fldCharType="end"/>
      </w:r>
      <w:r>
        <w:rPr>
          <w:rFonts w:hint="eastAsia"/>
          <w:color w:val="auto"/>
          <w:highlight w:val="none"/>
          <w:lang w:val="en-US" w:eastAsia="zh-CN"/>
        </w:rPr>
        <w:t>7</w:t>
      </w:r>
    </w:p>
    <w:p>
      <w:pPr>
        <w:pStyle w:val="16"/>
        <w:tabs>
          <w:tab w:val="right" w:leader="dot" w:pos="9746"/>
        </w:tabs>
        <w:rPr>
          <w:rFonts w:hint="eastAsia" w:eastAsia="宋体"/>
          <w:color w:val="auto"/>
          <w:highlight w:val="none"/>
          <w:lang w:val="en-US" w:eastAsia="zh-CN"/>
        </w:rPr>
      </w:pPr>
      <w:r>
        <w:rPr>
          <w:rFonts w:ascii="宋体" w:hAnsi="宋体"/>
          <w:color w:val="auto"/>
          <w:szCs w:val="28"/>
          <w:highlight w:val="none"/>
        </w:rPr>
        <w:fldChar w:fldCharType="begin"/>
      </w:r>
      <w:r>
        <w:rPr>
          <w:rFonts w:ascii="宋体" w:hAnsi="宋体"/>
          <w:color w:val="auto"/>
          <w:szCs w:val="28"/>
          <w:highlight w:val="none"/>
        </w:rPr>
        <w:instrText xml:space="preserve"> HYPERLINK \l _Toc30561 </w:instrText>
      </w:r>
      <w:r>
        <w:rPr>
          <w:rFonts w:ascii="宋体" w:hAnsi="宋体"/>
          <w:color w:val="auto"/>
          <w:szCs w:val="28"/>
          <w:highlight w:val="none"/>
        </w:rPr>
        <w:fldChar w:fldCharType="separate"/>
      </w:r>
      <w:r>
        <w:rPr>
          <w:color w:val="auto"/>
          <w:highlight w:val="none"/>
        </w:rPr>
        <w:t xml:space="preserve">5. </w:t>
      </w:r>
      <w:r>
        <w:rPr>
          <w:rFonts w:hint="eastAsia"/>
          <w:color w:val="auto"/>
          <w:highlight w:val="none"/>
        </w:rPr>
        <w:t>开标</w:t>
      </w:r>
      <w:r>
        <w:rPr>
          <w:color w:val="auto"/>
          <w:highlight w:val="none"/>
        </w:rPr>
        <w:tab/>
      </w:r>
      <w:r>
        <w:rPr>
          <w:rFonts w:hint="eastAsia"/>
          <w:color w:val="auto"/>
          <w:highlight w:val="none"/>
          <w:lang w:val="en-US" w:eastAsia="zh-CN"/>
        </w:rPr>
        <w:t>1</w:t>
      </w:r>
      <w:r>
        <w:rPr>
          <w:rFonts w:ascii="宋体" w:hAnsi="宋体"/>
          <w:color w:val="auto"/>
          <w:szCs w:val="28"/>
          <w:highlight w:val="none"/>
        </w:rPr>
        <w:fldChar w:fldCharType="end"/>
      </w:r>
      <w:r>
        <w:rPr>
          <w:rFonts w:hint="eastAsia"/>
          <w:color w:val="auto"/>
          <w:highlight w:val="none"/>
          <w:lang w:val="en-US" w:eastAsia="zh-CN"/>
        </w:rPr>
        <w:t>8</w:t>
      </w:r>
    </w:p>
    <w:p>
      <w:pPr>
        <w:pStyle w:val="16"/>
        <w:tabs>
          <w:tab w:val="right" w:leader="dot" w:pos="9746"/>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_Toc26604 </w:instrText>
      </w:r>
      <w:r>
        <w:rPr>
          <w:rFonts w:ascii="宋体" w:hAnsi="宋体"/>
          <w:color w:val="auto"/>
          <w:szCs w:val="28"/>
          <w:highlight w:val="none"/>
        </w:rPr>
        <w:fldChar w:fldCharType="separate"/>
      </w:r>
      <w:r>
        <w:rPr>
          <w:color w:val="auto"/>
          <w:highlight w:val="none"/>
        </w:rPr>
        <w:t xml:space="preserve">6. </w:t>
      </w:r>
      <w:r>
        <w:rPr>
          <w:rFonts w:hint="eastAsia"/>
          <w:color w:val="auto"/>
          <w:highlight w:val="none"/>
        </w:rPr>
        <w:t>评标</w:t>
      </w:r>
      <w:r>
        <w:rPr>
          <w:color w:val="auto"/>
          <w:highlight w:val="none"/>
        </w:rPr>
        <w:tab/>
      </w:r>
      <w:r>
        <w:rPr>
          <w:color w:val="auto"/>
          <w:highlight w:val="none"/>
        </w:rPr>
        <w:fldChar w:fldCharType="begin"/>
      </w:r>
      <w:r>
        <w:rPr>
          <w:color w:val="auto"/>
          <w:highlight w:val="none"/>
        </w:rPr>
        <w:instrText xml:space="preserve"> PAGEREF _Toc26604 \h </w:instrText>
      </w:r>
      <w:r>
        <w:rPr>
          <w:color w:val="auto"/>
          <w:highlight w:val="none"/>
        </w:rPr>
        <w:fldChar w:fldCharType="separate"/>
      </w:r>
      <w:r>
        <w:rPr>
          <w:color w:val="auto"/>
          <w:highlight w:val="none"/>
        </w:rPr>
        <w:t>19</w:t>
      </w:r>
      <w:r>
        <w:rPr>
          <w:color w:val="auto"/>
          <w:highlight w:val="none"/>
        </w:rPr>
        <w:fldChar w:fldCharType="end"/>
      </w:r>
      <w:r>
        <w:rPr>
          <w:rFonts w:ascii="宋体" w:hAnsi="宋体"/>
          <w:color w:val="auto"/>
          <w:szCs w:val="28"/>
          <w:highlight w:val="none"/>
        </w:rPr>
        <w:fldChar w:fldCharType="end"/>
      </w:r>
    </w:p>
    <w:p>
      <w:pPr>
        <w:pStyle w:val="16"/>
        <w:tabs>
          <w:tab w:val="right" w:leader="dot" w:pos="9746"/>
        </w:tabs>
        <w:rPr>
          <w:rFonts w:hint="eastAsia" w:eastAsia="宋体"/>
          <w:color w:val="auto"/>
          <w:highlight w:val="none"/>
          <w:lang w:val="en-US" w:eastAsia="zh-CN"/>
        </w:rPr>
      </w:pPr>
      <w:r>
        <w:rPr>
          <w:rFonts w:ascii="宋体" w:hAnsi="宋体"/>
          <w:color w:val="auto"/>
          <w:szCs w:val="28"/>
          <w:highlight w:val="none"/>
        </w:rPr>
        <w:fldChar w:fldCharType="begin"/>
      </w:r>
      <w:r>
        <w:rPr>
          <w:rFonts w:ascii="宋体" w:hAnsi="宋体"/>
          <w:color w:val="auto"/>
          <w:szCs w:val="28"/>
          <w:highlight w:val="none"/>
        </w:rPr>
        <w:instrText xml:space="preserve"> HYPERLINK \l _Toc26243 </w:instrText>
      </w:r>
      <w:r>
        <w:rPr>
          <w:rFonts w:ascii="宋体" w:hAnsi="宋体"/>
          <w:color w:val="auto"/>
          <w:szCs w:val="28"/>
          <w:highlight w:val="none"/>
        </w:rPr>
        <w:fldChar w:fldCharType="separate"/>
      </w:r>
      <w:r>
        <w:rPr>
          <w:color w:val="auto"/>
          <w:highlight w:val="none"/>
        </w:rPr>
        <w:t xml:space="preserve">7. </w:t>
      </w:r>
      <w:r>
        <w:rPr>
          <w:rFonts w:hint="eastAsia"/>
          <w:color w:val="auto"/>
          <w:highlight w:val="none"/>
        </w:rPr>
        <w:t>合同授予</w:t>
      </w:r>
      <w:r>
        <w:rPr>
          <w:color w:val="auto"/>
          <w:highlight w:val="none"/>
        </w:rPr>
        <w:tab/>
      </w:r>
      <w:r>
        <w:rPr>
          <w:rFonts w:hint="eastAsia"/>
          <w:color w:val="auto"/>
          <w:highlight w:val="none"/>
          <w:lang w:val="en-US" w:eastAsia="zh-CN"/>
        </w:rPr>
        <w:t>1</w:t>
      </w:r>
      <w:r>
        <w:rPr>
          <w:rFonts w:ascii="宋体" w:hAnsi="宋体"/>
          <w:color w:val="auto"/>
          <w:szCs w:val="28"/>
          <w:highlight w:val="none"/>
        </w:rPr>
        <w:fldChar w:fldCharType="end"/>
      </w:r>
      <w:r>
        <w:rPr>
          <w:rFonts w:hint="eastAsia" w:eastAsia="宋体" w:cs="Times New Roman"/>
          <w:color w:val="auto"/>
          <w:highlight w:val="none"/>
          <w:lang w:val="en-US" w:eastAsia="zh-CN"/>
        </w:rPr>
        <w:t>9</w:t>
      </w:r>
    </w:p>
    <w:p>
      <w:pPr>
        <w:pStyle w:val="16"/>
        <w:tabs>
          <w:tab w:val="right" w:leader="dot" w:pos="9746"/>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_Toc32395 </w:instrText>
      </w:r>
      <w:r>
        <w:rPr>
          <w:rFonts w:ascii="宋体" w:hAnsi="宋体"/>
          <w:color w:val="auto"/>
          <w:szCs w:val="28"/>
          <w:highlight w:val="none"/>
        </w:rPr>
        <w:fldChar w:fldCharType="separate"/>
      </w:r>
      <w:r>
        <w:rPr>
          <w:color w:val="auto"/>
          <w:highlight w:val="none"/>
        </w:rPr>
        <w:t xml:space="preserve">8. </w:t>
      </w:r>
      <w:r>
        <w:rPr>
          <w:rFonts w:hint="eastAsia"/>
          <w:color w:val="auto"/>
          <w:highlight w:val="none"/>
        </w:rPr>
        <w:t>纪律和监督</w:t>
      </w:r>
      <w:r>
        <w:rPr>
          <w:color w:val="auto"/>
          <w:highlight w:val="none"/>
        </w:rPr>
        <w:tab/>
      </w:r>
      <w:r>
        <w:rPr>
          <w:color w:val="auto"/>
          <w:highlight w:val="none"/>
        </w:rPr>
        <w:fldChar w:fldCharType="begin"/>
      </w:r>
      <w:r>
        <w:rPr>
          <w:color w:val="auto"/>
          <w:highlight w:val="none"/>
        </w:rPr>
        <w:instrText xml:space="preserve"> PAGEREF _Toc32395 \h </w:instrText>
      </w:r>
      <w:r>
        <w:rPr>
          <w:color w:val="auto"/>
          <w:highlight w:val="none"/>
        </w:rPr>
        <w:fldChar w:fldCharType="separate"/>
      </w:r>
      <w:r>
        <w:rPr>
          <w:color w:val="auto"/>
          <w:highlight w:val="none"/>
        </w:rPr>
        <w:t>20</w:t>
      </w:r>
      <w:r>
        <w:rPr>
          <w:color w:val="auto"/>
          <w:highlight w:val="none"/>
        </w:rPr>
        <w:fldChar w:fldCharType="end"/>
      </w:r>
      <w:r>
        <w:rPr>
          <w:rFonts w:ascii="宋体" w:hAnsi="宋体"/>
          <w:color w:val="auto"/>
          <w:szCs w:val="28"/>
          <w:highlight w:val="none"/>
        </w:rPr>
        <w:fldChar w:fldCharType="end"/>
      </w:r>
    </w:p>
    <w:p>
      <w:pPr>
        <w:pStyle w:val="16"/>
        <w:tabs>
          <w:tab w:val="right" w:leader="dot" w:pos="9746"/>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_Toc11707 </w:instrText>
      </w:r>
      <w:r>
        <w:rPr>
          <w:rFonts w:ascii="宋体" w:hAnsi="宋体"/>
          <w:color w:val="auto"/>
          <w:szCs w:val="28"/>
          <w:highlight w:val="none"/>
        </w:rPr>
        <w:fldChar w:fldCharType="separate"/>
      </w:r>
      <w:r>
        <w:rPr>
          <w:color w:val="auto"/>
          <w:highlight w:val="none"/>
        </w:rPr>
        <w:t xml:space="preserve">9. </w:t>
      </w:r>
      <w:r>
        <w:rPr>
          <w:rFonts w:hint="eastAsia"/>
          <w:color w:val="auto"/>
          <w:highlight w:val="none"/>
        </w:rPr>
        <w:t>是否采用电子招标投标</w:t>
      </w:r>
      <w:r>
        <w:rPr>
          <w:color w:val="auto"/>
          <w:highlight w:val="none"/>
        </w:rPr>
        <w:tab/>
      </w:r>
      <w:r>
        <w:rPr>
          <w:color w:val="auto"/>
          <w:highlight w:val="none"/>
        </w:rPr>
        <w:fldChar w:fldCharType="begin"/>
      </w:r>
      <w:r>
        <w:rPr>
          <w:color w:val="auto"/>
          <w:highlight w:val="none"/>
        </w:rPr>
        <w:instrText xml:space="preserve"> PAGEREF _Toc11707 \h </w:instrText>
      </w:r>
      <w:r>
        <w:rPr>
          <w:color w:val="auto"/>
          <w:highlight w:val="none"/>
        </w:rPr>
        <w:fldChar w:fldCharType="separate"/>
      </w:r>
      <w:r>
        <w:rPr>
          <w:color w:val="auto"/>
          <w:highlight w:val="none"/>
        </w:rPr>
        <w:t>21</w:t>
      </w:r>
      <w:r>
        <w:rPr>
          <w:color w:val="auto"/>
          <w:highlight w:val="none"/>
        </w:rPr>
        <w:fldChar w:fldCharType="end"/>
      </w:r>
      <w:r>
        <w:rPr>
          <w:rFonts w:ascii="宋体" w:hAnsi="宋体"/>
          <w:color w:val="auto"/>
          <w:szCs w:val="28"/>
          <w:highlight w:val="none"/>
        </w:rPr>
        <w:fldChar w:fldCharType="end"/>
      </w:r>
    </w:p>
    <w:p>
      <w:pPr>
        <w:pStyle w:val="16"/>
        <w:tabs>
          <w:tab w:val="right" w:leader="dot" w:pos="9746"/>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_Toc25151 </w:instrText>
      </w:r>
      <w:r>
        <w:rPr>
          <w:rFonts w:ascii="宋体" w:hAnsi="宋体"/>
          <w:color w:val="auto"/>
          <w:szCs w:val="28"/>
          <w:highlight w:val="none"/>
        </w:rPr>
        <w:fldChar w:fldCharType="separate"/>
      </w:r>
      <w:r>
        <w:rPr>
          <w:color w:val="auto"/>
          <w:highlight w:val="none"/>
        </w:rPr>
        <w:t xml:space="preserve">10. </w:t>
      </w:r>
      <w:r>
        <w:rPr>
          <w:rFonts w:hint="eastAsia"/>
          <w:color w:val="auto"/>
          <w:highlight w:val="none"/>
        </w:rPr>
        <w:t>需要补充的其他内容</w:t>
      </w:r>
      <w:r>
        <w:rPr>
          <w:color w:val="auto"/>
          <w:highlight w:val="none"/>
        </w:rPr>
        <w:tab/>
      </w:r>
      <w:r>
        <w:rPr>
          <w:color w:val="auto"/>
          <w:highlight w:val="none"/>
        </w:rPr>
        <w:fldChar w:fldCharType="begin"/>
      </w:r>
      <w:r>
        <w:rPr>
          <w:color w:val="auto"/>
          <w:highlight w:val="none"/>
        </w:rPr>
        <w:instrText xml:space="preserve"> PAGEREF _Toc25151 \h </w:instrText>
      </w:r>
      <w:r>
        <w:rPr>
          <w:color w:val="auto"/>
          <w:highlight w:val="none"/>
        </w:rPr>
        <w:fldChar w:fldCharType="separate"/>
      </w:r>
      <w:r>
        <w:rPr>
          <w:color w:val="auto"/>
          <w:highlight w:val="none"/>
        </w:rPr>
        <w:t>21</w:t>
      </w:r>
      <w:r>
        <w:rPr>
          <w:color w:val="auto"/>
          <w:highlight w:val="none"/>
        </w:rPr>
        <w:fldChar w:fldCharType="end"/>
      </w:r>
      <w:r>
        <w:rPr>
          <w:rFonts w:ascii="宋体" w:hAnsi="宋体"/>
          <w:color w:val="auto"/>
          <w:szCs w:val="28"/>
          <w:highlight w:val="none"/>
        </w:rPr>
        <w:fldChar w:fldCharType="end"/>
      </w:r>
    </w:p>
    <w:p>
      <w:pPr>
        <w:pStyle w:val="23"/>
        <w:tabs>
          <w:tab w:val="right" w:leader="dot" w:pos="9746"/>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_Toc18086 </w:instrText>
      </w:r>
      <w:r>
        <w:rPr>
          <w:rFonts w:ascii="宋体" w:hAnsi="宋体"/>
          <w:color w:val="auto"/>
          <w:szCs w:val="28"/>
          <w:highlight w:val="none"/>
        </w:rPr>
        <w:fldChar w:fldCharType="separate"/>
      </w:r>
      <w:r>
        <w:rPr>
          <w:rFonts w:hint="eastAsia"/>
          <w:color w:val="auto"/>
          <w:highlight w:val="none"/>
        </w:rPr>
        <w:t>第三章  评标办法（综合评估法）</w:t>
      </w:r>
      <w:r>
        <w:rPr>
          <w:color w:val="auto"/>
          <w:highlight w:val="none"/>
        </w:rPr>
        <w:tab/>
      </w:r>
      <w:r>
        <w:rPr>
          <w:color w:val="auto"/>
          <w:highlight w:val="none"/>
        </w:rPr>
        <w:fldChar w:fldCharType="begin"/>
      </w:r>
      <w:r>
        <w:rPr>
          <w:color w:val="auto"/>
          <w:highlight w:val="none"/>
        </w:rPr>
        <w:instrText xml:space="preserve"> PAGEREF _Toc18086 \h </w:instrText>
      </w:r>
      <w:r>
        <w:rPr>
          <w:color w:val="auto"/>
          <w:highlight w:val="none"/>
        </w:rPr>
        <w:fldChar w:fldCharType="separate"/>
      </w:r>
      <w:r>
        <w:rPr>
          <w:color w:val="auto"/>
          <w:highlight w:val="none"/>
        </w:rPr>
        <w:t>22</w:t>
      </w:r>
      <w:r>
        <w:rPr>
          <w:color w:val="auto"/>
          <w:highlight w:val="none"/>
        </w:rPr>
        <w:fldChar w:fldCharType="end"/>
      </w:r>
      <w:r>
        <w:rPr>
          <w:rFonts w:ascii="宋体" w:hAnsi="宋体"/>
          <w:color w:val="auto"/>
          <w:szCs w:val="28"/>
          <w:highlight w:val="none"/>
        </w:rPr>
        <w:fldChar w:fldCharType="end"/>
      </w:r>
    </w:p>
    <w:p>
      <w:pPr>
        <w:pStyle w:val="24"/>
        <w:tabs>
          <w:tab w:val="right" w:leader="dot" w:pos="9746"/>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_Toc31498 </w:instrText>
      </w:r>
      <w:r>
        <w:rPr>
          <w:rFonts w:ascii="宋体" w:hAnsi="宋体"/>
          <w:color w:val="auto"/>
          <w:szCs w:val="28"/>
          <w:highlight w:val="none"/>
        </w:rPr>
        <w:fldChar w:fldCharType="separate"/>
      </w:r>
      <w:r>
        <w:rPr>
          <w:rFonts w:hint="eastAsia" w:ascii="宋体" w:hAnsi="宋体"/>
          <w:color w:val="auto"/>
          <w:highlight w:val="none"/>
        </w:rPr>
        <w:t>评标办法前附表</w:t>
      </w:r>
      <w:r>
        <w:rPr>
          <w:color w:val="auto"/>
          <w:highlight w:val="none"/>
        </w:rPr>
        <w:tab/>
      </w:r>
      <w:r>
        <w:rPr>
          <w:color w:val="auto"/>
          <w:highlight w:val="none"/>
        </w:rPr>
        <w:fldChar w:fldCharType="begin"/>
      </w:r>
      <w:r>
        <w:rPr>
          <w:color w:val="auto"/>
          <w:highlight w:val="none"/>
        </w:rPr>
        <w:instrText xml:space="preserve"> PAGEREF _Toc31498 \h </w:instrText>
      </w:r>
      <w:r>
        <w:rPr>
          <w:color w:val="auto"/>
          <w:highlight w:val="none"/>
        </w:rPr>
        <w:fldChar w:fldCharType="separate"/>
      </w:r>
      <w:r>
        <w:rPr>
          <w:color w:val="auto"/>
          <w:highlight w:val="none"/>
        </w:rPr>
        <w:t>22</w:t>
      </w:r>
      <w:r>
        <w:rPr>
          <w:color w:val="auto"/>
          <w:highlight w:val="none"/>
        </w:rPr>
        <w:fldChar w:fldCharType="end"/>
      </w:r>
      <w:r>
        <w:rPr>
          <w:rFonts w:ascii="宋体" w:hAnsi="宋体"/>
          <w:color w:val="auto"/>
          <w:szCs w:val="28"/>
          <w:highlight w:val="none"/>
        </w:rPr>
        <w:fldChar w:fldCharType="end"/>
      </w:r>
    </w:p>
    <w:p>
      <w:pPr>
        <w:pStyle w:val="16"/>
        <w:tabs>
          <w:tab w:val="right" w:leader="dot" w:pos="9746"/>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_Toc17098 </w:instrText>
      </w:r>
      <w:r>
        <w:rPr>
          <w:rFonts w:ascii="宋体" w:hAnsi="宋体"/>
          <w:color w:val="auto"/>
          <w:szCs w:val="28"/>
          <w:highlight w:val="none"/>
        </w:rPr>
        <w:fldChar w:fldCharType="separate"/>
      </w:r>
      <w:r>
        <w:rPr>
          <w:rFonts w:hint="eastAsia"/>
          <w:color w:val="auto"/>
          <w:highlight w:val="none"/>
        </w:rPr>
        <w:t>附表一：形式评审表</w:t>
      </w:r>
      <w:r>
        <w:rPr>
          <w:color w:val="auto"/>
          <w:highlight w:val="none"/>
        </w:rPr>
        <w:tab/>
      </w:r>
      <w:r>
        <w:rPr>
          <w:color w:val="auto"/>
          <w:highlight w:val="none"/>
        </w:rPr>
        <w:fldChar w:fldCharType="begin"/>
      </w:r>
      <w:r>
        <w:rPr>
          <w:color w:val="auto"/>
          <w:highlight w:val="none"/>
        </w:rPr>
        <w:instrText xml:space="preserve"> PAGEREF _Toc17098 \h </w:instrText>
      </w:r>
      <w:r>
        <w:rPr>
          <w:color w:val="auto"/>
          <w:highlight w:val="none"/>
        </w:rPr>
        <w:fldChar w:fldCharType="separate"/>
      </w:r>
      <w:r>
        <w:rPr>
          <w:color w:val="auto"/>
          <w:highlight w:val="none"/>
        </w:rPr>
        <w:t>24</w:t>
      </w:r>
      <w:r>
        <w:rPr>
          <w:color w:val="auto"/>
          <w:highlight w:val="none"/>
        </w:rPr>
        <w:fldChar w:fldCharType="end"/>
      </w:r>
      <w:r>
        <w:rPr>
          <w:rFonts w:ascii="宋体" w:hAnsi="宋体"/>
          <w:color w:val="auto"/>
          <w:szCs w:val="28"/>
          <w:highlight w:val="none"/>
        </w:rPr>
        <w:fldChar w:fldCharType="end"/>
      </w:r>
    </w:p>
    <w:p>
      <w:pPr>
        <w:pStyle w:val="16"/>
        <w:tabs>
          <w:tab w:val="right" w:leader="dot" w:pos="9746"/>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_Toc24501 </w:instrText>
      </w:r>
      <w:r>
        <w:rPr>
          <w:rFonts w:ascii="宋体" w:hAnsi="宋体"/>
          <w:color w:val="auto"/>
          <w:szCs w:val="28"/>
          <w:highlight w:val="none"/>
        </w:rPr>
        <w:fldChar w:fldCharType="separate"/>
      </w:r>
      <w:r>
        <w:rPr>
          <w:rFonts w:hint="eastAsia"/>
          <w:color w:val="auto"/>
          <w:highlight w:val="none"/>
        </w:rPr>
        <w:t>附表二：资格评审表</w:t>
      </w:r>
      <w:r>
        <w:rPr>
          <w:color w:val="auto"/>
          <w:highlight w:val="none"/>
        </w:rPr>
        <w:tab/>
      </w:r>
      <w:r>
        <w:rPr>
          <w:color w:val="auto"/>
          <w:highlight w:val="none"/>
        </w:rPr>
        <w:fldChar w:fldCharType="begin"/>
      </w:r>
      <w:r>
        <w:rPr>
          <w:color w:val="auto"/>
          <w:highlight w:val="none"/>
        </w:rPr>
        <w:instrText xml:space="preserve"> PAGEREF _Toc24501 \h </w:instrText>
      </w:r>
      <w:r>
        <w:rPr>
          <w:color w:val="auto"/>
          <w:highlight w:val="none"/>
        </w:rPr>
        <w:fldChar w:fldCharType="separate"/>
      </w:r>
      <w:r>
        <w:rPr>
          <w:color w:val="auto"/>
          <w:highlight w:val="none"/>
        </w:rPr>
        <w:t>25</w:t>
      </w:r>
      <w:r>
        <w:rPr>
          <w:color w:val="auto"/>
          <w:highlight w:val="none"/>
        </w:rPr>
        <w:fldChar w:fldCharType="end"/>
      </w:r>
      <w:r>
        <w:rPr>
          <w:rFonts w:ascii="宋体" w:hAnsi="宋体"/>
          <w:color w:val="auto"/>
          <w:szCs w:val="28"/>
          <w:highlight w:val="none"/>
        </w:rPr>
        <w:fldChar w:fldCharType="end"/>
      </w:r>
    </w:p>
    <w:p>
      <w:pPr>
        <w:pStyle w:val="16"/>
        <w:tabs>
          <w:tab w:val="right" w:leader="dot" w:pos="9746"/>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_Toc926 </w:instrText>
      </w:r>
      <w:r>
        <w:rPr>
          <w:rFonts w:ascii="宋体" w:hAnsi="宋体"/>
          <w:color w:val="auto"/>
          <w:szCs w:val="28"/>
          <w:highlight w:val="none"/>
        </w:rPr>
        <w:fldChar w:fldCharType="separate"/>
      </w:r>
      <w:r>
        <w:rPr>
          <w:rFonts w:hint="eastAsia"/>
          <w:color w:val="auto"/>
          <w:highlight w:val="none"/>
        </w:rPr>
        <w:t>附表三：响应性评审表</w:t>
      </w:r>
      <w:r>
        <w:rPr>
          <w:color w:val="auto"/>
          <w:highlight w:val="none"/>
        </w:rPr>
        <w:tab/>
      </w:r>
      <w:r>
        <w:rPr>
          <w:color w:val="auto"/>
          <w:highlight w:val="none"/>
        </w:rPr>
        <w:fldChar w:fldCharType="begin"/>
      </w:r>
      <w:r>
        <w:rPr>
          <w:color w:val="auto"/>
          <w:highlight w:val="none"/>
        </w:rPr>
        <w:instrText xml:space="preserve"> PAGEREF _Toc926 \h </w:instrText>
      </w:r>
      <w:r>
        <w:rPr>
          <w:color w:val="auto"/>
          <w:highlight w:val="none"/>
        </w:rPr>
        <w:fldChar w:fldCharType="separate"/>
      </w:r>
      <w:r>
        <w:rPr>
          <w:color w:val="auto"/>
          <w:highlight w:val="none"/>
        </w:rPr>
        <w:t>26</w:t>
      </w:r>
      <w:r>
        <w:rPr>
          <w:color w:val="auto"/>
          <w:highlight w:val="none"/>
        </w:rPr>
        <w:fldChar w:fldCharType="end"/>
      </w:r>
      <w:r>
        <w:rPr>
          <w:rFonts w:ascii="宋体" w:hAnsi="宋体"/>
          <w:color w:val="auto"/>
          <w:szCs w:val="28"/>
          <w:highlight w:val="none"/>
        </w:rPr>
        <w:fldChar w:fldCharType="end"/>
      </w:r>
    </w:p>
    <w:p>
      <w:pPr>
        <w:pStyle w:val="16"/>
        <w:tabs>
          <w:tab w:val="right" w:leader="dot" w:pos="9746"/>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_Toc25168 </w:instrText>
      </w:r>
      <w:r>
        <w:rPr>
          <w:rFonts w:ascii="宋体" w:hAnsi="宋体"/>
          <w:color w:val="auto"/>
          <w:szCs w:val="28"/>
          <w:highlight w:val="none"/>
        </w:rPr>
        <w:fldChar w:fldCharType="separate"/>
      </w:r>
      <w:r>
        <w:rPr>
          <w:rFonts w:hint="eastAsia"/>
          <w:color w:val="auto"/>
          <w:highlight w:val="none"/>
        </w:rPr>
        <w:t>附表四：综合评分表</w:t>
      </w:r>
      <w:r>
        <w:rPr>
          <w:color w:val="auto"/>
          <w:highlight w:val="none"/>
        </w:rPr>
        <w:tab/>
      </w:r>
      <w:r>
        <w:rPr>
          <w:color w:val="auto"/>
          <w:highlight w:val="none"/>
        </w:rPr>
        <w:fldChar w:fldCharType="begin"/>
      </w:r>
      <w:r>
        <w:rPr>
          <w:color w:val="auto"/>
          <w:highlight w:val="none"/>
        </w:rPr>
        <w:instrText xml:space="preserve"> PAGEREF _Toc25168 \h </w:instrText>
      </w:r>
      <w:r>
        <w:rPr>
          <w:color w:val="auto"/>
          <w:highlight w:val="none"/>
        </w:rPr>
        <w:fldChar w:fldCharType="separate"/>
      </w:r>
      <w:r>
        <w:rPr>
          <w:color w:val="auto"/>
          <w:highlight w:val="none"/>
        </w:rPr>
        <w:t>27</w:t>
      </w:r>
      <w:r>
        <w:rPr>
          <w:color w:val="auto"/>
          <w:highlight w:val="none"/>
        </w:rPr>
        <w:fldChar w:fldCharType="end"/>
      </w:r>
      <w:r>
        <w:rPr>
          <w:rFonts w:ascii="宋体" w:hAnsi="宋体"/>
          <w:color w:val="auto"/>
          <w:szCs w:val="28"/>
          <w:highlight w:val="none"/>
        </w:rPr>
        <w:fldChar w:fldCharType="end"/>
      </w:r>
    </w:p>
    <w:p>
      <w:pPr>
        <w:pStyle w:val="16"/>
        <w:tabs>
          <w:tab w:val="right" w:leader="dot" w:pos="9746"/>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_Toc30630 </w:instrText>
      </w:r>
      <w:r>
        <w:rPr>
          <w:rFonts w:ascii="宋体" w:hAnsi="宋体"/>
          <w:color w:val="auto"/>
          <w:szCs w:val="28"/>
          <w:highlight w:val="none"/>
        </w:rPr>
        <w:fldChar w:fldCharType="separate"/>
      </w:r>
      <w:r>
        <w:rPr>
          <w:rFonts w:hint="eastAsia"/>
          <w:color w:val="auto"/>
          <w:highlight w:val="none"/>
        </w:rPr>
        <w:t>附表五：算术复核表</w:t>
      </w:r>
      <w:r>
        <w:rPr>
          <w:color w:val="auto"/>
          <w:highlight w:val="none"/>
        </w:rPr>
        <w:tab/>
      </w:r>
      <w:r>
        <w:rPr>
          <w:color w:val="auto"/>
          <w:highlight w:val="none"/>
        </w:rPr>
        <w:fldChar w:fldCharType="begin"/>
      </w:r>
      <w:r>
        <w:rPr>
          <w:color w:val="auto"/>
          <w:highlight w:val="none"/>
        </w:rPr>
        <w:instrText xml:space="preserve"> PAGEREF _Toc30630 \h </w:instrText>
      </w:r>
      <w:r>
        <w:rPr>
          <w:color w:val="auto"/>
          <w:highlight w:val="none"/>
        </w:rPr>
        <w:fldChar w:fldCharType="separate"/>
      </w:r>
      <w:r>
        <w:rPr>
          <w:color w:val="auto"/>
          <w:highlight w:val="none"/>
        </w:rPr>
        <w:t>31</w:t>
      </w:r>
      <w:r>
        <w:rPr>
          <w:color w:val="auto"/>
          <w:highlight w:val="none"/>
        </w:rPr>
        <w:fldChar w:fldCharType="end"/>
      </w:r>
      <w:r>
        <w:rPr>
          <w:rFonts w:ascii="宋体" w:hAnsi="宋体"/>
          <w:color w:val="auto"/>
          <w:szCs w:val="28"/>
          <w:highlight w:val="none"/>
        </w:rPr>
        <w:fldChar w:fldCharType="end"/>
      </w:r>
    </w:p>
    <w:p>
      <w:pPr>
        <w:pStyle w:val="16"/>
        <w:tabs>
          <w:tab w:val="right" w:leader="dot" w:pos="9746"/>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_Toc12627 </w:instrText>
      </w:r>
      <w:r>
        <w:rPr>
          <w:rFonts w:ascii="宋体" w:hAnsi="宋体"/>
          <w:color w:val="auto"/>
          <w:szCs w:val="28"/>
          <w:highlight w:val="none"/>
        </w:rPr>
        <w:fldChar w:fldCharType="separate"/>
      </w:r>
      <w:r>
        <w:rPr>
          <w:rFonts w:hint="eastAsia"/>
          <w:bCs/>
          <w:color w:val="auto"/>
          <w:highlight w:val="none"/>
        </w:rPr>
        <w:t>附表六：</w:t>
      </w:r>
      <w:r>
        <w:rPr>
          <w:rFonts w:hint="eastAsia"/>
          <w:color w:val="auto"/>
          <w:highlight w:val="none"/>
        </w:rPr>
        <w:t>报价得分计算表</w:t>
      </w:r>
      <w:r>
        <w:rPr>
          <w:color w:val="auto"/>
          <w:highlight w:val="none"/>
        </w:rPr>
        <w:tab/>
      </w:r>
      <w:r>
        <w:rPr>
          <w:color w:val="auto"/>
          <w:highlight w:val="none"/>
        </w:rPr>
        <w:fldChar w:fldCharType="begin"/>
      </w:r>
      <w:r>
        <w:rPr>
          <w:color w:val="auto"/>
          <w:highlight w:val="none"/>
        </w:rPr>
        <w:instrText xml:space="preserve"> PAGEREF _Toc12627 \h </w:instrText>
      </w:r>
      <w:r>
        <w:rPr>
          <w:color w:val="auto"/>
          <w:highlight w:val="none"/>
        </w:rPr>
        <w:fldChar w:fldCharType="separate"/>
      </w:r>
      <w:r>
        <w:rPr>
          <w:color w:val="auto"/>
          <w:highlight w:val="none"/>
        </w:rPr>
        <w:t>32</w:t>
      </w:r>
      <w:r>
        <w:rPr>
          <w:color w:val="auto"/>
          <w:highlight w:val="none"/>
        </w:rPr>
        <w:fldChar w:fldCharType="end"/>
      </w:r>
      <w:r>
        <w:rPr>
          <w:rFonts w:ascii="宋体" w:hAnsi="宋体"/>
          <w:color w:val="auto"/>
          <w:szCs w:val="28"/>
          <w:highlight w:val="none"/>
        </w:rPr>
        <w:fldChar w:fldCharType="end"/>
      </w:r>
    </w:p>
    <w:p>
      <w:pPr>
        <w:pStyle w:val="16"/>
        <w:tabs>
          <w:tab w:val="right" w:leader="dot" w:pos="9746"/>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_Toc11628 </w:instrText>
      </w:r>
      <w:r>
        <w:rPr>
          <w:rFonts w:ascii="宋体" w:hAnsi="宋体"/>
          <w:color w:val="auto"/>
          <w:szCs w:val="28"/>
          <w:highlight w:val="none"/>
        </w:rPr>
        <w:fldChar w:fldCharType="separate"/>
      </w:r>
      <w:r>
        <w:rPr>
          <w:rFonts w:hint="default"/>
          <w:color w:val="auto"/>
          <w:highlight w:val="none"/>
        </w:rPr>
        <w:t xml:space="preserve">1. </w:t>
      </w:r>
      <w:r>
        <w:rPr>
          <w:rFonts w:hint="eastAsia"/>
          <w:color w:val="auto"/>
          <w:highlight w:val="none"/>
        </w:rPr>
        <w:t>评标方法</w:t>
      </w:r>
      <w:r>
        <w:rPr>
          <w:color w:val="auto"/>
          <w:highlight w:val="none"/>
        </w:rPr>
        <w:tab/>
      </w:r>
      <w:r>
        <w:rPr>
          <w:color w:val="auto"/>
          <w:highlight w:val="none"/>
        </w:rPr>
        <w:fldChar w:fldCharType="begin"/>
      </w:r>
      <w:r>
        <w:rPr>
          <w:color w:val="auto"/>
          <w:highlight w:val="none"/>
        </w:rPr>
        <w:instrText xml:space="preserve"> PAGEREF _Toc11628 \h </w:instrText>
      </w:r>
      <w:r>
        <w:rPr>
          <w:color w:val="auto"/>
          <w:highlight w:val="none"/>
        </w:rPr>
        <w:fldChar w:fldCharType="separate"/>
      </w:r>
      <w:r>
        <w:rPr>
          <w:color w:val="auto"/>
          <w:highlight w:val="none"/>
        </w:rPr>
        <w:t>33</w:t>
      </w:r>
      <w:r>
        <w:rPr>
          <w:color w:val="auto"/>
          <w:highlight w:val="none"/>
        </w:rPr>
        <w:fldChar w:fldCharType="end"/>
      </w:r>
      <w:r>
        <w:rPr>
          <w:rFonts w:ascii="宋体" w:hAnsi="宋体"/>
          <w:color w:val="auto"/>
          <w:szCs w:val="28"/>
          <w:highlight w:val="none"/>
        </w:rPr>
        <w:fldChar w:fldCharType="end"/>
      </w:r>
    </w:p>
    <w:p>
      <w:pPr>
        <w:pStyle w:val="16"/>
        <w:tabs>
          <w:tab w:val="right" w:leader="dot" w:pos="9746"/>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_Toc15152 </w:instrText>
      </w:r>
      <w:r>
        <w:rPr>
          <w:rFonts w:ascii="宋体" w:hAnsi="宋体"/>
          <w:color w:val="auto"/>
          <w:szCs w:val="28"/>
          <w:highlight w:val="none"/>
        </w:rPr>
        <w:fldChar w:fldCharType="separate"/>
      </w:r>
      <w:r>
        <w:rPr>
          <w:color w:val="auto"/>
          <w:highlight w:val="none"/>
        </w:rPr>
        <w:t xml:space="preserve">2. </w:t>
      </w:r>
      <w:r>
        <w:rPr>
          <w:rFonts w:hint="eastAsia"/>
          <w:color w:val="auto"/>
          <w:highlight w:val="none"/>
        </w:rPr>
        <w:t>评审标准</w:t>
      </w:r>
      <w:r>
        <w:rPr>
          <w:color w:val="auto"/>
          <w:highlight w:val="none"/>
        </w:rPr>
        <w:tab/>
      </w:r>
      <w:r>
        <w:rPr>
          <w:color w:val="auto"/>
          <w:highlight w:val="none"/>
        </w:rPr>
        <w:fldChar w:fldCharType="begin"/>
      </w:r>
      <w:r>
        <w:rPr>
          <w:color w:val="auto"/>
          <w:highlight w:val="none"/>
        </w:rPr>
        <w:instrText xml:space="preserve"> PAGEREF _Toc15152 \h </w:instrText>
      </w:r>
      <w:r>
        <w:rPr>
          <w:color w:val="auto"/>
          <w:highlight w:val="none"/>
        </w:rPr>
        <w:fldChar w:fldCharType="separate"/>
      </w:r>
      <w:r>
        <w:rPr>
          <w:color w:val="auto"/>
          <w:highlight w:val="none"/>
        </w:rPr>
        <w:t>33</w:t>
      </w:r>
      <w:r>
        <w:rPr>
          <w:color w:val="auto"/>
          <w:highlight w:val="none"/>
        </w:rPr>
        <w:fldChar w:fldCharType="end"/>
      </w:r>
      <w:r>
        <w:rPr>
          <w:rFonts w:ascii="宋体" w:hAnsi="宋体"/>
          <w:color w:val="auto"/>
          <w:szCs w:val="28"/>
          <w:highlight w:val="none"/>
        </w:rPr>
        <w:fldChar w:fldCharType="end"/>
      </w:r>
    </w:p>
    <w:p>
      <w:pPr>
        <w:pStyle w:val="16"/>
        <w:tabs>
          <w:tab w:val="right" w:leader="dot" w:pos="9746"/>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_Toc21355 </w:instrText>
      </w:r>
      <w:r>
        <w:rPr>
          <w:rFonts w:ascii="宋体" w:hAnsi="宋体"/>
          <w:color w:val="auto"/>
          <w:szCs w:val="28"/>
          <w:highlight w:val="none"/>
        </w:rPr>
        <w:fldChar w:fldCharType="separate"/>
      </w:r>
      <w:r>
        <w:rPr>
          <w:color w:val="auto"/>
          <w:highlight w:val="none"/>
        </w:rPr>
        <w:t xml:space="preserve">3. </w:t>
      </w:r>
      <w:r>
        <w:rPr>
          <w:rFonts w:hint="eastAsia"/>
          <w:color w:val="auto"/>
          <w:highlight w:val="none"/>
        </w:rPr>
        <w:t>评标程序</w:t>
      </w:r>
      <w:r>
        <w:rPr>
          <w:color w:val="auto"/>
          <w:highlight w:val="none"/>
        </w:rPr>
        <w:tab/>
      </w:r>
      <w:r>
        <w:rPr>
          <w:color w:val="auto"/>
          <w:highlight w:val="none"/>
        </w:rPr>
        <w:fldChar w:fldCharType="begin"/>
      </w:r>
      <w:r>
        <w:rPr>
          <w:color w:val="auto"/>
          <w:highlight w:val="none"/>
        </w:rPr>
        <w:instrText xml:space="preserve"> PAGEREF _Toc21355 \h </w:instrText>
      </w:r>
      <w:r>
        <w:rPr>
          <w:color w:val="auto"/>
          <w:highlight w:val="none"/>
        </w:rPr>
        <w:fldChar w:fldCharType="separate"/>
      </w:r>
      <w:r>
        <w:rPr>
          <w:color w:val="auto"/>
          <w:highlight w:val="none"/>
        </w:rPr>
        <w:t>34</w:t>
      </w:r>
      <w:r>
        <w:rPr>
          <w:color w:val="auto"/>
          <w:highlight w:val="none"/>
        </w:rPr>
        <w:fldChar w:fldCharType="end"/>
      </w:r>
      <w:r>
        <w:rPr>
          <w:rFonts w:ascii="宋体" w:hAnsi="宋体"/>
          <w:color w:val="auto"/>
          <w:szCs w:val="28"/>
          <w:highlight w:val="none"/>
        </w:rPr>
        <w:fldChar w:fldCharType="end"/>
      </w:r>
    </w:p>
    <w:p>
      <w:pPr>
        <w:pStyle w:val="23"/>
        <w:tabs>
          <w:tab w:val="right" w:leader="dot" w:pos="9746"/>
        </w:tabs>
        <w:rPr>
          <w:rFonts w:hint="eastAsia" w:eastAsia="宋体"/>
          <w:color w:val="auto"/>
          <w:highlight w:val="none"/>
          <w:lang w:val="en-US" w:eastAsia="zh-CN"/>
        </w:rPr>
      </w:pPr>
      <w:r>
        <w:rPr>
          <w:rFonts w:ascii="宋体" w:hAnsi="宋体"/>
          <w:color w:val="auto"/>
          <w:szCs w:val="28"/>
          <w:highlight w:val="none"/>
        </w:rPr>
        <w:fldChar w:fldCharType="begin"/>
      </w:r>
      <w:r>
        <w:rPr>
          <w:rFonts w:ascii="宋体" w:hAnsi="宋体"/>
          <w:color w:val="auto"/>
          <w:szCs w:val="28"/>
          <w:highlight w:val="none"/>
        </w:rPr>
        <w:instrText xml:space="preserve"> HYPERLINK \l _Toc12056 </w:instrText>
      </w:r>
      <w:r>
        <w:rPr>
          <w:rFonts w:ascii="宋体" w:hAnsi="宋体"/>
          <w:color w:val="auto"/>
          <w:szCs w:val="28"/>
          <w:highlight w:val="none"/>
        </w:rPr>
        <w:fldChar w:fldCharType="separate"/>
      </w:r>
      <w:r>
        <w:rPr>
          <w:rFonts w:hint="eastAsia" w:ascii="宋体" w:hAnsi="宋体" w:eastAsia="宋体" w:cs="Times New Roman"/>
          <w:color w:val="auto"/>
          <w:kern w:val="44"/>
          <w:szCs w:val="20"/>
          <w:highlight w:val="none"/>
          <w:lang w:val="en-US" w:eastAsia="zh-CN" w:bidi="ar-SA"/>
        </w:rPr>
        <w:t>第四章  合同条款及格式</w:t>
      </w:r>
      <w:r>
        <w:rPr>
          <w:color w:val="auto"/>
          <w:highlight w:val="none"/>
        </w:rPr>
        <w:tab/>
      </w:r>
      <w:r>
        <w:rPr>
          <w:rFonts w:hint="eastAsia"/>
          <w:color w:val="auto"/>
          <w:highlight w:val="none"/>
          <w:lang w:val="en-US" w:eastAsia="zh-CN"/>
        </w:rPr>
        <w:t>4</w:t>
      </w:r>
      <w:r>
        <w:rPr>
          <w:rFonts w:ascii="宋体" w:hAnsi="宋体"/>
          <w:color w:val="auto"/>
          <w:szCs w:val="28"/>
          <w:highlight w:val="none"/>
        </w:rPr>
        <w:fldChar w:fldCharType="end"/>
      </w:r>
      <w:r>
        <w:rPr>
          <w:rFonts w:hint="eastAsia" w:ascii="Calibri" w:hAnsi="Calibri" w:eastAsia="宋体" w:cs="Times New Roman"/>
          <w:color w:val="auto"/>
          <w:kern w:val="2"/>
          <w:sz w:val="21"/>
          <w:szCs w:val="22"/>
          <w:highlight w:val="none"/>
          <w:lang w:val="en-US" w:eastAsia="zh-CN" w:bidi="ar-SA"/>
        </w:rPr>
        <w:t>1</w:t>
      </w:r>
    </w:p>
    <w:p>
      <w:pPr>
        <w:pStyle w:val="23"/>
        <w:tabs>
          <w:tab w:val="right" w:leader="dot" w:pos="9746"/>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_Toc13347 </w:instrText>
      </w:r>
      <w:r>
        <w:rPr>
          <w:rFonts w:ascii="宋体" w:hAnsi="宋体"/>
          <w:color w:val="auto"/>
          <w:szCs w:val="28"/>
          <w:highlight w:val="none"/>
        </w:rPr>
        <w:fldChar w:fldCharType="separate"/>
      </w:r>
      <w:r>
        <w:rPr>
          <w:rFonts w:hint="eastAsia"/>
          <w:color w:val="auto"/>
          <w:highlight w:val="none"/>
        </w:rPr>
        <w:t>第二卷</w:t>
      </w:r>
      <w:r>
        <w:rPr>
          <w:color w:val="auto"/>
          <w:highlight w:val="none"/>
        </w:rPr>
        <w:tab/>
      </w:r>
      <w:r>
        <w:rPr>
          <w:color w:val="auto"/>
          <w:highlight w:val="none"/>
        </w:rPr>
        <w:fldChar w:fldCharType="begin"/>
      </w:r>
      <w:r>
        <w:rPr>
          <w:color w:val="auto"/>
          <w:highlight w:val="none"/>
        </w:rPr>
        <w:instrText xml:space="preserve"> PAGEREF _Toc13347 \h </w:instrText>
      </w:r>
      <w:r>
        <w:rPr>
          <w:color w:val="auto"/>
          <w:highlight w:val="none"/>
        </w:rPr>
        <w:fldChar w:fldCharType="separate"/>
      </w:r>
      <w:r>
        <w:rPr>
          <w:color w:val="auto"/>
          <w:highlight w:val="none"/>
        </w:rPr>
        <w:t>37</w:t>
      </w:r>
      <w:r>
        <w:rPr>
          <w:color w:val="auto"/>
          <w:highlight w:val="none"/>
        </w:rPr>
        <w:fldChar w:fldCharType="end"/>
      </w:r>
      <w:r>
        <w:rPr>
          <w:rFonts w:ascii="宋体" w:hAnsi="宋体"/>
          <w:color w:val="auto"/>
          <w:szCs w:val="28"/>
          <w:highlight w:val="none"/>
        </w:rPr>
        <w:fldChar w:fldCharType="end"/>
      </w:r>
    </w:p>
    <w:p>
      <w:pPr>
        <w:pStyle w:val="23"/>
        <w:tabs>
          <w:tab w:val="right" w:leader="dot" w:pos="9746"/>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_Toc3390 </w:instrText>
      </w:r>
      <w:r>
        <w:rPr>
          <w:rFonts w:ascii="宋体" w:hAnsi="宋体"/>
          <w:color w:val="auto"/>
          <w:szCs w:val="28"/>
          <w:highlight w:val="none"/>
        </w:rPr>
        <w:fldChar w:fldCharType="separate"/>
      </w:r>
      <w:r>
        <w:rPr>
          <w:rFonts w:hint="eastAsia"/>
          <w:color w:val="auto"/>
          <w:highlight w:val="none"/>
        </w:rPr>
        <w:t>第五章 委托人要求</w:t>
      </w:r>
      <w:r>
        <w:rPr>
          <w:color w:val="auto"/>
          <w:highlight w:val="none"/>
        </w:rPr>
        <w:tab/>
      </w:r>
      <w:r>
        <w:rPr>
          <w:color w:val="auto"/>
          <w:highlight w:val="none"/>
        </w:rPr>
        <w:fldChar w:fldCharType="begin"/>
      </w:r>
      <w:r>
        <w:rPr>
          <w:color w:val="auto"/>
          <w:highlight w:val="none"/>
        </w:rPr>
        <w:instrText xml:space="preserve"> PAGEREF _Toc3390 \h </w:instrText>
      </w:r>
      <w:r>
        <w:rPr>
          <w:color w:val="auto"/>
          <w:highlight w:val="none"/>
        </w:rPr>
        <w:fldChar w:fldCharType="separate"/>
      </w:r>
      <w:r>
        <w:rPr>
          <w:color w:val="auto"/>
          <w:highlight w:val="none"/>
        </w:rPr>
        <w:t>37</w:t>
      </w:r>
      <w:r>
        <w:rPr>
          <w:color w:val="auto"/>
          <w:highlight w:val="none"/>
        </w:rPr>
        <w:fldChar w:fldCharType="end"/>
      </w:r>
      <w:r>
        <w:rPr>
          <w:rFonts w:ascii="宋体" w:hAnsi="宋体"/>
          <w:color w:val="auto"/>
          <w:szCs w:val="28"/>
          <w:highlight w:val="none"/>
        </w:rPr>
        <w:fldChar w:fldCharType="end"/>
      </w:r>
    </w:p>
    <w:p>
      <w:pPr>
        <w:pStyle w:val="23"/>
        <w:tabs>
          <w:tab w:val="right" w:leader="dot" w:pos="9746"/>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_Toc30698 </w:instrText>
      </w:r>
      <w:r>
        <w:rPr>
          <w:rFonts w:ascii="宋体" w:hAnsi="宋体"/>
          <w:color w:val="auto"/>
          <w:szCs w:val="28"/>
          <w:highlight w:val="none"/>
        </w:rPr>
        <w:fldChar w:fldCharType="separate"/>
      </w:r>
      <w:r>
        <w:rPr>
          <w:rFonts w:hint="eastAsia"/>
          <w:color w:val="auto"/>
          <w:highlight w:val="none"/>
        </w:rPr>
        <w:t>第三卷</w:t>
      </w:r>
      <w:r>
        <w:rPr>
          <w:color w:val="auto"/>
          <w:highlight w:val="none"/>
        </w:rPr>
        <w:tab/>
      </w:r>
      <w:r>
        <w:rPr>
          <w:color w:val="auto"/>
          <w:highlight w:val="none"/>
        </w:rPr>
        <w:fldChar w:fldCharType="begin"/>
      </w:r>
      <w:r>
        <w:rPr>
          <w:color w:val="auto"/>
          <w:highlight w:val="none"/>
        </w:rPr>
        <w:instrText xml:space="preserve"> PAGEREF _Toc30698 \h </w:instrText>
      </w:r>
      <w:r>
        <w:rPr>
          <w:color w:val="auto"/>
          <w:highlight w:val="none"/>
        </w:rPr>
        <w:fldChar w:fldCharType="separate"/>
      </w:r>
      <w:r>
        <w:rPr>
          <w:color w:val="auto"/>
          <w:highlight w:val="none"/>
        </w:rPr>
        <w:t>42</w:t>
      </w:r>
      <w:r>
        <w:rPr>
          <w:color w:val="auto"/>
          <w:highlight w:val="none"/>
        </w:rPr>
        <w:fldChar w:fldCharType="end"/>
      </w:r>
      <w:r>
        <w:rPr>
          <w:rFonts w:ascii="宋体" w:hAnsi="宋体"/>
          <w:color w:val="auto"/>
          <w:szCs w:val="28"/>
          <w:highlight w:val="none"/>
        </w:rPr>
        <w:fldChar w:fldCharType="end"/>
      </w:r>
    </w:p>
    <w:p>
      <w:pPr>
        <w:pStyle w:val="23"/>
        <w:tabs>
          <w:tab w:val="right" w:leader="dot" w:pos="9746"/>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_Toc2527 </w:instrText>
      </w:r>
      <w:r>
        <w:rPr>
          <w:rFonts w:ascii="宋体" w:hAnsi="宋体"/>
          <w:color w:val="auto"/>
          <w:szCs w:val="28"/>
          <w:highlight w:val="none"/>
        </w:rPr>
        <w:fldChar w:fldCharType="separate"/>
      </w:r>
      <w:r>
        <w:rPr>
          <w:rFonts w:hint="eastAsia"/>
          <w:color w:val="auto"/>
          <w:highlight w:val="none"/>
        </w:rPr>
        <w:t>第六章  投标文件格式</w:t>
      </w:r>
      <w:r>
        <w:rPr>
          <w:color w:val="auto"/>
          <w:highlight w:val="none"/>
        </w:rPr>
        <w:tab/>
      </w:r>
      <w:r>
        <w:rPr>
          <w:color w:val="auto"/>
          <w:highlight w:val="none"/>
        </w:rPr>
        <w:fldChar w:fldCharType="begin"/>
      </w:r>
      <w:r>
        <w:rPr>
          <w:color w:val="auto"/>
          <w:highlight w:val="none"/>
        </w:rPr>
        <w:instrText xml:space="preserve"> PAGEREF _Toc2527 \h </w:instrText>
      </w:r>
      <w:r>
        <w:rPr>
          <w:color w:val="auto"/>
          <w:highlight w:val="none"/>
        </w:rPr>
        <w:fldChar w:fldCharType="separate"/>
      </w:r>
      <w:r>
        <w:rPr>
          <w:color w:val="auto"/>
          <w:highlight w:val="none"/>
        </w:rPr>
        <w:t>42</w:t>
      </w:r>
      <w:r>
        <w:rPr>
          <w:color w:val="auto"/>
          <w:highlight w:val="none"/>
        </w:rPr>
        <w:fldChar w:fldCharType="end"/>
      </w:r>
      <w:r>
        <w:rPr>
          <w:rFonts w:ascii="宋体" w:hAnsi="宋体"/>
          <w:color w:val="auto"/>
          <w:szCs w:val="28"/>
          <w:highlight w:val="none"/>
        </w:rPr>
        <w:fldChar w:fldCharType="end"/>
      </w:r>
    </w:p>
    <w:p>
      <w:pPr>
        <w:pStyle w:val="16"/>
        <w:tabs>
          <w:tab w:val="right" w:leader="dot" w:pos="9746"/>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_Toc575 </w:instrText>
      </w:r>
      <w:r>
        <w:rPr>
          <w:rFonts w:ascii="宋体" w:hAnsi="宋体"/>
          <w:color w:val="auto"/>
          <w:szCs w:val="28"/>
          <w:highlight w:val="none"/>
        </w:rPr>
        <w:fldChar w:fldCharType="separate"/>
      </w:r>
      <w:r>
        <w:rPr>
          <w:rFonts w:hint="eastAsia"/>
          <w:color w:val="auto"/>
          <w:highlight w:val="none"/>
        </w:rPr>
        <w:t>一、投标函及其附表</w:t>
      </w:r>
      <w:r>
        <w:rPr>
          <w:color w:val="auto"/>
          <w:highlight w:val="none"/>
        </w:rPr>
        <w:tab/>
      </w:r>
      <w:r>
        <w:rPr>
          <w:color w:val="auto"/>
          <w:highlight w:val="none"/>
        </w:rPr>
        <w:fldChar w:fldCharType="begin"/>
      </w:r>
      <w:r>
        <w:rPr>
          <w:color w:val="auto"/>
          <w:highlight w:val="none"/>
        </w:rPr>
        <w:instrText xml:space="preserve"> PAGEREF _Toc575 \h </w:instrText>
      </w:r>
      <w:r>
        <w:rPr>
          <w:color w:val="auto"/>
          <w:highlight w:val="none"/>
        </w:rPr>
        <w:fldChar w:fldCharType="separate"/>
      </w:r>
      <w:r>
        <w:rPr>
          <w:color w:val="auto"/>
          <w:highlight w:val="none"/>
        </w:rPr>
        <w:t>43</w:t>
      </w:r>
      <w:r>
        <w:rPr>
          <w:color w:val="auto"/>
          <w:highlight w:val="none"/>
        </w:rPr>
        <w:fldChar w:fldCharType="end"/>
      </w:r>
      <w:r>
        <w:rPr>
          <w:rFonts w:ascii="宋体" w:hAnsi="宋体"/>
          <w:color w:val="auto"/>
          <w:szCs w:val="28"/>
          <w:highlight w:val="none"/>
        </w:rPr>
        <w:fldChar w:fldCharType="end"/>
      </w:r>
    </w:p>
    <w:p>
      <w:pPr>
        <w:pStyle w:val="16"/>
        <w:tabs>
          <w:tab w:val="right" w:leader="dot" w:pos="9746"/>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_Toc25046 </w:instrText>
      </w:r>
      <w:r>
        <w:rPr>
          <w:rFonts w:ascii="宋体" w:hAnsi="宋体"/>
          <w:color w:val="auto"/>
          <w:szCs w:val="28"/>
          <w:highlight w:val="none"/>
        </w:rPr>
        <w:fldChar w:fldCharType="separate"/>
      </w:r>
      <w:r>
        <w:rPr>
          <w:rFonts w:hint="eastAsia"/>
          <w:color w:val="auto"/>
          <w:highlight w:val="none"/>
        </w:rPr>
        <w:t>二、法定代表人证明书及授权委托书</w:t>
      </w:r>
      <w:r>
        <w:rPr>
          <w:color w:val="auto"/>
          <w:highlight w:val="none"/>
        </w:rPr>
        <w:tab/>
      </w:r>
      <w:r>
        <w:rPr>
          <w:color w:val="auto"/>
          <w:highlight w:val="none"/>
        </w:rPr>
        <w:fldChar w:fldCharType="begin"/>
      </w:r>
      <w:r>
        <w:rPr>
          <w:color w:val="auto"/>
          <w:highlight w:val="none"/>
        </w:rPr>
        <w:instrText xml:space="preserve"> PAGEREF _Toc25046 \h </w:instrText>
      </w:r>
      <w:r>
        <w:rPr>
          <w:color w:val="auto"/>
          <w:highlight w:val="none"/>
        </w:rPr>
        <w:fldChar w:fldCharType="separate"/>
      </w:r>
      <w:r>
        <w:rPr>
          <w:color w:val="auto"/>
          <w:highlight w:val="none"/>
        </w:rPr>
        <w:t>45</w:t>
      </w:r>
      <w:r>
        <w:rPr>
          <w:color w:val="auto"/>
          <w:highlight w:val="none"/>
        </w:rPr>
        <w:fldChar w:fldCharType="end"/>
      </w:r>
      <w:r>
        <w:rPr>
          <w:rFonts w:ascii="宋体" w:hAnsi="宋体"/>
          <w:color w:val="auto"/>
          <w:szCs w:val="28"/>
          <w:highlight w:val="none"/>
        </w:rPr>
        <w:fldChar w:fldCharType="end"/>
      </w:r>
    </w:p>
    <w:p>
      <w:pPr>
        <w:pStyle w:val="16"/>
        <w:tabs>
          <w:tab w:val="right" w:leader="dot" w:pos="9746"/>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_Toc11935 </w:instrText>
      </w:r>
      <w:r>
        <w:rPr>
          <w:rFonts w:ascii="宋体" w:hAnsi="宋体"/>
          <w:color w:val="auto"/>
          <w:szCs w:val="28"/>
          <w:highlight w:val="none"/>
        </w:rPr>
        <w:fldChar w:fldCharType="separate"/>
      </w:r>
      <w:r>
        <w:rPr>
          <w:rFonts w:hint="eastAsia"/>
          <w:color w:val="auto"/>
          <w:highlight w:val="none"/>
        </w:rPr>
        <w:t>三、投标保证金凭证</w:t>
      </w:r>
      <w:r>
        <w:rPr>
          <w:color w:val="auto"/>
          <w:highlight w:val="none"/>
        </w:rPr>
        <w:tab/>
      </w:r>
      <w:r>
        <w:rPr>
          <w:color w:val="auto"/>
          <w:highlight w:val="none"/>
        </w:rPr>
        <w:fldChar w:fldCharType="begin"/>
      </w:r>
      <w:r>
        <w:rPr>
          <w:color w:val="auto"/>
          <w:highlight w:val="none"/>
        </w:rPr>
        <w:instrText xml:space="preserve"> PAGEREF _Toc11935 \h </w:instrText>
      </w:r>
      <w:r>
        <w:rPr>
          <w:color w:val="auto"/>
          <w:highlight w:val="none"/>
        </w:rPr>
        <w:fldChar w:fldCharType="separate"/>
      </w:r>
      <w:r>
        <w:rPr>
          <w:color w:val="auto"/>
          <w:highlight w:val="none"/>
        </w:rPr>
        <w:t>46</w:t>
      </w:r>
      <w:r>
        <w:rPr>
          <w:color w:val="auto"/>
          <w:highlight w:val="none"/>
        </w:rPr>
        <w:fldChar w:fldCharType="end"/>
      </w:r>
      <w:r>
        <w:rPr>
          <w:rFonts w:ascii="宋体" w:hAnsi="宋体"/>
          <w:color w:val="auto"/>
          <w:szCs w:val="28"/>
          <w:highlight w:val="none"/>
        </w:rPr>
        <w:fldChar w:fldCharType="end"/>
      </w:r>
    </w:p>
    <w:p>
      <w:pPr>
        <w:pStyle w:val="16"/>
        <w:tabs>
          <w:tab w:val="right" w:leader="dot" w:pos="9746"/>
        </w:tabs>
        <w:rPr>
          <w:rFonts w:hint="eastAsia" w:eastAsia="宋体"/>
          <w:color w:val="auto"/>
          <w:highlight w:val="none"/>
          <w:lang w:val="en-US" w:eastAsia="zh-CN"/>
        </w:rPr>
      </w:pPr>
      <w:r>
        <w:rPr>
          <w:rFonts w:ascii="宋体" w:hAnsi="宋体"/>
          <w:color w:val="auto"/>
          <w:szCs w:val="28"/>
          <w:highlight w:val="none"/>
        </w:rPr>
        <w:fldChar w:fldCharType="begin"/>
      </w:r>
      <w:r>
        <w:rPr>
          <w:rFonts w:ascii="宋体" w:hAnsi="宋体"/>
          <w:color w:val="auto"/>
          <w:szCs w:val="28"/>
          <w:highlight w:val="none"/>
        </w:rPr>
        <w:instrText xml:space="preserve"> HYPERLINK \l _Toc29831 </w:instrText>
      </w:r>
      <w:r>
        <w:rPr>
          <w:rFonts w:ascii="宋体" w:hAnsi="宋体"/>
          <w:color w:val="auto"/>
          <w:szCs w:val="28"/>
          <w:highlight w:val="none"/>
        </w:rPr>
        <w:fldChar w:fldCharType="separate"/>
      </w:r>
      <w:r>
        <w:rPr>
          <w:rFonts w:hint="eastAsia"/>
          <w:color w:val="auto"/>
          <w:szCs w:val="32"/>
          <w:highlight w:val="none"/>
        </w:rPr>
        <w:t>四、</w:t>
      </w:r>
      <w:r>
        <w:rPr>
          <w:rFonts w:hint="eastAsia"/>
          <w:color w:val="auto"/>
          <w:highlight w:val="none"/>
        </w:rPr>
        <w:t>投</w:t>
      </w:r>
      <w:r>
        <w:rPr>
          <w:rFonts w:hint="eastAsia"/>
          <w:color w:val="auto"/>
          <w:szCs w:val="22"/>
          <w:highlight w:val="none"/>
        </w:rPr>
        <w:t>标</w:t>
      </w:r>
      <w:r>
        <w:rPr>
          <w:rFonts w:hint="eastAsia"/>
          <w:color w:val="auto"/>
          <w:highlight w:val="none"/>
        </w:rPr>
        <w:t>报价书</w:t>
      </w:r>
      <w:r>
        <w:rPr>
          <w:color w:val="auto"/>
          <w:highlight w:val="none"/>
        </w:rPr>
        <w:tab/>
      </w:r>
      <w:r>
        <w:rPr>
          <w:rFonts w:hint="eastAsia"/>
          <w:color w:val="auto"/>
          <w:highlight w:val="none"/>
          <w:lang w:val="en-US" w:eastAsia="zh-CN"/>
        </w:rPr>
        <w:t>5</w:t>
      </w:r>
      <w:r>
        <w:rPr>
          <w:rFonts w:ascii="宋体" w:hAnsi="宋体"/>
          <w:color w:val="auto"/>
          <w:szCs w:val="28"/>
          <w:highlight w:val="none"/>
        </w:rPr>
        <w:fldChar w:fldCharType="end"/>
      </w:r>
      <w:r>
        <w:rPr>
          <w:rFonts w:hint="eastAsia"/>
          <w:color w:val="auto"/>
          <w:highlight w:val="none"/>
          <w:lang w:val="en-US" w:eastAsia="zh-CN"/>
        </w:rPr>
        <w:t>1</w:t>
      </w:r>
    </w:p>
    <w:p>
      <w:pPr>
        <w:pStyle w:val="16"/>
        <w:tabs>
          <w:tab w:val="right" w:leader="dot" w:pos="9746"/>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_Toc4407 </w:instrText>
      </w:r>
      <w:r>
        <w:rPr>
          <w:rFonts w:ascii="宋体" w:hAnsi="宋体"/>
          <w:color w:val="auto"/>
          <w:szCs w:val="28"/>
          <w:highlight w:val="none"/>
        </w:rPr>
        <w:fldChar w:fldCharType="separate"/>
      </w:r>
      <w:r>
        <w:rPr>
          <w:rFonts w:hint="eastAsia"/>
          <w:color w:val="auto"/>
          <w:highlight w:val="none"/>
        </w:rPr>
        <w:t>五、资格审查资料</w:t>
      </w:r>
      <w:r>
        <w:rPr>
          <w:color w:val="auto"/>
          <w:highlight w:val="none"/>
        </w:rPr>
        <w:tab/>
      </w:r>
      <w:r>
        <w:rPr>
          <w:color w:val="auto"/>
          <w:highlight w:val="none"/>
        </w:rPr>
        <w:fldChar w:fldCharType="begin"/>
      </w:r>
      <w:r>
        <w:rPr>
          <w:color w:val="auto"/>
          <w:highlight w:val="none"/>
        </w:rPr>
        <w:instrText xml:space="preserve"> PAGEREF _Toc4407 \h </w:instrText>
      </w:r>
      <w:r>
        <w:rPr>
          <w:color w:val="auto"/>
          <w:highlight w:val="none"/>
        </w:rPr>
        <w:fldChar w:fldCharType="separate"/>
      </w:r>
      <w:r>
        <w:rPr>
          <w:color w:val="auto"/>
          <w:highlight w:val="none"/>
        </w:rPr>
        <w:t>52</w:t>
      </w:r>
      <w:r>
        <w:rPr>
          <w:color w:val="auto"/>
          <w:highlight w:val="none"/>
        </w:rPr>
        <w:fldChar w:fldCharType="end"/>
      </w:r>
      <w:r>
        <w:rPr>
          <w:rFonts w:ascii="宋体" w:hAnsi="宋体"/>
          <w:color w:val="auto"/>
          <w:szCs w:val="28"/>
          <w:highlight w:val="none"/>
        </w:rPr>
        <w:fldChar w:fldCharType="end"/>
      </w:r>
    </w:p>
    <w:p>
      <w:pPr>
        <w:pStyle w:val="16"/>
        <w:tabs>
          <w:tab w:val="right" w:leader="dot" w:pos="9746"/>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_Toc22112 </w:instrText>
      </w:r>
      <w:r>
        <w:rPr>
          <w:rFonts w:ascii="宋体" w:hAnsi="宋体"/>
          <w:color w:val="auto"/>
          <w:szCs w:val="28"/>
          <w:highlight w:val="none"/>
        </w:rPr>
        <w:fldChar w:fldCharType="separate"/>
      </w:r>
      <w:r>
        <w:rPr>
          <w:rFonts w:hint="eastAsia"/>
          <w:color w:val="auto"/>
          <w:highlight w:val="none"/>
        </w:rPr>
        <w:t>六、类似项目业绩表</w:t>
      </w:r>
      <w:r>
        <w:rPr>
          <w:color w:val="auto"/>
          <w:highlight w:val="none"/>
        </w:rPr>
        <w:tab/>
      </w:r>
      <w:r>
        <w:rPr>
          <w:color w:val="auto"/>
          <w:highlight w:val="none"/>
        </w:rPr>
        <w:fldChar w:fldCharType="begin"/>
      </w:r>
      <w:r>
        <w:rPr>
          <w:color w:val="auto"/>
          <w:highlight w:val="none"/>
        </w:rPr>
        <w:instrText xml:space="preserve"> PAGEREF _Toc22112 \h </w:instrText>
      </w:r>
      <w:r>
        <w:rPr>
          <w:color w:val="auto"/>
          <w:highlight w:val="none"/>
        </w:rPr>
        <w:fldChar w:fldCharType="separate"/>
      </w:r>
      <w:r>
        <w:rPr>
          <w:color w:val="auto"/>
          <w:highlight w:val="none"/>
        </w:rPr>
        <w:t>57</w:t>
      </w:r>
      <w:r>
        <w:rPr>
          <w:color w:val="auto"/>
          <w:highlight w:val="none"/>
        </w:rPr>
        <w:fldChar w:fldCharType="end"/>
      </w:r>
      <w:r>
        <w:rPr>
          <w:rFonts w:ascii="宋体" w:hAnsi="宋体"/>
          <w:color w:val="auto"/>
          <w:szCs w:val="28"/>
          <w:highlight w:val="none"/>
        </w:rPr>
        <w:fldChar w:fldCharType="end"/>
      </w:r>
    </w:p>
    <w:p>
      <w:pPr>
        <w:pStyle w:val="16"/>
        <w:tabs>
          <w:tab w:val="right" w:leader="dot" w:pos="9746"/>
        </w:tabs>
        <w:rPr>
          <w:rFonts w:hint="eastAsia" w:eastAsia="宋体"/>
          <w:color w:val="auto"/>
          <w:highlight w:val="none"/>
          <w:lang w:val="en-US" w:eastAsia="zh-CN"/>
        </w:rPr>
      </w:pPr>
      <w:r>
        <w:rPr>
          <w:rFonts w:ascii="宋体" w:hAnsi="宋体"/>
          <w:color w:val="auto"/>
          <w:szCs w:val="28"/>
          <w:highlight w:val="none"/>
        </w:rPr>
        <w:fldChar w:fldCharType="begin"/>
      </w:r>
      <w:r>
        <w:rPr>
          <w:rFonts w:ascii="宋体" w:hAnsi="宋体"/>
          <w:color w:val="auto"/>
          <w:szCs w:val="28"/>
          <w:highlight w:val="none"/>
        </w:rPr>
        <w:instrText xml:space="preserve"> HYPERLINK \l _Toc16868 </w:instrText>
      </w:r>
      <w:r>
        <w:rPr>
          <w:rFonts w:ascii="宋体" w:hAnsi="宋体"/>
          <w:color w:val="auto"/>
          <w:szCs w:val="28"/>
          <w:highlight w:val="none"/>
        </w:rPr>
        <w:fldChar w:fldCharType="separate"/>
      </w:r>
      <w:r>
        <w:rPr>
          <w:rFonts w:hint="eastAsia"/>
          <w:color w:val="auto"/>
          <w:highlight w:val="none"/>
        </w:rPr>
        <w:t>七、拟投入本项目的检测人员一览表</w:t>
      </w:r>
      <w:r>
        <w:rPr>
          <w:color w:val="auto"/>
          <w:highlight w:val="none"/>
        </w:rPr>
        <w:tab/>
      </w:r>
      <w:r>
        <w:rPr>
          <w:rFonts w:hint="eastAsia"/>
          <w:color w:val="auto"/>
          <w:highlight w:val="none"/>
          <w:lang w:val="en-US" w:eastAsia="zh-CN"/>
        </w:rPr>
        <w:t>5</w:t>
      </w:r>
      <w:r>
        <w:rPr>
          <w:rFonts w:ascii="宋体" w:hAnsi="宋体"/>
          <w:color w:val="auto"/>
          <w:szCs w:val="28"/>
          <w:highlight w:val="none"/>
        </w:rPr>
        <w:fldChar w:fldCharType="end"/>
      </w:r>
      <w:r>
        <w:rPr>
          <w:rFonts w:hint="eastAsia"/>
          <w:color w:val="auto"/>
          <w:highlight w:val="none"/>
          <w:lang w:val="en-US" w:eastAsia="zh-CN"/>
        </w:rPr>
        <w:t>7</w:t>
      </w:r>
    </w:p>
    <w:p>
      <w:pPr>
        <w:pStyle w:val="16"/>
        <w:tabs>
          <w:tab w:val="right" w:leader="dot" w:pos="9746"/>
        </w:tabs>
        <w:rPr>
          <w:rFonts w:hint="eastAsia" w:eastAsia="宋体"/>
          <w:color w:val="auto"/>
          <w:highlight w:val="none"/>
          <w:lang w:val="en-US" w:eastAsia="zh-CN"/>
        </w:rPr>
      </w:pPr>
      <w:r>
        <w:rPr>
          <w:rFonts w:ascii="宋体" w:hAnsi="宋体"/>
          <w:color w:val="auto"/>
          <w:szCs w:val="28"/>
          <w:highlight w:val="none"/>
        </w:rPr>
        <w:fldChar w:fldCharType="begin"/>
      </w:r>
      <w:r>
        <w:rPr>
          <w:rFonts w:ascii="宋体" w:hAnsi="宋体"/>
          <w:color w:val="auto"/>
          <w:szCs w:val="28"/>
          <w:highlight w:val="none"/>
        </w:rPr>
        <w:instrText xml:space="preserve"> HYPERLINK \l _Toc26704 </w:instrText>
      </w:r>
      <w:r>
        <w:rPr>
          <w:rFonts w:ascii="宋体" w:hAnsi="宋体"/>
          <w:color w:val="auto"/>
          <w:szCs w:val="28"/>
          <w:highlight w:val="none"/>
        </w:rPr>
        <w:fldChar w:fldCharType="separate"/>
      </w:r>
      <w:r>
        <w:rPr>
          <w:rFonts w:hint="eastAsia"/>
          <w:color w:val="auto"/>
          <w:highlight w:val="none"/>
        </w:rPr>
        <w:t>八、拟投入本项目的检测人员简历表</w:t>
      </w:r>
      <w:r>
        <w:rPr>
          <w:color w:val="auto"/>
          <w:highlight w:val="none"/>
        </w:rPr>
        <w:tab/>
      </w:r>
      <w:r>
        <w:rPr>
          <w:rFonts w:hint="eastAsia"/>
          <w:color w:val="auto"/>
          <w:highlight w:val="none"/>
          <w:lang w:val="en-US" w:eastAsia="zh-CN"/>
        </w:rPr>
        <w:t>5</w:t>
      </w:r>
      <w:r>
        <w:rPr>
          <w:rFonts w:ascii="宋体" w:hAnsi="宋体"/>
          <w:color w:val="auto"/>
          <w:szCs w:val="28"/>
          <w:highlight w:val="none"/>
        </w:rPr>
        <w:fldChar w:fldCharType="end"/>
      </w:r>
      <w:r>
        <w:rPr>
          <w:rFonts w:hint="eastAsia"/>
          <w:color w:val="auto"/>
          <w:highlight w:val="none"/>
          <w:lang w:val="en-US" w:eastAsia="zh-CN"/>
        </w:rPr>
        <w:t>8</w:t>
      </w:r>
    </w:p>
    <w:p>
      <w:pPr>
        <w:pStyle w:val="16"/>
        <w:tabs>
          <w:tab w:val="right" w:leader="dot" w:pos="9746"/>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_Toc11350 </w:instrText>
      </w:r>
      <w:r>
        <w:rPr>
          <w:rFonts w:ascii="宋体" w:hAnsi="宋体"/>
          <w:color w:val="auto"/>
          <w:szCs w:val="28"/>
          <w:highlight w:val="none"/>
        </w:rPr>
        <w:fldChar w:fldCharType="separate"/>
      </w:r>
      <w:r>
        <w:rPr>
          <w:rFonts w:hint="eastAsia"/>
          <w:color w:val="auto"/>
          <w:highlight w:val="none"/>
        </w:rPr>
        <w:t>九、拟投入本项目的主要检测仪器设备一览表</w:t>
      </w:r>
      <w:r>
        <w:rPr>
          <w:color w:val="auto"/>
          <w:highlight w:val="none"/>
        </w:rPr>
        <w:tab/>
      </w:r>
      <w:r>
        <w:rPr>
          <w:color w:val="auto"/>
          <w:highlight w:val="none"/>
        </w:rPr>
        <w:fldChar w:fldCharType="begin"/>
      </w:r>
      <w:r>
        <w:rPr>
          <w:color w:val="auto"/>
          <w:highlight w:val="none"/>
        </w:rPr>
        <w:instrText xml:space="preserve"> PAGEREF _Toc11350 \h </w:instrText>
      </w:r>
      <w:r>
        <w:rPr>
          <w:color w:val="auto"/>
          <w:highlight w:val="none"/>
        </w:rPr>
        <w:fldChar w:fldCharType="separate"/>
      </w:r>
      <w:r>
        <w:rPr>
          <w:color w:val="auto"/>
          <w:highlight w:val="none"/>
        </w:rPr>
        <w:t>60</w:t>
      </w:r>
      <w:r>
        <w:rPr>
          <w:color w:val="auto"/>
          <w:highlight w:val="none"/>
        </w:rPr>
        <w:fldChar w:fldCharType="end"/>
      </w:r>
      <w:r>
        <w:rPr>
          <w:rFonts w:ascii="宋体" w:hAnsi="宋体"/>
          <w:color w:val="auto"/>
          <w:szCs w:val="28"/>
          <w:highlight w:val="none"/>
        </w:rPr>
        <w:fldChar w:fldCharType="end"/>
      </w:r>
    </w:p>
    <w:p>
      <w:pPr>
        <w:pStyle w:val="16"/>
        <w:tabs>
          <w:tab w:val="right" w:leader="dot" w:pos="9746"/>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_Toc9171 </w:instrText>
      </w:r>
      <w:r>
        <w:rPr>
          <w:rFonts w:ascii="宋体" w:hAnsi="宋体"/>
          <w:color w:val="auto"/>
          <w:szCs w:val="28"/>
          <w:highlight w:val="none"/>
        </w:rPr>
        <w:fldChar w:fldCharType="separate"/>
      </w:r>
      <w:r>
        <w:rPr>
          <w:rFonts w:hint="eastAsia"/>
          <w:color w:val="auto"/>
          <w:highlight w:val="none"/>
        </w:rPr>
        <w:t>十、检测方案</w:t>
      </w:r>
      <w:r>
        <w:rPr>
          <w:color w:val="auto"/>
          <w:highlight w:val="none"/>
        </w:rPr>
        <w:tab/>
      </w:r>
      <w:r>
        <w:rPr>
          <w:color w:val="auto"/>
          <w:highlight w:val="none"/>
        </w:rPr>
        <w:fldChar w:fldCharType="begin"/>
      </w:r>
      <w:r>
        <w:rPr>
          <w:color w:val="auto"/>
          <w:highlight w:val="none"/>
        </w:rPr>
        <w:instrText xml:space="preserve"> PAGEREF _Toc9171 \h </w:instrText>
      </w:r>
      <w:r>
        <w:rPr>
          <w:color w:val="auto"/>
          <w:highlight w:val="none"/>
        </w:rPr>
        <w:fldChar w:fldCharType="separate"/>
      </w:r>
      <w:r>
        <w:rPr>
          <w:color w:val="auto"/>
          <w:highlight w:val="none"/>
        </w:rPr>
        <w:t>61</w:t>
      </w:r>
      <w:r>
        <w:rPr>
          <w:color w:val="auto"/>
          <w:highlight w:val="none"/>
        </w:rPr>
        <w:fldChar w:fldCharType="end"/>
      </w:r>
      <w:r>
        <w:rPr>
          <w:rFonts w:ascii="宋体" w:hAnsi="宋体"/>
          <w:color w:val="auto"/>
          <w:szCs w:val="28"/>
          <w:highlight w:val="none"/>
        </w:rPr>
        <w:fldChar w:fldCharType="end"/>
      </w:r>
    </w:p>
    <w:p>
      <w:pPr>
        <w:pStyle w:val="16"/>
        <w:tabs>
          <w:tab w:val="right" w:leader="dot" w:pos="9746"/>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_Toc30307 </w:instrText>
      </w:r>
      <w:r>
        <w:rPr>
          <w:rFonts w:ascii="宋体" w:hAnsi="宋体"/>
          <w:color w:val="auto"/>
          <w:szCs w:val="28"/>
          <w:highlight w:val="none"/>
        </w:rPr>
        <w:fldChar w:fldCharType="separate"/>
      </w:r>
      <w:r>
        <w:rPr>
          <w:rFonts w:hint="eastAsia"/>
          <w:color w:val="auto"/>
          <w:highlight w:val="none"/>
        </w:rPr>
        <w:t>十一、其他资料</w:t>
      </w:r>
      <w:r>
        <w:rPr>
          <w:color w:val="auto"/>
          <w:highlight w:val="none"/>
        </w:rPr>
        <w:tab/>
      </w:r>
      <w:r>
        <w:rPr>
          <w:color w:val="auto"/>
          <w:highlight w:val="none"/>
        </w:rPr>
        <w:fldChar w:fldCharType="begin"/>
      </w:r>
      <w:r>
        <w:rPr>
          <w:color w:val="auto"/>
          <w:highlight w:val="none"/>
        </w:rPr>
        <w:instrText xml:space="preserve"> PAGEREF _Toc30307 \h </w:instrText>
      </w:r>
      <w:r>
        <w:rPr>
          <w:color w:val="auto"/>
          <w:highlight w:val="none"/>
        </w:rPr>
        <w:fldChar w:fldCharType="separate"/>
      </w:r>
      <w:r>
        <w:rPr>
          <w:color w:val="auto"/>
          <w:highlight w:val="none"/>
        </w:rPr>
        <w:t>61</w:t>
      </w:r>
      <w:r>
        <w:rPr>
          <w:color w:val="auto"/>
          <w:highlight w:val="none"/>
        </w:rPr>
        <w:fldChar w:fldCharType="end"/>
      </w:r>
      <w:r>
        <w:rPr>
          <w:rFonts w:ascii="宋体" w:hAnsi="宋体"/>
          <w:color w:val="auto"/>
          <w:szCs w:val="28"/>
          <w:highlight w:val="none"/>
        </w:rPr>
        <w:fldChar w:fldCharType="end"/>
      </w:r>
    </w:p>
    <w:p>
      <w:pPr>
        <w:pStyle w:val="23"/>
        <w:tabs>
          <w:tab w:val="right" w:leader="dot" w:pos="9746"/>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_Toc2184 </w:instrText>
      </w:r>
      <w:r>
        <w:rPr>
          <w:rFonts w:ascii="宋体" w:hAnsi="宋体"/>
          <w:color w:val="auto"/>
          <w:szCs w:val="28"/>
          <w:highlight w:val="none"/>
        </w:rPr>
        <w:fldChar w:fldCharType="separate"/>
      </w:r>
      <w:r>
        <w:rPr>
          <w:rFonts w:hint="eastAsia" w:cs="宋体"/>
          <w:color w:val="auto"/>
          <w:highlight w:val="none"/>
        </w:rPr>
        <w:t>第七章</w:t>
      </w:r>
      <w:r>
        <w:rPr>
          <w:color w:val="auto"/>
          <w:highlight w:val="none"/>
        </w:rPr>
        <w:t xml:space="preserve">  </w:t>
      </w:r>
      <w:r>
        <w:rPr>
          <w:rFonts w:hint="eastAsia" w:cs="宋体"/>
          <w:color w:val="auto"/>
          <w:highlight w:val="none"/>
        </w:rPr>
        <w:t>第三方检测清单及综合单价限价表</w:t>
      </w:r>
      <w:r>
        <w:rPr>
          <w:color w:val="auto"/>
          <w:highlight w:val="none"/>
        </w:rPr>
        <w:tab/>
      </w:r>
      <w:r>
        <w:rPr>
          <w:color w:val="auto"/>
          <w:highlight w:val="none"/>
        </w:rPr>
        <w:fldChar w:fldCharType="begin"/>
      </w:r>
      <w:r>
        <w:rPr>
          <w:color w:val="auto"/>
          <w:highlight w:val="none"/>
        </w:rPr>
        <w:instrText xml:space="preserve"> PAGEREF _Toc2184 \h </w:instrText>
      </w:r>
      <w:r>
        <w:rPr>
          <w:color w:val="auto"/>
          <w:highlight w:val="none"/>
        </w:rPr>
        <w:fldChar w:fldCharType="separate"/>
      </w:r>
      <w:r>
        <w:rPr>
          <w:color w:val="auto"/>
          <w:highlight w:val="none"/>
        </w:rPr>
        <w:t>63</w:t>
      </w:r>
      <w:r>
        <w:rPr>
          <w:color w:val="auto"/>
          <w:highlight w:val="none"/>
        </w:rPr>
        <w:fldChar w:fldCharType="end"/>
      </w:r>
      <w:r>
        <w:rPr>
          <w:rFonts w:ascii="宋体" w:hAnsi="宋体"/>
          <w:color w:val="auto"/>
          <w:szCs w:val="28"/>
          <w:highlight w:val="none"/>
        </w:rPr>
        <w:fldChar w:fldCharType="end"/>
      </w:r>
    </w:p>
    <w:p>
      <w:pPr>
        <w:spacing w:line="360" w:lineRule="auto"/>
        <w:ind w:firstLine="420" w:firstLineChars="200"/>
        <w:rPr>
          <w:rFonts w:ascii="宋体" w:hAnsi="宋体"/>
          <w:color w:val="auto"/>
          <w:highlight w:val="none"/>
        </w:rPr>
      </w:pPr>
      <w:r>
        <w:rPr>
          <w:rFonts w:ascii="宋体" w:hAnsi="宋体"/>
          <w:color w:val="auto"/>
          <w:szCs w:val="28"/>
          <w:highlight w:val="none"/>
        </w:rPr>
        <w:fldChar w:fldCharType="end"/>
      </w:r>
      <w:r>
        <w:rPr>
          <w:rFonts w:ascii="宋体" w:hAnsi="宋体"/>
          <w:color w:val="auto"/>
          <w:highlight w:val="none"/>
        </w:rPr>
        <w:br w:type="page"/>
      </w:r>
    </w:p>
    <w:p>
      <w:pPr>
        <w:pStyle w:val="3"/>
        <w:ind w:firstLine="470"/>
        <w:rPr>
          <w:color w:val="auto"/>
          <w:highlight w:val="none"/>
        </w:rPr>
      </w:pPr>
      <w:bookmarkStart w:id="3" w:name="_Toc11772"/>
      <w:r>
        <w:rPr>
          <w:rFonts w:hint="eastAsia"/>
          <w:color w:val="auto"/>
          <w:highlight w:val="none"/>
        </w:rPr>
        <w:t>第一卷</w:t>
      </w:r>
      <w:bookmarkEnd w:id="3"/>
    </w:p>
    <w:p>
      <w:pPr>
        <w:pStyle w:val="3"/>
        <w:rPr>
          <w:color w:val="auto"/>
          <w:sz w:val="28"/>
          <w:highlight w:val="none"/>
        </w:rPr>
      </w:pPr>
      <w:bookmarkStart w:id="4" w:name="_Toc29404"/>
      <w:bookmarkStart w:id="5" w:name="_Toc533357306"/>
      <w:r>
        <w:rPr>
          <w:rFonts w:hint="eastAsia"/>
          <w:color w:val="auto"/>
          <w:highlight w:val="none"/>
        </w:rPr>
        <w:t>第一章  招标公告</w:t>
      </w:r>
      <w:bookmarkEnd w:id="4"/>
    </w:p>
    <w:p>
      <w:pPr>
        <w:spacing w:line="360" w:lineRule="auto"/>
        <w:jc w:val="center"/>
        <w:rPr>
          <w:rFonts w:ascii="宋体" w:hAnsi="宋体"/>
          <w:color w:val="auto"/>
          <w:sz w:val="24"/>
          <w:szCs w:val="24"/>
          <w:highlight w:val="none"/>
        </w:rPr>
      </w:pPr>
      <w:r>
        <w:rPr>
          <w:rFonts w:hint="eastAsia" w:ascii="宋体" w:hAnsi="宋体"/>
          <w:bCs/>
          <w:color w:val="auto"/>
          <w:sz w:val="24"/>
          <w:szCs w:val="24"/>
          <w:highlight w:val="none"/>
        </w:rPr>
        <w:t>（另册）</w:t>
      </w:r>
    </w:p>
    <w:p>
      <w:pPr>
        <w:spacing w:line="360" w:lineRule="auto"/>
        <w:ind w:left="3986" w:firstLine="421"/>
        <w:rPr>
          <w:rFonts w:ascii="宋体" w:hAnsi="宋体"/>
          <w:color w:val="auto"/>
          <w:highlight w:val="none"/>
        </w:rPr>
      </w:pPr>
    </w:p>
    <w:p>
      <w:pPr>
        <w:pStyle w:val="3"/>
        <w:rPr>
          <w:color w:val="auto"/>
          <w:sz w:val="28"/>
          <w:highlight w:val="none"/>
        </w:rPr>
      </w:pPr>
      <w:bookmarkStart w:id="6" w:name="_Toc514099629"/>
      <w:bookmarkStart w:id="7" w:name="_Toc511557031"/>
      <w:r>
        <w:rPr>
          <w:rFonts w:hint="eastAsia"/>
          <w:color w:val="auto"/>
          <w:highlight w:val="none"/>
        </w:rPr>
        <w:br w:type="page"/>
      </w:r>
      <w:bookmarkEnd w:id="5"/>
      <w:bookmarkEnd w:id="6"/>
      <w:bookmarkEnd w:id="7"/>
      <w:bookmarkStart w:id="8" w:name="_Toc247527536"/>
      <w:bookmarkEnd w:id="8"/>
      <w:bookmarkStart w:id="9" w:name="_Toc152045512"/>
      <w:bookmarkEnd w:id="9"/>
      <w:bookmarkStart w:id="10" w:name="_Toc352691455"/>
      <w:bookmarkEnd w:id="10"/>
      <w:bookmarkStart w:id="11" w:name="_Toc247513934"/>
      <w:bookmarkEnd w:id="11"/>
      <w:bookmarkStart w:id="12" w:name="_Toc369531497"/>
      <w:bookmarkEnd w:id="12"/>
      <w:bookmarkStart w:id="13" w:name="_Toc152042289"/>
      <w:bookmarkEnd w:id="13"/>
      <w:bookmarkStart w:id="14" w:name="_Toc300834929"/>
      <w:bookmarkEnd w:id="14"/>
      <w:bookmarkStart w:id="15" w:name="_Toc384308188"/>
      <w:bookmarkEnd w:id="15"/>
      <w:bookmarkStart w:id="16" w:name="_Toc300834930"/>
      <w:bookmarkEnd w:id="16"/>
      <w:bookmarkStart w:id="17" w:name="_Toc247513935"/>
      <w:bookmarkEnd w:id="17"/>
      <w:bookmarkStart w:id="18" w:name="_Toc300834927"/>
      <w:bookmarkEnd w:id="18"/>
      <w:bookmarkStart w:id="19" w:name="_Toc384308187"/>
      <w:bookmarkEnd w:id="19"/>
      <w:bookmarkStart w:id="20" w:name="_Toc144974480"/>
      <w:bookmarkEnd w:id="20"/>
      <w:bookmarkStart w:id="21" w:name="_Toc384308185"/>
      <w:bookmarkEnd w:id="21"/>
      <w:bookmarkStart w:id="22" w:name="_Toc152042288"/>
      <w:bookmarkEnd w:id="22"/>
      <w:bookmarkStart w:id="23" w:name="_Toc152045513"/>
      <w:bookmarkEnd w:id="23"/>
      <w:bookmarkStart w:id="24" w:name="_Toc361508560"/>
      <w:bookmarkEnd w:id="24"/>
      <w:bookmarkStart w:id="25" w:name="_Toc361508563"/>
      <w:bookmarkEnd w:id="25"/>
      <w:bookmarkStart w:id="26" w:name="_Toc369531495"/>
      <w:bookmarkEnd w:id="26"/>
      <w:bookmarkStart w:id="27" w:name="_Toc361508562"/>
      <w:bookmarkEnd w:id="27"/>
      <w:bookmarkStart w:id="28" w:name="_Toc247527535"/>
      <w:bookmarkEnd w:id="28"/>
      <w:bookmarkStart w:id="29" w:name="_Toc17972"/>
      <w:bookmarkEnd w:id="29"/>
      <w:bookmarkStart w:id="30" w:name="_Toc369531498"/>
      <w:bookmarkEnd w:id="30"/>
      <w:bookmarkStart w:id="31" w:name="_Toc10785"/>
      <w:bookmarkEnd w:id="31"/>
      <w:bookmarkStart w:id="32" w:name="_Toc352691453"/>
      <w:bookmarkEnd w:id="32"/>
      <w:bookmarkStart w:id="33" w:name="_Toc144974481"/>
      <w:bookmarkEnd w:id="33"/>
      <w:bookmarkStart w:id="34" w:name="_Toc352691456"/>
      <w:bookmarkEnd w:id="34"/>
      <w:bookmarkStart w:id="35" w:name="_Toc30817"/>
      <w:bookmarkEnd w:id="35"/>
      <w:bookmarkStart w:id="36" w:name="_Toc14062"/>
      <w:r>
        <w:rPr>
          <w:rFonts w:hint="eastAsia"/>
          <w:color w:val="auto"/>
          <w:highlight w:val="none"/>
        </w:rPr>
        <w:t>第二章  投标人须知</w:t>
      </w:r>
      <w:bookmarkEnd w:id="36"/>
    </w:p>
    <w:p>
      <w:pPr>
        <w:pStyle w:val="4"/>
        <w:rPr>
          <w:rFonts w:ascii="宋体" w:hAnsi="宋体"/>
          <w:color w:val="auto"/>
          <w:highlight w:val="none"/>
        </w:rPr>
      </w:pPr>
      <w:bookmarkStart w:id="37" w:name="_Toc533357307"/>
      <w:bookmarkStart w:id="38" w:name="_Toc16663"/>
      <w:r>
        <w:rPr>
          <w:rFonts w:hint="eastAsia" w:ascii="宋体" w:hAnsi="宋体"/>
          <w:color w:val="auto"/>
          <w:highlight w:val="none"/>
        </w:rPr>
        <w:t>投标人须知前附表</w:t>
      </w:r>
      <w:bookmarkEnd w:id="37"/>
      <w:bookmarkEnd w:id="38"/>
    </w:p>
    <w:tbl>
      <w:tblPr>
        <w:tblStyle w:val="29"/>
        <w:tblpPr w:leftFromText="180" w:rightFromText="180" w:vertAnchor="text" w:horzAnchor="page" w:tblpX="1001" w:tblpY="9"/>
        <w:tblOverlap w:val="never"/>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66"/>
        <w:gridCol w:w="2160"/>
        <w:gridCol w:w="720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blHeader/>
        </w:trPr>
        <w:tc>
          <w:tcPr>
            <w:tcW w:w="866" w:type="dxa"/>
            <w:tcBorders>
              <w:top w:val="single" w:color="auto" w:sz="4" w:space="0"/>
            </w:tcBorders>
            <w:vAlign w:val="center"/>
          </w:tcPr>
          <w:p>
            <w:pPr>
              <w:snapToGrid w:val="0"/>
              <w:spacing w:line="276" w:lineRule="auto"/>
              <w:jc w:val="center"/>
              <w:rPr>
                <w:rFonts w:ascii="宋体" w:hAnsi="宋体"/>
                <w:b/>
                <w:color w:val="auto"/>
                <w:szCs w:val="21"/>
                <w:highlight w:val="none"/>
              </w:rPr>
            </w:pPr>
            <w:r>
              <w:rPr>
                <w:rFonts w:hint="eastAsia" w:ascii="宋体" w:hAnsi="宋体"/>
                <w:b/>
                <w:color w:val="auto"/>
                <w:szCs w:val="21"/>
                <w:highlight w:val="none"/>
              </w:rPr>
              <w:t>条款号</w:t>
            </w:r>
          </w:p>
        </w:tc>
        <w:tc>
          <w:tcPr>
            <w:tcW w:w="2160" w:type="dxa"/>
            <w:tcBorders>
              <w:top w:val="single" w:color="auto" w:sz="4" w:space="0"/>
            </w:tcBorders>
            <w:vAlign w:val="center"/>
          </w:tcPr>
          <w:p>
            <w:pPr>
              <w:snapToGrid w:val="0"/>
              <w:spacing w:line="276" w:lineRule="auto"/>
              <w:jc w:val="center"/>
              <w:rPr>
                <w:rFonts w:ascii="宋体" w:hAnsi="宋体"/>
                <w:b/>
                <w:color w:val="auto"/>
                <w:szCs w:val="21"/>
                <w:highlight w:val="none"/>
              </w:rPr>
            </w:pPr>
            <w:r>
              <w:rPr>
                <w:rFonts w:hint="eastAsia" w:ascii="宋体" w:hAnsi="宋体"/>
                <w:b/>
                <w:color w:val="auto"/>
                <w:szCs w:val="21"/>
                <w:highlight w:val="none"/>
              </w:rPr>
              <w:t>条款名称</w:t>
            </w:r>
          </w:p>
        </w:tc>
        <w:tc>
          <w:tcPr>
            <w:tcW w:w="7200" w:type="dxa"/>
            <w:tcBorders>
              <w:top w:val="single" w:color="auto" w:sz="4" w:space="0"/>
            </w:tcBorders>
            <w:vAlign w:val="center"/>
          </w:tcPr>
          <w:p>
            <w:pPr>
              <w:snapToGrid w:val="0"/>
              <w:spacing w:line="276" w:lineRule="auto"/>
              <w:jc w:val="center"/>
              <w:rPr>
                <w:rFonts w:ascii="宋体" w:hAnsi="宋体"/>
                <w:b/>
                <w:color w:val="auto"/>
                <w:szCs w:val="21"/>
                <w:highlight w:val="none"/>
              </w:rPr>
            </w:pPr>
            <w:r>
              <w:rPr>
                <w:rFonts w:hint="eastAsia" w:ascii="宋体" w:hAnsi="宋体"/>
                <w:b/>
                <w:color w:val="auto"/>
                <w:szCs w:val="21"/>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snapToGrid w:val="0"/>
              <w:spacing w:line="276" w:lineRule="auto"/>
              <w:jc w:val="center"/>
              <w:rPr>
                <w:rFonts w:ascii="宋体" w:hAnsi="宋体"/>
                <w:color w:val="auto"/>
                <w:szCs w:val="21"/>
                <w:highlight w:val="none"/>
              </w:rPr>
            </w:pPr>
            <w:r>
              <w:rPr>
                <w:rFonts w:ascii="宋体" w:hAnsi="宋体"/>
                <w:color w:val="auto"/>
                <w:szCs w:val="21"/>
                <w:highlight w:val="none"/>
              </w:rPr>
              <w:t>1.1.2</w:t>
            </w:r>
          </w:p>
        </w:tc>
        <w:tc>
          <w:tcPr>
            <w:tcW w:w="2160" w:type="dxa"/>
            <w:vAlign w:val="center"/>
          </w:tcPr>
          <w:p>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招标人</w:t>
            </w:r>
          </w:p>
        </w:tc>
        <w:tc>
          <w:tcPr>
            <w:tcW w:w="7200" w:type="dxa"/>
            <w:vAlign w:val="center"/>
          </w:tcPr>
          <w:p>
            <w:pPr>
              <w:spacing w:line="276" w:lineRule="auto"/>
              <w:rPr>
                <w:rFonts w:hint="eastAsia"/>
                <w:lang w:eastAsia="zh-CN"/>
              </w:rPr>
            </w:pPr>
            <w:r>
              <w:rPr>
                <w:rFonts w:hint="eastAsia"/>
              </w:rPr>
              <w:t>名称：</w:t>
            </w:r>
            <w:r>
              <w:rPr>
                <w:rFonts w:hint="eastAsia"/>
                <w:u w:val="single"/>
                <w:lang w:eastAsia="zh-CN"/>
              </w:rPr>
              <w:t>广州开投穗港科创投资运营有限公司</w:t>
            </w:r>
          </w:p>
          <w:p>
            <w:pPr>
              <w:snapToGrid w:val="0"/>
              <w:spacing w:line="276" w:lineRule="auto"/>
              <w:ind w:left="0" w:firstLine="0" w:firstLineChars="0"/>
              <w:rPr>
                <w:rFonts w:hint="eastAsia"/>
                <w:lang w:eastAsia="zh-CN"/>
              </w:rPr>
            </w:pPr>
            <w:r>
              <w:rPr>
                <w:rFonts w:hint="eastAsia"/>
              </w:rPr>
              <w:t>地址：</w:t>
            </w:r>
            <w:r>
              <w:rPr>
                <w:rFonts w:hint="eastAsia"/>
                <w:u w:val="single"/>
                <w:lang w:eastAsia="zh-CN"/>
              </w:rPr>
              <w:t>广州市黄埔区保盈大道45号302房</w:t>
            </w:r>
          </w:p>
          <w:p>
            <w:pPr>
              <w:spacing w:line="276" w:lineRule="auto"/>
              <w:rPr>
                <w:rFonts w:hint="eastAsia"/>
                <w:lang w:val="en-US" w:eastAsia="zh-CN"/>
              </w:rPr>
            </w:pPr>
            <w:r>
              <w:rPr>
                <w:rFonts w:hint="eastAsia"/>
              </w:rPr>
              <w:t>联系人：</w:t>
            </w:r>
            <w:r>
              <w:rPr>
                <w:rFonts w:hint="eastAsia"/>
                <w:u w:val="single"/>
              </w:rPr>
              <w:t>张工</w:t>
            </w:r>
          </w:p>
          <w:p>
            <w:pPr>
              <w:snapToGrid w:val="0"/>
              <w:spacing w:line="276" w:lineRule="auto"/>
              <w:ind w:left="0" w:leftChars="0"/>
            </w:pPr>
            <w:r>
              <w:rPr>
                <w:rFonts w:hint="eastAsia"/>
              </w:rPr>
              <w:t>电话：</w:t>
            </w:r>
            <w:r>
              <w:rPr>
                <w:rFonts w:hint="eastAsia" w:ascii="宋体" w:hAnsi="宋体"/>
                <w:color w:val="auto"/>
                <w:highlight w:val="none"/>
                <w:u w:val="single"/>
              </w:rPr>
              <w:t>020-31604469</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snapToGrid w:val="0"/>
              <w:spacing w:line="276" w:lineRule="auto"/>
              <w:jc w:val="center"/>
              <w:rPr>
                <w:rFonts w:ascii="宋体" w:hAnsi="宋体"/>
                <w:color w:val="auto"/>
                <w:szCs w:val="21"/>
                <w:highlight w:val="none"/>
              </w:rPr>
            </w:pPr>
            <w:r>
              <w:rPr>
                <w:rFonts w:ascii="宋体" w:hAnsi="宋体"/>
                <w:color w:val="auto"/>
                <w:szCs w:val="21"/>
                <w:highlight w:val="none"/>
              </w:rPr>
              <w:t>1.1.3</w:t>
            </w:r>
          </w:p>
        </w:tc>
        <w:tc>
          <w:tcPr>
            <w:tcW w:w="2160" w:type="dxa"/>
            <w:vAlign w:val="center"/>
          </w:tcPr>
          <w:p>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招标代理机构</w:t>
            </w:r>
          </w:p>
        </w:tc>
        <w:tc>
          <w:tcPr>
            <w:tcW w:w="7200" w:type="dxa"/>
            <w:vAlign w:val="center"/>
          </w:tcPr>
          <w:p>
            <w:pPr>
              <w:spacing w:line="276"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名称：</w:t>
            </w:r>
            <w:r>
              <w:rPr>
                <w:rFonts w:hint="eastAsia" w:ascii="宋体" w:hAnsi="宋体" w:cs="宋体"/>
                <w:color w:val="auto"/>
                <w:szCs w:val="21"/>
                <w:highlight w:val="none"/>
                <w:u w:val="single"/>
                <w:lang w:eastAsia="zh-CN"/>
              </w:rPr>
              <w:t>广州天行咨询服务有限公司</w:t>
            </w:r>
          </w:p>
          <w:p>
            <w:pPr>
              <w:spacing w:line="276" w:lineRule="auto"/>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地址：</w:t>
            </w:r>
            <w:r>
              <w:rPr>
                <w:rFonts w:hint="eastAsia" w:ascii="宋体" w:hAnsi="宋体" w:cs="宋体"/>
                <w:color w:val="auto"/>
                <w:szCs w:val="21"/>
                <w:highlight w:val="none"/>
                <w:u w:val="single"/>
                <w:lang w:eastAsia="zh-CN"/>
              </w:rPr>
              <w:t>广东省广州市黄埔区水西路萝岗敏捷广场D3栋514房</w:t>
            </w:r>
          </w:p>
          <w:p>
            <w:pPr>
              <w:spacing w:line="276" w:lineRule="auto"/>
              <w:rPr>
                <w:rFonts w:ascii="宋体" w:hAnsi="宋体" w:cs="宋体"/>
                <w:color w:val="auto"/>
                <w:szCs w:val="21"/>
                <w:highlight w:val="none"/>
              </w:rPr>
            </w:pPr>
            <w:r>
              <w:rPr>
                <w:rFonts w:hint="eastAsia" w:ascii="宋体" w:hAnsi="宋体" w:cs="宋体"/>
                <w:color w:val="auto"/>
                <w:szCs w:val="21"/>
                <w:highlight w:val="none"/>
              </w:rPr>
              <w:t>联系人：</w:t>
            </w:r>
            <w:r>
              <w:rPr>
                <w:rFonts w:hint="eastAsia" w:ascii="宋体" w:hAnsi="宋体" w:cs="宋体"/>
                <w:color w:val="auto"/>
                <w:szCs w:val="21"/>
                <w:highlight w:val="none"/>
                <w:u w:val="single"/>
                <w:lang w:val="en-US" w:eastAsia="zh-CN"/>
              </w:rPr>
              <w:t>车工</w:t>
            </w:r>
          </w:p>
          <w:p>
            <w:pPr>
              <w:snapToGrid w:val="0"/>
              <w:spacing w:line="276" w:lineRule="auto"/>
              <w:rPr>
                <w:rFonts w:hint="default" w:ascii="宋体" w:hAnsi="宋体" w:eastAsia="宋体"/>
                <w:color w:val="auto"/>
                <w:szCs w:val="21"/>
                <w:highlight w:val="none"/>
                <w:lang w:val="en-US" w:eastAsia="zh-CN"/>
              </w:rPr>
            </w:pPr>
            <w:r>
              <w:rPr>
                <w:rFonts w:hint="eastAsia" w:ascii="宋体" w:hAnsi="宋体" w:cs="宋体"/>
                <w:color w:val="auto"/>
                <w:szCs w:val="21"/>
                <w:highlight w:val="none"/>
              </w:rPr>
              <w:t>电话：</w:t>
            </w:r>
            <w:r>
              <w:rPr>
                <w:rFonts w:hint="eastAsia" w:ascii="宋体" w:hAnsi="宋体" w:cs="宋体"/>
                <w:color w:val="auto"/>
                <w:szCs w:val="21"/>
                <w:highlight w:val="none"/>
                <w:u w:val="single"/>
                <w:lang w:eastAsia="zh-CN"/>
              </w:rPr>
              <w:t>020－</w:t>
            </w:r>
            <w:r>
              <w:rPr>
                <w:rFonts w:hint="eastAsia" w:ascii="宋体" w:hAnsi="宋体" w:cs="宋体"/>
                <w:color w:val="auto"/>
                <w:szCs w:val="21"/>
                <w:highlight w:val="none"/>
                <w:u w:val="single"/>
                <w:lang w:val="en-US" w:eastAsia="zh-CN"/>
              </w:rPr>
              <w:t>31604261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snapToGrid w:val="0"/>
              <w:spacing w:line="276" w:lineRule="auto"/>
              <w:jc w:val="center"/>
              <w:rPr>
                <w:rFonts w:ascii="宋体" w:hAnsi="宋体"/>
                <w:color w:val="auto"/>
                <w:szCs w:val="21"/>
                <w:highlight w:val="none"/>
              </w:rPr>
            </w:pPr>
            <w:r>
              <w:rPr>
                <w:rFonts w:ascii="宋体" w:hAnsi="宋体"/>
                <w:color w:val="auto"/>
                <w:szCs w:val="21"/>
                <w:highlight w:val="none"/>
              </w:rPr>
              <w:t>1.1.4</w:t>
            </w:r>
          </w:p>
        </w:tc>
        <w:tc>
          <w:tcPr>
            <w:tcW w:w="2160" w:type="dxa"/>
            <w:vAlign w:val="center"/>
          </w:tcPr>
          <w:p>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招标项目名称</w:t>
            </w:r>
          </w:p>
        </w:tc>
        <w:tc>
          <w:tcPr>
            <w:tcW w:w="7200" w:type="dxa"/>
            <w:vAlign w:val="center"/>
          </w:tcPr>
          <w:p>
            <w:pPr>
              <w:snapToGrid w:val="0"/>
              <w:spacing w:line="276" w:lineRule="auto"/>
              <w:jc w:val="left"/>
              <w:rPr>
                <w:rFonts w:hint="eastAsia" w:ascii="宋体" w:hAnsi="宋体" w:eastAsia="宋体"/>
                <w:color w:val="auto"/>
                <w:szCs w:val="21"/>
                <w:highlight w:val="none"/>
                <w:u w:val="single"/>
                <w:lang w:eastAsia="zh-CN"/>
              </w:rPr>
            </w:pPr>
            <w:r>
              <w:rPr>
                <w:rFonts w:hint="eastAsia" w:ascii="宋体" w:hAnsi="宋体"/>
                <w:color w:val="auto"/>
                <w:szCs w:val="21"/>
                <w:highlight w:val="none"/>
                <w:u w:val="single"/>
                <w:lang w:eastAsia="zh-CN"/>
              </w:rPr>
              <w:t>西区智造科创园（高清光学显示芯片项目）第三方检测、监测</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snapToGrid w:val="0"/>
              <w:spacing w:line="276" w:lineRule="auto"/>
              <w:jc w:val="center"/>
              <w:rPr>
                <w:rFonts w:ascii="宋体" w:hAnsi="宋体"/>
                <w:color w:val="auto"/>
                <w:szCs w:val="21"/>
                <w:highlight w:val="none"/>
              </w:rPr>
            </w:pPr>
            <w:r>
              <w:rPr>
                <w:rFonts w:ascii="宋体" w:hAnsi="宋体"/>
                <w:color w:val="auto"/>
                <w:szCs w:val="21"/>
                <w:highlight w:val="none"/>
              </w:rPr>
              <w:t>1.1.5</w:t>
            </w:r>
          </w:p>
        </w:tc>
        <w:tc>
          <w:tcPr>
            <w:tcW w:w="2160" w:type="dxa"/>
            <w:vAlign w:val="center"/>
          </w:tcPr>
          <w:p>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项目建设地点</w:t>
            </w:r>
          </w:p>
        </w:tc>
        <w:tc>
          <w:tcPr>
            <w:tcW w:w="7200" w:type="dxa"/>
            <w:vAlign w:val="center"/>
          </w:tcPr>
          <w:p>
            <w:pPr>
              <w:snapToGrid w:val="0"/>
              <w:spacing w:line="276" w:lineRule="auto"/>
              <w:jc w:val="left"/>
              <w:rPr>
                <w:rFonts w:ascii="宋体" w:hAnsi="宋体"/>
                <w:color w:val="auto"/>
                <w:szCs w:val="21"/>
                <w:highlight w:val="none"/>
              </w:rPr>
            </w:pPr>
            <w:r>
              <w:rPr>
                <w:rFonts w:hint="eastAsia" w:ascii="宋体" w:hAnsi="宋体"/>
                <w:color w:val="auto"/>
                <w:szCs w:val="21"/>
                <w:highlight w:val="none"/>
              </w:rPr>
              <w:t>详见招标公告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snapToGrid w:val="0"/>
              <w:spacing w:line="276" w:lineRule="auto"/>
              <w:jc w:val="center"/>
              <w:rPr>
                <w:rFonts w:ascii="宋体" w:hAnsi="宋体"/>
                <w:color w:val="auto"/>
                <w:szCs w:val="21"/>
                <w:highlight w:val="none"/>
              </w:rPr>
            </w:pPr>
            <w:r>
              <w:rPr>
                <w:rFonts w:ascii="宋体" w:hAnsi="宋体"/>
                <w:color w:val="auto"/>
                <w:szCs w:val="21"/>
                <w:highlight w:val="none"/>
              </w:rPr>
              <w:t>1.1.6</w:t>
            </w:r>
          </w:p>
        </w:tc>
        <w:tc>
          <w:tcPr>
            <w:tcW w:w="2160" w:type="dxa"/>
            <w:vAlign w:val="center"/>
          </w:tcPr>
          <w:p>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项目建设规模</w:t>
            </w:r>
          </w:p>
        </w:tc>
        <w:tc>
          <w:tcPr>
            <w:tcW w:w="7200" w:type="dxa"/>
            <w:vAlign w:val="center"/>
          </w:tcPr>
          <w:p>
            <w:pPr>
              <w:snapToGrid w:val="0"/>
              <w:spacing w:line="276" w:lineRule="auto"/>
              <w:ind w:right="106"/>
              <w:jc w:val="left"/>
              <w:rPr>
                <w:rFonts w:ascii="宋体" w:hAnsi="宋体"/>
                <w:color w:val="auto"/>
                <w:szCs w:val="21"/>
                <w:highlight w:val="none"/>
              </w:rPr>
            </w:pPr>
            <w:r>
              <w:rPr>
                <w:rFonts w:hint="eastAsia" w:ascii="宋体" w:hAnsi="宋体"/>
                <w:color w:val="auto"/>
                <w:szCs w:val="21"/>
                <w:highlight w:val="none"/>
              </w:rPr>
              <w:t>详见招标公告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snapToGrid w:val="0"/>
              <w:spacing w:line="276" w:lineRule="auto"/>
              <w:jc w:val="center"/>
              <w:rPr>
                <w:rFonts w:ascii="宋体" w:hAnsi="宋体"/>
                <w:color w:val="auto"/>
                <w:szCs w:val="21"/>
                <w:highlight w:val="none"/>
              </w:rPr>
            </w:pPr>
            <w:r>
              <w:rPr>
                <w:rFonts w:ascii="宋体" w:hAnsi="宋体"/>
                <w:color w:val="auto"/>
                <w:szCs w:val="21"/>
                <w:highlight w:val="none"/>
              </w:rPr>
              <w:t>1.1.7</w:t>
            </w:r>
          </w:p>
        </w:tc>
        <w:tc>
          <w:tcPr>
            <w:tcW w:w="2160" w:type="dxa"/>
            <w:vAlign w:val="center"/>
          </w:tcPr>
          <w:p>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工程项目施工预计开工日期和建设周期</w:t>
            </w:r>
          </w:p>
        </w:tc>
        <w:tc>
          <w:tcPr>
            <w:tcW w:w="7200" w:type="dxa"/>
            <w:vAlign w:val="center"/>
          </w:tcPr>
          <w:p>
            <w:pPr>
              <w:snapToGrid w:val="0"/>
              <w:spacing w:line="276" w:lineRule="auto"/>
              <w:rPr>
                <w:rFonts w:ascii="宋体" w:hAnsi="宋体"/>
                <w:color w:val="auto"/>
                <w:szCs w:val="21"/>
                <w:highlight w:val="none"/>
              </w:rPr>
            </w:pP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866" w:type="dxa"/>
            <w:vAlign w:val="center"/>
          </w:tcPr>
          <w:p>
            <w:pPr>
              <w:snapToGrid w:val="0"/>
              <w:spacing w:line="276" w:lineRule="auto"/>
              <w:jc w:val="center"/>
              <w:rPr>
                <w:rFonts w:ascii="宋体" w:hAnsi="宋体"/>
                <w:color w:val="auto"/>
                <w:szCs w:val="21"/>
                <w:highlight w:val="none"/>
              </w:rPr>
            </w:pPr>
            <w:r>
              <w:rPr>
                <w:rFonts w:ascii="宋体" w:hAnsi="宋体"/>
                <w:color w:val="auto"/>
                <w:szCs w:val="21"/>
                <w:highlight w:val="none"/>
              </w:rPr>
              <w:t>1.1.8</w:t>
            </w:r>
          </w:p>
        </w:tc>
        <w:tc>
          <w:tcPr>
            <w:tcW w:w="2160" w:type="dxa"/>
            <w:vAlign w:val="center"/>
          </w:tcPr>
          <w:p>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建筑安装工程费</w:t>
            </w:r>
            <w:r>
              <w:rPr>
                <w:rFonts w:ascii="宋体" w:hAnsi="宋体"/>
                <w:color w:val="auto"/>
                <w:szCs w:val="21"/>
                <w:highlight w:val="none"/>
              </w:rPr>
              <w:t>/</w:t>
            </w:r>
            <w:r>
              <w:rPr>
                <w:rFonts w:hint="eastAsia" w:ascii="宋体" w:hAnsi="宋体"/>
                <w:color w:val="auto"/>
                <w:szCs w:val="21"/>
                <w:highlight w:val="none"/>
              </w:rPr>
              <w:t>工程概算</w:t>
            </w:r>
          </w:p>
        </w:tc>
        <w:tc>
          <w:tcPr>
            <w:tcW w:w="7200" w:type="dxa"/>
            <w:vAlign w:val="center"/>
          </w:tcPr>
          <w:p>
            <w:pPr>
              <w:snapToGrid w:val="0"/>
              <w:spacing w:line="276" w:lineRule="auto"/>
              <w:jc w:val="left"/>
              <w:rPr>
                <w:rFonts w:hint="eastAsia" w:ascii="宋体" w:hAnsi="宋体" w:eastAsia="宋体"/>
                <w:color w:val="auto"/>
                <w:szCs w:val="21"/>
                <w:highlight w:val="none"/>
                <w:lang w:eastAsia="zh-CN"/>
              </w:rPr>
            </w:pP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snapToGrid w:val="0"/>
              <w:spacing w:line="276" w:lineRule="auto"/>
              <w:jc w:val="center"/>
              <w:rPr>
                <w:rFonts w:ascii="宋体" w:hAnsi="宋体"/>
                <w:color w:val="auto"/>
                <w:szCs w:val="21"/>
                <w:highlight w:val="none"/>
              </w:rPr>
            </w:pPr>
            <w:r>
              <w:rPr>
                <w:rFonts w:ascii="宋体" w:hAnsi="宋体"/>
                <w:color w:val="auto"/>
                <w:szCs w:val="21"/>
                <w:highlight w:val="none"/>
              </w:rPr>
              <w:t>1.2.1</w:t>
            </w:r>
          </w:p>
        </w:tc>
        <w:tc>
          <w:tcPr>
            <w:tcW w:w="2160" w:type="dxa"/>
            <w:vAlign w:val="center"/>
          </w:tcPr>
          <w:p>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资金来源及比例</w:t>
            </w:r>
          </w:p>
        </w:tc>
        <w:tc>
          <w:tcPr>
            <w:tcW w:w="7200" w:type="dxa"/>
            <w:vAlign w:val="center"/>
          </w:tcPr>
          <w:p>
            <w:pPr>
              <w:snapToGrid w:val="0"/>
              <w:spacing w:line="276" w:lineRule="auto"/>
              <w:jc w:val="left"/>
              <w:rPr>
                <w:rFonts w:ascii="宋体" w:hAnsi="宋体"/>
                <w:color w:val="auto"/>
                <w:szCs w:val="21"/>
                <w:highlight w:val="none"/>
              </w:rPr>
            </w:pPr>
            <w:r>
              <w:rPr>
                <w:rFonts w:hint="eastAsia" w:ascii="宋体" w:hAnsi="宋体"/>
                <w:color w:val="auto"/>
                <w:szCs w:val="21"/>
                <w:highlight w:val="none"/>
              </w:rPr>
              <w:t>详见招标公告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snapToGrid w:val="0"/>
              <w:spacing w:line="276" w:lineRule="auto"/>
              <w:jc w:val="center"/>
              <w:rPr>
                <w:rFonts w:ascii="宋体" w:hAnsi="宋体"/>
                <w:color w:val="auto"/>
                <w:szCs w:val="21"/>
                <w:highlight w:val="none"/>
              </w:rPr>
            </w:pPr>
            <w:r>
              <w:rPr>
                <w:rFonts w:ascii="宋体" w:hAnsi="宋体"/>
                <w:color w:val="auto"/>
                <w:szCs w:val="21"/>
                <w:highlight w:val="none"/>
              </w:rPr>
              <w:t>1.2.2</w:t>
            </w:r>
          </w:p>
        </w:tc>
        <w:tc>
          <w:tcPr>
            <w:tcW w:w="2160" w:type="dxa"/>
            <w:vAlign w:val="center"/>
          </w:tcPr>
          <w:p>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资金落实情况</w:t>
            </w:r>
          </w:p>
        </w:tc>
        <w:tc>
          <w:tcPr>
            <w:tcW w:w="7200" w:type="dxa"/>
            <w:vAlign w:val="center"/>
          </w:tcPr>
          <w:p>
            <w:pPr>
              <w:snapToGrid w:val="0"/>
              <w:spacing w:line="276" w:lineRule="auto"/>
              <w:jc w:val="left"/>
              <w:rPr>
                <w:rFonts w:ascii="宋体" w:hAnsi="宋体"/>
                <w:color w:val="auto"/>
                <w:szCs w:val="21"/>
                <w:highlight w:val="none"/>
              </w:rPr>
            </w:pPr>
            <w:r>
              <w:rPr>
                <w:rFonts w:hint="eastAsia" w:ascii="宋体" w:hAnsi="宋体"/>
                <w:color w:val="auto"/>
                <w:szCs w:val="21"/>
                <w:highlight w:val="none"/>
              </w:rPr>
              <w:t>详见招标公告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snapToGrid w:val="0"/>
              <w:spacing w:line="276" w:lineRule="auto"/>
              <w:jc w:val="center"/>
              <w:rPr>
                <w:rFonts w:ascii="宋体" w:hAnsi="宋体"/>
                <w:color w:val="auto"/>
                <w:szCs w:val="21"/>
                <w:highlight w:val="none"/>
              </w:rPr>
            </w:pPr>
            <w:r>
              <w:rPr>
                <w:rFonts w:ascii="宋体" w:hAnsi="宋体"/>
                <w:color w:val="auto"/>
                <w:szCs w:val="21"/>
                <w:highlight w:val="none"/>
              </w:rPr>
              <w:t>1.3.1</w:t>
            </w:r>
          </w:p>
        </w:tc>
        <w:tc>
          <w:tcPr>
            <w:tcW w:w="2160" w:type="dxa"/>
            <w:vAlign w:val="center"/>
          </w:tcPr>
          <w:p>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招标范围</w:t>
            </w:r>
          </w:p>
        </w:tc>
        <w:tc>
          <w:tcPr>
            <w:tcW w:w="7200" w:type="dxa"/>
            <w:vAlign w:val="center"/>
          </w:tcPr>
          <w:p>
            <w:pPr>
              <w:snapToGrid w:val="0"/>
              <w:spacing w:line="276" w:lineRule="auto"/>
              <w:ind w:right="106"/>
              <w:jc w:val="left"/>
              <w:rPr>
                <w:rFonts w:ascii="宋体" w:hAnsi="宋体"/>
                <w:color w:val="auto"/>
                <w:szCs w:val="21"/>
                <w:highlight w:val="none"/>
              </w:rPr>
            </w:pPr>
            <w:r>
              <w:rPr>
                <w:rFonts w:hint="eastAsia" w:ascii="宋体" w:hAnsi="宋体"/>
                <w:color w:val="auto"/>
                <w:szCs w:val="21"/>
                <w:highlight w:val="none"/>
              </w:rPr>
              <w:t>详见招标公告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snapToGrid w:val="0"/>
              <w:spacing w:line="276" w:lineRule="auto"/>
              <w:jc w:val="center"/>
              <w:rPr>
                <w:rFonts w:ascii="宋体" w:hAnsi="宋体"/>
                <w:color w:val="auto"/>
                <w:szCs w:val="21"/>
                <w:highlight w:val="none"/>
              </w:rPr>
            </w:pPr>
            <w:r>
              <w:rPr>
                <w:rFonts w:ascii="宋体" w:hAnsi="宋体"/>
                <w:color w:val="auto"/>
                <w:szCs w:val="21"/>
                <w:highlight w:val="none"/>
              </w:rPr>
              <w:t>1.3.2</w:t>
            </w:r>
          </w:p>
        </w:tc>
        <w:tc>
          <w:tcPr>
            <w:tcW w:w="2160" w:type="dxa"/>
            <w:vAlign w:val="center"/>
          </w:tcPr>
          <w:p>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服务期</w:t>
            </w:r>
          </w:p>
        </w:tc>
        <w:tc>
          <w:tcPr>
            <w:tcW w:w="7200" w:type="dxa"/>
            <w:vAlign w:val="center"/>
          </w:tcPr>
          <w:p>
            <w:pPr>
              <w:snapToGrid w:val="0"/>
              <w:spacing w:line="276" w:lineRule="auto"/>
              <w:ind w:right="106"/>
              <w:jc w:val="left"/>
              <w:rPr>
                <w:rFonts w:hint="eastAsia" w:ascii="宋体" w:hAnsi="宋体" w:eastAsia="宋体"/>
                <w:color w:val="auto"/>
                <w:szCs w:val="21"/>
                <w:highlight w:val="none"/>
                <w:u w:val="single"/>
                <w:lang w:eastAsia="zh-CN"/>
              </w:rPr>
            </w:pPr>
            <w:r>
              <w:rPr>
                <w:rFonts w:hint="eastAsia" w:ascii="宋体" w:hAnsi="宋体"/>
                <w:color w:val="auto"/>
                <w:szCs w:val="21"/>
                <w:highlight w:val="none"/>
                <w:u w:val="single"/>
              </w:rPr>
              <w:t>从中标单位进场至所有服务项目完成，服务周期必须满足实际施工及竣工验收要求。进场日期以招标人通知时间为准。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snapToGrid w:val="0"/>
              <w:spacing w:line="276" w:lineRule="auto"/>
              <w:jc w:val="center"/>
              <w:rPr>
                <w:rFonts w:ascii="宋体" w:hAnsi="宋体"/>
                <w:color w:val="auto"/>
                <w:szCs w:val="21"/>
                <w:highlight w:val="none"/>
              </w:rPr>
            </w:pPr>
            <w:r>
              <w:rPr>
                <w:rFonts w:ascii="宋体" w:hAnsi="宋体"/>
                <w:color w:val="auto"/>
                <w:szCs w:val="21"/>
                <w:highlight w:val="none"/>
              </w:rPr>
              <w:t>1.3.3</w:t>
            </w:r>
          </w:p>
        </w:tc>
        <w:tc>
          <w:tcPr>
            <w:tcW w:w="2160" w:type="dxa"/>
            <w:vAlign w:val="center"/>
          </w:tcPr>
          <w:p>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质量标准</w:t>
            </w:r>
          </w:p>
        </w:tc>
        <w:tc>
          <w:tcPr>
            <w:tcW w:w="7200" w:type="dxa"/>
            <w:vAlign w:val="center"/>
          </w:tcPr>
          <w:p>
            <w:pPr>
              <w:pStyle w:val="27"/>
              <w:snapToGrid w:val="0"/>
              <w:spacing w:line="276" w:lineRule="auto"/>
              <w:ind w:firstLine="0"/>
              <w:rPr>
                <w:rFonts w:ascii="宋体" w:hAnsi="宋体" w:cs="宋体"/>
                <w:color w:val="auto"/>
                <w:szCs w:val="21"/>
                <w:highlight w:val="none"/>
              </w:rPr>
            </w:pPr>
            <w:r>
              <w:rPr>
                <w:rFonts w:hint="eastAsia" w:ascii="宋体" w:hAnsi="宋体"/>
                <w:color w:val="auto"/>
                <w:szCs w:val="21"/>
                <w:highlight w:val="none"/>
              </w:rPr>
              <w:t>符合国家及省、市有关检测</w:t>
            </w:r>
            <w:r>
              <w:rPr>
                <w:rFonts w:hint="eastAsia" w:ascii="宋体" w:hAnsi="宋体"/>
                <w:color w:val="auto"/>
                <w:szCs w:val="21"/>
                <w:highlight w:val="none"/>
                <w:lang w:val="en-US" w:eastAsia="zh-CN"/>
              </w:rPr>
              <w:t>及监测</w:t>
            </w:r>
            <w:r>
              <w:rPr>
                <w:rFonts w:hint="eastAsia" w:ascii="宋体" w:hAnsi="宋体"/>
                <w:color w:val="auto"/>
                <w:szCs w:val="21"/>
                <w:highlight w:val="none"/>
              </w:rPr>
              <w:t>标准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snapToGrid w:val="0"/>
              <w:spacing w:line="276" w:lineRule="auto"/>
              <w:jc w:val="center"/>
              <w:rPr>
                <w:rFonts w:ascii="宋体" w:hAnsi="宋体"/>
                <w:color w:val="auto"/>
                <w:szCs w:val="21"/>
                <w:highlight w:val="none"/>
              </w:rPr>
            </w:pPr>
            <w:r>
              <w:rPr>
                <w:rFonts w:ascii="宋体" w:hAnsi="宋体"/>
                <w:color w:val="auto"/>
                <w:szCs w:val="21"/>
                <w:highlight w:val="none"/>
              </w:rPr>
              <w:t>1.4.1</w:t>
            </w:r>
          </w:p>
        </w:tc>
        <w:tc>
          <w:tcPr>
            <w:tcW w:w="2160" w:type="dxa"/>
            <w:vAlign w:val="center"/>
          </w:tcPr>
          <w:p>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投标人资质条件、能力、信誉</w:t>
            </w:r>
          </w:p>
        </w:tc>
        <w:tc>
          <w:tcPr>
            <w:tcW w:w="7200" w:type="dxa"/>
            <w:vAlign w:val="center"/>
          </w:tcPr>
          <w:p>
            <w:pPr>
              <w:snapToGrid w:val="0"/>
              <w:spacing w:line="276" w:lineRule="auto"/>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）资质要求：见招标公告投标人资格要求。</w:t>
            </w:r>
          </w:p>
          <w:p>
            <w:pPr>
              <w:snapToGrid w:val="0"/>
              <w:spacing w:line="276" w:lineRule="auto"/>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）财务要求：</w:t>
            </w:r>
            <w:r>
              <w:rPr>
                <w:rFonts w:ascii="宋体" w:hAnsi="宋体" w:cs="宋体"/>
                <w:color w:val="auto"/>
                <w:szCs w:val="21"/>
                <w:highlight w:val="none"/>
              </w:rPr>
              <w:t>/</w:t>
            </w:r>
          </w:p>
          <w:p>
            <w:pPr>
              <w:snapToGrid w:val="0"/>
              <w:spacing w:line="276" w:lineRule="auto"/>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）业绩要求：</w:t>
            </w:r>
            <w:r>
              <w:rPr>
                <w:rFonts w:ascii="宋体" w:hAnsi="宋体"/>
                <w:color w:val="auto"/>
                <w:szCs w:val="21"/>
                <w:highlight w:val="none"/>
              </w:rPr>
              <w:t>/</w:t>
            </w:r>
          </w:p>
          <w:p>
            <w:pPr>
              <w:snapToGrid w:val="0"/>
              <w:spacing w:line="276" w:lineRule="auto"/>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）信誉要求：</w:t>
            </w:r>
            <w:r>
              <w:rPr>
                <w:rFonts w:ascii="宋体" w:hAnsi="宋体" w:cs="宋体"/>
                <w:color w:val="auto"/>
                <w:szCs w:val="21"/>
                <w:highlight w:val="none"/>
              </w:rPr>
              <w:t>/</w:t>
            </w:r>
          </w:p>
          <w:p>
            <w:pPr>
              <w:snapToGrid w:val="0"/>
              <w:spacing w:line="276" w:lineRule="auto"/>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5</w:t>
            </w:r>
            <w:r>
              <w:rPr>
                <w:rFonts w:hint="eastAsia" w:ascii="宋体" w:hAnsi="宋体"/>
                <w:color w:val="auto"/>
                <w:szCs w:val="21"/>
                <w:highlight w:val="none"/>
              </w:rPr>
              <w:t>）项目负责人的资格要求：见招标公告投标人资格要求。</w:t>
            </w:r>
          </w:p>
          <w:p>
            <w:pPr>
              <w:snapToGrid w:val="0"/>
              <w:spacing w:line="276" w:lineRule="auto"/>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6</w:t>
            </w:r>
            <w:r>
              <w:rPr>
                <w:rFonts w:hint="eastAsia" w:ascii="宋体" w:hAnsi="宋体"/>
                <w:color w:val="auto"/>
                <w:szCs w:val="21"/>
                <w:highlight w:val="none"/>
              </w:rPr>
              <w:t>）其他主要人员要求：</w:t>
            </w:r>
            <w:r>
              <w:rPr>
                <w:rFonts w:ascii="宋体" w:hAnsi="宋体"/>
                <w:color w:val="auto"/>
                <w:szCs w:val="21"/>
                <w:highlight w:val="none"/>
              </w:rPr>
              <w:t>/</w:t>
            </w:r>
            <w:r>
              <w:rPr>
                <w:rFonts w:hint="eastAsia" w:ascii="宋体" w:hAnsi="宋体"/>
                <w:color w:val="auto"/>
                <w:szCs w:val="21"/>
                <w:highlight w:val="none"/>
              </w:rPr>
              <w:t>。</w:t>
            </w:r>
          </w:p>
          <w:p>
            <w:pPr>
              <w:snapToGrid w:val="0"/>
              <w:spacing w:line="276" w:lineRule="auto"/>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7</w:t>
            </w:r>
            <w:r>
              <w:rPr>
                <w:rFonts w:hint="eastAsia" w:ascii="宋体" w:hAnsi="宋体"/>
                <w:color w:val="auto"/>
                <w:szCs w:val="21"/>
                <w:highlight w:val="none"/>
              </w:rPr>
              <w:t>）试验检测仪器设备要求：</w:t>
            </w:r>
            <w:r>
              <w:rPr>
                <w:rFonts w:ascii="宋体" w:hAnsi="宋体" w:cs="宋体"/>
                <w:color w:val="auto"/>
                <w:szCs w:val="21"/>
                <w:highlight w:val="none"/>
              </w:rPr>
              <w:t>/</w:t>
            </w:r>
            <w:r>
              <w:rPr>
                <w:rFonts w:hint="eastAsia" w:ascii="宋体" w:hAnsi="宋体" w:cs="宋体"/>
                <w:color w:val="auto"/>
                <w:szCs w:val="21"/>
                <w:highlight w:val="none"/>
              </w:rPr>
              <w:t>。</w:t>
            </w:r>
          </w:p>
          <w:p>
            <w:pPr>
              <w:snapToGrid w:val="0"/>
              <w:spacing w:line="276" w:lineRule="auto"/>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8</w:t>
            </w:r>
            <w:r>
              <w:rPr>
                <w:rFonts w:hint="eastAsia" w:ascii="宋体" w:hAnsi="宋体"/>
                <w:color w:val="auto"/>
                <w:szCs w:val="21"/>
                <w:highlight w:val="none"/>
              </w:rPr>
              <w:t>）其他要求：见招标公告投标人资格要求。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snapToGrid w:val="0"/>
              <w:spacing w:line="276" w:lineRule="auto"/>
              <w:jc w:val="center"/>
              <w:rPr>
                <w:rFonts w:ascii="宋体" w:hAnsi="宋体"/>
                <w:color w:val="auto"/>
                <w:szCs w:val="21"/>
                <w:highlight w:val="none"/>
              </w:rPr>
            </w:pPr>
            <w:r>
              <w:rPr>
                <w:rFonts w:ascii="宋体" w:hAnsi="宋体"/>
                <w:color w:val="auto"/>
                <w:szCs w:val="21"/>
                <w:highlight w:val="none"/>
              </w:rPr>
              <w:t>1.4.2</w:t>
            </w:r>
          </w:p>
        </w:tc>
        <w:tc>
          <w:tcPr>
            <w:tcW w:w="2160" w:type="dxa"/>
            <w:vAlign w:val="center"/>
          </w:tcPr>
          <w:p>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是否接受联合体投标</w:t>
            </w:r>
          </w:p>
        </w:tc>
        <w:tc>
          <w:tcPr>
            <w:tcW w:w="7200" w:type="dxa"/>
            <w:vAlign w:val="center"/>
          </w:tcPr>
          <w:p>
            <w:pPr>
              <w:snapToGrid w:val="0"/>
              <w:spacing w:line="276" w:lineRule="auto"/>
              <w:ind w:right="-238"/>
              <w:rPr>
                <w:rFonts w:ascii="宋体" w:hAnsi="宋体"/>
                <w:color w:val="auto"/>
                <w:szCs w:val="21"/>
                <w:highlight w:val="none"/>
              </w:rPr>
            </w:pPr>
            <w:r>
              <w:rPr>
                <w:rFonts w:hint="eastAsia" w:hAnsi="宋体"/>
                <w:color w:val="auto"/>
                <w:sz w:val="21"/>
                <w:szCs w:val="21"/>
                <w:highlight w:val="none"/>
              </w:rPr>
              <w:t>□</w:t>
            </w:r>
            <w:r>
              <w:rPr>
                <w:rFonts w:hint="eastAsia" w:ascii="宋体" w:hAnsi="宋体" w:cs="宋体"/>
                <w:color w:val="auto"/>
                <w:position w:val="3"/>
                <w:szCs w:val="21"/>
                <w:highlight w:val="none"/>
              </w:rPr>
              <w:t>不接受</w:t>
            </w:r>
          </w:p>
          <w:p>
            <w:pPr>
              <w:spacing w:line="276" w:lineRule="auto"/>
              <w:rPr>
                <w:rFonts w:ascii="宋体" w:hAnsi="宋体"/>
                <w:color w:val="auto"/>
                <w:szCs w:val="21"/>
                <w:highlight w:val="none"/>
              </w:rPr>
            </w:pPr>
            <w:r>
              <w:rPr>
                <w:rFonts w:hint="eastAsia" w:ascii="宋体" w:hAnsi="宋体"/>
                <w:color w:val="auto"/>
                <w:spacing w:val="-1"/>
                <w:szCs w:val="21"/>
                <w:highlight w:val="none"/>
              </w:rPr>
              <w:t>■</w:t>
            </w:r>
            <w:r>
              <w:rPr>
                <w:rFonts w:hint="eastAsia" w:ascii="宋体" w:hAnsi="宋体"/>
                <w:color w:val="auto"/>
                <w:szCs w:val="21"/>
                <w:highlight w:val="none"/>
              </w:rPr>
              <w:t>接受，应满足下列要求：详见招标公告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snapToGrid w:val="0"/>
              <w:spacing w:line="276" w:lineRule="auto"/>
              <w:jc w:val="center"/>
              <w:rPr>
                <w:rFonts w:ascii="宋体" w:hAnsi="宋体"/>
                <w:color w:val="auto"/>
                <w:szCs w:val="21"/>
                <w:highlight w:val="none"/>
              </w:rPr>
            </w:pPr>
            <w:r>
              <w:rPr>
                <w:rFonts w:ascii="宋体" w:hAnsi="宋体"/>
                <w:color w:val="auto"/>
                <w:szCs w:val="21"/>
                <w:highlight w:val="none"/>
              </w:rPr>
              <w:t>1.4.3</w:t>
            </w:r>
          </w:p>
        </w:tc>
        <w:tc>
          <w:tcPr>
            <w:tcW w:w="2160" w:type="dxa"/>
            <w:vAlign w:val="center"/>
          </w:tcPr>
          <w:p>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投标人不得存在的其他情形</w:t>
            </w:r>
          </w:p>
        </w:tc>
        <w:tc>
          <w:tcPr>
            <w:tcW w:w="7200" w:type="dxa"/>
            <w:vAlign w:val="center"/>
          </w:tcPr>
          <w:p>
            <w:pPr>
              <w:topLinePunct/>
              <w:snapToGrid w:val="0"/>
              <w:spacing w:line="276" w:lineRule="auto"/>
              <w:rPr>
                <w:rFonts w:ascii="宋体" w:hAnsi="宋体"/>
                <w:color w:val="auto"/>
                <w:szCs w:val="21"/>
                <w:highlight w:val="none"/>
                <w:u w:val="single"/>
              </w:rPr>
            </w:pPr>
            <w:r>
              <w:rPr>
                <w:rFonts w:hint="eastAsia" w:ascii="宋体" w:hAnsi="宋体"/>
                <w:color w:val="auto"/>
                <w:szCs w:val="21"/>
                <w:highlight w:val="none"/>
                <w:u w:val="single"/>
              </w:rPr>
              <w:t>在近三年内投标人或其法定代表人、拟委任的项目负责人有行贿犯罪行为的。</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20" w:hRule="atLeast"/>
        </w:trPr>
        <w:tc>
          <w:tcPr>
            <w:tcW w:w="866" w:type="dxa"/>
            <w:vAlign w:val="center"/>
          </w:tcPr>
          <w:p>
            <w:pPr>
              <w:snapToGrid w:val="0"/>
              <w:spacing w:line="276" w:lineRule="auto"/>
              <w:jc w:val="center"/>
              <w:rPr>
                <w:rFonts w:ascii="宋体" w:hAnsi="宋体"/>
                <w:color w:val="auto"/>
                <w:szCs w:val="21"/>
                <w:highlight w:val="none"/>
              </w:rPr>
            </w:pPr>
            <w:r>
              <w:rPr>
                <w:rFonts w:ascii="宋体" w:hAnsi="宋体"/>
                <w:color w:val="auto"/>
                <w:szCs w:val="21"/>
                <w:highlight w:val="none"/>
              </w:rPr>
              <w:t>1.9.1</w:t>
            </w:r>
          </w:p>
        </w:tc>
        <w:tc>
          <w:tcPr>
            <w:tcW w:w="2160" w:type="dxa"/>
            <w:vAlign w:val="center"/>
          </w:tcPr>
          <w:p>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踏勘现场</w:t>
            </w:r>
          </w:p>
        </w:tc>
        <w:tc>
          <w:tcPr>
            <w:tcW w:w="7200" w:type="dxa"/>
            <w:vAlign w:val="center"/>
          </w:tcPr>
          <w:p>
            <w:pPr>
              <w:pStyle w:val="11"/>
              <w:topLinePunct/>
              <w:snapToGrid w:val="0"/>
              <w:spacing w:line="276" w:lineRule="auto"/>
              <w:rPr>
                <w:rFonts w:hAnsi="宋体"/>
                <w:color w:val="auto"/>
                <w:sz w:val="21"/>
                <w:szCs w:val="21"/>
                <w:highlight w:val="none"/>
              </w:rPr>
            </w:pPr>
            <w:r>
              <w:rPr>
                <w:rFonts w:hint="eastAsia" w:hAnsi="宋体"/>
                <w:color w:val="auto"/>
                <w:spacing w:val="-1"/>
                <w:sz w:val="21"/>
                <w:szCs w:val="21"/>
                <w:highlight w:val="none"/>
              </w:rPr>
              <w:t>■</w:t>
            </w:r>
            <w:r>
              <w:rPr>
                <w:rFonts w:hint="eastAsia" w:hAnsi="宋体"/>
                <w:color w:val="auto"/>
                <w:sz w:val="21"/>
                <w:szCs w:val="21"/>
                <w:highlight w:val="none"/>
              </w:rPr>
              <w:t>不组织，</w:t>
            </w:r>
            <w:r>
              <w:rPr>
                <w:rFonts w:hint="eastAsia" w:hAnsi="宋体"/>
                <w:color w:val="auto"/>
                <w:sz w:val="21"/>
                <w:szCs w:val="21"/>
                <w:highlight w:val="none"/>
                <w:u w:val="single"/>
              </w:rPr>
              <w:t>由投标人自行现场考察。</w:t>
            </w:r>
          </w:p>
          <w:p>
            <w:pPr>
              <w:pStyle w:val="11"/>
              <w:topLinePunct/>
              <w:snapToGrid w:val="0"/>
              <w:spacing w:line="276" w:lineRule="auto"/>
              <w:rPr>
                <w:rFonts w:hAnsi="宋体"/>
                <w:color w:val="auto"/>
                <w:sz w:val="21"/>
                <w:szCs w:val="21"/>
                <w:highlight w:val="none"/>
              </w:rPr>
            </w:pPr>
            <w:r>
              <w:rPr>
                <w:rFonts w:hint="eastAsia" w:hAnsi="宋体"/>
                <w:color w:val="auto"/>
                <w:sz w:val="21"/>
                <w:szCs w:val="21"/>
                <w:highlight w:val="none"/>
              </w:rPr>
              <w:t>□组织，踏勘时间：</w:t>
            </w:r>
            <w:r>
              <w:rPr>
                <w:rFonts w:hAnsi="宋体"/>
                <w:color w:val="auto"/>
                <w:sz w:val="21"/>
                <w:szCs w:val="21"/>
                <w:highlight w:val="none"/>
              </w:rPr>
              <w:t>/</w:t>
            </w:r>
          </w:p>
          <w:p>
            <w:pPr>
              <w:pStyle w:val="11"/>
              <w:topLinePunct/>
              <w:snapToGrid w:val="0"/>
              <w:spacing w:line="276" w:lineRule="auto"/>
              <w:ind w:firstLine="840" w:firstLineChars="400"/>
              <w:rPr>
                <w:rFonts w:hAnsi="宋体"/>
                <w:color w:val="auto"/>
                <w:sz w:val="21"/>
                <w:szCs w:val="21"/>
                <w:highlight w:val="none"/>
              </w:rPr>
            </w:pPr>
            <w:r>
              <w:rPr>
                <w:rFonts w:hint="eastAsia" w:hAnsi="宋体"/>
                <w:color w:val="auto"/>
                <w:sz w:val="21"/>
                <w:szCs w:val="21"/>
                <w:highlight w:val="none"/>
              </w:rPr>
              <w:t>踏勘集中地点：</w:t>
            </w:r>
            <w:r>
              <w:rPr>
                <w:rFonts w:hAnsi="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snapToGrid w:val="0"/>
              <w:spacing w:line="276" w:lineRule="auto"/>
              <w:jc w:val="center"/>
              <w:rPr>
                <w:rFonts w:ascii="宋体" w:hAnsi="宋体"/>
                <w:color w:val="auto"/>
                <w:szCs w:val="21"/>
                <w:highlight w:val="none"/>
              </w:rPr>
            </w:pPr>
            <w:r>
              <w:rPr>
                <w:rFonts w:ascii="宋体" w:hAnsi="宋体"/>
                <w:color w:val="auto"/>
                <w:szCs w:val="21"/>
                <w:highlight w:val="none"/>
              </w:rPr>
              <w:t>1.10.1</w:t>
            </w:r>
          </w:p>
        </w:tc>
        <w:tc>
          <w:tcPr>
            <w:tcW w:w="2160" w:type="dxa"/>
            <w:vAlign w:val="center"/>
          </w:tcPr>
          <w:p>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投标预备会</w:t>
            </w:r>
          </w:p>
        </w:tc>
        <w:tc>
          <w:tcPr>
            <w:tcW w:w="7200" w:type="dxa"/>
            <w:vAlign w:val="center"/>
          </w:tcPr>
          <w:p>
            <w:pPr>
              <w:pStyle w:val="11"/>
              <w:topLinePunct/>
              <w:snapToGrid w:val="0"/>
              <w:spacing w:line="276" w:lineRule="auto"/>
              <w:rPr>
                <w:rFonts w:hAnsi="宋体"/>
                <w:color w:val="auto"/>
                <w:sz w:val="21"/>
                <w:szCs w:val="21"/>
                <w:highlight w:val="none"/>
              </w:rPr>
            </w:pPr>
            <w:r>
              <w:rPr>
                <w:rFonts w:hint="eastAsia" w:hAnsi="宋体"/>
                <w:color w:val="auto"/>
                <w:spacing w:val="-1"/>
                <w:sz w:val="21"/>
                <w:szCs w:val="21"/>
                <w:highlight w:val="none"/>
              </w:rPr>
              <w:t>■</w:t>
            </w:r>
            <w:r>
              <w:rPr>
                <w:rFonts w:hint="eastAsia" w:hAnsi="宋体"/>
                <w:color w:val="auto"/>
                <w:sz w:val="21"/>
                <w:szCs w:val="21"/>
                <w:highlight w:val="none"/>
              </w:rPr>
              <w:t>不召开</w:t>
            </w:r>
          </w:p>
          <w:p>
            <w:pPr>
              <w:snapToGrid w:val="0"/>
              <w:spacing w:line="276" w:lineRule="auto"/>
              <w:rPr>
                <w:rFonts w:ascii="宋体" w:hAnsi="宋体"/>
                <w:color w:val="auto"/>
                <w:szCs w:val="21"/>
                <w:highlight w:val="none"/>
              </w:rPr>
            </w:pPr>
            <w:r>
              <w:rPr>
                <w:rFonts w:hint="eastAsia" w:ascii="宋体" w:hAnsi="宋体"/>
                <w:color w:val="auto"/>
                <w:szCs w:val="21"/>
                <w:highlight w:val="none"/>
              </w:rPr>
              <w:t>□召开，召开时间：</w:t>
            </w:r>
            <w:r>
              <w:rPr>
                <w:rFonts w:ascii="宋体" w:hAnsi="宋体"/>
                <w:color w:val="auto"/>
                <w:szCs w:val="21"/>
                <w:highlight w:val="none"/>
                <w:u w:val="single"/>
              </w:rPr>
              <w:t xml:space="preserve"> / </w:t>
            </w:r>
          </w:p>
          <w:p>
            <w:pPr>
              <w:snapToGrid w:val="0"/>
              <w:spacing w:line="276" w:lineRule="auto"/>
              <w:ind w:firstLine="840" w:firstLineChars="400"/>
              <w:rPr>
                <w:rFonts w:ascii="宋体" w:hAnsi="宋体"/>
                <w:color w:val="auto"/>
                <w:szCs w:val="21"/>
                <w:highlight w:val="none"/>
              </w:rPr>
            </w:pPr>
            <w:r>
              <w:rPr>
                <w:rFonts w:hint="eastAsia" w:ascii="宋体" w:hAnsi="宋体"/>
                <w:color w:val="auto"/>
                <w:szCs w:val="21"/>
                <w:highlight w:val="none"/>
              </w:rPr>
              <w:t>召开地点：</w:t>
            </w:r>
            <w:r>
              <w:rPr>
                <w:rFonts w:ascii="宋体" w:hAnsi="宋体"/>
                <w:color w:val="auto"/>
                <w:szCs w:val="21"/>
                <w:highlight w:val="none"/>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Merge w:val="restart"/>
            <w:vAlign w:val="center"/>
          </w:tcPr>
          <w:p>
            <w:pPr>
              <w:snapToGrid w:val="0"/>
              <w:spacing w:line="276" w:lineRule="auto"/>
              <w:jc w:val="center"/>
              <w:rPr>
                <w:rFonts w:ascii="宋体" w:hAnsi="宋体"/>
                <w:color w:val="auto"/>
                <w:szCs w:val="21"/>
                <w:highlight w:val="none"/>
              </w:rPr>
            </w:pPr>
            <w:r>
              <w:rPr>
                <w:rFonts w:ascii="宋体" w:hAnsi="宋体"/>
                <w:color w:val="auto"/>
                <w:szCs w:val="21"/>
                <w:highlight w:val="none"/>
              </w:rPr>
              <w:t>1.10.2</w:t>
            </w:r>
          </w:p>
        </w:tc>
        <w:tc>
          <w:tcPr>
            <w:tcW w:w="2160" w:type="dxa"/>
            <w:vMerge w:val="restart"/>
            <w:vAlign w:val="center"/>
          </w:tcPr>
          <w:p>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投标人在投标预备会前提出问题</w:t>
            </w:r>
          </w:p>
        </w:tc>
        <w:tc>
          <w:tcPr>
            <w:tcW w:w="7200" w:type="dxa"/>
            <w:vAlign w:val="center"/>
          </w:tcPr>
          <w:p>
            <w:pPr>
              <w:snapToGrid w:val="0"/>
              <w:spacing w:line="276" w:lineRule="auto"/>
              <w:rPr>
                <w:rFonts w:ascii="宋体" w:hAnsi="宋体"/>
                <w:color w:val="auto"/>
                <w:szCs w:val="21"/>
                <w:highlight w:val="none"/>
              </w:rPr>
            </w:pPr>
            <w:r>
              <w:rPr>
                <w:rFonts w:hint="eastAsia" w:ascii="宋体" w:hAnsi="宋体"/>
                <w:color w:val="auto"/>
                <w:szCs w:val="21"/>
                <w:highlight w:val="none"/>
              </w:rPr>
              <w:t>时间：</w:t>
            </w:r>
            <w:r>
              <w:rPr>
                <w:rFonts w:ascii="宋体" w:hAnsi="宋体"/>
                <w:color w:val="auto"/>
                <w:szCs w:val="21"/>
                <w:highlight w:val="none"/>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Merge w:val="continue"/>
            <w:vAlign w:val="center"/>
          </w:tcPr>
          <w:p>
            <w:pPr>
              <w:snapToGrid w:val="0"/>
              <w:spacing w:line="276" w:lineRule="auto"/>
              <w:jc w:val="center"/>
              <w:rPr>
                <w:rFonts w:ascii="宋体" w:hAnsi="宋体"/>
                <w:color w:val="auto"/>
                <w:szCs w:val="21"/>
                <w:highlight w:val="none"/>
              </w:rPr>
            </w:pPr>
          </w:p>
        </w:tc>
        <w:tc>
          <w:tcPr>
            <w:tcW w:w="2160" w:type="dxa"/>
            <w:vMerge w:val="continue"/>
            <w:vAlign w:val="center"/>
          </w:tcPr>
          <w:p>
            <w:pPr>
              <w:snapToGrid w:val="0"/>
              <w:spacing w:line="276" w:lineRule="auto"/>
              <w:jc w:val="center"/>
              <w:rPr>
                <w:rFonts w:ascii="宋体" w:hAnsi="宋体"/>
                <w:color w:val="auto"/>
                <w:szCs w:val="21"/>
                <w:highlight w:val="none"/>
              </w:rPr>
            </w:pPr>
          </w:p>
        </w:tc>
        <w:tc>
          <w:tcPr>
            <w:tcW w:w="7200" w:type="dxa"/>
            <w:vAlign w:val="center"/>
          </w:tcPr>
          <w:p>
            <w:pPr>
              <w:snapToGrid w:val="0"/>
              <w:spacing w:line="276" w:lineRule="auto"/>
              <w:rPr>
                <w:rFonts w:ascii="宋体" w:hAnsi="宋体"/>
                <w:color w:val="auto"/>
                <w:szCs w:val="21"/>
                <w:highlight w:val="none"/>
              </w:rPr>
            </w:pPr>
            <w:r>
              <w:rPr>
                <w:rFonts w:hint="eastAsia" w:ascii="宋体" w:hAnsi="宋体"/>
                <w:color w:val="auto"/>
                <w:szCs w:val="21"/>
                <w:highlight w:val="none"/>
              </w:rPr>
              <w:t>形式：</w:t>
            </w:r>
            <w:r>
              <w:rPr>
                <w:rFonts w:ascii="宋体" w:hAnsi="宋体"/>
                <w:color w:val="auto"/>
                <w:szCs w:val="21"/>
                <w:highlight w:val="none"/>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snapToGrid w:val="0"/>
              <w:spacing w:line="276" w:lineRule="auto"/>
              <w:jc w:val="center"/>
              <w:rPr>
                <w:rFonts w:ascii="宋体" w:hAnsi="宋体"/>
                <w:color w:val="auto"/>
                <w:szCs w:val="21"/>
                <w:highlight w:val="none"/>
              </w:rPr>
            </w:pPr>
            <w:r>
              <w:rPr>
                <w:rFonts w:ascii="宋体" w:hAnsi="宋体"/>
                <w:color w:val="auto"/>
                <w:szCs w:val="21"/>
                <w:highlight w:val="none"/>
              </w:rPr>
              <w:t>1.10.3</w:t>
            </w:r>
          </w:p>
        </w:tc>
        <w:tc>
          <w:tcPr>
            <w:tcW w:w="2160" w:type="dxa"/>
            <w:vAlign w:val="center"/>
          </w:tcPr>
          <w:p>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招标文件澄清发出的形式</w:t>
            </w:r>
          </w:p>
        </w:tc>
        <w:tc>
          <w:tcPr>
            <w:tcW w:w="7200" w:type="dxa"/>
            <w:vAlign w:val="center"/>
          </w:tcPr>
          <w:p>
            <w:pPr>
              <w:snapToGrid w:val="0"/>
              <w:spacing w:line="276" w:lineRule="auto"/>
              <w:rPr>
                <w:rFonts w:ascii="宋体" w:hAnsi="宋体"/>
                <w:color w:val="auto"/>
                <w:szCs w:val="21"/>
                <w:highlight w:val="none"/>
              </w:rPr>
            </w:pP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（此为投标预备会的答疑澄清）</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snapToGrid w:val="0"/>
              <w:spacing w:line="276" w:lineRule="auto"/>
              <w:jc w:val="center"/>
              <w:rPr>
                <w:rFonts w:ascii="宋体" w:hAnsi="宋体"/>
                <w:color w:val="auto"/>
                <w:szCs w:val="21"/>
                <w:highlight w:val="none"/>
              </w:rPr>
            </w:pPr>
            <w:r>
              <w:rPr>
                <w:rFonts w:ascii="宋体" w:hAnsi="宋体"/>
                <w:color w:val="auto"/>
                <w:szCs w:val="21"/>
                <w:highlight w:val="none"/>
              </w:rPr>
              <w:t>1.12.1</w:t>
            </w:r>
          </w:p>
        </w:tc>
        <w:tc>
          <w:tcPr>
            <w:tcW w:w="2160" w:type="dxa"/>
            <w:vAlign w:val="center"/>
          </w:tcPr>
          <w:p>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实质性要求和条件</w:t>
            </w:r>
          </w:p>
        </w:tc>
        <w:tc>
          <w:tcPr>
            <w:tcW w:w="7200" w:type="dxa"/>
            <w:vAlign w:val="center"/>
          </w:tcPr>
          <w:p>
            <w:pPr>
              <w:pStyle w:val="11"/>
              <w:topLinePunct/>
              <w:snapToGrid w:val="0"/>
              <w:spacing w:line="276" w:lineRule="auto"/>
              <w:rPr>
                <w:rFonts w:hAnsi="宋体"/>
                <w:color w:val="auto"/>
                <w:sz w:val="21"/>
                <w:szCs w:val="21"/>
                <w:highlight w:val="none"/>
              </w:rPr>
            </w:pPr>
            <w:r>
              <w:rPr>
                <w:rFonts w:hAnsi="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snapToGrid w:val="0"/>
              <w:spacing w:line="276" w:lineRule="auto"/>
              <w:jc w:val="center"/>
              <w:rPr>
                <w:rFonts w:ascii="宋体" w:hAnsi="宋体"/>
                <w:color w:val="auto"/>
                <w:szCs w:val="21"/>
                <w:highlight w:val="none"/>
              </w:rPr>
            </w:pPr>
            <w:r>
              <w:rPr>
                <w:rFonts w:ascii="宋体" w:hAnsi="宋体"/>
                <w:color w:val="auto"/>
                <w:szCs w:val="21"/>
                <w:highlight w:val="none"/>
              </w:rPr>
              <w:t>1.12.3</w:t>
            </w:r>
          </w:p>
        </w:tc>
        <w:tc>
          <w:tcPr>
            <w:tcW w:w="2160" w:type="dxa"/>
            <w:vAlign w:val="center"/>
          </w:tcPr>
          <w:p>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偏差</w:t>
            </w:r>
          </w:p>
        </w:tc>
        <w:tc>
          <w:tcPr>
            <w:tcW w:w="7200" w:type="dxa"/>
            <w:vAlign w:val="center"/>
          </w:tcPr>
          <w:p>
            <w:pPr>
              <w:snapToGrid w:val="0"/>
              <w:spacing w:line="276" w:lineRule="auto"/>
              <w:rPr>
                <w:rFonts w:ascii="宋体" w:hAnsi="宋体"/>
                <w:color w:val="auto"/>
                <w:szCs w:val="21"/>
                <w:highlight w:val="none"/>
              </w:rPr>
            </w:pPr>
            <w:r>
              <w:rPr>
                <w:rFonts w:hint="eastAsia" w:ascii="宋体" w:hAnsi="宋体"/>
                <w:color w:val="auto"/>
                <w:spacing w:val="-1"/>
                <w:szCs w:val="21"/>
                <w:highlight w:val="none"/>
              </w:rPr>
              <w:t>■</w:t>
            </w:r>
            <w:r>
              <w:rPr>
                <w:rFonts w:hint="eastAsia" w:ascii="宋体" w:hAnsi="宋体"/>
                <w:color w:val="auto"/>
                <w:szCs w:val="21"/>
                <w:highlight w:val="none"/>
              </w:rPr>
              <w:t>不允许</w:t>
            </w:r>
          </w:p>
          <w:p>
            <w:pPr>
              <w:pStyle w:val="11"/>
              <w:topLinePunct/>
              <w:snapToGrid w:val="0"/>
              <w:spacing w:line="276" w:lineRule="auto"/>
              <w:rPr>
                <w:rFonts w:hAnsi="宋体"/>
                <w:color w:val="auto"/>
                <w:sz w:val="21"/>
                <w:szCs w:val="21"/>
                <w:highlight w:val="none"/>
              </w:rPr>
            </w:pPr>
            <w:r>
              <w:rPr>
                <w:rFonts w:hint="eastAsia" w:hAnsi="宋体"/>
                <w:color w:val="auto"/>
                <w:sz w:val="21"/>
                <w:szCs w:val="21"/>
                <w:highlight w:val="none"/>
              </w:rPr>
              <w:t>□允许，偏差范围：</w:t>
            </w:r>
            <w:r>
              <w:rPr>
                <w:rFonts w:hAnsi="宋体"/>
                <w:color w:val="auto"/>
                <w:sz w:val="21"/>
                <w:szCs w:val="21"/>
                <w:highlight w:val="none"/>
              </w:rPr>
              <w:t>/</w:t>
            </w:r>
          </w:p>
          <w:p>
            <w:pPr>
              <w:pStyle w:val="11"/>
              <w:topLinePunct/>
              <w:snapToGrid w:val="0"/>
              <w:spacing w:line="276" w:lineRule="auto"/>
              <w:ind w:firstLine="840" w:firstLineChars="400"/>
              <w:rPr>
                <w:rFonts w:hAnsi="宋体"/>
                <w:color w:val="auto"/>
                <w:sz w:val="21"/>
                <w:szCs w:val="21"/>
                <w:highlight w:val="none"/>
              </w:rPr>
            </w:pPr>
            <w:r>
              <w:rPr>
                <w:rFonts w:hint="eastAsia" w:hAnsi="宋体"/>
                <w:color w:val="auto"/>
                <w:sz w:val="21"/>
                <w:szCs w:val="21"/>
                <w:highlight w:val="none"/>
              </w:rPr>
              <w:t>偏差幅度：</w:t>
            </w:r>
            <w:r>
              <w:rPr>
                <w:rFonts w:hAnsi="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snapToGrid w:val="0"/>
              <w:spacing w:line="276" w:lineRule="auto"/>
              <w:jc w:val="center"/>
              <w:rPr>
                <w:rFonts w:ascii="宋体" w:hAnsi="宋体"/>
                <w:color w:val="auto"/>
                <w:szCs w:val="21"/>
                <w:highlight w:val="none"/>
              </w:rPr>
            </w:pPr>
            <w:r>
              <w:rPr>
                <w:rFonts w:ascii="宋体" w:hAnsi="宋体"/>
                <w:color w:val="auto"/>
                <w:szCs w:val="21"/>
                <w:highlight w:val="none"/>
              </w:rPr>
              <w:t>2.1</w:t>
            </w:r>
          </w:p>
        </w:tc>
        <w:tc>
          <w:tcPr>
            <w:tcW w:w="2160" w:type="dxa"/>
            <w:vAlign w:val="center"/>
          </w:tcPr>
          <w:p>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构成招标文件的其他资料</w:t>
            </w:r>
          </w:p>
        </w:tc>
        <w:tc>
          <w:tcPr>
            <w:tcW w:w="7200" w:type="dxa"/>
            <w:vAlign w:val="center"/>
          </w:tcPr>
          <w:p>
            <w:pPr>
              <w:snapToGrid w:val="0"/>
              <w:spacing w:line="276" w:lineRule="auto"/>
              <w:rPr>
                <w:rFonts w:ascii="宋体" w:hAnsi="宋体"/>
                <w:color w:val="auto"/>
                <w:szCs w:val="21"/>
                <w:highlight w:val="none"/>
              </w:rPr>
            </w:pPr>
            <w:r>
              <w:rPr>
                <w:rFonts w:ascii="宋体" w:hAnsi="宋体"/>
                <w:color w:val="auto"/>
                <w:szCs w:val="21"/>
                <w:highlight w:val="none"/>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Merge w:val="restart"/>
            <w:vAlign w:val="center"/>
          </w:tcPr>
          <w:p>
            <w:pPr>
              <w:snapToGrid w:val="0"/>
              <w:spacing w:line="276" w:lineRule="auto"/>
              <w:jc w:val="center"/>
              <w:rPr>
                <w:rFonts w:ascii="宋体" w:hAnsi="宋体"/>
                <w:color w:val="auto"/>
                <w:szCs w:val="21"/>
                <w:highlight w:val="none"/>
              </w:rPr>
            </w:pPr>
            <w:r>
              <w:rPr>
                <w:rFonts w:ascii="宋体" w:hAnsi="宋体"/>
                <w:color w:val="auto"/>
                <w:szCs w:val="21"/>
                <w:highlight w:val="none"/>
              </w:rPr>
              <w:t>2.2.1</w:t>
            </w:r>
          </w:p>
        </w:tc>
        <w:tc>
          <w:tcPr>
            <w:tcW w:w="2160" w:type="dxa"/>
            <w:vMerge w:val="restart"/>
            <w:vAlign w:val="center"/>
          </w:tcPr>
          <w:p>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投标人要求澄清招标文件</w:t>
            </w:r>
          </w:p>
        </w:tc>
        <w:tc>
          <w:tcPr>
            <w:tcW w:w="7200" w:type="dxa"/>
            <w:vAlign w:val="center"/>
          </w:tcPr>
          <w:p>
            <w:pPr>
              <w:snapToGrid w:val="0"/>
              <w:spacing w:line="276" w:lineRule="auto"/>
              <w:rPr>
                <w:rFonts w:ascii="宋体" w:hAnsi="宋体"/>
                <w:color w:val="auto"/>
                <w:szCs w:val="21"/>
                <w:highlight w:val="none"/>
              </w:rPr>
            </w:pPr>
            <w:r>
              <w:rPr>
                <w:rFonts w:hint="eastAsia" w:ascii="宋体" w:hAnsi="宋体"/>
                <w:color w:val="auto"/>
                <w:szCs w:val="21"/>
                <w:highlight w:val="none"/>
              </w:rPr>
              <w:t>时间：投标人在递交投标文件截止时间</w:t>
            </w:r>
            <w:r>
              <w:rPr>
                <w:rFonts w:ascii="宋体" w:hAnsi="宋体"/>
                <w:color w:val="auto"/>
                <w:szCs w:val="21"/>
                <w:highlight w:val="none"/>
              </w:rPr>
              <w:t>18</w:t>
            </w:r>
            <w:r>
              <w:rPr>
                <w:rFonts w:hint="eastAsia" w:ascii="宋体" w:hAnsi="宋体"/>
                <w:color w:val="auto"/>
                <w:szCs w:val="21"/>
                <w:highlight w:val="none"/>
              </w:rPr>
              <w:t>天前提出；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Merge w:val="continue"/>
            <w:vAlign w:val="center"/>
          </w:tcPr>
          <w:p>
            <w:pPr>
              <w:snapToGrid w:val="0"/>
              <w:spacing w:line="276" w:lineRule="auto"/>
              <w:jc w:val="center"/>
              <w:rPr>
                <w:rFonts w:ascii="宋体" w:hAnsi="宋体"/>
                <w:color w:val="auto"/>
                <w:szCs w:val="21"/>
                <w:highlight w:val="none"/>
              </w:rPr>
            </w:pPr>
          </w:p>
        </w:tc>
        <w:tc>
          <w:tcPr>
            <w:tcW w:w="2160" w:type="dxa"/>
            <w:vMerge w:val="continue"/>
            <w:vAlign w:val="center"/>
          </w:tcPr>
          <w:p>
            <w:pPr>
              <w:snapToGrid w:val="0"/>
              <w:spacing w:line="276" w:lineRule="auto"/>
              <w:jc w:val="center"/>
              <w:rPr>
                <w:rFonts w:ascii="宋体" w:hAnsi="宋体"/>
                <w:color w:val="auto"/>
                <w:szCs w:val="21"/>
                <w:highlight w:val="none"/>
              </w:rPr>
            </w:pPr>
          </w:p>
        </w:tc>
        <w:tc>
          <w:tcPr>
            <w:tcW w:w="7200" w:type="dxa"/>
            <w:vAlign w:val="center"/>
          </w:tcPr>
          <w:p>
            <w:pPr>
              <w:pStyle w:val="27"/>
              <w:snapToGrid w:val="0"/>
              <w:spacing w:line="276" w:lineRule="auto"/>
              <w:ind w:right="174" w:rightChars="83" w:firstLine="0"/>
              <w:rPr>
                <w:rFonts w:ascii="宋体" w:hAnsi="宋体" w:cs="宋体"/>
                <w:color w:val="auto"/>
                <w:szCs w:val="21"/>
                <w:highlight w:val="none"/>
              </w:rPr>
            </w:pPr>
            <w:r>
              <w:rPr>
                <w:rFonts w:hint="eastAsia" w:ascii="宋体" w:hAnsi="宋体"/>
                <w:color w:val="auto"/>
                <w:szCs w:val="21"/>
                <w:highlight w:val="none"/>
              </w:rPr>
              <w:t>形式：</w:t>
            </w:r>
            <w:r>
              <w:rPr>
                <w:rFonts w:hint="eastAsia" w:ascii="宋体" w:hAnsi="宋体" w:cs="宋体"/>
                <w:color w:val="auto"/>
                <w:szCs w:val="21"/>
                <w:highlight w:val="none"/>
              </w:rPr>
              <w:t>招标答疑采用网上答疑方式进行。投标人若对招标文件（包括图纸、合同版本、最高投标限价等）有疑问的，可在规定的时间内通过广州公共资源交易中心网站将问题提交给招标人或招标代理人。</w:t>
            </w:r>
          </w:p>
          <w:p>
            <w:pPr>
              <w:pStyle w:val="27"/>
              <w:snapToGrid w:val="0"/>
              <w:spacing w:line="276" w:lineRule="auto"/>
              <w:ind w:right="174" w:rightChars="83" w:firstLine="0"/>
              <w:rPr>
                <w:rFonts w:ascii="宋体" w:hAnsi="宋体" w:cs="宋体"/>
                <w:color w:val="auto"/>
                <w:szCs w:val="21"/>
                <w:highlight w:val="none"/>
              </w:rPr>
            </w:pPr>
            <w:r>
              <w:rPr>
                <w:rFonts w:hint="eastAsia" w:ascii="宋体" w:hAnsi="宋体" w:cs="宋体"/>
                <w:color w:val="auto"/>
                <w:szCs w:val="21"/>
                <w:highlight w:val="none"/>
              </w:rPr>
              <w:t>网上答疑的操作指南为：登陆广州公共资源交易中心网站-&gt;进入“我是投标人（供应商）”-&gt;“我的投标”-&gt;“招标答疑提问”查询项目并提问。</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snapToGrid w:val="0"/>
              <w:spacing w:line="276" w:lineRule="auto"/>
              <w:jc w:val="center"/>
              <w:rPr>
                <w:rFonts w:ascii="宋体" w:hAnsi="宋体"/>
                <w:color w:val="auto"/>
                <w:szCs w:val="21"/>
                <w:highlight w:val="none"/>
              </w:rPr>
            </w:pPr>
            <w:r>
              <w:rPr>
                <w:rFonts w:ascii="宋体" w:hAnsi="宋体"/>
                <w:color w:val="auto"/>
                <w:szCs w:val="21"/>
                <w:highlight w:val="none"/>
              </w:rPr>
              <w:t>2.2.2</w:t>
            </w:r>
          </w:p>
        </w:tc>
        <w:tc>
          <w:tcPr>
            <w:tcW w:w="2160" w:type="dxa"/>
            <w:vAlign w:val="center"/>
          </w:tcPr>
          <w:p>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招标文件澄清发出的形式</w:t>
            </w:r>
          </w:p>
        </w:tc>
        <w:tc>
          <w:tcPr>
            <w:tcW w:w="7200" w:type="dxa"/>
            <w:vAlign w:val="center"/>
          </w:tcPr>
          <w:p>
            <w:pPr>
              <w:snapToGrid w:val="0"/>
              <w:spacing w:line="276" w:lineRule="auto"/>
              <w:rPr>
                <w:rFonts w:ascii="宋体" w:hAnsi="宋体"/>
                <w:color w:val="auto"/>
                <w:szCs w:val="21"/>
                <w:highlight w:val="none"/>
              </w:rPr>
            </w:pPr>
            <w:r>
              <w:rPr>
                <w:rFonts w:hint="eastAsia" w:ascii="宋体" w:hAnsi="宋体"/>
                <w:color w:val="auto"/>
                <w:szCs w:val="21"/>
                <w:highlight w:val="none"/>
              </w:rPr>
              <w:t>在递交投标文件截止时间</w:t>
            </w:r>
            <w:r>
              <w:rPr>
                <w:rFonts w:ascii="宋体" w:hAnsi="宋体"/>
                <w:color w:val="auto"/>
                <w:szCs w:val="21"/>
                <w:highlight w:val="none"/>
              </w:rPr>
              <w:t>15</w:t>
            </w:r>
            <w:r>
              <w:rPr>
                <w:rFonts w:hint="eastAsia" w:ascii="宋体" w:hAnsi="宋体"/>
                <w:color w:val="auto"/>
                <w:szCs w:val="21"/>
                <w:highlight w:val="none"/>
              </w:rPr>
              <w:t>天前；在广州公共资源交易中心网站通过项目答疑专区网上公开发布。</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Merge w:val="restart"/>
            <w:vAlign w:val="center"/>
          </w:tcPr>
          <w:p>
            <w:pPr>
              <w:snapToGrid w:val="0"/>
              <w:spacing w:line="276" w:lineRule="auto"/>
              <w:jc w:val="center"/>
              <w:rPr>
                <w:rFonts w:ascii="宋体" w:hAnsi="宋体"/>
                <w:color w:val="auto"/>
                <w:szCs w:val="21"/>
                <w:highlight w:val="none"/>
              </w:rPr>
            </w:pPr>
            <w:r>
              <w:rPr>
                <w:rFonts w:ascii="宋体" w:hAnsi="宋体"/>
                <w:color w:val="auto"/>
                <w:szCs w:val="21"/>
                <w:highlight w:val="none"/>
              </w:rPr>
              <w:t>2.2.3</w:t>
            </w:r>
          </w:p>
        </w:tc>
        <w:tc>
          <w:tcPr>
            <w:tcW w:w="2160" w:type="dxa"/>
            <w:vMerge w:val="restart"/>
            <w:vAlign w:val="center"/>
          </w:tcPr>
          <w:p>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投标人确认收到招标文件澄清</w:t>
            </w:r>
          </w:p>
        </w:tc>
        <w:tc>
          <w:tcPr>
            <w:tcW w:w="7200" w:type="dxa"/>
            <w:vAlign w:val="center"/>
          </w:tcPr>
          <w:p>
            <w:pPr>
              <w:spacing w:line="276" w:lineRule="auto"/>
              <w:rPr>
                <w:rFonts w:ascii="宋体" w:hAnsi="宋体"/>
                <w:color w:val="auto"/>
                <w:szCs w:val="21"/>
                <w:highlight w:val="none"/>
              </w:rPr>
            </w:pPr>
            <w:r>
              <w:rPr>
                <w:rFonts w:hint="eastAsia" w:ascii="宋体" w:hAnsi="宋体"/>
                <w:color w:val="auto"/>
                <w:szCs w:val="21"/>
                <w:highlight w:val="none"/>
              </w:rPr>
              <w:t>时间：发出即视作收到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Merge w:val="continue"/>
            <w:vAlign w:val="center"/>
          </w:tcPr>
          <w:p>
            <w:pPr>
              <w:snapToGrid w:val="0"/>
              <w:spacing w:line="276" w:lineRule="auto"/>
              <w:jc w:val="center"/>
              <w:rPr>
                <w:rFonts w:ascii="宋体" w:hAnsi="宋体"/>
                <w:color w:val="auto"/>
                <w:szCs w:val="21"/>
                <w:highlight w:val="none"/>
              </w:rPr>
            </w:pPr>
          </w:p>
        </w:tc>
        <w:tc>
          <w:tcPr>
            <w:tcW w:w="2160" w:type="dxa"/>
            <w:vMerge w:val="continue"/>
            <w:vAlign w:val="center"/>
          </w:tcPr>
          <w:p>
            <w:pPr>
              <w:snapToGrid w:val="0"/>
              <w:spacing w:line="276" w:lineRule="auto"/>
              <w:jc w:val="center"/>
              <w:rPr>
                <w:rFonts w:ascii="宋体" w:hAnsi="宋体"/>
                <w:color w:val="auto"/>
                <w:szCs w:val="21"/>
                <w:highlight w:val="none"/>
              </w:rPr>
            </w:pPr>
          </w:p>
        </w:tc>
        <w:tc>
          <w:tcPr>
            <w:tcW w:w="7200" w:type="dxa"/>
            <w:vAlign w:val="center"/>
          </w:tcPr>
          <w:p>
            <w:pPr>
              <w:spacing w:line="276" w:lineRule="auto"/>
              <w:rPr>
                <w:rFonts w:ascii="宋体" w:hAnsi="宋体"/>
                <w:color w:val="auto"/>
                <w:szCs w:val="21"/>
                <w:highlight w:val="none"/>
              </w:rPr>
            </w:pPr>
            <w:r>
              <w:rPr>
                <w:rFonts w:hint="eastAsia" w:ascii="宋体" w:hAnsi="宋体"/>
                <w:color w:val="auto"/>
                <w:szCs w:val="21"/>
                <w:highlight w:val="none"/>
              </w:rPr>
              <w:t>形式：招标文件澄清（招标答疑纪要）一经在广州公共资源交易中心网站发布，视作已发放给所有投标人。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snapToGrid w:val="0"/>
              <w:spacing w:line="276" w:lineRule="auto"/>
              <w:jc w:val="center"/>
              <w:rPr>
                <w:rFonts w:ascii="宋体" w:hAnsi="宋体"/>
                <w:color w:val="auto"/>
                <w:szCs w:val="21"/>
                <w:highlight w:val="none"/>
              </w:rPr>
            </w:pPr>
            <w:r>
              <w:rPr>
                <w:rFonts w:ascii="宋体" w:hAnsi="宋体"/>
                <w:color w:val="auto"/>
                <w:szCs w:val="21"/>
                <w:highlight w:val="none"/>
              </w:rPr>
              <w:t>2.3.1</w:t>
            </w:r>
          </w:p>
        </w:tc>
        <w:tc>
          <w:tcPr>
            <w:tcW w:w="2160" w:type="dxa"/>
            <w:vAlign w:val="center"/>
          </w:tcPr>
          <w:p>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招标文件修改发出的形式</w:t>
            </w:r>
          </w:p>
        </w:tc>
        <w:tc>
          <w:tcPr>
            <w:tcW w:w="7200" w:type="dxa"/>
            <w:vAlign w:val="center"/>
          </w:tcPr>
          <w:p>
            <w:pPr>
              <w:snapToGrid w:val="0"/>
              <w:spacing w:line="276" w:lineRule="auto"/>
              <w:rPr>
                <w:rFonts w:ascii="宋体" w:hAnsi="宋体"/>
                <w:color w:val="auto"/>
                <w:szCs w:val="21"/>
                <w:highlight w:val="none"/>
              </w:rPr>
            </w:pPr>
            <w:r>
              <w:rPr>
                <w:rFonts w:hint="eastAsia" w:ascii="宋体" w:hAnsi="宋体"/>
                <w:color w:val="auto"/>
                <w:szCs w:val="21"/>
                <w:highlight w:val="none"/>
              </w:rPr>
              <w:t>以补充公告或项目答疑澄清的方式在广州公共资源交易中心网站发布</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Merge w:val="restart"/>
            <w:vAlign w:val="center"/>
          </w:tcPr>
          <w:p>
            <w:pPr>
              <w:snapToGrid w:val="0"/>
              <w:spacing w:line="276" w:lineRule="auto"/>
              <w:jc w:val="center"/>
              <w:rPr>
                <w:rFonts w:ascii="宋体" w:hAnsi="宋体"/>
                <w:color w:val="auto"/>
                <w:szCs w:val="21"/>
                <w:highlight w:val="none"/>
              </w:rPr>
            </w:pPr>
            <w:r>
              <w:rPr>
                <w:rFonts w:ascii="宋体" w:hAnsi="宋体"/>
                <w:color w:val="auto"/>
                <w:szCs w:val="21"/>
                <w:highlight w:val="none"/>
              </w:rPr>
              <w:t>2.3.2</w:t>
            </w:r>
          </w:p>
        </w:tc>
        <w:tc>
          <w:tcPr>
            <w:tcW w:w="2160" w:type="dxa"/>
            <w:vMerge w:val="restart"/>
            <w:vAlign w:val="center"/>
          </w:tcPr>
          <w:p>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投标人确认收到招标文件修改</w:t>
            </w:r>
          </w:p>
        </w:tc>
        <w:tc>
          <w:tcPr>
            <w:tcW w:w="7200" w:type="dxa"/>
            <w:vAlign w:val="center"/>
          </w:tcPr>
          <w:p>
            <w:pPr>
              <w:spacing w:line="276" w:lineRule="auto"/>
              <w:rPr>
                <w:rFonts w:ascii="宋体" w:hAnsi="宋体"/>
                <w:color w:val="auto"/>
                <w:szCs w:val="21"/>
                <w:highlight w:val="none"/>
              </w:rPr>
            </w:pPr>
            <w:r>
              <w:rPr>
                <w:rFonts w:hint="eastAsia" w:ascii="宋体" w:hAnsi="宋体"/>
                <w:color w:val="auto"/>
                <w:szCs w:val="21"/>
                <w:highlight w:val="none"/>
              </w:rPr>
              <w:t>时间：发出即视作收到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Merge w:val="continue"/>
            <w:vAlign w:val="center"/>
          </w:tcPr>
          <w:p>
            <w:pPr>
              <w:snapToGrid w:val="0"/>
              <w:spacing w:line="276" w:lineRule="auto"/>
              <w:jc w:val="center"/>
              <w:rPr>
                <w:rFonts w:ascii="宋体" w:hAnsi="宋体"/>
                <w:color w:val="auto"/>
                <w:szCs w:val="21"/>
                <w:highlight w:val="none"/>
              </w:rPr>
            </w:pPr>
          </w:p>
        </w:tc>
        <w:tc>
          <w:tcPr>
            <w:tcW w:w="2160" w:type="dxa"/>
            <w:vMerge w:val="continue"/>
            <w:vAlign w:val="center"/>
          </w:tcPr>
          <w:p>
            <w:pPr>
              <w:snapToGrid w:val="0"/>
              <w:spacing w:line="276" w:lineRule="auto"/>
              <w:jc w:val="center"/>
              <w:rPr>
                <w:rFonts w:ascii="宋体" w:hAnsi="宋体"/>
                <w:color w:val="auto"/>
                <w:szCs w:val="21"/>
                <w:highlight w:val="none"/>
              </w:rPr>
            </w:pPr>
          </w:p>
        </w:tc>
        <w:tc>
          <w:tcPr>
            <w:tcW w:w="7200" w:type="dxa"/>
            <w:vAlign w:val="center"/>
          </w:tcPr>
          <w:p>
            <w:pPr>
              <w:spacing w:line="276" w:lineRule="auto"/>
              <w:rPr>
                <w:rFonts w:ascii="宋体" w:hAnsi="宋体"/>
                <w:color w:val="auto"/>
                <w:szCs w:val="21"/>
                <w:highlight w:val="none"/>
              </w:rPr>
            </w:pPr>
            <w:r>
              <w:rPr>
                <w:rFonts w:hint="eastAsia" w:ascii="宋体" w:hAnsi="宋体"/>
                <w:color w:val="auto"/>
                <w:szCs w:val="21"/>
                <w:highlight w:val="none"/>
              </w:rPr>
              <w:t>形式：招标文件修改一经在广州公共资源交易中心网站发布，视作已发放给所有投标人，无需确认。潜在投标人应自行关注招标公告公布的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snapToGrid w:val="0"/>
              <w:spacing w:line="276" w:lineRule="auto"/>
              <w:jc w:val="center"/>
              <w:rPr>
                <w:rFonts w:ascii="宋体" w:hAnsi="宋体"/>
                <w:color w:val="auto"/>
                <w:szCs w:val="21"/>
                <w:highlight w:val="none"/>
              </w:rPr>
            </w:pPr>
            <w:r>
              <w:rPr>
                <w:rFonts w:ascii="宋体" w:hAnsi="宋体"/>
                <w:color w:val="auto"/>
                <w:szCs w:val="21"/>
                <w:highlight w:val="none"/>
              </w:rPr>
              <w:t>3.1.1</w:t>
            </w:r>
          </w:p>
        </w:tc>
        <w:tc>
          <w:tcPr>
            <w:tcW w:w="2160" w:type="dxa"/>
            <w:vAlign w:val="center"/>
          </w:tcPr>
          <w:p>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构成投标文件的其他资料</w:t>
            </w:r>
          </w:p>
        </w:tc>
        <w:tc>
          <w:tcPr>
            <w:tcW w:w="7200" w:type="dxa"/>
            <w:vAlign w:val="center"/>
          </w:tcPr>
          <w:p>
            <w:pPr>
              <w:snapToGrid w:val="0"/>
              <w:spacing w:line="276" w:lineRule="auto"/>
              <w:rPr>
                <w:rFonts w:ascii="宋体" w:hAnsi="宋体"/>
                <w:color w:val="auto"/>
                <w:szCs w:val="21"/>
                <w:highlight w:val="none"/>
              </w:rPr>
            </w:pPr>
            <w:r>
              <w:rPr>
                <w:rFonts w:hint="eastAsia" w:ascii="宋体" w:hAnsi="宋体"/>
                <w:color w:val="auto"/>
                <w:szCs w:val="21"/>
                <w:highlight w:val="none"/>
              </w:rPr>
              <w:t>详见第六章投标文件格式</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snapToGrid w:val="0"/>
              <w:spacing w:line="276" w:lineRule="auto"/>
              <w:jc w:val="center"/>
              <w:rPr>
                <w:rFonts w:ascii="宋体" w:hAnsi="宋体"/>
                <w:color w:val="auto"/>
                <w:szCs w:val="21"/>
                <w:highlight w:val="none"/>
              </w:rPr>
            </w:pPr>
            <w:r>
              <w:rPr>
                <w:rFonts w:ascii="宋体" w:hAnsi="宋体"/>
                <w:color w:val="auto"/>
                <w:szCs w:val="21"/>
                <w:highlight w:val="none"/>
              </w:rPr>
              <w:t>3.2.1</w:t>
            </w:r>
          </w:p>
        </w:tc>
        <w:tc>
          <w:tcPr>
            <w:tcW w:w="2160" w:type="dxa"/>
            <w:vAlign w:val="center"/>
          </w:tcPr>
          <w:p>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增值税税金的计算方法</w:t>
            </w:r>
          </w:p>
        </w:tc>
        <w:tc>
          <w:tcPr>
            <w:tcW w:w="7200" w:type="dxa"/>
            <w:vAlign w:val="center"/>
          </w:tcPr>
          <w:p>
            <w:pPr>
              <w:snapToGrid w:val="0"/>
              <w:spacing w:line="276" w:lineRule="auto"/>
              <w:rPr>
                <w:rFonts w:ascii="宋体" w:hAnsi="宋体"/>
                <w:color w:val="auto"/>
                <w:szCs w:val="21"/>
                <w:highlight w:val="none"/>
              </w:rPr>
            </w:pPr>
            <w:r>
              <w:rPr>
                <w:rFonts w:ascii="宋体" w:hAnsi="宋体"/>
                <w:color w:val="auto"/>
                <w:szCs w:val="21"/>
                <w:highlight w:val="none"/>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snapToGrid w:val="0"/>
              <w:spacing w:line="276" w:lineRule="auto"/>
              <w:jc w:val="center"/>
              <w:rPr>
                <w:rFonts w:ascii="宋体" w:hAnsi="宋体"/>
                <w:color w:val="auto"/>
                <w:szCs w:val="21"/>
                <w:highlight w:val="none"/>
              </w:rPr>
            </w:pPr>
            <w:r>
              <w:rPr>
                <w:rFonts w:ascii="宋体" w:hAnsi="宋体"/>
                <w:color w:val="auto"/>
                <w:szCs w:val="21"/>
                <w:highlight w:val="none"/>
              </w:rPr>
              <w:t>3.2.3</w:t>
            </w:r>
          </w:p>
        </w:tc>
        <w:tc>
          <w:tcPr>
            <w:tcW w:w="2160" w:type="dxa"/>
            <w:vAlign w:val="center"/>
          </w:tcPr>
          <w:p>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报价方式</w:t>
            </w:r>
          </w:p>
        </w:tc>
        <w:tc>
          <w:tcPr>
            <w:tcW w:w="7200" w:type="dxa"/>
            <w:vAlign w:val="center"/>
          </w:tcPr>
          <w:p>
            <w:pPr>
              <w:snapToGrid w:val="0"/>
              <w:spacing w:line="276" w:lineRule="auto"/>
              <w:rPr>
                <w:rFonts w:ascii="宋体" w:hAnsi="宋体"/>
                <w:color w:val="auto"/>
                <w:szCs w:val="21"/>
                <w:highlight w:val="none"/>
              </w:rPr>
            </w:pPr>
            <w:r>
              <w:rPr>
                <w:rFonts w:hint="eastAsia" w:ascii="宋体" w:hAnsi="宋体"/>
                <w:color w:val="auto"/>
                <w:szCs w:val="21"/>
                <w:highlight w:val="none"/>
              </w:rPr>
              <w:t>自行报价。（以元为单位，保留两位小数，第三位小数四舍五入）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snapToGrid w:val="0"/>
              <w:spacing w:line="276" w:lineRule="auto"/>
              <w:jc w:val="center"/>
              <w:rPr>
                <w:rFonts w:ascii="宋体" w:hAnsi="宋体"/>
                <w:color w:val="auto"/>
                <w:szCs w:val="21"/>
                <w:highlight w:val="none"/>
              </w:rPr>
            </w:pPr>
            <w:r>
              <w:rPr>
                <w:rFonts w:ascii="宋体" w:hAnsi="宋体"/>
                <w:color w:val="auto"/>
                <w:szCs w:val="21"/>
                <w:highlight w:val="none"/>
              </w:rPr>
              <w:t>3.2.4</w:t>
            </w:r>
          </w:p>
        </w:tc>
        <w:tc>
          <w:tcPr>
            <w:tcW w:w="2160" w:type="dxa"/>
            <w:vAlign w:val="center"/>
          </w:tcPr>
          <w:p>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最高投标限价</w:t>
            </w:r>
          </w:p>
        </w:tc>
        <w:tc>
          <w:tcPr>
            <w:tcW w:w="7200" w:type="dxa"/>
            <w:vAlign w:val="center"/>
          </w:tcPr>
          <w:p>
            <w:pPr>
              <w:snapToGrid w:val="0"/>
              <w:spacing w:line="276" w:lineRule="auto"/>
              <w:rPr>
                <w:rFonts w:ascii="宋体" w:hAnsi="宋体"/>
                <w:color w:val="auto"/>
                <w:szCs w:val="21"/>
                <w:highlight w:val="none"/>
              </w:rPr>
            </w:pPr>
            <w:r>
              <w:rPr>
                <w:rFonts w:hint="eastAsia" w:ascii="宋体" w:hAnsi="宋体"/>
                <w:color w:val="auto"/>
                <w:szCs w:val="21"/>
                <w:highlight w:val="none"/>
              </w:rPr>
              <w:t>□无</w:t>
            </w:r>
          </w:p>
          <w:p>
            <w:pPr>
              <w:tabs>
                <w:tab w:val="left" w:pos="7513"/>
              </w:tabs>
              <w:spacing w:line="276" w:lineRule="auto"/>
              <w:rPr>
                <w:rFonts w:ascii="宋体" w:hAnsi="宋体"/>
                <w:color w:val="auto"/>
                <w:szCs w:val="21"/>
                <w:highlight w:val="none"/>
              </w:rPr>
            </w:pPr>
            <w:r>
              <w:rPr>
                <w:rFonts w:hint="eastAsia" w:ascii="宋体" w:hAnsi="宋体"/>
                <w:color w:val="auto"/>
                <w:spacing w:val="-1"/>
                <w:szCs w:val="21"/>
                <w:highlight w:val="none"/>
              </w:rPr>
              <w:t>■</w:t>
            </w:r>
            <w:r>
              <w:rPr>
                <w:rFonts w:hint="eastAsia" w:ascii="宋体" w:hAnsi="宋体"/>
                <w:color w:val="auto"/>
                <w:szCs w:val="21"/>
                <w:highlight w:val="none"/>
              </w:rPr>
              <w:t>有，最高投标限价：</w:t>
            </w:r>
            <w:r>
              <w:rPr>
                <w:rFonts w:hint="eastAsia" w:ascii="宋体" w:hAnsi="宋体" w:cs="宋体"/>
                <w:color w:val="auto"/>
                <w:szCs w:val="21"/>
                <w:highlight w:val="none"/>
              </w:rPr>
              <w:t>人民币</w:t>
            </w:r>
            <w:r>
              <w:rPr>
                <w:rFonts w:hint="eastAsia" w:ascii="宋体" w:hAnsi="宋体" w:cs="宋体"/>
                <w:color w:val="auto"/>
                <w:sz w:val="21"/>
                <w:szCs w:val="21"/>
                <w:highlight w:val="none"/>
                <w:u w:val="single"/>
                <w:lang w:val="en-US" w:eastAsia="zh-CN"/>
              </w:rPr>
              <w:t>238.64958</w:t>
            </w:r>
            <w:r>
              <w:rPr>
                <w:rFonts w:hint="eastAsia" w:ascii="宋体" w:hAnsi="宋体" w:cs="宋体"/>
                <w:color w:val="auto"/>
                <w:szCs w:val="21"/>
                <w:highlight w:val="none"/>
              </w:rPr>
              <w:t>万元。</w:t>
            </w:r>
            <w:r>
              <w:rPr>
                <w:rFonts w:hint="eastAsia" w:ascii="宋体" w:hAnsi="宋体" w:cs="宋体"/>
                <w:color w:val="auto"/>
                <w:szCs w:val="21"/>
                <w:highlight w:val="none"/>
                <w:u w:val="single"/>
              </w:rPr>
              <w:t>本招标项目实行双限价，投标文件中投标报价总价超过最高投标限价、投标综合单价超过相应分项综合单价最高投标限价的报价均为无效标。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snapToGrid w:val="0"/>
              <w:spacing w:line="276" w:lineRule="auto"/>
              <w:jc w:val="center"/>
              <w:rPr>
                <w:rFonts w:ascii="宋体" w:hAnsi="宋体"/>
                <w:color w:val="auto"/>
                <w:szCs w:val="21"/>
                <w:highlight w:val="none"/>
              </w:rPr>
            </w:pPr>
            <w:r>
              <w:rPr>
                <w:rFonts w:ascii="宋体" w:hAnsi="宋体"/>
                <w:color w:val="auto"/>
                <w:szCs w:val="21"/>
                <w:highlight w:val="none"/>
              </w:rPr>
              <w:t>3.2.5</w:t>
            </w:r>
          </w:p>
        </w:tc>
        <w:tc>
          <w:tcPr>
            <w:tcW w:w="2160" w:type="dxa"/>
            <w:vAlign w:val="center"/>
          </w:tcPr>
          <w:p>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投标报价的其他要求</w:t>
            </w:r>
          </w:p>
        </w:tc>
        <w:tc>
          <w:tcPr>
            <w:tcW w:w="7200" w:type="dxa"/>
            <w:vAlign w:val="center"/>
          </w:tcPr>
          <w:p>
            <w:pPr>
              <w:pStyle w:val="28"/>
              <w:ind w:left="0" w:leftChars="0" w:firstLine="0" w:firstLineChars="0"/>
              <w:rPr>
                <w:rFonts w:ascii="宋体" w:hAnsi="宋体"/>
                <w:szCs w:val="21"/>
                <w:highlight w:val="none"/>
                <w:u w:val="single"/>
              </w:rPr>
            </w:pPr>
            <w:r>
              <w:rPr>
                <w:rFonts w:hint="eastAsia" w:ascii="宋体" w:hAnsi="宋体"/>
                <w:szCs w:val="21"/>
                <w:highlight w:val="none"/>
                <w:u w:val="single"/>
              </w:rPr>
              <w:t>投标人必须详细审阅全部招标文件，充分考虑职责和义务，全面地理解招标文件对投标报价的要求，并按招标人提出的条件及内容进行报价。</w:t>
            </w:r>
          </w:p>
          <w:p>
            <w:pPr>
              <w:pStyle w:val="28"/>
              <w:spacing w:after="0"/>
              <w:ind w:left="0" w:leftChars="0" w:firstLine="0" w:firstLineChars="0"/>
              <w:rPr>
                <w:rFonts w:ascii="宋体" w:hAnsi="宋体"/>
                <w:szCs w:val="21"/>
                <w:highlight w:val="none"/>
                <w:u w:val="single"/>
              </w:rPr>
            </w:pPr>
            <w:r>
              <w:rPr>
                <w:rFonts w:hint="eastAsia" w:ascii="宋体" w:hAnsi="宋体"/>
                <w:szCs w:val="21"/>
                <w:highlight w:val="none"/>
                <w:u w:val="single"/>
                <w:lang w:val="en-US" w:eastAsia="zh-CN"/>
              </w:rPr>
              <w:t>一</w:t>
            </w:r>
            <w:r>
              <w:rPr>
                <w:rFonts w:hint="eastAsia" w:ascii="宋体" w:hAnsi="宋体"/>
                <w:szCs w:val="21"/>
                <w:highlight w:val="none"/>
                <w:u w:val="single"/>
              </w:rPr>
              <w:t>、各投标人自行报价，</w:t>
            </w:r>
            <w:r>
              <w:rPr>
                <w:rFonts w:hint="eastAsia" w:ascii="宋体" w:hAnsi="宋体" w:cs="宋体"/>
                <w:szCs w:val="21"/>
                <w:highlight w:val="none"/>
                <w:u w:val="single"/>
              </w:rPr>
              <w:t>投标文件中投标报价总价超过最高投标限价、投标综合单价超过相应分项综合单价最高投标限价的报价均为无效标。</w:t>
            </w:r>
          </w:p>
          <w:p>
            <w:pPr>
              <w:pStyle w:val="28"/>
              <w:spacing w:after="0"/>
              <w:ind w:left="0" w:leftChars="0" w:firstLine="0" w:firstLineChars="0"/>
              <w:rPr>
                <w:rFonts w:hint="eastAsia"/>
                <w:highlight w:val="none"/>
                <w:u w:val="single"/>
              </w:rPr>
            </w:pPr>
            <w:r>
              <w:rPr>
                <w:rFonts w:hint="eastAsia" w:ascii="宋体" w:hAnsi="宋体"/>
                <w:szCs w:val="21"/>
                <w:highlight w:val="none"/>
                <w:u w:val="single"/>
                <w:lang w:val="en-US" w:eastAsia="zh-CN"/>
              </w:rPr>
              <w:t>二</w:t>
            </w:r>
            <w:r>
              <w:rPr>
                <w:rFonts w:hint="eastAsia" w:ascii="宋体" w:hAnsi="宋体"/>
                <w:szCs w:val="21"/>
                <w:highlight w:val="none"/>
                <w:u w:val="single"/>
              </w:rPr>
              <w:t>、投标下浮率以最高投标限价为下浮基数。投标下浮率</w:t>
            </w:r>
            <w:r>
              <w:rPr>
                <w:rFonts w:hint="eastAsia" w:ascii="宋体" w:hAnsi="宋体"/>
                <w:szCs w:val="21"/>
                <w:highlight w:val="none"/>
                <w:u w:val="single"/>
                <w:lang w:val="en-US" w:eastAsia="zh-CN"/>
              </w:rPr>
              <w:t>=</w:t>
            </w:r>
            <w:r>
              <w:rPr>
                <w:rFonts w:hint="eastAsia"/>
                <w:highlight w:val="none"/>
                <w:u w:val="single"/>
              </w:rPr>
              <w:t>（1</w:t>
            </w:r>
            <w:r>
              <w:rPr>
                <w:rFonts w:hint="eastAsia"/>
                <w:highlight w:val="none"/>
                <w:u w:val="single"/>
                <w:lang w:val="en-US" w:eastAsia="zh-CN"/>
              </w:rPr>
              <w:t>-</w:t>
            </w:r>
            <w:r>
              <w:rPr>
                <w:rFonts w:hint="eastAsia"/>
                <w:highlight w:val="none"/>
                <w:u w:val="single"/>
              </w:rPr>
              <w:t>投标报价/最高投标限价）*100%</w:t>
            </w:r>
          </w:p>
          <w:p>
            <w:pPr>
              <w:pStyle w:val="28"/>
              <w:spacing w:after="0"/>
              <w:ind w:left="0" w:leftChars="0" w:firstLine="0" w:firstLineChars="0"/>
              <w:rPr>
                <w:rFonts w:ascii="宋体" w:hAnsi="宋体"/>
                <w:szCs w:val="21"/>
                <w:highlight w:val="none"/>
                <w:u w:val="single"/>
              </w:rPr>
            </w:pPr>
            <w:r>
              <w:rPr>
                <w:rFonts w:hint="eastAsia" w:ascii="宋体" w:hAnsi="宋体"/>
                <w:szCs w:val="21"/>
                <w:highlight w:val="none"/>
                <w:u w:val="single"/>
                <w:lang w:val="en-US" w:eastAsia="zh-CN"/>
              </w:rPr>
              <w:t>三、投标</w:t>
            </w:r>
            <w:r>
              <w:rPr>
                <w:rFonts w:hint="eastAsia" w:ascii="宋体" w:hAnsi="宋体"/>
                <w:szCs w:val="21"/>
                <w:highlight w:val="none"/>
                <w:u w:val="single"/>
              </w:rPr>
              <w:t>综合单价已包括了为完成设计文件及有关规范要求的所有材料设备检测</w:t>
            </w:r>
            <w:r>
              <w:rPr>
                <w:rFonts w:hint="eastAsia" w:ascii="宋体" w:hAnsi="宋体"/>
                <w:szCs w:val="21"/>
                <w:highlight w:val="none"/>
                <w:u w:val="single"/>
                <w:lang w:eastAsia="zh-CN"/>
              </w:rPr>
              <w:t>、</w:t>
            </w:r>
            <w:r>
              <w:rPr>
                <w:rFonts w:hint="eastAsia" w:ascii="宋体" w:hAnsi="宋体"/>
                <w:szCs w:val="21"/>
                <w:highlight w:val="none"/>
                <w:u w:val="single"/>
                <w:lang w:val="en-US" w:eastAsia="zh-CN"/>
              </w:rPr>
              <w:t>监测</w:t>
            </w:r>
            <w:r>
              <w:rPr>
                <w:rFonts w:hint="eastAsia" w:ascii="宋体" w:hAnsi="宋体"/>
                <w:szCs w:val="21"/>
                <w:highlight w:val="none"/>
                <w:u w:val="single"/>
              </w:rPr>
              <w:t>项目所发生的劳务(含技术人员)、材料、机械(含各种车辆、仪器设备、软件等使用费、进出场费)、差旅交通费、临时设施费、检测试验费、报告编写费、各项管理费、餐费、住宿费、管理费、利润、规费、税金、保险费、相关协调费及其他实物和技术工作收费等全部相关费用，以及合同明示或暗示的所有责任、义务和风险。请投标人自行综合考虑，不予另行计算。工程量按经发包人核定的实际发生量计取（如超出检测规范或相关文件规定的工程量，不予结算）。</w:t>
            </w:r>
            <w:r>
              <w:rPr>
                <w:rFonts w:hint="eastAsia" w:ascii="宋体" w:hAnsi="宋体"/>
                <w:color w:val="auto"/>
                <w:szCs w:val="21"/>
                <w:highlight w:val="none"/>
                <w:u w:val="single"/>
              </w:rPr>
              <w:t>最终结算以建设单位（业主）或其授权委托单位审定结算价为准。</w:t>
            </w:r>
          </w:p>
          <w:p>
            <w:pPr>
              <w:pStyle w:val="28"/>
              <w:spacing w:after="0"/>
              <w:ind w:left="0" w:leftChars="0" w:firstLine="0" w:firstLineChars="0"/>
              <w:rPr>
                <w:rFonts w:ascii="宋体" w:hAnsi="宋体"/>
                <w:szCs w:val="21"/>
                <w:highlight w:val="none"/>
                <w:u w:val="single"/>
              </w:rPr>
            </w:pPr>
            <w:r>
              <w:rPr>
                <w:rFonts w:hint="eastAsia" w:ascii="宋体" w:hAnsi="宋体"/>
                <w:szCs w:val="21"/>
                <w:highlight w:val="none"/>
                <w:u w:val="single"/>
                <w:lang w:val="en-US" w:eastAsia="zh-CN"/>
              </w:rPr>
              <w:t>四</w:t>
            </w:r>
            <w:r>
              <w:rPr>
                <w:rFonts w:hint="eastAsia" w:ascii="宋体" w:hAnsi="宋体"/>
                <w:szCs w:val="21"/>
                <w:highlight w:val="none"/>
                <w:u w:val="single"/>
              </w:rPr>
              <w:t>、成本警戒价为19</w:t>
            </w:r>
            <w:r>
              <w:rPr>
                <w:rFonts w:hint="eastAsia" w:ascii="宋体" w:hAnsi="宋体"/>
                <w:szCs w:val="21"/>
                <w:highlight w:val="none"/>
                <w:u w:val="single"/>
                <w:lang w:val="en-US" w:eastAsia="zh-CN"/>
              </w:rPr>
              <w:t>0.919664万</w:t>
            </w:r>
            <w:r>
              <w:rPr>
                <w:rFonts w:hint="eastAsia" w:ascii="宋体" w:hAnsi="宋体"/>
                <w:szCs w:val="21"/>
                <w:highlight w:val="none"/>
                <w:u w:val="single"/>
              </w:rPr>
              <w:t>元。（按</w:t>
            </w:r>
            <w:r>
              <w:rPr>
                <w:rFonts w:hint="eastAsia" w:ascii="宋体" w:hAnsi="宋体"/>
                <w:szCs w:val="21"/>
                <w:highlight w:val="none"/>
                <w:u w:val="single"/>
                <w:lang w:eastAsia="zh-CN"/>
              </w:rPr>
              <w:t>最高投标限价</w:t>
            </w:r>
            <w:r>
              <w:rPr>
                <w:rFonts w:hint="eastAsia" w:ascii="宋体" w:hAnsi="宋体"/>
                <w:szCs w:val="21"/>
                <w:highlight w:val="none"/>
                <w:u w:val="single"/>
              </w:rPr>
              <w:t>的80%设置）。对低于该警戒价的投标报价，投标人必须提供详细的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snapToGrid w:val="0"/>
              <w:spacing w:line="276" w:lineRule="auto"/>
              <w:jc w:val="center"/>
              <w:rPr>
                <w:rFonts w:ascii="宋体" w:hAnsi="宋体"/>
                <w:color w:val="auto"/>
                <w:szCs w:val="21"/>
                <w:highlight w:val="none"/>
              </w:rPr>
            </w:pPr>
            <w:r>
              <w:rPr>
                <w:rFonts w:ascii="宋体" w:hAnsi="宋体"/>
                <w:color w:val="auto"/>
                <w:szCs w:val="21"/>
                <w:highlight w:val="none"/>
              </w:rPr>
              <w:t>3.3.1</w:t>
            </w:r>
          </w:p>
        </w:tc>
        <w:tc>
          <w:tcPr>
            <w:tcW w:w="2160" w:type="dxa"/>
            <w:vAlign w:val="center"/>
          </w:tcPr>
          <w:p>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投标有效期</w:t>
            </w:r>
          </w:p>
        </w:tc>
        <w:tc>
          <w:tcPr>
            <w:tcW w:w="7200" w:type="dxa"/>
            <w:vAlign w:val="center"/>
          </w:tcPr>
          <w:p>
            <w:pPr>
              <w:snapToGrid w:val="0"/>
              <w:spacing w:line="276" w:lineRule="auto"/>
              <w:rPr>
                <w:rFonts w:ascii="宋体" w:hAnsi="宋体"/>
                <w:color w:val="auto"/>
                <w:szCs w:val="21"/>
                <w:highlight w:val="none"/>
                <w:u w:val="single"/>
              </w:rPr>
            </w:pPr>
            <w:r>
              <w:rPr>
                <w:rFonts w:ascii="宋体" w:hAnsi="宋体"/>
                <w:color w:val="auto"/>
                <w:szCs w:val="21"/>
                <w:highlight w:val="none"/>
                <w:u w:val="single"/>
              </w:rPr>
              <w:t>90</w:t>
            </w:r>
            <w:r>
              <w:rPr>
                <w:rFonts w:hint="eastAsia" w:ascii="宋体" w:hAnsi="宋体"/>
                <w:color w:val="auto"/>
                <w:szCs w:val="21"/>
                <w:highlight w:val="none"/>
                <w:u w:val="single"/>
              </w:rPr>
              <w:t>日历天（从提交投标截止之日起计算。如出现异议或投诉，则投标有效期自动延长至异议或投诉处理结束）。</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snapToGrid w:val="0"/>
              <w:spacing w:line="276" w:lineRule="auto"/>
              <w:jc w:val="center"/>
              <w:rPr>
                <w:rFonts w:ascii="宋体" w:hAnsi="宋体"/>
                <w:color w:val="auto"/>
                <w:szCs w:val="21"/>
                <w:highlight w:val="none"/>
              </w:rPr>
            </w:pPr>
            <w:r>
              <w:rPr>
                <w:rFonts w:ascii="宋体" w:hAnsi="宋体"/>
                <w:color w:val="auto"/>
                <w:szCs w:val="21"/>
                <w:highlight w:val="none"/>
              </w:rPr>
              <w:t>3.4.1</w:t>
            </w:r>
          </w:p>
        </w:tc>
        <w:tc>
          <w:tcPr>
            <w:tcW w:w="2160" w:type="dxa"/>
            <w:vAlign w:val="center"/>
          </w:tcPr>
          <w:p>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投标保证金</w:t>
            </w:r>
          </w:p>
        </w:tc>
        <w:tc>
          <w:tcPr>
            <w:tcW w:w="7200" w:type="dxa"/>
            <w:vAlign w:val="center"/>
          </w:tcPr>
          <w:p>
            <w:pPr>
              <w:pStyle w:val="11"/>
              <w:spacing w:line="276" w:lineRule="auto"/>
              <w:rPr>
                <w:rFonts w:hAnsi="宋体"/>
                <w:color w:val="auto"/>
                <w:sz w:val="21"/>
                <w:szCs w:val="21"/>
                <w:highlight w:val="none"/>
                <w:u w:val="single"/>
              </w:rPr>
            </w:pPr>
            <w:r>
              <w:rPr>
                <w:rFonts w:hint="eastAsia" w:hAnsi="宋体"/>
                <w:color w:val="auto"/>
                <w:sz w:val="21"/>
                <w:szCs w:val="21"/>
                <w:highlight w:val="none"/>
                <w:u w:val="single"/>
              </w:rPr>
              <w:t>是否要求投标人递交投标保证金：</w:t>
            </w:r>
          </w:p>
          <w:p>
            <w:pPr>
              <w:pStyle w:val="11"/>
              <w:spacing w:line="276" w:lineRule="auto"/>
              <w:rPr>
                <w:rFonts w:hAnsi="宋体"/>
                <w:color w:val="auto"/>
                <w:sz w:val="21"/>
                <w:szCs w:val="21"/>
                <w:highlight w:val="none"/>
                <w:u w:val="single"/>
              </w:rPr>
            </w:pPr>
            <w:r>
              <w:rPr>
                <w:rFonts w:hint="eastAsia" w:hAnsi="宋体"/>
                <w:color w:val="auto"/>
                <w:sz w:val="21"/>
                <w:szCs w:val="21"/>
                <w:highlight w:val="none"/>
                <w:u w:val="single"/>
              </w:rPr>
              <w:t>□不要求</w:t>
            </w:r>
          </w:p>
          <w:p>
            <w:pPr>
              <w:pStyle w:val="11"/>
              <w:spacing w:line="276" w:lineRule="auto"/>
              <w:rPr>
                <w:rFonts w:hAnsi="宋体"/>
                <w:color w:val="auto"/>
                <w:sz w:val="21"/>
                <w:szCs w:val="21"/>
                <w:highlight w:val="none"/>
                <w:u w:val="single"/>
              </w:rPr>
            </w:pPr>
            <w:r>
              <w:rPr>
                <w:rFonts w:hint="eastAsia" w:hAnsi="宋体"/>
                <w:color w:val="auto"/>
                <w:sz w:val="21"/>
                <w:szCs w:val="21"/>
                <w:highlight w:val="none"/>
                <w:u w:val="single"/>
              </w:rPr>
              <w:t>■要求，投标保证金的形式：投标保证金可采用现金、支票、投标保证保险、投标保函（银行或专业担保公司出具）的形式，须在递交投标文件截止时间前完成缴纳。</w:t>
            </w:r>
          </w:p>
          <w:p>
            <w:pPr>
              <w:pStyle w:val="11"/>
              <w:spacing w:line="276" w:lineRule="auto"/>
              <w:rPr>
                <w:rFonts w:hAnsi="宋体"/>
                <w:b/>
                <w:color w:val="auto"/>
                <w:sz w:val="21"/>
                <w:szCs w:val="21"/>
                <w:highlight w:val="none"/>
                <w:u w:val="single"/>
              </w:rPr>
            </w:pPr>
            <w:r>
              <w:rPr>
                <w:rFonts w:hint="eastAsia" w:hAnsi="宋体"/>
                <w:b/>
                <w:color w:val="auto"/>
                <w:sz w:val="21"/>
                <w:szCs w:val="21"/>
                <w:highlight w:val="none"/>
                <w:u w:val="single"/>
              </w:rPr>
              <w:t>投标保证金额度：人民币</w:t>
            </w:r>
            <w:r>
              <w:rPr>
                <w:rFonts w:hint="eastAsia" w:hAnsi="宋体"/>
                <w:b/>
                <w:color w:val="auto"/>
                <w:sz w:val="21"/>
                <w:szCs w:val="21"/>
                <w:highlight w:val="none"/>
                <w:u w:val="single"/>
                <w:lang w:val="en-US" w:eastAsia="zh-CN"/>
              </w:rPr>
              <w:t>4</w:t>
            </w:r>
            <w:r>
              <w:rPr>
                <w:rFonts w:hint="eastAsia" w:hAnsi="宋体"/>
                <w:b/>
                <w:color w:val="auto"/>
                <w:sz w:val="21"/>
                <w:szCs w:val="21"/>
                <w:highlight w:val="none"/>
                <w:u w:val="single"/>
              </w:rPr>
              <w:t>万元</w:t>
            </w:r>
          </w:p>
          <w:p>
            <w:pPr>
              <w:spacing w:line="276" w:lineRule="auto"/>
              <w:rPr>
                <w:rFonts w:ascii="宋体" w:hAnsi="宋体" w:cs="宋体"/>
                <w:color w:val="auto"/>
                <w:szCs w:val="21"/>
                <w:highlight w:val="none"/>
                <w:u w:val="single"/>
              </w:rPr>
            </w:pPr>
            <w:r>
              <w:rPr>
                <w:rFonts w:hint="eastAsia" w:ascii="宋体" w:hAnsi="宋体"/>
                <w:b/>
                <w:color w:val="auto"/>
                <w:szCs w:val="21"/>
                <w:highlight w:val="none"/>
                <w:u w:val="single"/>
              </w:rPr>
              <w:t>投标保证金有效期：与投标有效期一致</w:t>
            </w:r>
          </w:p>
          <w:p>
            <w:pPr>
              <w:spacing w:line="288" w:lineRule="auto"/>
              <w:rPr>
                <w:rFonts w:hint="eastAsia" w:ascii="宋体" w:hAnsi="宋体" w:eastAsia="宋体" w:cs="宋体"/>
                <w:color w:val="auto"/>
                <w:sz w:val="21"/>
                <w:szCs w:val="21"/>
                <w:highlight w:val="none"/>
                <w:u w:val="single"/>
                <w:lang w:eastAsia="zh-CN"/>
              </w:rPr>
            </w:pPr>
            <w:r>
              <w:rPr>
                <w:rFonts w:hint="eastAsia" w:ascii="宋体" w:hAnsi="宋体" w:cs="宋体"/>
                <w:color w:val="auto"/>
                <w:sz w:val="21"/>
                <w:szCs w:val="21"/>
                <w:highlight w:val="none"/>
                <w:u w:val="single"/>
              </w:rPr>
              <w:t>1、</w:t>
            </w:r>
            <w:r>
              <w:rPr>
                <w:rFonts w:hint="eastAsia" w:ascii="宋体" w:hAnsi="宋体" w:eastAsia="宋体" w:cs="宋体"/>
                <w:color w:val="auto"/>
                <w:sz w:val="21"/>
                <w:szCs w:val="21"/>
                <w:highlight w:val="none"/>
                <w:u w:val="single"/>
              </w:rPr>
              <w:t>投标保证金可采用转账、现金、支票、投标保函、投标保证保险的形式，须在递交投标文件截止时间前完成缴纳。联合体投标的，其投标担保由投标人(联合体牵头方)递交</w:t>
            </w:r>
            <w:r>
              <w:rPr>
                <w:rFonts w:hint="eastAsia" w:ascii="宋体" w:hAnsi="宋体" w:eastAsia="宋体" w:cs="宋体"/>
                <w:color w:val="auto"/>
                <w:sz w:val="21"/>
                <w:szCs w:val="21"/>
                <w:highlight w:val="none"/>
                <w:u w:val="single"/>
                <w:lang w:eastAsia="zh-CN"/>
              </w:rPr>
              <w:t>。</w:t>
            </w:r>
          </w:p>
          <w:p>
            <w:pPr>
              <w:spacing w:line="288" w:lineRule="auto"/>
              <w:rPr>
                <w:rFonts w:hint="eastAsia" w:ascii="宋体" w:hAnsi="宋体" w:eastAsia="宋体" w:cs="宋体"/>
                <w:color w:val="auto"/>
                <w:sz w:val="21"/>
                <w:szCs w:val="21"/>
                <w:highlight w:val="none"/>
                <w:u w:val="single"/>
              </w:rPr>
            </w:pPr>
            <w:r>
              <w:rPr>
                <w:rFonts w:hint="eastAsia" w:ascii="宋体" w:hAnsi="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rPr>
              <w:t>、如采用转账、现金或者支票形式提交的由广州公共资源交易中心代收。缴纳情况以广州公共资源交易中心查询为准（缴纳证明材料不需附进投标文件，开标时以广州公共资源交易中心数字交易平台查询为准）。</w:t>
            </w:r>
          </w:p>
          <w:p>
            <w:pPr>
              <w:spacing w:line="288" w:lineRule="auto"/>
              <w:rPr>
                <w:rFonts w:hint="eastAsia" w:ascii="宋体" w:hAnsi="宋体" w:eastAsia="宋体" w:cs="宋体"/>
                <w:color w:val="auto"/>
                <w:sz w:val="21"/>
                <w:szCs w:val="21"/>
                <w:highlight w:val="none"/>
                <w:u w:val="single"/>
              </w:rPr>
            </w:pPr>
            <w:r>
              <w:rPr>
                <w:rFonts w:hint="eastAsia" w:ascii="宋体" w:hAnsi="宋体" w:cs="宋体"/>
                <w:color w:val="auto"/>
                <w:sz w:val="21"/>
                <w:szCs w:val="21"/>
                <w:highlight w:val="none"/>
                <w:u w:val="single"/>
                <w:lang w:val="en-US" w:eastAsia="zh-CN"/>
              </w:rPr>
              <w:t>3</w:t>
            </w:r>
            <w:r>
              <w:rPr>
                <w:rFonts w:hint="eastAsia" w:ascii="宋体" w:hAnsi="宋体" w:eastAsia="宋体" w:cs="宋体"/>
                <w:color w:val="auto"/>
                <w:sz w:val="21"/>
                <w:szCs w:val="21"/>
                <w:highlight w:val="none"/>
                <w:u w:val="single"/>
              </w:rPr>
              <w:t>、如采用投标保函或投标保证保险的形式提交的，在开标前不强制要求提交相关文本原件，但投标人应在投标文件中提交投标保函或投标保证保险文本的扫描件并加盖投标人电子印章。评审结束后，中标候选人应在中标候选人公示前提交其办理的投标保函、担保或投标保证保险扫描件并在网上予以公示。如投标人存在投标人须知3.4.</w:t>
            </w:r>
            <w:r>
              <w:rPr>
                <w:rFonts w:hint="eastAsia" w:ascii="宋体" w:hAnsi="宋体" w:eastAsia="宋体" w:cs="宋体"/>
                <w:color w:val="auto"/>
                <w:sz w:val="21"/>
                <w:szCs w:val="21"/>
                <w:highlight w:val="none"/>
                <w:u w:val="single"/>
                <w:lang w:val="en-US" w:eastAsia="zh-CN"/>
              </w:rPr>
              <w:t>4</w:t>
            </w:r>
            <w:r>
              <w:rPr>
                <w:rFonts w:hint="eastAsia" w:ascii="宋体" w:hAnsi="宋体" w:eastAsia="宋体" w:cs="宋体"/>
                <w:color w:val="auto"/>
                <w:sz w:val="21"/>
                <w:szCs w:val="21"/>
                <w:highlight w:val="none"/>
                <w:u w:val="single"/>
              </w:rPr>
              <w:t>条款所列情形的，应将纸质原件提交给招标人。采用电子形式的保函或保证保险的，以广州公共资源交易中心的相关操作指引为准。</w:t>
            </w:r>
          </w:p>
          <w:p>
            <w:pPr>
              <w:spacing w:line="288" w:lineRule="auto"/>
              <w:rPr>
                <w:rFonts w:hint="eastAsia" w:ascii="宋体" w:hAnsi="宋体" w:eastAsia="宋体" w:cs="宋体"/>
                <w:color w:val="auto"/>
                <w:sz w:val="21"/>
                <w:szCs w:val="21"/>
                <w:highlight w:val="none"/>
                <w:u w:val="single"/>
              </w:rPr>
            </w:pPr>
            <w:r>
              <w:rPr>
                <w:rFonts w:hint="eastAsia" w:ascii="宋体" w:hAnsi="宋体" w:cs="宋体"/>
                <w:color w:val="auto"/>
                <w:sz w:val="21"/>
                <w:szCs w:val="21"/>
                <w:highlight w:val="none"/>
                <w:u w:val="single"/>
                <w:lang w:val="en-US" w:eastAsia="zh-CN"/>
              </w:rPr>
              <w:t>4</w:t>
            </w:r>
            <w:r>
              <w:rPr>
                <w:rFonts w:hint="eastAsia" w:ascii="宋体" w:hAnsi="宋体" w:eastAsia="宋体" w:cs="宋体"/>
                <w:color w:val="auto"/>
                <w:sz w:val="21"/>
                <w:szCs w:val="21"/>
                <w:highlight w:val="none"/>
                <w:u w:val="single"/>
              </w:rPr>
              <w:t>、对于信用良好的投标人，本项目免收投标保证金。但投标人应在投标文件中提供信用状况良好的相关证明（证明以“信用中国”网站（https://www.creditchina.gov.cn）下载的、由国家公共信用信息中心出具的有效的《法人和其他组织信用信息概况》（以下简称“信用报告”）为准，信用报告的生成时间需在招标公告发布时间至递交投标文件截止时间段内，超出该时间段出具的信用报告无效。信用状况良好是指投标人信用报告中不存在重点关注信息、行政处罚信息、失信惩戒信息、风险提示信息。）扫描件加盖投标人电子印章。</w:t>
            </w:r>
          </w:p>
          <w:p>
            <w:pPr>
              <w:spacing w:line="288" w:lineRule="auto"/>
              <w:rPr>
                <w:rFonts w:hint="eastAsia" w:ascii="宋体" w:hAnsi="宋体" w:eastAsia="宋体" w:cs="宋体"/>
                <w:color w:val="auto"/>
                <w:sz w:val="21"/>
                <w:szCs w:val="21"/>
                <w:highlight w:val="none"/>
                <w:u w:val="single"/>
              </w:rPr>
            </w:pPr>
            <w:r>
              <w:rPr>
                <w:rFonts w:hint="eastAsia" w:ascii="宋体" w:hAnsi="宋体" w:cs="宋体"/>
                <w:color w:val="auto"/>
                <w:sz w:val="21"/>
                <w:szCs w:val="21"/>
                <w:highlight w:val="none"/>
                <w:u w:val="single"/>
                <w:lang w:val="en-US" w:eastAsia="zh-CN"/>
              </w:rPr>
              <w:t>5</w:t>
            </w:r>
            <w:r>
              <w:rPr>
                <w:rFonts w:hint="eastAsia" w:ascii="宋体" w:hAnsi="宋体" w:eastAsia="宋体" w:cs="宋体"/>
                <w:color w:val="auto"/>
                <w:sz w:val="21"/>
                <w:szCs w:val="21"/>
                <w:highlight w:val="none"/>
                <w:u w:val="single"/>
              </w:rPr>
              <w:t>、为减轻中小企业资金占用压力，本项目免收中小企业（包括中型、小型和微型企业）的投标保证金。但投标人应提供属于中小企业的资料（提供自行查询企业划型截图和《中小企业声明函》（详见第</w:t>
            </w:r>
            <w:r>
              <w:rPr>
                <w:rFonts w:hint="eastAsia" w:ascii="宋体" w:hAnsi="宋体" w:cs="宋体"/>
                <w:color w:val="auto"/>
                <w:sz w:val="21"/>
                <w:szCs w:val="21"/>
                <w:highlight w:val="none"/>
                <w:u w:val="single"/>
                <w:lang w:val="en-US" w:eastAsia="zh-CN"/>
              </w:rPr>
              <w:t>六</w:t>
            </w:r>
            <w:r>
              <w:rPr>
                <w:rFonts w:hint="eastAsia" w:ascii="宋体" w:hAnsi="宋体" w:eastAsia="宋体" w:cs="宋体"/>
                <w:color w:val="auto"/>
                <w:sz w:val="21"/>
                <w:szCs w:val="21"/>
                <w:highlight w:val="none"/>
                <w:u w:val="single"/>
              </w:rPr>
              <w:t>章投标</w:t>
            </w:r>
            <w:r>
              <w:rPr>
                <w:rFonts w:hint="eastAsia" w:ascii="宋体" w:hAnsi="宋体" w:cs="宋体"/>
                <w:color w:val="auto"/>
                <w:sz w:val="21"/>
                <w:szCs w:val="21"/>
                <w:highlight w:val="none"/>
                <w:u w:val="single"/>
                <w:lang w:val="en-US" w:eastAsia="zh-CN"/>
              </w:rPr>
              <w:t>保证金</w:t>
            </w:r>
            <w:r>
              <w:rPr>
                <w:rFonts w:hint="eastAsia" w:ascii="宋体" w:hAnsi="宋体" w:eastAsia="宋体" w:cs="宋体"/>
                <w:color w:val="auto"/>
                <w:sz w:val="21"/>
                <w:szCs w:val="21"/>
                <w:highlight w:val="none"/>
                <w:u w:val="single"/>
              </w:rPr>
              <w:t>）。中小企业的划型标准依据《关于印发中小企业划型标准规定的通知》（工信部联企业（2011）300号）执行，投标人提供以http://202.106.120.146/baosong/appweb/orgScale.html网址查询结果为准，网页截图需包含网址信息。没有按上述要求提供证明材料的投标人，不免于交纳投标保证金。）资料扫描件加盖投标人电子印章。</w:t>
            </w:r>
          </w:p>
          <w:p>
            <w:pPr>
              <w:spacing w:line="288" w:lineRule="auto"/>
              <w:rPr>
                <w:rFonts w:hint="eastAsia" w:ascii="宋体" w:hAnsi="宋体" w:eastAsia="宋体" w:cs="宋体"/>
                <w:color w:val="auto"/>
                <w:sz w:val="21"/>
                <w:szCs w:val="21"/>
                <w:highlight w:val="none"/>
                <w:u w:val="single"/>
              </w:rPr>
            </w:pPr>
            <w:r>
              <w:rPr>
                <w:rFonts w:hint="eastAsia" w:ascii="宋体" w:hAnsi="宋体" w:cs="宋体"/>
                <w:color w:val="auto"/>
                <w:sz w:val="21"/>
                <w:szCs w:val="21"/>
                <w:highlight w:val="none"/>
                <w:u w:val="single"/>
                <w:lang w:val="en-US" w:eastAsia="zh-CN"/>
              </w:rPr>
              <w:t>6</w:t>
            </w:r>
            <w:r>
              <w:rPr>
                <w:rFonts w:hint="eastAsia" w:ascii="宋体" w:hAnsi="宋体" w:eastAsia="宋体" w:cs="宋体"/>
                <w:color w:val="auto"/>
                <w:sz w:val="21"/>
                <w:szCs w:val="21"/>
                <w:highlight w:val="none"/>
                <w:u w:val="single"/>
              </w:rPr>
              <w:t>、免交投标保证金的投标人需提供《关于投标保证金的承诺》（详见第</w:t>
            </w:r>
            <w:r>
              <w:rPr>
                <w:rFonts w:hint="eastAsia" w:ascii="宋体" w:hAnsi="宋体" w:cs="宋体"/>
                <w:color w:val="auto"/>
                <w:sz w:val="21"/>
                <w:szCs w:val="21"/>
                <w:highlight w:val="none"/>
                <w:u w:val="single"/>
                <w:lang w:val="en-US" w:eastAsia="zh-CN"/>
              </w:rPr>
              <w:t>六</w:t>
            </w:r>
            <w:r>
              <w:rPr>
                <w:rFonts w:hint="eastAsia" w:ascii="宋体" w:hAnsi="宋体" w:eastAsia="宋体" w:cs="宋体"/>
                <w:color w:val="auto"/>
                <w:sz w:val="21"/>
                <w:szCs w:val="21"/>
                <w:highlight w:val="none"/>
                <w:u w:val="single"/>
              </w:rPr>
              <w:t>章投标</w:t>
            </w:r>
            <w:r>
              <w:rPr>
                <w:rFonts w:hint="eastAsia" w:ascii="宋体" w:hAnsi="宋体" w:cs="宋体"/>
                <w:color w:val="auto"/>
                <w:sz w:val="21"/>
                <w:szCs w:val="21"/>
                <w:highlight w:val="none"/>
                <w:u w:val="single"/>
                <w:lang w:val="en-US" w:eastAsia="zh-CN"/>
              </w:rPr>
              <w:t>保证金</w:t>
            </w:r>
            <w:r>
              <w:rPr>
                <w:rFonts w:hint="eastAsia" w:ascii="宋体" w:hAnsi="宋体" w:eastAsia="宋体" w:cs="宋体"/>
                <w:color w:val="auto"/>
                <w:sz w:val="21"/>
                <w:szCs w:val="21"/>
                <w:highlight w:val="none"/>
                <w:u w:val="single"/>
              </w:rPr>
              <w:t>）</w:t>
            </w:r>
          </w:p>
          <w:p>
            <w:pPr>
              <w:pStyle w:val="28"/>
              <w:ind w:left="0" w:leftChars="0" w:firstLine="0" w:firstLineChars="0"/>
              <w:rPr>
                <w:rFonts w:ascii="宋体" w:hAnsi="宋体"/>
                <w:szCs w:val="21"/>
                <w:highlight w:val="none"/>
                <w:u w:val="single"/>
              </w:rPr>
            </w:pPr>
            <w:r>
              <w:rPr>
                <w:rFonts w:hint="eastAsia" w:ascii="宋体" w:hAnsi="宋体" w:eastAsia="宋体" w:cs="宋体"/>
                <w:color w:val="auto"/>
                <w:sz w:val="21"/>
                <w:szCs w:val="21"/>
                <w:highlight w:val="none"/>
                <w:u w:val="single"/>
              </w:rPr>
              <w:t>注：投标保证金以现金或者支票形式提交的，必须由投标人的银行基本账户转出（操作指引详情见广州公共资源交易中心网站）；对于未能按要求交纳投标保证金的投标人，招标人将视为不响应招标文件而予以拒绝，责任由投标人自负。</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snapToGrid w:val="0"/>
              <w:spacing w:line="276" w:lineRule="auto"/>
              <w:jc w:val="center"/>
              <w:rPr>
                <w:rFonts w:ascii="宋体" w:hAnsi="宋体"/>
                <w:color w:val="auto"/>
                <w:szCs w:val="21"/>
                <w:highlight w:val="none"/>
              </w:rPr>
            </w:pPr>
            <w:r>
              <w:rPr>
                <w:rFonts w:ascii="宋体" w:hAnsi="宋体"/>
                <w:color w:val="auto"/>
                <w:szCs w:val="21"/>
                <w:highlight w:val="none"/>
              </w:rPr>
              <w:t>3.5</w:t>
            </w:r>
          </w:p>
        </w:tc>
        <w:tc>
          <w:tcPr>
            <w:tcW w:w="2160" w:type="dxa"/>
            <w:vAlign w:val="center"/>
          </w:tcPr>
          <w:p>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资格审查资料的特殊要求</w:t>
            </w:r>
          </w:p>
        </w:tc>
        <w:tc>
          <w:tcPr>
            <w:tcW w:w="7200" w:type="dxa"/>
            <w:vAlign w:val="center"/>
          </w:tcPr>
          <w:p>
            <w:pPr>
              <w:pStyle w:val="11"/>
              <w:topLinePunct/>
              <w:snapToGrid w:val="0"/>
              <w:spacing w:line="276" w:lineRule="auto"/>
              <w:rPr>
                <w:rFonts w:hAnsi="宋体"/>
                <w:color w:val="auto"/>
                <w:spacing w:val="-1"/>
                <w:sz w:val="21"/>
                <w:szCs w:val="21"/>
                <w:highlight w:val="none"/>
              </w:rPr>
            </w:pPr>
            <w:r>
              <w:rPr>
                <w:rFonts w:hint="eastAsia" w:hAnsi="宋体"/>
                <w:color w:val="auto"/>
                <w:spacing w:val="-1"/>
                <w:sz w:val="21"/>
                <w:szCs w:val="21"/>
                <w:highlight w:val="none"/>
              </w:rPr>
              <w:t>■无</w:t>
            </w:r>
          </w:p>
          <w:p>
            <w:pPr>
              <w:pStyle w:val="11"/>
              <w:topLinePunct/>
              <w:snapToGrid w:val="0"/>
              <w:spacing w:line="276" w:lineRule="auto"/>
              <w:rPr>
                <w:rFonts w:hAnsi="宋体"/>
                <w:color w:val="auto"/>
                <w:sz w:val="21"/>
                <w:szCs w:val="21"/>
                <w:highlight w:val="none"/>
              </w:rPr>
            </w:pPr>
            <w:r>
              <w:rPr>
                <w:rFonts w:hint="eastAsia" w:hAnsi="宋体"/>
                <w:color w:val="auto"/>
                <w:spacing w:val="-1"/>
                <w:sz w:val="21"/>
                <w:szCs w:val="21"/>
                <w:highlight w:val="none"/>
              </w:rPr>
              <w:t>□有，具体要求：/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snapToGrid w:val="0"/>
              <w:spacing w:line="276" w:lineRule="auto"/>
              <w:jc w:val="center"/>
              <w:rPr>
                <w:rFonts w:ascii="宋体" w:hAnsi="宋体"/>
                <w:color w:val="auto"/>
                <w:szCs w:val="21"/>
                <w:highlight w:val="none"/>
              </w:rPr>
            </w:pPr>
            <w:r>
              <w:rPr>
                <w:rFonts w:ascii="宋体" w:hAnsi="宋体"/>
                <w:color w:val="auto"/>
                <w:szCs w:val="21"/>
                <w:highlight w:val="none"/>
              </w:rPr>
              <w:t>3.5.2</w:t>
            </w:r>
          </w:p>
        </w:tc>
        <w:tc>
          <w:tcPr>
            <w:tcW w:w="2160" w:type="dxa"/>
            <w:vAlign w:val="center"/>
          </w:tcPr>
          <w:p>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近年财务状况的年份要求</w:t>
            </w:r>
          </w:p>
        </w:tc>
        <w:tc>
          <w:tcPr>
            <w:tcW w:w="7200" w:type="dxa"/>
            <w:vAlign w:val="center"/>
          </w:tcPr>
          <w:p>
            <w:pPr>
              <w:spacing w:line="276" w:lineRule="auto"/>
              <w:ind w:firstLine="104" w:firstLineChars="50"/>
              <w:rPr>
                <w:rFonts w:ascii="宋体" w:hAnsi="宋体"/>
                <w:color w:val="auto"/>
                <w:szCs w:val="21"/>
                <w:highlight w:val="none"/>
                <w:u w:val="single"/>
              </w:rPr>
            </w:pPr>
            <w:r>
              <w:rPr>
                <w:rFonts w:hint="eastAsia" w:hAnsi="宋体"/>
                <w:color w:val="auto"/>
                <w:spacing w:val="-1"/>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snapToGrid w:val="0"/>
              <w:spacing w:line="276" w:lineRule="auto"/>
              <w:jc w:val="center"/>
              <w:rPr>
                <w:rFonts w:ascii="宋体" w:hAnsi="宋体"/>
                <w:color w:val="auto"/>
                <w:szCs w:val="21"/>
                <w:highlight w:val="none"/>
              </w:rPr>
            </w:pPr>
            <w:r>
              <w:rPr>
                <w:rFonts w:ascii="宋体" w:hAnsi="宋体"/>
                <w:color w:val="auto"/>
                <w:szCs w:val="21"/>
                <w:highlight w:val="none"/>
              </w:rPr>
              <w:t>3.5.3</w:t>
            </w:r>
          </w:p>
        </w:tc>
        <w:tc>
          <w:tcPr>
            <w:tcW w:w="2160" w:type="dxa"/>
            <w:vAlign w:val="center"/>
          </w:tcPr>
          <w:p>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近年完成的类似项目情况的时间要求</w:t>
            </w:r>
          </w:p>
        </w:tc>
        <w:tc>
          <w:tcPr>
            <w:tcW w:w="7200" w:type="dxa"/>
            <w:vAlign w:val="center"/>
          </w:tcPr>
          <w:p>
            <w:pPr>
              <w:spacing w:line="276" w:lineRule="auto"/>
              <w:ind w:firstLine="104" w:firstLineChars="50"/>
              <w:rPr>
                <w:rFonts w:ascii="宋体" w:hAnsi="宋体"/>
                <w:color w:val="auto"/>
                <w:szCs w:val="21"/>
                <w:highlight w:val="none"/>
              </w:rPr>
            </w:pPr>
            <w:r>
              <w:rPr>
                <w:rFonts w:hint="eastAsia" w:hAnsi="宋体"/>
                <w:color w:val="auto"/>
                <w:spacing w:val="-1"/>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snapToGrid w:val="0"/>
              <w:spacing w:line="276" w:lineRule="auto"/>
              <w:jc w:val="center"/>
              <w:rPr>
                <w:rFonts w:ascii="宋体" w:hAnsi="宋体"/>
                <w:color w:val="auto"/>
                <w:szCs w:val="21"/>
                <w:highlight w:val="none"/>
              </w:rPr>
            </w:pPr>
            <w:r>
              <w:rPr>
                <w:rFonts w:ascii="宋体" w:hAnsi="宋体"/>
                <w:color w:val="auto"/>
                <w:szCs w:val="21"/>
                <w:highlight w:val="none"/>
              </w:rPr>
              <w:t>3.5.5</w:t>
            </w:r>
          </w:p>
        </w:tc>
        <w:tc>
          <w:tcPr>
            <w:tcW w:w="2160" w:type="dxa"/>
            <w:vAlign w:val="center"/>
          </w:tcPr>
          <w:p>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近年发生的诉讼及仲裁情况的时间要求</w:t>
            </w:r>
          </w:p>
        </w:tc>
        <w:tc>
          <w:tcPr>
            <w:tcW w:w="7200" w:type="dxa"/>
            <w:vAlign w:val="center"/>
          </w:tcPr>
          <w:p>
            <w:pPr>
              <w:snapToGrid w:val="0"/>
              <w:spacing w:line="276" w:lineRule="auto"/>
              <w:ind w:firstLine="104" w:firstLineChars="50"/>
              <w:rPr>
                <w:rFonts w:ascii="宋体" w:hAnsi="宋体"/>
                <w:color w:val="auto"/>
                <w:szCs w:val="21"/>
                <w:highlight w:val="none"/>
              </w:rPr>
            </w:pPr>
            <w:r>
              <w:rPr>
                <w:rFonts w:hint="eastAsia" w:hAnsi="宋体"/>
                <w:color w:val="auto"/>
                <w:spacing w:val="-1"/>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snapToGrid w:val="0"/>
              <w:spacing w:line="276" w:lineRule="auto"/>
              <w:jc w:val="center"/>
              <w:rPr>
                <w:rFonts w:ascii="宋体" w:hAnsi="宋体"/>
                <w:color w:val="auto"/>
                <w:szCs w:val="21"/>
                <w:highlight w:val="none"/>
              </w:rPr>
            </w:pPr>
            <w:r>
              <w:rPr>
                <w:rFonts w:ascii="宋体" w:hAnsi="宋体"/>
                <w:color w:val="auto"/>
                <w:szCs w:val="21"/>
                <w:highlight w:val="none"/>
              </w:rPr>
              <w:t>3.6.1</w:t>
            </w:r>
          </w:p>
        </w:tc>
        <w:tc>
          <w:tcPr>
            <w:tcW w:w="2160" w:type="dxa"/>
            <w:vAlign w:val="center"/>
          </w:tcPr>
          <w:p>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是否允许递交备选投标方案</w:t>
            </w:r>
          </w:p>
        </w:tc>
        <w:tc>
          <w:tcPr>
            <w:tcW w:w="7200" w:type="dxa"/>
            <w:vAlign w:val="center"/>
          </w:tcPr>
          <w:p>
            <w:pPr>
              <w:pStyle w:val="11"/>
              <w:topLinePunct/>
              <w:snapToGrid w:val="0"/>
              <w:spacing w:line="276" w:lineRule="auto"/>
              <w:rPr>
                <w:rFonts w:hAnsi="宋体"/>
                <w:color w:val="auto"/>
                <w:sz w:val="21"/>
                <w:szCs w:val="21"/>
                <w:highlight w:val="none"/>
              </w:rPr>
            </w:pPr>
            <w:r>
              <w:rPr>
                <w:rFonts w:hint="eastAsia" w:hAnsi="宋体"/>
                <w:color w:val="auto"/>
                <w:spacing w:val="-1"/>
                <w:sz w:val="21"/>
                <w:szCs w:val="21"/>
                <w:highlight w:val="none"/>
              </w:rPr>
              <w:t>■</w:t>
            </w:r>
            <w:r>
              <w:rPr>
                <w:rFonts w:hint="eastAsia" w:hAnsi="宋体"/>
                <w:color w:val="auto"/>
                <w:sz w:val="21"/>
                <w:szCs w:val="21"/>
                <w:highlight w:val="none"/>
              </w:rPr>
              <w:t>不允许</w:t>
            </w:r>
          </w:p>
          <w:p>
            <w:pPr>
              <w:snapToGrid w:val="0"/>
              <w:spacing w:line="276" w:lineRule="auto"/>
              <w:rPr>
                <w:rFonts w:ascii="宋体" w:hAnsi="宋体"/>
                <w:color w:val="auto"/>
                <w:szCs w:val="21"/>
                <w:highlight w:val="none"/>
              </w:rPr>
            </w:pPr>
            <w:r>
              <w:rPr>
                <w:rFonts w:hint="eastAsia" w:ascii="宋体" w:hAnsi="宋体"/>
                <w:color w:val="auto"/>
                <w:szCs w:val="21"/>
                <w:highlight w:val="none"/>
              </w:rPr>
              <w:t>□允许</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snapToGrid w:val="0"/>
              <w:spacing w:line="276" w:lineRule="auto"/>
              <w:jc w:val="center"/>
              <w:rPr>
                <w:rFonts w:ascii="宋体" w:hAnsi="宋体"/>
                <w:color w:val="auto"/>
                <w:szCs w:val="21"/>
                <w:highlight w:val="none"/>
              </w:rPr>
            </w:pPr>
            <w:r>
              <w:rPr>
                <w:rFonts w:ascii="宋体" w:hAnsi="宋体"/>
                <w:color w:val="auto"/>
                <w:szCs w:val="21"/>
                <w:highlight w:val="none"/>
              </w:rPr>
              <w:t>3.7.3</w:t>
            </w:r>
          </w:p>
        </w:tc>
        <w:tc>
          <w:tcPr>
            <w:tcW w:w="2160" w:type="dxa"/>
            <w:vAlign w:val="center"/>
          </w:tcPr>
          <w:p>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投标文件所附证书证件要求</w:t>
            </w:r>
          </w:p>
        </w:tc>
        <w:tc>
          <w:tcPr>
            <w:tcW w:w="7200" w:type="dxa"/>
            <w:vAlign w:val="center"/>
          </w:tcPr>
          <w:p>
            <w:pPr>
              <w:snapToGrid w:val="0"/>
              <w:spacing w:line="276" w:lineRule="auto"/>
              <w:rPr>
                <w:rFonts w:ascii="宋体" w:hAnsi="宋体"/>
                <w:color w:val="auto"/>
                <w:szCs w:val="21"/>
                <w:highlight w:val="none"/>
                <w:u w:val="single"/>
              </w:rPr>
            </w:pPr>
            <w:r>
              <w:rPr>
                <w:rFonts w:hint="eastAsia" w:ascii="宋体" w:hAnsi="宋体"/>
                <w:color w:val="auto"/>
                <w:szCs w:val="21"/>
                <w:highlight w:val="none"/>
              </w:rPr>
              <w:t>证书证件需为</w:t>
            </w:r>
            <w:r>
              <w:rPr>
                <w:rFonts w:hint="eastAsia" w:ascii="宋体" w:hAnsi="宋体"/>
                <w:b/>
                <w:color w:val="auto"/>
                <w:szCs w:val="21"/>
                <w:highlight w:val="none"/>
              </w:rPr>
              <w:t>原件清晰彩色扫描件</w:t>
            </w:r>
            <w:r>
              <w:rPr>
                <w:rFonts w:hint="eastAsia" w:ascii="宋体" w:hAnsi="宋体"/>
                <w:color w:val="auto"/>
                <w:szCs w:val="21"/>
                <w:highlight w:val="none"/>
              </w:rPr>
              <w:t>，并采用单位数字证书，按照招标文件要求在相应位置加盖电子印章。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snapToGrid w:val="0"/>
              <w:spacing w:line="276" w:lineRule="auto"/>
              <w:jc w:val="center"/>
              <w:rPr>
                <w:rFonts w:ascii="宋体" w:hAnsi="宋体"/>
                <w:color w:val="auto"/>
                <w:szCs w:val="21"/>
                <w:highlight w:val="none"/>
              </w:rPr>
            </w:pPr>
            <w:r>
              <w:rPr>
                <w:rFonts w:ascii="宋体" w:hAnsi="宋体"/>
                <w:color w:val="auto"/>
                <w:szCs w:val="21"/>
                <w:highlight w:val="none"/>
              </w:rPr>
              <w:t>3.7.3</w:t>
            </w:r>
          </w:p>
        </w:tc>
        <w:tc>
          <w:tcPr>
            <w:tcW w:w="2160" w:type="dxa"/>
            <w:vAlign w:val="center"/>
          </w:tcPr>
          <w:p>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投标文件签字或盖章要求</w:t>
            </w:r>
          </w:p>
        </w:tc>
        <w:tc>
          <w:tcPr>
            <w:tcW w:w="7200" w:type="dxa"/>
            <w:vAlign w:val="center"/>
          </w:tcPr>
          <w:p>
            <w:pPr>
              <w:pStyle w:val="11"/>
              <w:topLinePunct/>
              <w:snapToGrid w:val="0"/>
              <w:spacing w:line="276" w:lineRule="auto"/>
              <w:ind w:right="174" w:rightChars="83"/>
              <w:rPr>
                <w:rFonts w:hAnsi="宋体" w:cs="宋体"/>
                <w:color w:val="auto"/>
                <w:sz w:val="21"/>
                <w:szCs w:val="21"/>
                <w:highlight w:val="none"/>
                <w:u w:val="single"/>
              </w:rPr>
            </w:pPr>
            <w:r>
              <w:rPr>
                <w:rFonts w:hint="eastAsia" w:hAnsi="宋体" w:cs="宋体"/>
                <w:color w:val="auto"/>
                <w:sz w:val="21"/>
                <w:szCs w:val="21"/>
                <w:highlight w:val="none"/>
                <w:u w:val="single"/>
              </w:rPr>
              <w:t>取消在招标文件中采用个人数字证书和加盖个人电子印章要求，投标文件中需法定代表人、代理人签字或加盖电子印章的，应手签</w:t>
            </w:r>
            <w:r>
              <w:rPr>
                <w:rFonts w:hint="eastAsia" w:hAnsi="宋体" w:cs="宋体"/>
                <w:color w:val="auto"/>
                <w:sz w:val="21"/>
                <w:szCs w:val="21"/>
                <w:highlight w:val="none"/>
                <w:u w:val="single"/>
                <w:lang w:val="en-US" w:eastAsia="zh-CN"/>
              </w:rPr>
              <w:t>或盖章</w:t>
            </w:r>
            <w:r>
              <w:rPr>
                <w:rFonts w:hint="eastAsia" w:hAnsi="宋体" w:cs="宋体"/>
                <w:color w:val="auto"/>
                <w:sz w:val="21"/>
                <w:szCs w:val="21"/>
                <w:highlight w:val="none"/>
                <w:u w:val="single"/>
              </w:rPr>
              <w:t>后扫描上传，对加盖个人电子印章不做要求。投标文件按招标文件要求加盖单位电子印章。相关操作详见广州公共资源交易中心网站最新发布的最新指引。</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snapToGrid w:val="0"/>
              <w:spacing w:line="276" w:lineRule="auto"/>
              <w:jc w:val="center"/>
              <w:rPr>
                <w:rFonts w:ascii="宋体" w:hAnsi="宋体"/>
                <w:color w:val="auto"/>
                <w:szCs w:val="21"/>
                <w:highlight w:val="none"/>
              </w:rPr>
            </w:pPr>
            <w:r>
              <w:rPr>
                <w:rFonts w:ascii="宋体" w:hAnsi="宋体"/>
                <w:color w:val="auto"/>
                <w:szCs w:val="21"/>
                <w:highlight w:val="none"/>
              </w:rPr>
              <w:t>4.1.1</w:t>
            </w:r>
          </w:p>
        </w:tc>
        <w:tc>
          <w:tcPr>
            <w:tcW w:w="2160" w:type="dxa"/>
            <w:vAlign w:val="center"/>
          </w:tcPr>
          <w:p>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投标文件加密要求</w:t>
            </w:r>
          </w:p>
        </w:tc>
        <w:tc>
          <w:tcPr>
            <w:tcW w:w="7200" w:type="dxa"/>
            <w:vAlign w:val="center"/>
          </w:tcPr>
          <w:p>
            <w:pPr>
              <w:pStyle w:val="11"/>
              <w:topLinePunct/>
              <w:snapToGrid w:val="0"/>
              <w:spacing w:line="276" w:lineRule="auto"/>
              <w:rPr>
                <w:rFonts w:hAnsi="宋体"/>
                <w:color w:val="auto"/>
                <w:sz w:val="21"/>
                <w:szCs w:val="21"/>
                <w:highlight w:val="none"/>
                <w:u w:val="single"/>
              </w:rPr>
            </w:pPr>
            <w:r>
              <w:rPr>
                <w:rFonts w:hint="eastAsia" w:hAnsi="宋体"/>
                <w:color w:val="auto"/>
                <w:sz w:val="21"/>
                <w:szCs w:val="21"/>
                <w:highlight w:val="none"/>
              </w:rPr>
              <w:t>网上递交的电子投标文件须进行加密。具体操作</w:t>
            </w:r>
            <w:r>
              <w:rPr>
                <w:rFonts w:hint="eastAsia" w:hAnsi="宋体" w:cs="宋体"/>
                <w:color w:val="auto"/>
                <w:sz w:val="21"/>
                <w:szCs w:val="21"/>
                <w:highlight w:val="none"/>
                <w:u w:val="single"/>
              </w:rPr>
              <w:t>详见广州公共资源交易中心网站最新发布的最新指引。</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snapToGrid w:val="0"/>
              <w:spacing w:line="276" w:lineRule="auto"/>
              <w:jc w:val="center"/>
              <w:rPr>
                <w:rFonts w:ascii="宋体" w:hAnsi="宋体"/>
                <w:color w:val="auto"/>
                <w:szCs w:val="21"/>
                <w:highlight w:val="none"/>
              </w:rPr>
            </w:pPr>
            <w:r>
              <w:rPr>
                <w:rFonts w:ascii="宋体" w:hAnsi="宋体"/>
                <w:color w:val="auto"/>
                <w:szCs w:val="21"/>
                <w:highlight w:val="none"/>
              </w:rPr>
              <w:t>4.1.2</w:t>
            </w:r>
          </w:p>
        </w:tc>
        <w:tc>
          <w:tcPr>
            <w:tcW w:w="2160" w:type="dxa"/>
            <w:vAlign w:val="center"/>
          </w:tcPr>
          <w:p>
            <w:pPr>
              <w:snapToGrid w:val="0"/>
              <w:spacing w:line="276" w:lineRule="auto"/>
              <w:jc w:val="center"/>
              <w:rPr>
                <w:rFonts w:ascii="宋体" w:hAnsi="宋体"/>
                <w:color w:val="auto"/>
                <w:szCs w:val="21"/>
                <w:highlight w:val="none"/>
                <w:shd w:val="clear" w:color="FFFFFF" w:fill="D9D9D9"/>
              </w:rPr>
            </w:pPr>
            <w:r>
              <w:rPr>
                <w:rFonts w:hint="eastAsia" w:ascii="宋体" w:hAnsi="宋体"/>
                <w:color w:val="auto"/>
                <w:szCs w:val="21"/>
                <w:highlight w:val="none"/>
              </w:rPr>
              <w:t>封套上应载明的信息</w:t>
            </w:r>
          </w:p>
        </w:tc>
        <w:tc>
          <w:tcPr>
            <w:tcW w:w="7200" w:type="dxa"/>
            <w:vAlign w:val="center"/>
          </w:tcPr>
          <w:p>
            <w:pPr>
              <w:pStyle w:val="11"/>
              <w:topLinePunct/>
              <w:snapToGrid w:val="0"/>
              <w:spacing w:line="276" w:lineRule="auto"/>
              <w:rPr>
                <w:rFonts w:hAnsi="宋体"/>
                <w:color w:val="auto"/>
                <w:sz w:val="21"/>
                <w:szCs w:val="21"/>
                <w:highlight w:val="none"/>
              </w:rPr>
            </w:pPr>
            <w:r>
              <w:rPr>
                <w:rFonts w:hint="eastAsia" w:hAnsi="宋体"/>
                <w:color w:val="auto"/>
                <w:sz w:val="21"/>
                <w:szCs w:val="21"/>
                <w:highlight w:val="none"/>
              </w:rPr>
              <w:t>如有提交投标文件光盘备用，封套上应注明如下信息：</w:t>
            </w:r>
          </w:p>
          <w:p>
            <w:pPr>
              <w:pStyle w:val="11"/>
              <w:topLinePunct/>
              <w:spacing w:line="276" w:lineRule="auto"/>
              <w:rPr>
                <w:rFonts w:hint="eastAsia" w:hAnsi="宋体" w:eastAsia="宋体"/>
                <w:color w:val="auto"/>
                <w:sz w:val="21"/>
                <w:szCs w:val="21"/>
                <w:highlight w:val="none"/>
                <w:lang w:eastAsia="zh-CN"/>
              </w:rPr>
            </w:pPr>
            <w:r>
              <w:rPr>
                <w:rFonts w:hint="eastAsia" w:hAnsi="宋体"/>
                <w:color w:val="auto"/>
                <w:sz w:val="21"/>
                <w:szCs w:val="21"/>
                <w:highlight w:val="none"/>
              </w:rPr>
              <w:t>招标人名称：</w:t>
            </w:r>
            <w:r>
              <w:rPr>
                <w:rFonts w:hint="eastAsia" w:hAnsi="宋体"/>
                <w:color w:val="auto"/>
                <w:sz w:val="21"/>
                <w:szCs w:val="21"/>
                <w:highlight w:val="none"/>
                <w:u w:val="single"/>
                <w:lang w:eastAsia="zh-CN"/>
              </w:rPr>
              <w:t>广州开投穗港科创投资运营有限公司</w:t>
            </w:r>
          </w:p>
          <w:p>
            <w:pPr>
              <w:pStyle w:val="11"/>
              <w:topLinePunct/>
              <w:spacing w:line="276" w:lineRule="auto"/>
              <w:rPr>
                <w:rFonts w:hint="eastAsia" w:hAnsi="宋体" w:eastAsia="宋体"/>
                <w:color w:val="auto"/>
                <w:sz w:val="21"/>
                <w:szCs w:val="21"/>
                <w:highlight w:val="none"/>
                <w:u w:val="single"/>
                <w:lang w:eastAsia="zh-CN"/>
              </w:rPr>
            </w:pPr>
            <w:r>
              <w:rPr>
                <w:rFonts w:hint="eastAsia" w:hAnsi="宋体"/>
                <w:color w:val="auto"/>
                <w:sz w:val="21"/>
                <w:szCs w:val="21"/>
                <w:highlight w:val="none"/>
              </w:rPr>
              <w:t>招标人地址：</w:t>
            </w:r>
            <w:r>
              <w:rPr>
                <w:rFonts w:hint="eastAsia" w:hAnsi="宋体"/>
                <w:color w:val="auto"/>
                <w:sz w:val="21"/>
                <w:szCs w:val="21"/>
                <w:highlight w:val="none"/>
                <w:u w:val="single"/>
                <w:lang w:eastAsia="zh-CN"/>
              </w:rPr>
              <w:t>广州市黄埔区保盈大道45号302房</w:t>
            </w:r>
          </w:p>
          <w:p>
            <w:pPr>
              <w:pStyle w:val="11"/>
              <w:topLinePunct/>
              <w:spacing w:line="276" w:lineRule="auto"/>
              <w:rPr>
                <w:rFonts w:hAnsi="宋体"/>
                <w:color w:val="auto"/>
                <w:sz w:val="21"/>
                <w:szCs w:val="21"/>
                <w:highlight w:val="none"/>
              </w:rPr>
            </w:pPr>
            <w:r>
              <w:rPr>
                <w:rFonts w:hint="eastAsia" w:hAnsi="宋体"/>
                <w:color w:val="auto"/>
                <w:sz w:val="21"/>
                <w:szCs w:val="21"/>
                <w:highlight w:val="none"/>
              </w:rPr>
              <w:t>（项目名称）招标项目投标文件</w:t>
            </w:r>
          </w:p>
          <w:p>
            <w:pPr>
              <w:pStyle w:val="11"/>
              <w:topLinePunct/>
              <w:spacing w:line="276" w:lineRule="auto"/>
              <w:rPr>
                <w:rFonts w:hAnsi="宋体"/>
                <w:color w:val="auto"/>
                <w:sz w:val="21"/>
                <w:szCs w:val="21"/>
                <w:highlight w:val="none"/>
              </w:rPr>
            </w:pPr>
            <w:r>
              <w:rPr>
                <w:rFonts w:hint="eastAsia" w:hAnsi="宋体"/>
                <w:color w:val="auto"/>
                <w:sz w:val="21"/>
                <w:szCs w:val="21"/>
                <w:highlight w:val="none"/>
              </w:rPr>
              <w:t>招标项目编号：</w:t>
            </w:r>
          </w:p>
          <w:p>
            <w:pPr>
              <w:pStyle w:val="11"/>
              <w:topLinePunct/>
              <w:snapToGrid w:val="0"/>
              <w:spacing w:line="276" w:lineRule="auto"/>
              <w:rPr>
                <w:rFonts w:hAnsi="宋体"/>
                <w:color w:val="auto"/>
                <w:sz w:val="21"/>
                <w:szCs w:val="21"/>
                <w:highlight w:val="none"/>
              </w:rPr>
            </w:pPr>
            <w:r>
              <w:rPr>
                <w:rFonts w:hint="eastAsia" w:hAnsi="宋体" w:cs="宋体"/>
                <w:color w:val="auto"/>
                <w:sz w:val="21"/>
                <w:szCs w:val="21"/>
                <w:highlight w:val="none"/>
              </w:rPr>
              <w:t>在</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年</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月</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日</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时前不得开启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snapToGrid w:val="0"/>
              <w:spacing w:line="276" w:lineRule="auto"/>
              <w:jc w:val="center"/>
              <w:rPr>
                <w:rFonts w:ascii="宋体" w:hAnsi="宋体"/>
                <w:color w:val="auto"/>
                <w:szCs w:val="21"/>
                <w:highlight w:val="none"/>
              </w:rPr>
            </w:pPr>
            <w:r>
              <w:rPr>
                <w:rFonts w:ascii="宋体" w:hAnsi="宋体"/>
                <w:color w:val="auto"/>
                <w:szCs w:val="21"/>
                <w:highlight w:val="none"/>
              </w:rPr>
              <w:t>4.2.1</w:t>
            </w:r>
          </w:p>
        </w:tc>
        <w:tc>
          <w:tcPr>
            <w:tcW w:w="2160" w:type="dxa"/>
            <w:vAlign w:val="center"/>
          </w:tcPr>
          <w:p>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投标截止时间</w:t>
            </w:r>
          </w:p>
        </w:tc>
        <w:tc>
          <w:tcPr>
            <w:tcW w:w="7200" w:type="dxa"/>
            <w:vAlign w:val="center"/>
          </w:tcPr>
          <w:p>
            <w:pPr>
              <w:snapToGrid w:val="0"/>
              <w:spacing w:line="276" w:lineRule="auto"/>
              <w:rPr>
                <w:rFonts w:ascii="宋体" w:hAnsi="宋体" w:cs="宋体"/>
                <w:color w:val="auto"/>
                <w:szCs w:val="21"/>
                <w:highlight w:val="none"/>
                <w:u w:val="singl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时  分（北京时间）</w:t>
            </w:r>
          </w:p>
          <w:p>
            <w:pPr>
              <w:snapToGrid w:val="0"/>
              <w:spacing w:line="276" w:lineRule="auto"/>
              <w:rPr>
                <w:rFonts w:ascii="宋体" w:hAnsi="宋体"/>
                <w:color w:val="auto"/>
                <w:szCs w:val="21"/>
                <w:highlight w:val="none"/>
              </w:rPr>
            </w:pPr>
            <w:r>
              <w:rPr>
                <w:rFonts w:hint="eastAsia" w:ascii="宋体" w:hAnsi="宋体" w:cs="宋体"/>
                <w:color w:val="auto"/>
                <w:szCs w:val="21"/>
                <w:highlight w:val="none"/>
                <w:u w:val="single"/>
              </w:rPr>
              <w:t>（详见广州公共资源交易中心网站信息）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snapToGrid w:val="0"/>
              <w:spacing w:line="276" w:lineRule="auto"/>
              <w:jc w:val="center"/>
              <w:rPr>
                <w:rFonts w:ascii="宋体" w:hAnsi="宋体"/>
                <w:color w:val="auto"/>
                <w:szCs w:val="21"/>
                <w:highlight w:val="none"/>
              </w:rPr>
            </w:pPr>
            <w:r>
              <w:rPr>
                <w:rFonts w:ascii="宋体" w:hAnsi="宋体"/>
                <w:color w:val="auto"/>
                <w:szCs w:val="21"/>
                <w:highlight w:val="none"/>
              </w:rPr>
              <w:t>4.2.2</w:t>
            </w:r>
          </w:p>
        </w:tc>
        <w:tc>
          <w:tcPr>
            <w:tcW w:w="2160" w:type="dxa"/>
            <w:vAlign w:val="center"/>
          </w:tcPr>
          <w:p>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递交电子投标文件交易平台</w:t>
            </w:r>
          </w:p>
        </w:tc>
        <w:tc>
          <w:tcPr>
            <w:tcW w:w="7200" w:type="dxa"/>
            <w:vAlign w:val="center"/>
          </w:tcPr>
          <w:p>
            <w:pPr>
              <w:snapToGrid w:val="0"/>
              <w:spacing w:line="276" w:lineRule="auto"/>
              <w:rPr>
                <w:rFonts w:ascii="宋体" w:hAnsi="宋体"/>
                <w:color w:val="auto"/>
                <w:szCs w:val="21"/>
                <w:highlight w:val="none"/>
                <w:u w:val="single"/>
              </w:rPr>
            </w:pPr>
            <w:r>
              <w:rPr>
                <w:rFonts w:ascii="宋体" w:hAnsi="宋体"/>
                <w:color w:val="auto"/>
                <w:szCs w:val="21"/>
                <w:highlight w:val="none"/>
                <w:u w:val="single"/>
              </w:rPr>
              <w:t>1.</w:t>
            </w:r>
            <w:r>
              <w:rPr>
                <w:rFonts w:hint="eastAsia" w:ascii="宋体" w:hAnsi="宋体"/>
                <w:color w:val="auto"/>
                <w:szCs w:val="21"/>
                <w:highlight w:val="none"/>
                <w:u w:val="single"/>
              </w:rPr>
              <w:t>递交方式：网上递交投标文件</w:t>
            </w:r>
            <w:r>
              <w:rPr>
                <w:rFonts w:ascii="宋体" w:hAnsi="宋体"/>
                <w:color w:val="auto"/>
                <w:szCs w:val="21"/>
                <w:highlight w:val="none"/>
                <w:u w:val="single"/>
              </w:rPr>
              <w:t xml:space="preserve"> </w:t>
            </w:r>
          </w:p>
          <w:p>
            <w:pPr>
              <w:snapToGrid w:val="0"/>
              <w:spacing w:line="276" w:lineRule="auto"/>
              <w:rPr>
                <w:rFonts w:ascii="宋体" w:hAnsi="宋体"/>
                <w:color w:val="auto"/>
                <w:szCs w:val="21"/>
                <w:highlight w:val="none"/>
                <w:u w:val="single"/>
              </w:rPr>
            </w:pPr>
            <w:r>
              <w:rPr>
                <w:rFonts w:ascii="宋体" w:hAnsi="宋体"/>
                <w:color w:val="auto"/>
                <w:szCs w:val="21"/>
                <w:highlight w:val="none"/>
                <w:u w:val="single"/>
              </w:rPr>
              <w:t>2.</w:t>
            </w:r>
            <w:r>
              <w:rPr>
                <w:rFonts w:hint="eastAsia" w:ascii="宋体" w:hAnsi="宋体"/>
                <w:color w:val="auto"/>
                <w:szCs w:val="21"/>
                <w:highlight w:val="none"/>
                <w:u w:val="single"/>
              </w:rPr>
              <w:t>递交投标文件的起始时间：（详见广州公共资源交易中心网站信息）。</w:t>
            </w:r>
          </w:p>
          <w:p>
            <w:pPr>
              <w:snapToGrid w:val="0"/>
              <w:spacing w:line="276" w:lineRule="auto"/>
              <w:rPr>
                <w:rFonts w:ascii="宋体" w:hAnsi="宋体"/>
                <w:color w:val="auto"/>
                <w:szCs w:val="21"/>
                <w:highlight w:val="none"/>
                <w:u w:val="single"/>
              </w:rPr>
            </w:pPr>
            <w:r>
              <w:rPr>
                <w:rFonts w:hint="eastAsia" w:ascii="宋体" w:hAnsi="宋体"/>
                <w:color w:val="auto"/>
                <w:szCs w:val="21"/>
                <w:highlight w:val="none"/>
                <w:u w:val="single"/>
              </w:rPr>
              <w:t>截止时间：（详见广州公共资源交易中心网站信息）</w:t>
            </w:r>
          </w:p>
          <w:p>
            <w:pPr>
              <w:snapToGrid w:val="0"/>
              <w:spacing w:line="276" w:lineRule="auto"/>
              <w:rPr>
                <w:rFonts w:ascii="宋体" w:hAnsi="宋体"/>
                <w:color w:val="auto"/>
                <w:szCs w:val="21"/>
                <w:highlight w:val="none"/>
                <w:u w:val="single"/>
              </w:rPr>
            </w:pPr>
            <w:r>
              <w:rPr>
                <w:rFonts w:ascii="宋体" w:hAnsi="宋体"/>
                <w:color w:val="auto"/>
                <w:szCs w:val="21"/>
                <w:highlight w:val="none"/>
                <w:u w:val="single"/>
              </w:rPr>
              <w:t>3.</w:t>
            </w:r>
            <w:r>
              <w:rPr>
                <w:rFonts w:hint="eastAsia" w:ascii="宋体" w:hAnsi="宋体"/>
                <w:color w:val="auto"/>
                <w:szCs w:val="21"/>
                <w:highlight w:val="none"/>
                <w:u w:val="single"/>
              </w:rPr>
              <w:t>地点：广州公共资源交易中心网站。</w:t>
            </w:r>
          </w:p>
          <w:p>
            <w:pPr>
              <w:snapToGrid w:val="0"/>
              <w:spacing w:line="276" w:lineRule="auto"/>
              <w:rPr>
                <w:rFonts w:ascii="宋体" w:hAnsi="宋体"/>
                <w:color w:val="auto"/>
                <w:szCs w:val="21"/>
                <w:highlight w:val="none"/>
              </w:rPr>
            </w:pPr>
            <w:r>
              <w:rPr>
                <w:rFonts w:ascii="宋体" w:hAnsi="宋体"/>
                <w:color w:val="auto"/>
                <w:szCs w:val="21"/>
                <w:highlight w:val="none"/>
                <w:u w:val="single"/>
              </w:rPr>
              <w:t>4.</w:t>
            </w:r>
            <w:r>
              <w:rPr>
                <w:rFonts w:hint="eastAsia" w:ascii="宋体" w:hAnsi="宋体"/>
                <w:color w:val="auto"/>
                <w:szCs w:val="21"/>
                <w:highlight w:val="none"/>
                <w:u w:val="single"/>
              </w:rPr>
              <w:t>上述时间及地点是否有改变，</w:t>
            </w:r>
            <w:r>
              <w:rPr>
                <w:rFonts w:ascii="宋体" w:hAnsi="宋体"/>
                <w:color w:val="auto"/>
                <w:szCs w:val="21"/>
                <w:highlight w:val="none"/>
                <w:u w:val="single"/>
              </w:rPr>
              <w:t xml:space="preserve"> </w:t>
            </w:r>
            <w:r>
              <w:rPr>
                <w:rFonts w:hint="eastAsia" w:ascii="宋体" w:hAnsi="宋体"/>
                <w:color w:val="auto"/>
                <w:szCs w:val="21"/>
                <w:highlight w:val="none"/>
                <w:u w:val="single"/>
              </w:rPr>
              <w:t>请密切留意招标答疑纪要的相关信息。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snapToGrid w:val="0"/>
              <w:spacing w:line="276" w:lineRule="auto"/>
              <w:jc w:val="center"/>
              <w:rPr>
                <w:rFonts w:ascii="宋体" w:hAnsi="宋体"/>
                <w:color w:val="auto"/>
                <w:szCs w:val="21"/>
                <w:highlight w:val="none"/>
              </w:rPr>
            </w:pPr>
            <w:r>
              <w:rPr>
                <w:rFonts w:ascii="宋体" w:hAnsi="宋体"/>
                <w:color w:val="auto"/>
                <w:szCs w:val="21"/>
                <w:highlight w:val="none"/>
              </w:rPr>
              <w:t>4.2.3</w:t>
            </w:r>
          </w:p>
        </w:tc>
        <w:tc>
          <w:tcPr>
            <w:tcW w:w="2160" w:type="dxa"/>
            <w:vAlign w:val="center"/>
          </w:tcPr>
          <w:p>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投标文件是否退还</w:t>
            </w:r>
          </w:p>
        </w:tc>
        <w:tc>
          <w:tcPr>
            <w:tcW w:w="7200" w:type="dxa"/>
            <w:vAlign w:val="center"/>
          </w:tcPr>
          <w:p>
            <w:pPr>
              <w:pStyle w:val="11"/>
              <w:topLinePunct/>
              <w:snapToGrid w:val="0"/>
              <w:spacing w:line="276" w:lineRule="auto"/>
              <w:rPr>
                <w:rFonts w:hAnsi="宋体"/>
                <w:color w:val="auto"/>
                <w:sz w:val="21"/>
                <w:szCs w:val="21"/>
                <w:highlight w:val="none"/>
              </w:rPr>
            </w:pPr>
            <w:r>
              <w:rPr>
                <w:rFonts w:hint="eastAsia" w:hAnsi="宋体"/>
                <w:color w:val="auto"/>
                <w:spacing w:val="-1"/>
                <w:sz w:val="21"/>
                <w:szCs w:val="21"/>
                <w:highlight w:val="none"/>
              </w:rPr>
              <w:t>■</w:t>
            </w:r>
            <w:r>
              <w:rPr>
                <w:rFonts w:hint="eastAsia" w:hAnsi="宋体"/>
                <w:color w:val="auto"/>
                <w:sz w:val="21"/>
                <w:szCs w:val="21"/>
                <w:highlight w:val="none"/>
              </w:rPr>
              <w:t>否</w:t>
            </w:r>
          </w:p>
          <w:p>
            <w:pPr>
              <w:pStyle w:val="11"/>
              <w:topLinePunct/>
              <w:snapToGrid w:val="0"/>
              <w:spacing w:line="276" w:lineRule="auto"/>
              <w:rPr>
                <w:rFonts w:hAnsi="宋体"/>
                <w:color w:val="auto"/>
                <w:sz w:val="21"/>
                <w:szCs w:val="21"/>
                <w:highlight w:val="none"/>
              </w:rPr>
            </w:pPr>
            <w:r>
              <w:rPr>
                <w:rFonts w:hint="eastAsia" w:hAnsi="宋体"/>
                <w:color w:val="auto"/>
                <w:sz w:val="21"/>
                <w:szCs w:val="21"/>
                <w:highlight w:val="none"/>
              </w:rPr>
              <w:t>□是，退还时间：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snapToGrid w:val="0"/>
              <w:spacing w:line="276" w:lineRule="auto"/>
              <w:jc w:val="center"/>
              <w:rPr>
                <w:rFonts w:ascii="宋体" w:hAnsi="宋体"/>
                <w:color w:val="auto"/>
                <w:szCs w:val="21"/>
                <w:highlight w:val="none"/>
              </w:rPr>
            </w:pPr>
            <w:r>
              <w:rPr>
                <w:rFonts w:ascii="宋体" w:hAnsi="宋体"/>
                <w:color w:val="auto"/>
                <w:szCs w:val="21"/>
                <w:highlight w:val="none"/>
              </w:rPr>
              <w:t>5.1</w:t>
            </w:r>
          </w:p>
        </w:tc>
        <w:tc>
          <w:tcPr>
            <w:tcW w:w="2160" w:type="dxa"/>
            <w:vAlign w:val="center"/>
          </w:tcPr>
          <w:p>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开标时间和地点</w:t>
            </w:r>
          </w:p>
        </w:tc>
        <w:tc>
          <w:tcPr>
            <w:tcW w:w="7200" w:type="dxa"/>
            <w:vAlign w:val="center"/>
          </w:tcPr>
          <w:p>
            <w:pPr>
              <w:snapToGrid w:val="0"/>
              <w:spacing w:line="276" w:lineRule="auto"/>
              <w:rPr>
                <w:rFonts w:ascii="宋体" w:hAnsi="宋体"/>
                <w:color w:val="auto"/>
                <w:szCs w:val="21"/>
                <w:highlight w:val="none"/>
              </w:rPr>
            </w:pPr>
            <w:r>
              <w:rPr>
                <w:rFonts w:hint="eastAsia" w:ascii="宋体" w:hAnsi="宋体"/>
                <w:color w:val="auto"/>
                <w:szCs w:val="21"/>
                <w:highlight w:val="none"/>
              </w:rPr>
              <w:t>开标时间：同投标截止时间</w:t>
            </w:r>
          </w:p>
          <w:p>
            <w:pPr>
              <w:snapToGrid w:val="0"/>
              <w:spacing w:line="276" w:lineRule="auto"/>
              <w:rPr>
                <w:rFonts w:ascii="宋体" w:hAnsi="宋体"/>
                <w:color w:val="auto"/>
                <w:szCs w:val="21"/>
                <w:highlight w:val="none"/>
              </w:rPr>
            </w:pPr>
            <w:r>
              <w:rPr>
                <w:rFonts w:hint="eastAsia" w:ascii="宋体" w:hAnsi="宋体"/>
                <w:color w:val="auto"/>
                <w:szCs w:val="21"/>
                <w:highlight w:val="none"/>
              </w:rPr>
              <w:t>开标地点：广州公共资源交易中心黄埔交易部（黄埔区水西路32号四楼）</w:t>
            </w:r>
            <w:r>
              <w:rPr>
                <w:rFonts w:hint="eastAsia" w:ascii="宋体" w:hAnsi="宋体" w:cs="宋体"/>
                <w:color w:val="auto"/>
                <w:szCs w:val="21"/>
                <w:highlight w:val="none"/>
              </w:rPr>
              <w:t>第      开标室</w:t>
            </w:r>
            <w:r>
              <w:rPr>
                <w:rFonts w:hint="eastAsia" w:ascii="宋体" w:hAnsi="宋体"/>
                <w:color w:val="auto"/>
                <w:szCs w:val="21"/>
                <w:highlight w:val="none"/>
                <w:u w:val="single"/>
              </w:rPr>
              <w:t>（详见广州公共资源交易中心网站信息），并邀请所有投标人的法定代表人或其委托代理人准时参加。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snapToGrid w:val="0"/>
              <w:spacing w:line="276" w:lineRule="auto"/>
              <w:jc w:val="center"/>
              <w:rPr>
                <w:rFonts w:ascii="宋体" w:hAnsi="宋体"/>
                <w:color w:val="auto"/>
                <w:szCs w:val="21"/>
                <w:highlight w:val="none"/>
              </w:rPr>
            </w:pPr>
            <w:r>
              <w:rPr>
                <w:rFonts w:ascii="宋体" w:hAnsi="宋体"/>
                <w:color w:val="auto"/>
                <w:szCs w:val="21"/>
                <w:highlight w:val="none"/>
              </w:rPr>
              <w:t>5.2</w:t>
            </w:r>
          </w:p>
        </w:tc>
        <w:tc>
          <w:tcPr>
            <w:tcW w:w="2160" w:type="dxa"/>
            <w:vAlign w:val="center"/>
          </w:tcPr>
          <w:p>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开标程序</w:t>
            </w:r>
          </w:p>
        </w:tc>
        <w:tc>
          <w:tcPr>
            <w:tcW w:w="7200" w:type="dxa"/>
            <w:vAlign w:val="center"/>
          </w:tcPr>
          <w:p>
            <w:pPr>
              <w:snapToGrid w:val="0"/>
              <w:spacing w:line="276" w:lineRule="auto"/>
              <w:rPr>
                <w:rFonts w:ascii="宋体" w:hAnsi="宋体"/>
                <w:color w:val="auto"/>
                <w:szCs w:val="21"/>
                <w:highlight w:val="none"/>
              </w:rPr>
            </w:pPr>
            <w:r>
              <w:rPr>
                <w:rFonts w:hint="eastAsia" w:ascii="宋体" w:hAnsi="宋体"/>
                <w:color w:val="auto"/>
                <w:szCs w:val="21"/>
                <w:highlight w:val="none"/>
              </w:rPr>
              <w:t>电子招投标项目开标按下列程序进行：</w:t>
            </w:r>
          </w:p>
          <w:p>
            <w:pPr>
              <w:snapToGrid w:val="0"/>
              <w:spacing w:line="276" w:lineRule="auto"/>
              <w:rPr>
                <w:rFonts w:ascii="宋体" w:hAnsi="宋体"/>
                <w:color w:val="auto"/>
                <w:szCs w:val="21"/>
                <w:highlight w:val="none"/>
                <w:u w:val="single"/>
              </w:rPr>
            </w:pPr>
            <w:r>
              <w:rPr>
                <w:rFonts w:ascii="宋体" w:hAnsi="宋体"/>
                <w:color w:val="auto"/>
                <w:szCs w:val="21"/>
                <w:highlight w:val="none"/>
                <w:u w:val="single"/>
              </w:rPr>
              <w:t>5.2.1</w:t>
            </w:r>
            <w:r>
              <w:rPr>
                <w:rFonts w:hint="eastAsia" w:ascii="宋体" w:hAnsi="宋体"/>
                <w:color w:val="auto"/>
                <w:szCs w:val="21"/>
                <w:highlight w:val="none"/>
                <w:u w:val="single"/>
              </w:rPr>
              <w:t>主持人按下列程序进行开标：</w:t>
            </w:r>
          </w:p>
          <w:p>
            <w:pPr>
              <w:snapToGrid w:val="0"/>
              <w:spacing w:line="276" w:lineRule="auto"/>
              <w:rPr>
                <w:rFonts w:ascii="宋体" w:hAnsi="宋体"/>
                <w:color w:val="auto"/>
                <w:szCs w:val="21"/>
                <w:highlight w:val="none"/>
                <w:u w:val="single"/>
              </w:rPr>
            </w:pPr>
            <w:r>
              <w:rPr>
                <w:rFonts w:hint="eastAsia" w:ascii="宋体" w:hAnsi="宋体"/>
                <w:color w:val="auto"/>
                <w:szCs w:val="21"/>
                <w:highlight w:val="none"/>
                <w:u w:val="single"/>
              </w:rPr>
              <w:t>（</w:t>
            </w:r>
            <w:r>
              <w:rPr>
                <w:rFonts w:ascii="宋体" w:hAnsi="宋体"/>
                <w:color w:val="auto"/>
                <w:szCs w:val="21"/>
                <w:highlight w:val="none"/>
                <w:u w:val="single"/>
              </w:rPr>
              <w:t>1</w:t>
            </w:r>
            <w:r>
              <w:rPr>
                <w:rFonts w:hint="eastAsia" w:ascii="宋体" w:hAnsi="宋体"/>
                <w:color w:val="auto"/>
                <w:szCs w:val="21"/>
                <w:highlight w:val="none"/>
                <w:u w:val="single"/>
              </w:rPr>
              <w:t>）宣布开标纪律；</w:t>
            </w:r>
          </w:p>
          <w:p>
            <w:pPr>
              <w:snapToGrid w:val="0"/>
              <w:spacing w:line="276" w:lineRule="auto"/>
              <w:rPr>
                <w:rFonts w:ascii="宋体" w:hAnsi="宋体"/>
                <w:color w:val="auto"/>
                <w:szCs w:val="21"/>
                <w:highlight w:val="none"/>
                <w:u w:val="single"/>
              </w:rPr>
            </w:pPr>
            <w:r>
              <w:rPr>
                <w:rFonts w:hint="eastAsia" w:ascii="宋体" w:hAnsi="宋体"/>
                <w:color w:val="auto"/>
                <w:szCs w:val="21"/>
                <w:highlight w:val="none"/>
                <w:u w:val="single"/>
              </w:rPr>
              <w:t>（</w:t>
            </w:r>
            <w:r>
              <w:rPr>
                <w:rFonts w:ascii="宋体" w:hAnsi="宋体"/>
                <w:color w:val="auto"/>
                <w:szCs w:val="21"/>
                <w:highlight w:val="none"/>
                <w:u w:val="single"/>
              </w:rPr>
              <w:t>2</w:t>
            </w:r>
            <w:r>
              <w:rPr>
                <w:rFonts w:hint="eastAsia" w:ascii="宋体" w:hAnsi="宋体"/>
                <w:color w:val="auto"/>
                <w:szCs w:val="21"/>
                <w:highlight w:val="none"/>
                <w:u w:val="single"/>
              </w:rPr>
              <w:t>）公布在投标截止时间前递交投标文件的投标人名称；</w:t>
            </w:r>
          </w:p>
          <w:p>
            <w:pPr>
              <w:snapToGrid w:val="0"/>
              <w:spacing w:line="276" w:lineRule="auto"/>
              <w:rPr>
                <w:rFonts w:ascii="宋体" w:hAnsi="宋体"/>
                <w:color w:val="auto"/>
                <w:szCs w:val="21"/>
                <w:highlight w:val="none"/>
                <w:u w:val="single"/>
              </w:rPr>
            </w:pPr>
            <w:r>
              <w:rPr>
                <w:rFonts w:hint="eastAsia" w:ascii="宋体" w:hAnsi="宋体"/>
                <w:color w:val="auto"/>
                <w:szCs w:val="21"/>
                <w:highlight w:val="none"/>
                <w:u w:val="single"/>
              </w:rPr>
              <w:t>（</w:t>
            </w:r>
            <w:r>
              <w:rPr>
                <w:rFonts w:ascii="宋体" w:hAnsi="宋体"/>
                <w:color w:val="auto"/>
                <w:szCs w:val="21"/>
                <w:highlight w:val="none"/>
                <w:u w:val="single"/>
              </w:rPr>
              <w:t>3</w:t>
            </w:r>
            <w:r>
              <w:rPr>
                <w:rFonts w:hint="eastAsia" w:ascii="宋体" w:hAnsi="宋体"/>
                <w:color w:val="auto"/>
                <w:szCs w:val="21"/>
                <w:highlight w:val="none"/>
                <w:u w:val="single"/>
              </w:rPr>
              <w:t>）宣布开标人、唱标人、记录人、监标人等有关人员姓名；</w:t>
            </w:r>
          </w:p>
          <w:p>
            <w:pPr>
              <w:snapToGrid w:val="0"/>
              <w:spacing w:line="276" w:lineRule="auto"/>
              <w:rPr>
                <w:rFonts w:ascii="宋体" w:hAnsi="宋体"/>
                <w:color w:val="auto"/>
                <w:szCs w:val="21"/>
                <w:highlight w:val="none"/>
                <w:u w:val="single"/>
              </w:rPr>
            </w:pPr>
            <w:r>
              <w:rPr>
                <w:rFonts w:hint="eastAsia" w:ascii="宋体" w:hAnsi="宋体"/>
                <w:color w:val="auto"/>
                <w:szCs w:val="21"/>
                <w:highlight w:val="none"/>
                <w:u w:val="single"/>
              </w:rPr>
              <w:t>（</w:t>
            </w:r>
            <w:r>
              <w:rPr>
                <w:rFonts w:ascii="宋体" w:hAnsi="宋体"/>
                <w:color w:val="auto"/>
                <w:szCs w:val="21"/>
                <w:highlight w:val="none"/>
                <w:u w:val="single"/>
              </w:rPr>
              <w:t>4</w:t>
            </w:r>
            <w:r>
              <w:rPr>
                <w:rFonts w:hint="eastAsia" w:ascii="宋体" w:hAnsi="宋体"/>
                <w:color w:val="auto"/>
                <w:szCs w:val="21"/>
                <w:highlight w:val="none"/>
                <w:u w:val="single"/>
              </w:rPr>
              <w:t>）投标人通过电子招标投标交易平台对已递交的电子投标文件进行解密，公布招标项目名称、投标人名称、投标保证金的递交情况、投标报价及其他内容，并记录在案；</w:t>
            </w:r>
          </w:p>
          <w:p>
            <w:pPr>
              <w:snapToGrid w:val="0"/>
              <w:spacing w:line="276" w:lineRule="auto"/>
              <w:rPr>
                <w:rFonts w:ascii="宋体" w:hAnsi="宋体"/>
                <w:color w:val="auto"/>
                <w:szCs w:val="21"/>
                <w:highlight w:val="none"/>
                <w:u w:val="single"/>
              </w:rPr>
            </w:pPr>
            <w:r>
              <w:rPr>
                <w:rFonts w:hint="eastAsia" w:ascii="宋体" w:hAnsi="宋体"/>
                <w:color w:val="auto"/>
                <w:szCs w:val="21"/>
                <w:highlight w:val="none"/>
                <w:u w:val="single"/>
              </w:rPr>
              <w:t>（</w:t>
            </w:r>
            <w:r>
              <w:rPr>
                <w:rFonts w:ascii="宋体" w:hAnsi="宋体"/>
                <w:color w:val="auto"/>
                <w:szCs w:val="21"/>
                <w:highlight w:val="none"/>
                <w:u w:val="single"/>
              </w:rPr>
              <w:t>5</w:t>
            </w:r>
            <w:r>
              <w:rPr>
                <w:rFonts w:hint="eastAsia" w:ascii="宋体" w:hAnsi="宋体"/>
                <w:color w:val="auto"/>
                <w:szCs w:val="21"/>
                <w:highlight w:val="none"/>
                <w:u w:val="single"/>
              </w:rPr>
              <w:t>）投标人代表、招标人代表、监标人、记录人等有关人员在开标记录上签字确认；若有关人员不签字的，不影响开标程序；</w:t>
            </w:r>
          </w:p>
          <w:p>
            <w:pPr>
              <w:snapToGrid w:val="0"/>
              <w:spacing w:line="276" w:lineRule="auto"/>
              <w:rPr>
                <w:rFonts w:ascii="宋体" w:hAnsi="宋体"/>
                <w:color w:val="auto"/>
                <w:szCs w:val="21"/>
                <w:highlight w:val="none"/>
                <w:u w:val="single"/>
              </w:rPr>
            </w:pPr>
            <w:r>
              <w:rPr>
                <w:rFonts w:hint="eastAsia" w:ascii="宋体" w:hAnsi="宋体"/>
                <w:color w:val="auto"/>
                <w:szCs w:val="21"/>
                <w:highlight w:val="none"/>
                <w:u w:val="single"/>
              </w:rPr>
              <w:t>（</w:t>
            </w:r>
            <w:r>
              <w:rPr>
                <w:rFonts w:ascii="宋体" w:hAnsi="宋体"/>
                <w:color w:val="auto"/>
                <w:szCs w:val="21"/>
                <w:highlight w:val="none"/>
                <w:u w:val="single"/>
              </w:rPr>
              <w:t>6</w:t>
            </w:r>
            <w:r>
              <w:rPr>
                <w:rFonts w:hint="eastAsia" w:ascii="宋体" w:hAnsi="宋体"/>
                <w:color w:val="auto"/>
                <w:szCs w:val="21"/>
                <w:highlight w:val="none"/>
                <w:u w:val="single"/>
              </w:rPr>
              <w:t>）开标结束。</w:t>
            </w:r>
          </w:p>
          <w:p>
            <w:pPr>
              <w:snapToGrid w:val="0"/>
              <w:spacing w:line="276" w:lineRule="auto"/>
              <w:rPr>
                <w:rFonts w:ascii="宋体" w:hAnsi="宋体"/>
                <w:color w:val="auto"/>
                <w:szCs w:val="21"/>
                <w:highlight w:val="none"/>
                <w:u w:val="single"/>
              </w:rPr>
            </w:pPr>
            <w:r>
              <w:rPr>
                <w:rFonts w:ascii="宋体" w:hAnsi="宋体"/>
                <w:color w:val="auto"/>
                <w:szCs w:val="21"/>
                <w:highlight w:val="none"/>
                <w:u w:val="single"/>
              </w:rPr>
              <w:t>5.2.2</w:t>
            </w:r>
            <w:r>
              <w:rPr>
                <w:rFonts w:hint="eastAsia" w:ascii="宋体" w:hAnsi="宋体"/>
                <w:color w:val="auto"/>
                <w:szCs w:val="21"/>
                <w:highlight w:val="none"/>
                <w:u w:val="single"/>
              </w:rPr>
              <w:t>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pPr>
              <w:snapToGrid w:val="0"/>
              <w:spacing w:line="276" w:lineRule="auto"/>
              <w:rPr>
                <w:rFonts w:ascii="宋体" w:hAnsi="宋体"/>
                <w:color w:val="auto"/>
                <w:szCs w:val="21"/>
                <w:highlight w:val="none"/>
                <w:u w:val="single"/>
              </w:rPr>
            </w:pPr>
            <w:r>
              <w:rPr>
                <w:rFonts w:ascii="宋体" w:hAnsi="宋体"/>
                <w:color w:val="auto"/>
                <w:szCs w:val="21"/>
                <w:highlight w:val="none"/>
                <w:u w:val="single"/>
              </w:rPr>
              <w:t>5.2.3</w:t>
            </w:r>
            <w:r>
              <w:rPr>
                <w:rFonts w:hint="eastAsia" w:ascii="宋体" w:hAnsi="宋体"/>
                <w:color w:val="auto"/>
                <w:szCs w:val="21"/>
                <w:highlight w:val="none"/>
                <w:u w:val="single"/>
              </w:rPr>
              <w:t>开标时，两个（含两个）以上的投标人加密打包投标文件电脑机器特征码一致的，不参与下一程序，并由评标委员会否决其投标。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snapToGrid w:val="0"/>
              <w:spacing w:line="276" w:lineRule="auto"/>
              <w:jc w:val="center"/>
              <w:rPr>
                <w:rFonts w:ascii="宋体" w:hAnsi="宋体"/>
                <w:color w:val="auto"/>
                <w:szCs w:val="21"/>
                <w:highlight w:val="none"/>
              </w:rPr>
            </w:pPr>
            <w:r>
              <w:rPr>
                <w:rFonts w:ascii="宋体" w:hAnsi="宋体"/>
                <w:color w:val="auto"/>
                <w:szCs w:val="21"/>
                <w:highlight w:val="none"/>
              </w:rPr>
              <w:t>6.1.1</w:t>
            </w:r>
          </w:p>
        </w:tc>
        <w:tc>
          <w:tcPr>
            <w:tcW w:w="2160" w:type="dxa"/>
            <w:vAlign w:val="center"/>
          </w:tcPr>
          <w:p>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评标委员会的组建</w:t>
            </w:r>
          </w:p>
        </w:tc>
        <w:tc>
          <w:tcPr>
            <w:tcW w:w="7200" w:type="dxa"/>
            <w:vAlign w:val="center"/>
          </w:tcPr>
          <w:p>
            <w:pPr>
              <w:snapToGrid w:val="0"/>
              <w:spacing w:line="276" w:lineRule="auto"/>
              <w:rPr>
                <w:rFonts w:ascii="宋体" w:hAnsi="宋体"/>
                <w:color w:val="auto"/>
                <w:szCs w:val="21"/>
                <w:highlight w:val="none"/>
              </w:rPr>
            </w:pPr>
            <w:r>
              <w:rPr>
                <w:rFonts w:hint="eastAsia" w:ascii="宋体" w:hAnsi="宋体"/>
                <w:color w:val="auto"/>
                <w:szCs w:val="21"/>
                <w:highlight w:val="none"/>
              </w:rPr>
              <w:t>评标委员会构成，由招标人依法组建。</w:t>
            </w:r>
          </w:p>
          <w:p>
            <w:pPr>
              <w:snapToGrid w:val="0"/>
              <w:spacing w:line="276" w:lineRule="auto"/>
              <w:rPr>
                <w:rFonts w:ascii="宋体" w:hAnsi="宋体"/>
                <w:color w:val="auto"/>
                <w:szCs w:val="21"/>
                <w:highlight w:val="none"/>
              </w:rPr>
            </w:pPr>
            <w:r>
              <w:rPr>
                <w:rFonts w:hint="eastAsia" w:ascii="宋体" w:hAnsi="宋体"/>
                <w:color w:val="auto"/>
                <w:szCs w:val="21"/>
                <w:highlight w:val="none"/>
              </w:rPr>
              <w:t>评标专家确定方式：广东省综合评标评审专家库</w:t>
            </w:r>
            <w:r>
              <w:rPr>
                <w:rFonts w:hint="eastAsia" w:ascii="宋体" w:hAnsi="宋体" w:cs="宋体"/>
                <w:color w:val="auto"/>
                <w:szCs w:val="21"/>
                <w:highlight w:val="none"/>
              </w:rPr>
              <w:t>中随机抽取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snapToGrid w:val="0"/>
              <w:spacing w:line="276" w:lineRule="auto"/>
              <w:jc w:val="center"/>
              <w:rPr>
                <w:rFonts w:ascii="宋体" w:hAnsi="宋体"/>
                <w:color w:val="auto"/>
                <w:szCs w:val="21"/>
                <w:highlight w:val="none"/>
              </w:rPr>
            </w:pPr>
            <w:r>
              <w:rPr>
                <w:rFonts w:ascii="宋体" w:hAnsi="宋体"/>
                <w:color w:val="auto"/>
                <w:szCs w:val="21"/>
                <w:highlight w:val="none"/>
              </w:rPr>
              <w:t>6.3.2</w:t>
            </w:r>
          </w:p>
        </w:tc>
        <w:tc>
          <w:tcPr>
            <w:tcW w:w="2160" w:type="dxa"/>
            <w:vAlign w:val="center"/>
          </w:tcPr>
          <w:p>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评标委员会推荐中标候选人的人数</w:t>
            </w:r>
          </w:p>
        </w:tc>
        <w:tc>
          <w:tcPr>
            <w:tcW w:w="7200" w:type="dxa"/>
            <w:vAlign w:val="center"/>
          </w:tcPr>
          <w:p>
            <w:pPr>
              <w:snapToGrid w:val="0"/>
              <w:spacing w:line="276" w:lineRule="auto"/>
              <w:rPr>
                <w:rFonts w:ascii="宋体" w:hAnsi="宋体"/>
                <w:color w:val="auto"/>
                <w:szCs w:val="21"/>
                <w:highlight w:val="none"/>
              </w:rPr>
            </w:pPr>
            <w:r>
              <w:rPr>
                <w:rFonts w:hint="eastAsia" w:ascii="宋体" w:hAnsi="宋体"/>
                <w:color w:val="auto"/>
                <w:szCs w:val="21"/>
                <w:highlight w:val="none"/>
              </w:rPr>
              <w:t>推荐中标候选人：</w:t>
            </w:r>
            <w:r>
              <w:rPr>
                <w:rFonts w:ascii="宋体" w:hAnsi="宋体"/>
                <w:color w:val="auto"/>
                <w:szCs w:val="21"/>
                <w:highlight w:val="none"/>
                <w:u w:val="single"/>
              </w:rPr>
              <w:t>3</w:t>
            </w:r>
            <w:r>
              <w:rPr>
                <w:rFonts w:hint="eastAsia" w:ascii="宋体" w:hAnsi="宋体"/>
                <w:color w:val="auto"/>
                <w:szCs w:val="21"/>
                <w:highlight w:val="none"/>
                <w:u w:val="single"/>
              </w:rPr>
              <w:t>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snapToGrid w:val="0"/>
              <w:spacing w:line="276" w:lineRule="auto"/>
              <w:jc w:val="center"/>
              <w:rPr>
                <w:rFonts w:ascii="宋体" w:hAnsi="宋体"/>
                <w:color w:val="auto"/>
                <w:szCs w:val="21"/>
                <w:highlight w:val="none"/>
              </w:rPr>
            </w:pPr>
            <w:r>
              <w:rPr>
                <w:rFonts w:ascii="宋体" w:hAnsi="宋体"/>
                <w:color w:val="auto"/>
                <w:szCs w:val="21"/>
                <w:highlight w:val="none"/>
              </w:rPr>
              <w:t>7.1</w:t>
            </w:r>
          </w:p>
        </w:tc>
        <w:tc>
          <w:tcPr>
            <w:tcW w:w="2160" w:type="dxa"/>
            <w:vAlign w:val="center"/>
          </w:tcPr>
          <w:p>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中标候选人公示媒介及期限</w:t>
            </w:r>
          </w:p>
        </w:tc>
        <w:tc>
          <w:tcPr>
            <w:tcW w:w="7200" w:type="dxa"/>
            <w:vAlign w:val="center"/>
          </w:tcPr>
          <w:p>
            <w:pPr>
              <w:spacing w:line="276" w:lineRule="auto"/>
              <w:rPr>
                <w:rFonts w:ascii="宋体" w:hAnsi="宋体"/>
                <w:color w:val="auto"/>
                <w:szCs w:val="21"/>
                <w:highlight w:val="none"/>
              </w:rPr>
            </w:pPr>
            <w:r>
              <w:rPr>
                <w:rFonts w:hint="eastAsia" w:ascii="宋体" w:hAnsi="宋体"/>
                <w:color w:val="auto"/>
                <w:szCs w:val="21"/>
                <w:highlight w:val="none"/>
              </w:rPr>
              <w:t>公示媒介：</w:t>
            </w:r>
            <w:r>
              <w:rPr>
                <w:rFonts w:hint="eastAsia" w:ascii="宋体" w:hAnsi="宋体" w:cs="宋体"/>
                <w:color w:val="auto"/>
                <w:szCs w:val="21"/>
                <w:highlight w:val="none"/>
                <w:u w:val="single"/>
              </w:rPr>
              <w:t>广州公共资源交易中心网站、广东省招标投标监管网、中国招标投标公共服务平台</w:t>
            </w:r>
          </w:p>
          <w:p>
            <w:pPr>
              <w:snapToGrid w:val="0"/>
              <w:spacing w:line="276" w:lineRule="auto"/>
              <w:ind w:right="106"/>
              <w:rPr>
                <w:rFonts w:ascii="宋体" w:hAnsi="宋体"/>
                <w:color w:val="auto"/>
                <w:szCs w:val="21"/>
                <w:highlight w:val="none"/>
              </w:rPr>
            </w:pPr>
            <w:r>
              <w:rPr>
                <w:rFonts w:hint="eastAsia" w:ascii="宋体" w:hAnsi="宋体"/>
                <w:color w:val="auto"/>
                <w:szCs w:val="21"/>
                <w:highlight w:val="none"/>
              </w:rPr>
              <w:t>公示期限：</w:t>
            </w:r>
            <w:r>
              <w:rPr>
                <w:rFonts w:ascii="宋体" w:hAnsi="宋体"/>
                <w:color w:val="auto"/>
                <w:szCs w:val="21"/>
                <w:highlight w:val="none"/>
                <w:u w:val="single"/>
              </w:rPr>
              <w:t>3</w:t>
            </w:r>
            <w:r>
              <w:rPr>
                <w:rFonts w:hint="eastAsia" w:ascii="宋体" w:hAnsi="宋体"/>
                <w:color w:val="auto"/>
                <w:szCs w:val="21"/>
                <w:highlight w:val="none"/>
              </w:rPr>
              <w:t>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snapToGrid w:val="0"/>
              <w:spacing w:line="276" w:lineRule="auto"/>
              <w:jc w:val="center"/>
              <w:rPr>
                <w:rFonts w:ascii="宋体" w:hAnsi="宋体"/>
                <w:color w:val="auto"/>
                <w:szCs w:val="21"/>
                <w:highlight w:val="none"/>
              </w:rPr>
            </w:pPr>
            <w:r>
              <w:rPr>
                <w:rFonts w:ascii="宋体" w:hAnsi="宋体"/>
                <w:color w:val="auto"/>
                <w:szCs w:val="21"/>
                <w:highlight w:val="none"/>
              </w:rPr>
              <w:t>7.4</w:t>
            </w:r>
          </w:p>
        </w:tc>
        <w:tc>
          <w:tcPr>
            <w:tcW w:w="2160" w:type="dxa"/>
            <w:vAlign w:val="center"/>
          </w:tcPr>
          <w:p>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是否授权评标委员会确定中标人</w:t>
            </w:r>
          </w:p>
        </w:tc>
        <w:tc>
          <w:tcPr>
            <w:tcW w:w="7200" w:type="dxa"/>
            <w:vAlign w:val="center"/>
          </w:tcPr>
          <w:p>
            <w:pPr>
              <w:spacing w:line="276" w:lineRule="auto"/>
              <w:rPr>
                <w:rFonts w:ascii="宋体" w:hAnsi="宋体"/>
                <w:color w:val="auto"/>
                <w:szCs w:val="21"/>
                <w:highlight w:val="none"/>
              </w:rPr>
            </w:pPr>
            <w:r>
              <w:rPr>
                <w:rFonts w:hint="eastAsia" w:ascii="宋体" w:hAnsi="宋体"/>
                <w:color w:val="auto"/>
                <w:szCs w:val="21"/>
                <w:highlight w:val="none"/>
              </w:rPr>
              <w:t>□是</w:t>
            </w:r>
          </w:p>
          <w:p>
            <w:pPr>
              <w:spacing w:line="276" w:lineRule="auto"/>
              <w:rPr>
                <w:rFonts w:ascii="宋体" w:hAnsi="宋体"/>
                <w:color w:val="auto"/>
                <w:szCs w:val="21"/>
                <w:highlight w:val="none"/>
              </w:rPr>
            </w:pPr>
            <w:r>
              <w:rPr>
                <w:rFonts w:hint="eastAsia" w:ascii="宋体" w:hAnsi="宋体"/>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snapToGrid w:val="0"/>
              <w:spacing w:line="276" w:lineRule="auto"/>
              <w:jc w:val="center"/>
              <w:rPr>
                <w:rFonts w:ascii="宋体" w:hAnsi="宋体"/>
                <w:color w:val="auto"/>
                <w:szCs w:val="21"/>
                <w:highlight w:val="none"/>
              </w:rPr>
            </w:pPr>
            <w:r>
              <w:rPr>
                <w:rFonts w:ascii="宋体" w:hAnsi="宋体"/>
                <w:color w:val="auto"/>
                <w:szCs w:val="21"/>
                <w:highlight w:val="none"/>
              </w:rPr>
              <w:t>7.6.1</w:t>
            </w:r>
          </w:p>
        </w:tc>
        <w:tc>
          <w:tcPr>
            <w:tcW w:w="2160" w:type="dxa"/>
            <w:vAlign w:val="center"/>
          </w:tcPr>
          <w:p>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履约保证金</w:t>
            </w:r>
          </w:p>
        </w:tc>
        <w:tc>
          <w:tcPr>
            <w:tcW w:w="7200" w:type="dxa"/>
            <w:vAlign w:val="center"/>
          </w:tcPr>
          <w:p>
            <w:pPr>
              <w:pStyle w:val="11"/>
              <w:topLinePunct/>
              <w:spacing w:line="276" w:lineRule="auto"/>
              <w:rPr>
                <w:rFonts w:hAnsi="宋体"/>
                <w:b/>
                <w:color w:val="auto"/>
                <w:sz w:val="21"/>
                <w:szCs w:val="21"/>
                <w:highlight w:val="none"/>
              </w:rPr>
            </w:pPr>
            <w:r>
              <w:rPr>
                <w:rFonts w:hint="eastAsia" w:hAnsi="宋体"/>
                <w:b/>
                <w:color w:val="auto"/>
                <w:sz w:val="21"/>
                <w:szCs w:val="21"/>
                <w:highlight w:val="none"/>
              </w:rPr>
              <w:t>是否要求中标人提交履约保证金：</w:t>
            </w:r>
          </w:p>
          <w:p>
            <w:pPr>
              <w:topLinePunct/>
              <w:spacing w:line="276" w:lineRule="auto"/>
              <w:rPr>
                <w:rFonts w:hint="eastAsia" w:hAnsi="宋体"/>
                <w:b/>
                <w:color w:val="auto"/>
                <w:sz w:val="21"/>
                <w:szCs w:val="21"/>
                <w:highlight w:val="none"/>
              </w:rPr>
            </w:pPr>
            <w:r>
              <w:rPr>
                <w:rFonts w:hint="eastAsia" w:ascii="宋体" w:hAnsi="宋体"/>
                <w:color w:val="auto"/>
                <w:szCs w:val="21"/>
                <w:highlight w:val="none"/>
              </w:rPr>
              <w:t>■</w:t>
            </w:r>
            <w:r>
              <w:rPr>
                <w:rFonts w:hint="eastAsia" w:hAnsi="宋体"/>
                <w:b/>
                <w:color w:val="auto"/>
                <w:sz w:val="21"/>
                <w:szCs w:val="21"/>
                <w:highlight w:val="none"/>
              </w:rPr>
              <w:t>要求</w:t>
            </w:r>
          </w:p>
          <w:p>
            <w:pPr>
              <w:topLinePunct/>
              <w:spacing w:line="276" w:lineRule="auto"/>
              <w:rPr>
                <w:rFonts w:hint="eastAsia" w:hAnsi="宋体" w:eastAsia="宋体"/>
                <w:color w:val="auto"/>
                <w:sz w:val="21"/>
                <w:szCs w:val="21"/>
                <w:highlight w:val="none"/>
                <w:lang w:eastAsia="zh-CN"/>
              </w:rPr>
            </w:pPr>
            <w:r>
              <w:rPr>
                <w:rFonts w:hint="eastAsia" w:hAnsi="宋体"/>
                <w:b/>
                <w:color w:val="auto"/>
                <w:sz w:val="21"/>
                <w:szCs w:val="21"/>
                <w:highlight w:val="none"/>
              </w:rPr>
              <w:t>履约保证金的形式：</w:t>
            </w:r>
            <w:r>
              <w:rPr>
                <w:rFonts w:hint="eastAsia" w:hAnsi="宋体"/>
                <w:color w:val="auto"/>
                <w:szCs w:val="21"/>
                <w:highlight w:val="none"/>
                <w:u w:val="single"/>
              </w:rPr>
              <w:t>由在中华人民共和国注册且营业地点在广州市行政辖区内的银行开出的《银行履约保函》原件</w:t>
            </w:r>
            <w:r>
              <w:rPr>
                <w:rFonts w:hint="eastAsia" w:hAnsi="宋体"/>
                <w:color w:val="auto"/>
                <w:szCs w:val="21"/>
                <w:highlight w:val="none"/>
                <w:u w:val="single"/>
                <w:lang w:eastAsia="zh-CN"/>
              </w:rPr>
              <w:t>，</w:t>
            </w:r>
            <w:r>
              <w:rPr>
                <w:rFonts w:hint="eastAsia" w:hAnsi="宋体"/>
                <w:color w:val="auto"/>
                <w:szCs w:val="21"/>
                <w:highlight w:val="none"/>
                <w:u w:val="single"/>
              </w:rPr>
              <w:t>中标通知书发出之日起30日内提交</w:t>
            </w:r>
          </w:p>
          <w:p>
            <w:pPr>
              <w:spacing w:line="276" w:lineRule="auto"/>
              <w:ind w:firstLine="0" w:firstLineChars="0"/>
              <w:rPr>
                <w:rFonts w:hint="eastAsia" w:ascii="宋体" w:hAnsi="宋体" w:eastAsia="宋体"/>
                <w:color w:val="auto"/>
                <w:szCs w:val="21"/>
                <w:highlight w:val="none"/>
                <w:u w:val="single"/>
                <w:lang w:eastAsia="zh-CN"/>
              </w:rPr>
            </w:pPr>
            <w:r>
              <w:rPr>
                <w:rFonts w:hint="eastAsia" w:ascii="宋体" w:hAnsi="宋体"/>
                <w:b/>
                <w:color w:val="auto"/>
                <w:szCs w:val="21"/>
                <w:highlight w:val="none"/>
              </w:rPr>
              <w:t>履约保证金的金额：</w:t>
            </w:r>
            <w:r>
              <w:rPr>
                <w:rFonts w:hint="eastAsia" w:ascii="宋体" w:hAnsi="宋体"/>
                <w:color w:val="auto"/>
                <w:szCs w:val="21"/>
                <w:highlight w:val="none"/>
                <w:u w:val="single"/>
              </w:rPr>
              <w:t>中标价的10%</w:t>
            </w:r>
          </w:p>
          <w:p>
            <w:pPr>
              <w:pStyle w:val="11"/>
              <w:tabs>
                <w:tab w:val="left" w:pos="4499"/>
              </w:tabs>
              <w:topLinePunct/>
              <w:spacing w:line="276" w:lineRule="auto"/>
              <w:rPr>
                <w:rFonts w:hint="eastAsia" w:hAnsi="宋体" w:eastAsia="宋体"/>
                <w:color w:val="auto"/>
                <w:sz w:val="21"/>
                <w:szCs w:val="21"/>
                <w:highlight w:val="none"/>
                <w:lang w:eastAsia="zh-CN"/>
              </w:rPr>
            </w:pPr>
            <w:r>
              <w:rPr>
                <w:rFonts w:hint="eastAsia" w:ascii="宋体" w:hAnsi="宋体" w:cs="宋体"/>
                <w:color w:val="auto"/>
                <w:szCs w:val="21"/>
                <w:highlight w:val="none"/>
              </w:rPr>
              <w:t>□</w:t>
            </w:r>
            <w:r>
              <w:rPr>
                <w:rFonts w:hint="eastAsia" w:hAnsi="宋体"/>
                <w:b/>
                <w:color w:val="auto"/>
                <w:sz w:val="21"/>
                <w:szCs w:val="21"/>
                <w:highlight w:val="none"/>
              </w:rPr>
              <w:t>不要求</w:t>
            </w:r>
            <w:r>
              <w:rPr>
                <w:rFonts w:hint="eastAsia" w:hAnsi="宋体"/>
                <w:b/>
                <w:color w:val="auto"/>
                <w:sz w:val="21"/>
                <w:szCs w:val="21"/>
                <w:highlight w:val="none"/>
                <w:lang w:eastAsia="zh-CN"/>
              </w:rPr>
              <w:tab/>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snapToGrid w:val="0"/>
              <w:spacing w:line="276" w:lineRule="auto"/>
              <w:jc w:val="center"/>
              <w:rPr>
                <w:rFonts w:ascii="宋体" w:hAnsi="宋体"/>
                <w:color w:val="auto"/>
                <w:szCs w:val="21"/>
                <w:highlight w:val="none"/>
              </w:rPr>
            </w:pPr>
            <w:r>
              <w:rPr>
                <w:rFonts w:ascii="宋体" w:hAnsi="宋体"/>
                <w:color w:val="auto"/>
                <w:szCs w:val="21"/>
                <w:highlight w:val="none"/>
              </w:rPr>
              <w:t>9</w:t>
            </w:r>
          </w:p>
        </w:tc>
        <w:tc>
          <w:tcPr>
            <w:tcW w:w="2160" w:type="dxa"/>
            <w:vAlign w:val="center"/>
          </w:tcPr>
          <w:p>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是否采用电子招标投标</w:t>
            </w:r>
          </w:p>
        </w:tc>
        <w:tc>
          <w:tcPr>
            <w:tcW w:w="7200" w:type="dxa"/>
            <w:vAlign w:val="center"/>
          </w:tcPr>
          <w:p>
            <w:pPr>
              <w:spacing w:line="276" w:lineRule="auto"/>
              <w:rPr>
                <w:rFonts w:ascii="宋体" w:hAnsi="宋体"/>
                <w:color w:val="auto"/>
                <w:szCs w:val="21"/>
                <w:highlight w:val="none"/>
              </w:rPr>
            </w:pPr>
            <w:r>
              <w:rPr>
                <w:rFonts w:hint="eastAsia" w:ascii="宋体" w:hAnsi="宋体" w:cs="宋体"/>
                <w:color w:val="auto"/>
                <w:szCs w:val="21"/>
                <w:highlight w:val="none"/>
              </w:rPr>
              <w:t>□</w:t>
            </w:r>
            <w:r>
              <w:rPr>
                <w:rFonts w:hint="eastAsia" w:ascii="宋体" w:hAnsi="宋体"/>
                <w:color w:val="auto"/>
                <w:szCs w:val="21"/>
                <w:highlight w:val="none"/>
              </w:rPr>
              <w:t>否</w:t>
            </w:r>
          </w:p>
          <w:p>
            <w:pPr>
              <w:spacing w:line="276" w:lineRule="auto"/>
              <w:ind w:left="2099" w:leftChars="3" w:hanging="2093" w:hangingChars="997"/>
              <w:rPr>
                <w:rFonts w:ascii="宋体" w:hAnsi="宋体"/>
                <w:color w:val="auto"/>
                <w:szCs w:val="21"/>
                <w:highlight w:val="none"/>
              </w:rPr>
            </w:pPr>
            <w:r>
              <w:rPr>
                <w:rFonts w:hint="eastAsia" w:ascii="宋体" w:hAnsi="宋体"/>
                <w:color w:val="auto"/>
                <w:szCs w:val="21"/>
                <w:highlight w:val="none"/>
              </w:rPr>
              <w:t>■是，具体要求：</w:t>
            </w:r>
          </w:p>
          <w:p>
            <w:pPr>
              <w:spacing w:line="276" w:lineRule="auto"/>
              <w:jc w:val="left"/>
              <w:rPr>
                <w:rFonts w:ascii="宋体" w:hAnsi="宋体"/>
                <w:color w:val="auto"/>
                <w:szCs w:val="21"/>
                <w:highlight w:val="none"/>
                <w:u w:val="single"/>
              </w:rPr>
            </w:pPr>
            <w:r>
              <w:rPr>
                <w:rFonts w:hint="eastAsia" w:ascii="宋体" w:hAnsi="宋体" w:cs="Courier New"/>
                <w:color w:val="auto"/>
                <w:szCs w:val="21"/>
                <w:highlight w:val="none"/>
                <w:u w:val="single"/>
              </w:rPr>
              <w:t>1.具体操作详见广州公共资源交易中心网站最新发布的最新指引。</w:t>
            </w:r>
          </w:p>
          <w:p>
            <w:pPr>
              <w:spacing w:line="276" w:lineRule="auto"/>
              <w:rPr>
                <w:rFonts w:ascii="宋体" w:hAnsi="宋体" w:cs="Courier New"/>
                <w:color w:val="auto"/>
                <w:szCs w:val="21"/>
                <w:highlight w:val="none"/>
                <w:u w:val="single"/>
              </w:rPr>
            </w:pPr>
            <w:r>
              <w:rPr>
                <w:rFonts w:hint="eastAsia" w:ascii="宋体" w:hAnsi="宋体" w:cs="Courier New"/>
                <w:color w:val="auto"/>
                <w:szCs w:val="21"/>
                <w:highlight w:val="none"/>
                <w:u w:val="single"/>
              </w:rPr>
              <w:t>2.提交投标文件光盘备用</w:t>
            </w:r>
          </w:p>
          <w:p>
            <w:pPr>
              <w:spacing w:line="276" w:lineRule="auto"/>
              <w:rPr>
                <w:rFonts w:ascii="宋体" w:hAnsi="宋体"/>
                <w:color w:val="auto"/>
                <w:szCs w:val="21"/>
                <w:highlight w:val="none"/>
                <w:u w:val="single"/>
              </w:rPr>
            </w:pPr>
            <w:r>
              <w:rPr>
                <w:rFonts w:hint="eastAsia" w:ascii="宋体" w:hAnsi="宋体"/>
                <w:color w:val="auto"/>
                <w:szCs w:val="21"/>
                <w:highlight w:val="none"/>
                <w:u w:val="single"/>
              </w:rPr>
              <w:t>投标人将按最新指引的操作方法制作的非加密的电子投标文件刻入光盘（1份），在开标现场（投标截止时间前）提交备用。刻录好的投标文件光盘密封在密封袋中，并在封口处加盖投标人单位公章。密封袋上应写明的内容见投标人须知前附表要求4.1.2。现场递交的投标文件（光盘）不得加密。光盘（投标文件）无法读取或导入的，则视为未提交备用投标文件光盘。如果投标人没有按规定通过交易平台网上递交电子投标文件的，不再接受现场提交的光盘。投标人也可不提交备用光盘。</w:t>
            </w:r>
          </w:p>
          <w:p>
            <w:pPr>
              <w:spacing w:line="276" w:lineRule="auto"/>
              <w:ind w:firstLine="0" w:firstLineChars="0"/>
              <w:rPr>
                <w:rFonts w:ascii="宋体" w:hAnsi="宋体"/>
                <w:color w:val="auto"/>
                <w:szCs w:val="21"/>
                <w:highlight w:val="none"/>
                <w:u w:val="single"/>
              </w:rPr>
            </w:pPr>
            <w:r>
              <w:rPr>
                <w:rFonts w:ascii="宋体" w:hAnsi="宋体"/>
                <w:color w:val="auto"/>
                <w:szCs w:val="21"/>
                <w:highlight w:val="none"/>
                <w:u w:val="single"/>
              </w:rPr>
              <w:t>3.</w:t>
            </w:r>
            <w:r>
              <w:rPr>
                <w:rFonts w:hint="eastAsia" w:ascii="宋体" w:hAnsi="宋体"/>
                <w:color w:val="auto"/>
                <w:szCs w:val="21"/>
                <w:highlight w:val="none"/>
                <w:u w:val="single"/>
              </w:rPr>
              <w:t>补救方案</w:t>
            </w:r>
          </w:p>
          <w:p>
            <w:pPr>
              <w:spacing w:line="276" w:lineRule="auto"/>
              <w:rPr>
                <w:rFonts w:ascii="宋体" w:hAnsi="宋体"/>
                <w:color w:val="auto"/>
                <w:szCs w:val="21"/>
                <w:highlight w:val="none"/>
                <w:u w:val="single"/>
              </w:rPr>
            </w:pPr>
            <w:r>
              <w:rPr>
                <w:rFonts w:hint="eastAsia" w:ascii="宋体" w:hAnsi="宋体"/>
                <w:color w:val="auto"/>
                <w:szCs w:val="21"/>
                <w:highlight w:val="none"/>
                <w:u w:val="single"/>
              </w:rPr>
              <w:t>（</w:t>
            </w:r>
            <w:r>
              <w:rPr>
                <w:rFonts w:ascii="宋体" w:hAnsi="宋体"/>
                <w:color w:val="auto"/>
                <w:szCs w:val="21"/>
                <w:highlight w:val="none"/>
                <w:u w:val="single"/>
              </w:rPr>
              <w:t>1</w:t>
            </w:r>
            <w:r>
              <w:rPr>
                <w:rFonts w:hint="eastAsia" w:ascii="宋体" w:hAnsi="宋体"/>
                <w:color w:val="auto"/>
                <w:szCs w:val="21"/>
                <w:highlight w:val="none"/>
                <w:u w:val="single"/>
              </w:rPr>
              <w:t>）投标文件解密失败的补救方案：</w:t>
            </w:r>
          </w:p>
          <w:p>
            <w:pPr>
              <w:spacing w:line="276" w:lineRule="auto"/>
              <w:ind w:firstLine="315" w:firstLineChars="150"/>
              <w:rPr>
                <w:rFonts w:ascii="宋体" w:hAnsi="宋体"/>
                <w:color w:val="auto"/>
                <w:szCs w:val="21"/>
                <w:highlight w:val="none"/>
                <w:u w:val="single"/>
              </w:rPr>
            </w:pPr>
            <w:r>
              <w:rPr>
                <w:rFonts w:hint="eastAsia" w:ascii="宋体" w:hAnsi="宋体"/>
                <w:color w:val="auto"/>
                <w:szCs w:val="21"/>
                <w:highlight w:val="none"/>
                <w:u w:val="single"/>
              </w:rPr>
              <w:t>在规定时间内，因投标人之外原因（指网络瘫痪、服务器损坏、交易系统故障短期无法恢复等因素）导致的电子投标文件解密失败，在开标现场读取光盘内容，继续开标程序。评标委员会对其投标文件的评审以光盘内容为准。因投标人之外原因解密失败且未递交电子光盘或递交的电子光盘不能读取的，视为撤回投标文件。</w:t>
            </w:r>
          </w:p>
          <w:p>
            <w:pPr>
              <w:spacing w:line="276" w:lineRule="auto"/>
              <w:rPr>
                <w:rFonts w:ascii="宋体" w:hAnsi="宋体"/>
                <w:color w:val="auto"/>
                <w:szCs w:val="21"/>
                <w:highlight w:val="none"/>
                <w:u w:val="single"/>
              </w:rPr>
            </w:pPr>
            <w:r>
              <w:rPr>
                <w:rFonts w:hint="eastAsia" w:ascii="宋体" w:hAnsi="宋体"/>
                <w:color w:val="auto"/>
                <w:szCs w:val="21"/>
                <w:highlight w:val="none"/>
                <w:u w:val="single"/>
              </w:rPr>
              <w:t>（</w:t>
            </w:r>
            <w:r>
              <w:rPr>
                <w:rFonts w:ascii="宋体" w:hAnsi="宋体"/>
                <w:color w:val="auto"/>
                <w:szCs w:val="21"/>
                <w:highlight w:val="none"/>
                <w:u w:val="single"/>
              </w:rPr>
              <w:t>2</w:t>
            </w:r>
            <w:r>
              <w:rPr>
                <w:rFonts w:hint="eastAsia" w:ascii="宋体" w:hAnsi="宋体"/>
                <w:color w:val="auto"/>
                <w:szCs w:val="21"/>
                <w:highlight w:val="none"/>
                <w:u w:val="single"/>
              </w:rPr>
              <w:t>）评标时突发情况的补救方案</w:t>
            </w:r>
          </w:p>
          <w:p>
            <w:pPr>
              <w:spacing w:line="276" w:lineRule="auto"/>
              <w:ind w:firstLine="315" w:firstLineChars="150"/>
              <w:rPr>
                <w:rFonts w:ascii="宋体" w:hAnsi="宋体"/>
                <w:color w:val="auto"/>
                <w:szCs w:val="21"/>
                <w:highlight w:val="none"/>
                <w:u w:val="single"/>
              </w:rPr>
            </w:pPr>
            <w:r>
              <w:rPr>
                <w:rFonts w:hint="eastAsia" w:ascii="宋体" w:hAnsi="宋体"/>
                <w:color w:val="auto"/>
                <w:szCs w:val="21"/>
                <w:highlight w:val="none"/>
                <w:u w:val="single"/>
              </w:rPr>
              <w:t>若遇不可抗力发生（如：网络瘫痪、服务器损坏、交易系统故障短期无法恢复等因素），由评标委员会开启递交的全部投标文件光盘，并按光盘内容进行评审。</w:t>
            </w:r>
          </w:p>
          <w:p>
            <w:pPr>
              <w:spacing w:line="276" w:lineRule="auto"/>
              <w:rPr>
                <w:rFonts w:ascii="宋体" w:hAnsi="宋体"/>
                <w:color w:val="auto"/>
                <w:szCs w:val="21"/>
                <w:highlight w:val="none"/>
                <w:u w:val="single"/>
              </w:rPr>
            </w:pPr>
            <w:r>
              <w:rPr>
                <w:rFonts w:hint="eastAsia" w:ascii="宋体" w:hAnsi="宋体"/>
                <w:color w:val="auto"/>
                <w:szCs w:val="21"/>
                <w:highlight w:val="none"/>
                <w:u w:val="single"/>
              </w:rPr>
              <w:t>（</w:t>
            </w:r>
            <w:r>
              <w:rPr>
                <w:rFonts w:ascii="宋体" w:hAnsi="宋体"/>
                <w:color w:val="auto"/>
                <w:szCs w:val="21"/>
                <w:highlight w:val="none"/>
                <w:u w:val="single"/>
              </w:rPr>
              <w:t>3</w:t>
            </w:r>
            <w:r>
              <w:rPr>
                <w:rFonts w:hint="eastAsia" w:ascii="宋体" w:hAnsi="宋体"/>
                <w:color w:val="auto"/>
                <w:szCs w:val="21"/>
                <w:highlight w:val="none"/>
                <w:u w:val="single"/>
              </w:rPr>
              <w:t>）除发生上述情况外，开标评标均以投标人通过交易平台网上递交的电子投标文件为准。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snapToGrid w:val="0"/>
              <w:spacing w:line="276" w:lineRule="auto"/>
              <w:jc w:val="center"/>
              <w:rPr>
                <w:rFonts w:ascii="宋体" w:hAnsi="宋体"/>
                <w:color w:val="auto"/>
                <w:szCs w:val="21"/>
                <w:highlight w:val="none"/>
              </w:rPr>
            </w:pPr>
            <w:r>
              <w:rPr>
                <w:rFonts w:ascii="宋体" w:hAnsi="宋体"/>
                <w:color w:val="auto"/>
                <w:szCs w:val="21"/>
                <w:highlight w:val="none"/>
              </w:rPr>
              <w:t>10</w:t>
            </w:r>
          </w:p>
        </w:tc>
        <w:tc>
          <w:tcPr>
            <w:tcW w:w="2160" w:type="dxa"/>
            <w:vAlign w:val="center"/>
          </w:tcPr>
          <w:p>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需要补充的其他内容</w:t>
            </w:r>
          </w:p>
        </w:tc>
        <w:tc>
          <w:tcPr>
            <w:tcW w:w="7200" w:type="dxa"/>
            <w:vAlign w:val="center"/>
          </w:tcPr>
          <w:p>
            <w:pPr>
              <w:snapToGrid w:val="0"/>
              <w:spacing w:line="276" w:lineRule="auto"/>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snapToGrid w:val="0"/>
              <w:spacing w:line="276" w:lineRule="auto"/>
              <w:jc w:val="center"/>
              <w:rPr>
                <w:rFonts w:ascii="宋体" w:hAnsi="宋体"/>
                <w:color w:val="auto"/>
                <w:szCs w:val="21"/>
                <w:highlight w:val="none"/>
              </w:rPr>
            </w:pPr>
            <w:r>
              <w:rPr>
                <w:rFonts w:ascii="宋体" w:hAnsi="宋体"/>
                <w:color w:val="auto"/>
                <w:szCs w:val="21"/>
                <w:highlight w:val="none"/>
              </w:rPr>
              <w:t>10.1</w:t>
            </w:r>
          </w:p>
        </w:tc>
        <w:tc>
          <w:tcPr>
            <w:tcW w:w="2160"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特别提示</w:t>
            </w:r>
          </w:p>
        </w:tc>
        <w:tc>
          <w:tcPr>
            <w:tcW w:w="7200" w:type="dxa"/>
            <w:vAlign w:val="center"/>
          </w:tcPr>
          <w:p>
            <w:pPr>
              <w:widowControl/>
              <w:shd w:val="clear" w:color="auto" w:fill="FFFFFF"/>
              <w:spacing w:line="276" w:lineRule="auto"/>
              <w:jc w:val="left"/>
              <w:rPr>
                <w:rFonts w:ascii="宋体" w:hAnsi="宋体"/>
                <w:color w:val="auto"/>
                <w:szCs w:val="21"/>
                <w:highlight w:val="none"/>
              </w:rPr>
            </w:pPr>
            <w:r>
              <w:rPr>
                <w:rFonts w:hint="eastAsia" w:ascii="宋体" w:hAnsi="宋体"/>
                <w:color w:val="auto"/>
                <w:szCs w:val="21"/>
                <w:highlight w:val="none"/>
              </w:rPr>
              <w:t>投标人在本项目招标人的工程项目中存在下列行为的，将被拒绝一年内参与我单位后续工程投标。（注：拒绝投标时限由招标人视严重程度确定，最低三个月起，自招标人发出通知之日起计）：</w:t>
            </w:r>
          </w:p>
          <w:p>
            <w:pPr>
              <w:widowControl/>
              <w:shd w:val="clear" w:color="auto" w:fill="FFFFFF"/>
              <w:spacing w:line="276" w:lineRule="auto"/>
              <w:jc w:val="left"/>
              <w:rPr>
                <w:rFonts w:ascii="宋体" w:hAnsi="宋体"/>
                <w:color w:val="auto"/>
                <w:szCs w:val="21"/>
                <w:highlight w:val="none"/>
              </w:rPr>
            </w:pPr>
            <w:r>
              <w:rPr>
                <w:rFonts w:hint="eastAsia" w:ascii="宋体" w:hAnsi="宋体"/>
                <w:color w:val="auto"/>
                <w:szCs w:val="21"/>
                <w:highlight w:val="none"/>
              </w:rPr>
              <w:t>1.将中标工程转包或者违法分包的；</w:t>
            </w:r>
          </w:p>
          <w:p>
            <w:pPr>
              <w:widowControl/>
              <w:shd w:val="clear" w:color="auto" w:fill="FFFFFF"/>
              <w:spacing w:line="276" w:lineRule="auto"/>
              <w:jc w:val="left"/>
              <w:rPr>
                <w:rFonts w:ascii="宋体" w:hAnsi="宋体"/>
                <w:color w:val="auto"/>
                <w:szCs w:val="21"/>
                <w:highlight w:val="none"/>
              </w:rPr>
            </w:pPr>
            <w:r>
              <w:rPr>
                <w:rFonts w:hint="eastAsia" w:ascii="宋体" w:hAnsi="宋体"/>
                <w:color w:val="auto"/>
                <w:szCs w:val="21"/>
                <w:highlight w:val="none"/>
              </w:rPr>
              <w:t>2.在中标工程中不执行质量、安全生产相关规定的，造成质量或安全事故的；</w:t>
            </w:r>
          </w:p>
          <w:p>
            <w:pPr>
              <w:widowControl/>
              <w:shd w:val="clear" w:color="auto" w:fill="FFFFFF"/>
              <w:spacing w:line="276" w:lineRule="auto"/>
              <w:jc w:val="left"/>
              <w:rPr>
                <w:rFonts w:ascii="宋体" w:hAnsi="宋体"/>
                <w:color w:val="auto"/>
                <w:szCs w:val="21"/>
                <w:highlight w:val="none"/>
              </w:rPr>
            </w:pPr>
            <w:r>
              <w:rPr>
                <w:rFonts w:hint="eastAsia" w:ascii="宋体" w:hAnsi="宋体"/>
                <w:color w:val="auto"/>
                <w:szCs w:val="21"/>
                <w:highlight w:val="none"/>
              </w:rPr>
              <w:t>3.存在围标或串标情形的；</w:t>
            </w:r>
          </w:p>
          <w:p>
            <w:pPr>
              <w:spacing w:line="276" w:lineRule="auto"/>
              <w:jc w:val="left"/>
              <w:rPr>
                <w:rFonts w:ascii="宋体" w:hAnsi="宋体"/>
                <w:color w:val="auto"/>
                <w:szCs w:val="21"/>
                <w:highlight w:val="none"/>
              </w:rPr>
            </w:pPr>
            <w:r>
              <w:rPr>
                <w:rFonts w:hint="eastAsia" w:ascii="宋体" w:hAnsi="宋体"/>
                <w:color w:val="auto"/>
                <w:szCs w:val="21"/>
                <w:highlight w:val="none"/>
              </w:rPr>
              <w:t>4.存在弄虚作假骗取中标情形的；</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snapToGrid w:val="0"/>
              <w:spacing w:line="276" w:lineRule="auto"/>
              <w:jc w:val="center"/>
              <w:rPr>
                <w:rFonts w:ascii="宋体" w:hAnsi="宋体"/>
                <w:color w:val="auto"/>
                <w:szCs w:val="21"/>
                <w:highlight w:val="none"/>
              </w:rPr>
            </w:pPr>
            <w:r>
              <w:rPr>
                <w:rFonts w:ascii="宋体" w:hAnsi="宋体"/>
                <w:color w:val="auto"/>
                <w:szCs w:val="21"/>
                <w:highlight w:val="none"/>
              </w:rPr>
              <w:t>10.</w:t>
            </w:r>
            <w:r>
              <w:rPr>
                <w:rFonts w:hint="eastAsia" w:ascii="宋体" w:hAnsi="宋体"/>
                <w:color w:val="auto"/>
                <w:szCs w:val="21"/>
                <w:highlight w:val="none"/>
              </w:rPr>
              <w:t>2</w:t>
            </w:r>
          </w:p>
        </w:tc>
        <w:tc>
          <w:tcPr>
            <w:tcW w:w="2160" w:type="dxa"/>
            <w:vAlign w:val="center"/>
          </w:tcPr>
          <w:p>
            <w:pPr>
              <w:widowControl/>
              <w:shd w:val="clear" w:color="auto" w:fill="FFFFFF"/>
              <w:adjustRightInd w:val="0"/>
              <w:spacing w:line="276" w:lineRule="auto"/>
              <w:jc w:val="center"/>
              <w:rPr>
                <w:rFonts w:ascii="宋体" w:hAnsi="宋体"/>
                <w:color w:val="auto"/>
                <w:szCs w:val="21"/>
                <w:highlight w:val="none"/>
              </w:rPr>
            </w:pPr>
            <w:r>
              <w:rPr>
                <w:rFonts w:hint="eastAsia" w:ascii="宋体" w:hAnsi="宋体"/>
                <w:color w:val="auto"/>
                <w:szCs w:val="21"/>
                <w:highlight w:val="none"/>
              </w:rPr>
              <w:t>招标失败情形</w:t>
            </w:r>
          </w:p>
        </w:tc>
        <w:tc>
          <w:tcPr>
            <w:tcW w:w="7200" w:type="dxa"/>
            <w:vAlign w:val="center"/>
          </w:tcPr>
          <w:p>
            <w:pPr>
              <w:spacing w:line="276" w:lineRule="auto"/>
              <w:ind w:left="1" w:hanging="1"/>
              <w:rPr>
                <w:rFonts w:ascii="宋体" w:hAnsi="宋体"/>
                <w:color w:val="auto"/>
                <w:szCs w:val="21"/>
                <w:highlight w:val="none"/>
              </w:rPr>
            </w:pPr>
            <w:r>
              <w:rPr>
                <w:rFonts w:hint="eastAsia" w:ascii="宋体" w:hAnsi="宋体"/>
                <w:color w:val="auto"/>
                <w:szCs w:val="21"/>
                <w:highlight w:val="none"/>
              </w:rPr>
              <w:t>本项目采用资格后审方式</w:t>
            </w:r>
            <w:r>
              <w:rPr>
                <w:rFonts w:hint="eastAsia" w:ascii="宋体" w:hAnsi="宋体" w:cs="仿宋"/>
                <w:color w:val="auto"/>
                <w:szCs w:val="21"/>
                <w:highlight w:val="none"/>
              </w:rPr>
              <w:t>。若投标登记或递交投标文件或通过初步评审（含形式评审、资格评审、响应性评审）的合格投标人不足3家的，</w:t>
            </w:r>
            <w:r>
              <w:rPr>
                <w:rFonts w:hint="eastAsia" w:ascii="宋体" w:hAnsi="宋体"/>
                <w:color w:val="auto"/>
                <w:szCs w:val="21"/>
                <w:highlight w:val="none"/>
                <w:u w:val="single"/>
              </w:rPr>
              <w:t>则该项目招标失败</w:t>
            </w:r>
            <w:r>
              <w:rPr>
                <w:rFonts w:hint="eastAsia" w:ascii="宋体" w:hAnsi="宋体" w:cs="仿宋"/>
                <w:color w:val="auto"/>
                <w:szCs w:val="21"/>
                <w:highlight w:val="none"/>
              </w:rPr>
              <w:t>。</w:t>
            </w:r>
            <w:r>
              <w:rPr>
                <w:rFonts w:hint="eastAsia" w:ascii="宋体" w:hAnsi="宋体" w:cs="宋体"/>
                <w:color w:val="auto"/>
                <w:szCs w:val="21"/>
                <w:highlight w:val="none"/>
              </w:rPr>
              <w:t>招标人分析招标失败原因，修正招标方案，重新组织招标。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tcBorders>
              <w:bottom w:val="single" w:color="auto" w:sz="4" w:space="0"/>
            </w:tcBorders>
            <w:vAlign w:val="center"/>
          </w:tcPr>
          <w:p>
            <w:pPr>
              <w:snapToGrid w:val="0"/>
              <w:spacing w:line="276" w:lineRule="auto"/>
              <w:jc w:val="center"/>
              <w:rPr>
                <w:rFonts w:ascii="宋体" w:hAnsi="宋体"/>
                <w:color w:val="auto"/>
                <w:szCs w:val="21"/>
                <w:highlight w:val="none"/>
              </w:rPr>
            </w:pPr>
            <w:r>
              <w:rPr>
                <w:rFonts w:ascii="宋体" w:hAnsi="宋体"/>
                <w:color w:val="auto"/>
                <w:szCs w:val="21"/>
                <w:highlight w:val="none"/>
              </w:rPr>
              <w:t>10.</w:t>
            </w:r>
            <w:r>
              <w:rPr>
                <w:rFonts w:hint="eastAsia" w:ascii="宋体" w:hAnsi="宋体"/>
                <w:color w:val="auto"/>
                <w:szCs w:val="21"/>
                <w:highlight w:val="none"/>
              </w:rPr>
              <w:t>3</w:t>
            </w:r>
          </w:p>
        </w:tc>
        <w:tc>
          <w:tcPr>
            <w:tcW w:w="2160" w:type="dxa"/>
            <w:tcBorders>
              <w:bottom w:val="single" w:color="auto" w:sz="4" w:space="0"/>
            </w:tcBorders>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其他费用</w:t>
            </w:r>
          </w:p>
        </w:tc>
        <w:tc>
          <w:tcPr>
            <w:tcW w:w="7200" w:type="dxa"/>
            <w:tcBorders>
              <w:bottom w:val="single" w:color="auto" w:sz="4" w:space="0"/>
            </w:tcBorders>
            <w:vAlign w:val="center"/>
          </w:tcPr>
          <w:p>
            <w:pPr>
              <w:spacing w:line="276" w:lineRule="auto"/>
              <w:jc w:val="left"/>
              <w:rPr>
                <w:rFonts w:hint="eastAsia"/>
                <w:color w:val="auto"/>
                <w:highlight w:val="none"/>
                <w:u w:val="single"/>
              </w:rPr>
            </w:pPr>
            <w:r>
              <w:rPr>
                <w:rFonts w:hint="eastAsia"/>
                <w:color w:val="auto"/>
                <w:highlight w:val="none"/>
                <w:u w:val="single"/>
                <w:lang w:val="en-US" w:eastAsia="zh-CN"/>
              </w:rPr>
              <w:t>1、</w:t>
            </w:r>
            <w:r>
              <w:rPr>
                <w:rFonts w:hint="eastAsia"/>
                <w:color w:val="auto"/>
                <w:highlight w:val="none"/>
                <w:u w:val="single"/>
              </w:rPr>
              <w:t>交易服务费：中标人按规定，向广州公共资源交易中心缴纳交易服务费，其费用包含在中标人投标报价中，招标人不另行支付。</w:t>
            </w:r>
          </w:p>
          <w:p>
            <w:pPr>
              <w:pStyle w:val="27"/>
              <w:ind w:left="0" w:leftChars="0" w:firstLine="0" w:firstLineChars="0"/>
              <w:rPr>
                <w:color w:val="auto"/>
                <w:highlight w:val="none"/>
              </w:rPr>
            </w:pPr>
            <w:r>
              <w:rPr>
                <w:rFonts w:hint="eastAsia"/>
                <w:color w:val="auto"/>
                <w:highlight w:val="none"/>
                <w:u w:val="single"/>
                <w:lang w:val="en-US" w:eastAsia="zh-CN"/>
              </w:rPr>
              <w:t>2、</w:t>
            </w:r>
            <w:r>
              <w:rPr>
                <w:rFonts w:hint="eastAsia"/>
                <w:color w:val="auto"/>
                <w:highlight w:val="none"/>
                <w:u w:val="single"/>
              </w:rPr>
              <w:t>招标代理服务费：由中标人支付，完成项目招标工作后，中标人在领取中标通知书前，将</w:t>
            </w:r>
            <w:r>
              <w:rPr>
                <w:rFonts w:hint="eastAsia"/>
                <w:color w:val="auto"/>
                <w:highlight w:val="none"/>
                <w:u w:val="single"/>
                <w:lang w:val="en-US" w:eastAsia="zh-CN"/>
              </w:rPr>
              <w:t>招标代理服务费</w:t>
            </w:r>
            <w:r>
              <w:rPr>
                <w:rFonts w:hint="eastAsia"/>
                <w:color w:val="auto"/>
                <w:highlight w:val="none"/>
                <w:u w:val="single"/>
              </w:rPr>
              <w:t>一次性支付给</w:t>
            </w:r>
            <w:r>
              <w:rPr>
                <w:rFonts w:hint="eastAsia"/>
                <w:color w:val="auto"/>
                <w:highlight w:val="none"/>
                <w:u w:val="single"/>
                <w:lang w:val="en-US" w:eastAsia="zh-CN"/>
              </w:rPr>
              <w:t>招标代理机构</w:t>
            </w:r>
            <w:r>
              <w:rPr>
                <w:rFonts w:hint="eastAsia"/>
                <w:color w:val="auto"/>
                <w:highlight w:val="none"/>
                <w:u w:val="single"/>
              </w:rPr>
              <w:t>。招标代理服务费为总价包干：人民币25400元（大写：贰万伍仟肆佰元整）。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tcBorders>
              <w:bottom w:val="single" w:color="auto" w:sz="4" w:space="0"/>
            </w:tcBorders>
            <w:vAlign w:val="center"/>
          </w:tcPr>
          <w:p>
            <w:pPr>
              <w:snapToGrid w:val="0"/>
              <w:spacing w:line="276" w:lineRule="auto"/>
              <w:jc w:val="center"/>
              <w:rPr>
                <w:rFonts w:ascii="宋体" w:hAnsi="宋体"/>
                <w:color w:val="auto"/>
                <w:szCs w:val="21"/>
                <w:highlight w:val="none"/>
              </w:rPr>
            </w:pPr>
            <w:r>
              <w:rPr>
                <w:rFonts w:ascii="宋体" w:hAnsi="宋体"/>
                <w:color w:val="auto"/>
                <w:szCs w:val="21"/>
                <w:highlight w:val="none"/>
              </w:rPr>
              <w:t>10.</w:t>
            </w:r>
            <w:r>
              <w:rPr>
                <w:rFonts w:hint="eastAsia" w:ascii="宋体" w:hAnsi="宋体"/>
                <w:color w:val="auto"/>
                <w:szCs w:val="21"/>
                <w:highlight w:val="none"/>
              </w:rPr>
              <w:t>4</w:t>
            </w:r>
          </w:p>
        </w:tc>
        <w:tc>
          <w:tcPr>
            <w:tcW w:w="2160" w:type="dxa"/>
            <w:tcBorders>
              <w:bottom w:val="single" w:color="auto" w:sz="4" w:space="0"/>
            </w:tcBorders>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招标人拒绝接收其投标文件备用光盘情况</w:t>
            </w:r>
          </w:p>
        </w:tc>
        <w:tc>
          <w:tcPr>
            <w:tcW w:w="7200" w:type="dxa"/>
            <w:tcBorders>
              <w:bottom w:val="single" w:color="auto" w:sz="4" w:space="0"/>
            </w:tcBorders>
            <w:vAlign w:val="center"/>
          </w:tcPr>
          <w:p>
            <w:pPr>
              <w:pStyle w:val="27"/>
              <w:spacing w:line="276" w:lineRule="auto"/>
              <w:ind w:hanging="5"/>
              <w:rPr>
                <w:rFonts w:ascii="宋体" w:hAnsi="宋体"/>
                <w:color w:val="auto"/>
                <w:szCs w:val="21"/>
                <w:highlight w:val="none"/>
              </w:rPr>
            </w:pPr>
            <w:r>
              <w:rPr>
                <w:rFonts w:hint="eastAsia" w:ascii="宋体" w:hAnsi="宋体"/>
                <w:color w:val="auto"/>
                <w:szCs w:val="21"/>
                <w:highlight w:val="none"/>
              </w:rPr>
              <w:t>1、投标人在投标截止期后逾期或未在指定地点递交备用投标文件电子光盘的；</w:t>
            </w:r>
          </w:p>
          <w:p>
            <w:pPr>
              <w:pStyle w:val="27"/>
              <w:spacing w:line="276" w:lineRule="auto"/>
              <w:ind w:hanging="5"/>
              <w:rPr>
                <w:rFonts w:ascii="宋体" w:hAnsi="宋体"/>
                <w:color w:val="auto"/>
                <w:szCs w:val="21"/>
                <w:highlight w:val="none"/>
              </w:rPr>
            </w:pPr>
            <w:r>
              <w:rPr>
                <w:rFonts w:hint="eastAsia" w:ascii="宋体" w:hAnsi="宋体"/>
                <w:color w:val="auto"/>
                <w:szCs w:val="21"/>
                <w:highlight w:val="none"/>
              </w:rPr>
              <w:t>2、投标人递交的备用投标文件电子光盘未按招标文件要求密封或未在密封处盖章的；</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tcBorders>
              <w:bottom w:val="single" w:color="auto" w:sz="4" w:space="0"/>
            </w:tcBorders>
            <w:vAlign w:val="center"/>
          </w:tcPr>
          <w:p>
            <w:pPr>
              <w:snapToGrid w:val="0"/>
              <w:spacing w:line="276" w:lineRule="auto"/>
              <w:jc w:val="center"/>
              <w:rPr>
                <w:rFonts w:ascii="宋体" w:hAnsi="宋体"/>
                <w:color w:val="auto"/>
                <w:szCs w:val="21"/>
                <w:highlight w:val="none"/>
              </w:rPr>
            </w:pPr>
            <w:r>
              <w:rPr>
                <w:rFonts w:ascii="宋体" w:hAnsi="宋体"/>
                <w:color w:val="auto"/>
                <w:szCs w:val="21"/>
                <w:highlight w:val="none"/>
              </w:rPr>
              <w:t>10.</w:t>
            </w:r>
            <w:r>
              <w:rPr>
                <w:rFonts w:hint="eastAsia" w:ascii="宋体" w:hAnsi="宋体"/>
                <w:color w:val="auto"/>
                <w:szCs w:val="21"/>
                <w:highlight w:val="none"/>
              </w:rPr>
              <w:t>5</w:t>
            </w:r>
          </w:p>
        </w:tc>
        <w:tc>
          <w:tcPr>
            <w:tcW w:w="2160" w:type="dxa"/>
            <w:tcBorders>
              <w:bottom w:val="single" w:color="auto" w:sz="4" w:space="0"/>
            </w:tcBorders>
            <w:vAlign w:val="center"/>
          </w:tcPr>
          <w:p>
            <w:pPr>
              <w:widowControl/>
              <w:shd w:val="clear" w:color="auto" w:fill="FFFFFF"/>
              <w:adjustRightInd w:val="0"/>
              <w:spacing w:line="276" w:lineRule="auto"/>
              <w:jc w:val="center"/>
              <w:rPr>
                <w:rFonts w:ascii="宋体" w:hAnsi="宋体"/>
                <w:color w:val="auto"/>
                <w:szCs w:val="21"/>
                <w:highlight w:val="none"/>
              </w:rPr>
            </w:pPr>
            <w:r>
              <w:rPr>
                <w:rFonts w:hint="eastAsia" w:ascii="宋体" w:hAnsi="宋体"/>
                <w:color w:val="auto"/>
                <w:szCs w:val="21"/>
                <w:highlight w:val="none"/>
              </w:rPr>
              <w:t>其他</w:t>
            </w:r>
          </w:p>
        </w:tc>
        <w:tc>
          <w:tcPr>
            <w:tcW w:w="7200" w:type="dxa"/>
            <w:tcBorders>
              <w:bottom w:val="single" w:color="auto" w:sz="4" w:space="0"/>
            </w:tcBorders>
            <w:vAlign w:val="center"/>
          </w:tcPr>
          <w:p>
            <w:pPr>
              <w:snapToGrid w:val="0"/>
              <w:spacing w:line="276" w:lineRule="auto"/>
              <w:rPr>
                <w:rFonts w:ascii="宋体" w:hAnsi="宋体"/>
                <w:color w:val="auto"/>
                <w:szCs w:val="21"/>
                <w:highlight w:val="none"/>
              </w:rPr>
            </w:pPr>
            <w:r>
              <w:rPr>
                <w:rFonts w:hint="eastAsia" w:ascii="宋体" w:hAnsi="宋体"/>
                <w:color w:val="auto"/>
                <w:szCs w:val="21"/>
                <w:highlight w:val="none"/>
              </w:rPr>
              <w:t>1．在产生中标候选人后，招标人将中标候选人的投标文件商务部分的电子版（报价清单、方案等涉及商业秘密的内容除外）在广州公共资源交易中心网站公开。</w:t>
            </w:r>
          </w:p>
          <w:p>
            <w:pPr>
              <w:snapToGrid w:val="0"/>
              <w:spacing w:line="276" w:lineRule="auto"/>
              <w:rPr>
                <w:rFonts w:ascii="宋体" w:hAnsi="宋体"/>
                <w:color w:val="auto"/>
                <w:szCs w:val="21"/>
                <w:highlight w:val="none"/>
              </w:rPr>
            </w:pPr>
            <w:r>
              <w:rPr>
                <w:rFonts w:hint="eastAsia" w:ascii="宋体" w:hAnsi="宋体"/>
                <w:color w:val="auto"/>
                <w:szCs w:val="21"/>
                <w:highlight w:val="none"/>
              </w:rPr>
              <w:t>2.招标公告、招标文件、答疑纪要、图纸等招标资料全部发布在广州公共资源交易中心网站，由投标人自行下载查阅。</w:t>
            </w:r>
          </w:p>
          <w:p>
            <w:pPr>
              <w:snapToGrid w:val="0"/>
              <w:spacing w:line="276" w:lineRule="auto"/>
              <w:rPr>
                <w:rFonts w:ascii="宋体" w:hAnsi="宋体"/>
                <w:color w:val="auto"/>
                <w:szCs w:val="21"/>
                <w:highlight w:val="none"/>
              </w:rPr>
            </w:pPr>
            <w:r>
              <w:rPr>
                <w:rFonts w:hint="eastAsia" w:ascii="宋体" w:hAnsi="宋体"/>
                <w:color w:val="auto"/>
                <w:szCs w:val="21"/>
                <w:highlight w:val="none"/>
              </w:rPr>
              <w:t>3.投标截止时间、开标时间和地点：发布在广州公共资源交易中心网站（具体在网站主页“服务指南”中“交易活动安排”栏目上以“项目名称”或“项目编号”进行查询）。</w:t>
            </w:r>
          </w:p>
          <w:p>
            <w:pPr>
              <w:snapToGrid w:val="0"/>
              <w:spacing w:line="276" w:lineRule="auto"/>
              <w:rPr>
                <w:rFonts w:ascii="宋体" w:hAnsi="宋体"/>
                <w:color w:val="auto"/>
                <w:szCs w:val="21"/>
                <w:highlight w:val="none"/>
              </w:rPr>
            </w:pPr>
            <w:r>
              <w:rPr>
                <w:rFonts w:hint="eastAsia" w:ascii="宋体" w:hAnsi="宋体"/>
                <w:color w:val="auto"/>
                <w:szCs w:val="21"/>
                <w:highlight w:val="none"/>
              </w:rPr>
              <w:t>4．中标单位在中标通知书发出后3个工作日内，补送一正一副正式书面投标文件（加盖公章）及电子文件光盘给招标人。</w:t>
            </w:r>
          </w:p>
          <w:p>
            <w:pPr>
              <w:pStyle w:val="27"/>
              <w:ind w:firstLine="0"/>
              <w:rPr>
                <w:rFonts w:ascii="宋体" w:hAnsi="宋体"/>
                <w:color w:val="auto"/>
                <w:szCs w:val="21"/>
                <w:highlight w:val="none"/>
              </w:rPr>
            </w:pPr>
            <w:r>
              <w:rPr>
                <w:rFonts w:hint="eastAsia" w:ascii="宋体" w:hAnsi="宋体"/>
                <w:color w:val="auto"/>
                <w:szCs w:val="21"/>
                <w:highlight w:val="none"/>
              </w:rPr>
              <w:t>5.招标人将时时核对以下内容：</w:t>
            </w:r>
          </w:p>
          <w:p>
            <w:pPr>
              <w:pStyle w:val="27"/>
              <w:ind w:firstLine="0"/>
              <w:rPr>
                <w:rFonts w:ascii="宋体" w:hAnsi="宋体"/>
                <w:color w:val="auto"/>
                <w:szCs w:val="21"/>
                <w:highlight w:val="none"/>
              </w:rPr>
            </w:pPr>
            <w:r>
              <w:rPr>
                <w:rFonts w:hint="eastAsia" w:ascii="宋体" w:hAnsi="宋体"/>
                <w:color w:val="auto"/>
                <w:szCs w:val="21"/>
                <w:highlight w:val="none"/>
              </w:rPr>
              <w:t>（1）中标人及其项目负责人是否存在因与工程项目施工相关的车辆运输而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w:t>
            </w:r>
            <w:r>
              <w:rPr>
                <w:rFonts w:hint="eastAsia" w:ascii="宋体" w:hAnsi="宋体"/>
                <w:color w:val="auto"/>
                <w:szCs w:val="21"/>
                <w:highlight w:val="none"/>
                <w:lang w:eastAsia="zh-CN"/>
              </w:rPr>
              <w:t>规划</w:t>
            </w:r>
            <w:r>
              <w:rPr>
                <w:rFonts w:hint="eastAsia" w:ascii="宋体" w:hAnsi="宋体"/>
                <w:color w:val="auto"/>
                <w:szCs w:val="21"/>
                <w:highlight w:val="none"/>
              </w:rPr>
              <w:t>等部门列入黑名单、不良行为记录（处罚有效期内）。</w:t>
            </w:r>
          </w:p>
          <w:p>
            <w:pPr>
              <w:pStyle w:val="27"/>
              <w:ind w:firstLine="0"/>
              <w:rPr>
                <w:rFonts w:ascii="宋体" w:hAnsi="宋体"/>
                <w:color w:val="auto"/>
                <w:szCs w:val="21"/>
                <w:highlight w:val="none"/>
              </w:rPr>
            </w:pPr>
            <w:r>
              <w:rPr>
                <w:rFonts w:hint="eastAsia" w:ascii="宋体" w:hAnsi="宋体"/>
                <w:color w:val="auto"/>
                <w:szCs w:val="21"/>
                <w:highlight w:val="none"/>
              </w:rPr>
              <w:t>（2）中标人是否有将工程施工过程中产生的土石方、建筑垃圾及施工过程中使用的建筑材料、设备等的运输委托给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w:t>
            </w:r>
            <w:r>
              <w:rPr>
                <w:rFonts w:hint="eastAsia" w:ascii="宋体" w:hAnsi="宋体"/>
                <w:color w:val="auto"/>
                <w:szCs w:val="21"/>
                <w:highlight w:val="none"/>
                <w:lang w:eastAsia="zh-CN"/>
              </w:rPr>
              <w:t>规划</w:t>
            </w:r>
            <w:r>
              <w:rPr>
                <w:rFonts w:hint="eastAsia" w:ascii="宋体" w:hAnsi="宋体"/>
                <w:color w:val="auto"/>
                <w:szCs w:val="21"/>
                <w:highlight w:val="none"/>
              </w:rPr>
              <w:t>等部门列入黑名单、不良行为记录（处罚有效期内）的单位或个体经营者运输。</w:t>
            </w:r>
          </w:p>
          <w:p>
            <w:pPr>
              <w:pStyle w:val="27"/>
              <w:ind w:firstLine="0"/>
              <w:rPr>
                <w:rFonts w:hint="eastAsia" w:ascii="宋体" w:hAnsi="宋体"/>
                <w:color w:val="auto"/>
                <w:szCs w:val="21"/>
                <w:highlight w:val="none"/>
              </w:rPr>
            </w:pPr>
            <w:r>
              <w:rPr>
                <w:rFonts w:hint="eastAsia" w:ascii="宋体" w:hAnsi="宋体"/>
                <w:color w:val="auto"/>
                <w:szCs w:val="21"/>
                <w:highlight w:val="none"/>
              </w:rPr>
              <w:t>如核实存在上述任一情况，招标人有权取消中标人的中标资格或终止合同。</w:t>
            </w:r>
          </w:p>
          <w:p>
            <w:pPr>
              <w:pStyle w:val="27"/>
              <w:ind w:firstLine="0"/>
              <w:rPr>
                <w:rFonts w:hint="eastAsia" w:ascii="宋体" w:hAnsi="宋体"/>
                <w:color w:val="auto"/>
                <w:szCs w:val="21"/>
                <w:highlight w:val="none"/>
              </w:rPr>
            </w:pPr>
            <w:r>
              <w:rPr>
                <w:rFonts w:hint="eastAsia" w:ascii="宋体" w:hAnsi="宋体"/>
                <w:color w:val="auto"/>
                <w:szCs w:val="21"/>
                <w:highlight w:val="none"/>
                <w:lang w:val="en-US" w:eastAsia="zh-CN"/>
              </w:rPr>
              <w:t>6.</w:t>
            </w:r>
            <w:r>
              <w:rPr>
                <w:rFonts w:hint="eastAsia" w:ascii="宋体" w:hAnsi="宋体"/>
                <w:color w:val="auto"/>
                <w:szCs w:val="21"/>
                <w:highlight w:val="none"/>
              </w:rPr>
              <w:t>如遇政策变化、政府或招标人上级单位决策、土地出让等其他因招标人的原因取消该全部工程，则招标人有权单方取消本次招标，双方互不视为违约。潜在投标人已充分知悉上述风险，并且放弃向招标人主张索赔的权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10.6</w:t>
            </w:r>
          </w:p>
        </w:tc>
        <w:tc>
          <w:tcPr>
            <w:tcW w:w="2160" w:type="dxa"/>
            <w:vAlign w:val="center"/>
          </w:tcPr>
          <w:p>
            <w:pPr>
              <w:widowControl/>
              <w:shd w:val="clear" w:color="auto" w:fill="FFFFFF"/>
              <w:adjustRightInd w:val="0"/>
              <w:spacing w:line="276" w:lineRule="auto"/>
              <w:jc w:val="center"/>
              <w:rPr>
                <w:rFonts w:ascii="宋体" w:hAnsi="宋体"/>
                <w:color w:val="auto"/>
                <w:szCs w:val="21"/>
                <w:highlight w:val="none"/>
              </w:rPr>
            </w:pPr>
            <w:r>
              <w:rPr>
                <w:rFonts w:hint="eastAsia" w:ascii="宋体" w:hAnsi="宋体"/>
                <w:color w:val="auto"/>
                <w:szCs w:val="21"/>
                <w:highlight w:val="none"/>
              </w:rPr>
              <w:t>投标人是否参加开标</w:t>
            </w:r>
          </w:p>
        </w:tc>
        <w:tc>
          <w:tcPr>
            <w:tcW w:w="7200" w:type="dxa"/>
            <w:vAlign w:val="center"/>
          </w:tcPr>
          <w:p>
            <w:pPr>
              <w:snapToGrid w:val="0"/>
              <w:spacing w:line="276" w:lineRule="auto"/>
              <w:rPr>
                <w:rFonts w:ascii="宋体" w:hAnsi="宋体"/>
                <w:color w:val="auto"/>
                <w:szCs w:val="21"/>
                <w:highlight w:val="none"/>
              </w:rPr>
            </w:pPr>
            <w:r>
              <w:rPr>
                <w:rFonts w:hint="eastAsia" w:ascii="宋体" w:hAnsi="宋体"/>
                <w:color w:val="auto"/>
                <w:szCs w:val="21"/>
                <w:highlight w:val="none"/>
              </w:rPr>
              <w:t>开标时，投标人代表有权出席开标会，也可以自主决定不参加开标会，若投标人代表对开标过程提出异议，该投标人代表须同时出示本人身份证原件。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tcBorders>
              <w:bottom w:val="single" w:color="auto" w:sz="4" w:space="0"/>
            </w:tcBorders>
            <w:vAlign w:val="center"/>
          </w:tcPr>
          <w:p>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0.7</w:t>
            </w:r>
          </w:p>
        </w:tc>
        <w:tc>
          <w:tcPr>
            <w:tcW w:w="2160" w:type="dxa"/>
            <w:tcBorders>
              <w:bottom w:val="single" w:color="auto" w:sz="4" w:space="0"/>
            </w:tcBorders>
            <w:vAlign w:val="center"/>
          </w:tcPr>
          <w:p>
            <w:pPr>
              <w:widowControl/>
              <w:shd w:val="clear" w:color="auto" w:fill="FFFFFF"/>
              <w:adjustRightInd w:val="0"/>
              <w:spacing w:line="276" w:lineRule="auto"/>
              <w:jc w:val="center"/>
              <w:rPr>
                <w:rFonts w:ascii="宋体" w:hAnsi="宋体"/>
                <w:strike/>
                <w:dstrike w:val="0"/>
                <w:color w:val="auto"/>
                <w:szCs w:val="21"/>
                <w:highlight w:val="none"/>
              </w:rPr>
            </w:pPr>
          </w:p>
        </w:tc>
        <w:tc>
          <w:tcPr>
            <w:tcW w:w="7200" w:type="dxa"/>
            <w:tcBorders>
              <w:bottom w:val="single" w:color="auto" w:sz="4" w:space="0"/>
            </w:tcBorders>
            <w:vAlign w:val="center"/>
          </w:tcPr>
          <w:p>
            <w:pPr>
              <w:snapToGrid w:val="0"/>
              <w:spacing w:line="276" w:lineRule="auto"/>
              <w:rPr>
                <w:rFonts w:ascii="宋体" w:hAnsi="宋体"/>
                <w:strike/>
                <w:dstrike w:val="0"/>
                <w:color w:val="auto"/>
                <w:szCs w:val="21"/>
                <w:highlight w:val="none"/>
              </w:rPr>
            </w:pPr>
          </w:p>
        </w:tc>
      </w:tr>
    </w:tbl>
    <w:p>
      <w:pPr>
        <w:rPr>
          <w:rFonts w:ascii="宋体" w:hAnsi="宋体"/>
          <w:color w:val="auto"/>
          <w:highlight w:val="none"/>
        </w:rPr>
      </w:pPr>
    </w:p>
    <w:p>
      <w:pPr>
        <w:pStyle w:val="5"/>
        <w:rPr>
          <w:color w:val="auto"/>
          <w:highlight w:val="none"/>
        </w:rPr>
      </w:pPr>
      <w:bookmarkStart w:id="39" w:name="_Toc533357308"/>
      <w:r>
        <w:rPr>
          <w:color w:val="auto"/>
          <w:highlight w:val="none"/>
        </w:rPr>
        <w:br w:type="page"/>
      </w:r>
      <w:bookmarkStart w:id="40" w:name="_Toc13362"/>
      <w:r>
        <w:rPr>
          <w:color w:val="auto"/>
          <w:highlight w:val="none"/>
        </w:rPr>
        <w:t xml:space="preserve">1. </w:t>
      </w:r>
      <w:r>
        <w:rPr>
          <w:rFonts w:hint="eastAsia"/>
          <w:color w:val="auto"/>
          <w:highlight w:val="none"/>
        </w:rPr>
        <w:t>总则</w:t>
      </w:r>
      <w:bookmarkEnd w:id="39"/>
      <w:bookmarkEnd w:id="40"/>
    </w:p>
    <w:p>
      <w:pPr>
        <w:pStyle w:val="7"/>
        <w:rPr>
          <w:color w:val="auto"/>
          <w:highlight w:val="none"/>
        </w:rPr>
      </w:pPr>
      <w:r>
        <w:rPr>
          <w:color w:val="auto"/>
          <w:highlight w:val="none"/>
        </w:rPr>
        <w:t xml:space="preserve">1.1 </w:t>
      </w:r>
      <w:r>
        <w:rPr>
          <w:rFonts w:hint="eastAsia"/>
          <w:color w:val="auto"/>
          <w:highlight w:val="none"/>
        </w:rPr>
        <w:t>招标项目概况</w:t>
      </w:r>
    </w:p>
    <w:p>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1.1.1</w:t>
      </w:r>
      <w:r>
        <w:rPr>
          <w:rFonts w:hint="eastAsia" w:ascii="宋体" w:hAnsi="宋体"/>
          <w:color w:val="auto"/>
          <w:szCs w:val="21"/>
          <w:highlight w:val="none"/>
        </w:rPr>
        <w:t>根据《中华人民共和国招标投标法》、《中华人民共和国招标投标法实施条例》等有关法律、法规和规章的规定，本招标项目已具备招标条件，现对检测服务进行招标。</w:t>
      </w:r>
    </w:p>
    <w:p>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1.1.2</w:t>
      </w:r>
      <w:r>
        <w:rPr>
          <w:rFonts w:hint="eastAsia" w:ascii="宋体" w:hAnsi="宋体"/>
          <w:color w:val="auto"/>
          <w:szCs w:val="21"/>
          <w:highlight w:val="none"/>
        </w:rPr>
        <w:t>招标人：见投标人须知前附表。</w:t>
      </w:r>
    </w:p>
    <w:p>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1.1.3</w:t>
      </w:r>
      <w:r>
        <w:rPr>
          <w:rFonts w:hint="eastAsia" w:ascii="宋体" w:hAnsi="宋体"/>
          <w:color w:val="auto"/>
          <w:szCs w:val="21"/>
          <w:highlight w:val="none"/>
        </w:rPr>
        <w:t>招标代理机构：见投标人须知前附表。</w:t>
      </w:r>
    </w:p>
    <w:p>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1.1.4</w:t>
      </w:r>
      <w:r>
        <w:rPr>
          <w:rFonts w:hint="eastAsia" w:ascii="宋体" w:hAnsi="宋体"/>
          <w:color w:val="auto"/>
          <w:szCs w:val="21"/>
          <w:highlight w:val="none"/>
        </w:rPr>
        <w:t>招标项目名称：见投标人须知前附表。</w:t>
      </w:r>
    </w:p>
    <w:p>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1.1.5</w:t>
      </w:r>
      <w:r>
        <w:rPr>
          <w:rFonts w:hint="eastAsia" w:ascii="宋体" w:hAnsi="宋体"/>
          <w:color w:val="auto"/>
          <w:szCs w:val="21"/>
          <w:highlight w:val="none"/>
        </w:rPr>
        <w:t>项目建设地点：见投标人须知前附表。</w:t>
      </w:r>
    </w:p>
    <w:p>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1.1.6</w:t>
      </w:r>
      <w:r>
        <w:rPr>
          <w:rFonts w:hint="eastAsia" w:ascii="宋体" w:hAnsi="宋体"/>
          <w:color w:val="auto"/>
          <w:szCs w:val="21"/>
          <w:highlight w:val="none"/>
        </w:rPr>
        <w:t>项目建设规模：见投标人须知前附表。</w:t>
      </w:r>
    </w:p>
    <w:p>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1.1.7</w:t>
      </w:r>
      <w:r>
        <w:rPr>
          <w:rFonts w:hint="eastAsia" w:ascii="宋体" w:hAnsi="宋体"/>
          <w:color w:val="auto"/>
          <w:szCs w:val="21"/>
          <w:highlight w:val="none"/>
        </w:rPr>
        <w:t>工程项目施工预计开工日期和建设周期：见投标人须知前附表。</w:t>
      </w:r>
    </w:p>
    <w:p>
      <w:pPr>
        <w:pStyle w:val="27"/>
        <w:spacing w:line="288" w:lineRule="auto"/>
        <w:ind w:firstLineChars="200"/>
        <w:rPr>
          <w:rFonts w:ascii="宋体" w:hAnsi="宋体"/>
          <w:color w:val="auto"/>
          <w:szCs w:val="21"/>
          <w:highlight w:val="none"/>
        </w:rPr>
      </w:pPr>
      <w:r>
        <w:rPr>
          <w:rFonts w:ascii="宋体" w:hAnsi="宋体"/>
          <w:color w:val="auto"/>
          <w:szCs w:val="21"/>
          <w:highlight w:val="none"/>
        </w:rPr>
        <w:t>1.1.8</w:t>
      </w:r>
      <w:r>
        <w:rPr>
          <w:rFonts w:hint="eastAsia" w:ascii="宋体" w:hAnsi="宋体"/>
          <w:color w:val="auto"/>
          <w:szCs w:val="21"/>
          <w:highlight w:val="none"/>
        </w:rPr>
        <w:t>建筑安装工程费</w:t>
      </w:r>
      <w:r>
        <w:rPr>
          <w:rFonts w:ascii="宋体" w:hAnsi="宋体"/>
          <w:color w:val="auto"/>
          <w:szCs w:val="21"/>
          <w:highlight w:val="none"/>
        </w:rPr>
        <w:t>/</w:t>
      </w:r>
      <w:r>
        <w:rPr>
          <w:rFonts w:hint="eastAsia" w:ascii="宋体" w:hAnsi="宋体"/>
          <w:color w:val="auto"/>
          <w:szCs w:val="21"/>
          <w:highlight w:val="none"/>
        </w:rPr>
        <w:t>工程概算：见投标人须知前附表。</w:t>
      </w:r>
    </w:p>
    <w:p>
      <w:pPr>
        <w:pStyle w:val="12"/>
        <w:kinsoku w:val="0"/>
        <w:overflowPunct w:val="0"/>
        <w:spacing w:line="288" w:lineRule="auto"/>
        <w:ind w:firstLine="420" w:firstLineChars="200"/>
        <w:rPr>
          <w:rFonts w:ascii="宋体" w:hAnsi="宋体"/>
          <w:color w:val="auto"/>
          <w:szCs w:val="21"/>
          <w:highlight w:val="none"/>
        </w:rPr>
      </w:pPr>
    </w:p>
    <w:p>
      <w:pPr>
        <w:pStyle w:val="7"/>
        <w:rPr>
          <w:color w:val="auto"/>
          <w:highlight w:val="none"/>
        </w:rPr>
      </w:pPr>
      <w:r>
        <w:rPr>
          <w:color w:val="auto"/>
          <w:highlight w:val="none"/>
        </w:rPr>
        <w:t xml:space="preserve">1.2 </w:t>
      </w:r>
      <w:r>
        <w:rPr>
          <w:rFonts w:hint="eastAsia"/>
          <w:color w:val="auto"/>
          <w:highlight w:val="none"/>
        </w:rPr>
        <w:t>招标项目的资金来源和落实情况</w:t>
      </w:r>
    </w:p>
    <w:p>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1.2.1</w:t>
      </w:r>
      <w:r>
        <w:rPr>
          <w:rFonts w:hint="eastAsia" w:ascii="宋体" w:hAnsi="宋体"/>
          <w:color w:val="auto"/>
          <w:szCs w:val="21"/>
          <w:highlight w:val="none"/>
        </w:rPr>
        <w:t>资金来源及比例：见投标人须知前附表。</w:t>
      </w:r>
    </w:p>
    <w:p>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1.2.2</w:t>
      </w:r>
      <w:r>
        <w:rPr>
          <w:rFonts w:hint="eastAsia" w:ascii="宋体" w:hAnsi="宋体"/>
          <w:color w:val="auto"/>
          <w:szCs w:val="21"/>
          <w:highlight w:val="none"/>
        </w:rPr>
        <w:t>资金落实情况：见投标人须知前附表。</w:t>
      </w:r>
    </w:p>
    <w:p>
      <w:pPr>
        <w:pStyle w:val="12"/>
        <w:kinsoku w:val="0"/>
        <w:overflowPunct w:val="0"/>
        <w:spacing w:line="288" w:lineRule="auto"/>
        <w:ind w:firstLine="420" w:firstLineChars="200"/>
        <w:rPr>
          <w:rFonts w:ascii="宋体" w:hAnsi="宋体"/>
          <w:color w:val="auto"/>
          <w:szCs w:val="21"/>
          <w:highlight w:val="none"/>
        </w:rPr>
      </w:pPr>
    </w:p>
    <w:p>
      <w:pPr>
        <w:pStyle w:val="7"/>
        <w:rPr>
          <w:color w:val="auto"/>
          <w:highlight w:val="none"/>
        </w:rPr>
      </w:pPr>
      <w:r>
        <w:rPr>
          <w:color w:val="auto"/>
          <w:highlight w:val="none"/>
        </w:rPr>
        <w:t xml:space="preserve">1.3 </w:t>
      </w:r>
      <w:r>
        <w:rPr>
          <w:rFonts w:hint="eastAsia"/>
          <w:color w:val="auto"/>
          <w:highlight w:val="none"/>
        </w:rPr>
        <w:t>招标范围、服务期限和质量标准</w:t>
      </w:r>
    </w:p>
    <w:p>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1.3.1</w:t>
      </w:r>
      <w:r>
        <w:rPr>
          <w:rFonts w:hint="eastAsia" w:ascii="宋体" w:hAnsi="宋体"/>
          <w:color w:val="auto"/>
          <w:szCs w:val="21"/>
          <w:highlight w:val="none"/>
        </w:rPr>
        <w:t>招标范围：见投标人须知前附表。</w:t>
      </w:r>
    </w:p>
    <w:p>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1.3.2</w:t>
      </w:r>
      <w:r>
        <w:rPr>
          <w:rFonts w:hint="eastAsia" w:ascii="宋体" w:hAnsi="宋体"/>
          <w:color w:val="auto"/>
          <w:szCs w:val="21"/>
          <w:highlight w:val="none"/>
        </w:rPr>
        <w:t>服务期：见投标人须知前附表。</w:t>
      </w:r>
    </w:p>
    <w:p>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1.3.3</w:t>
      </w:r>
      <w:r>
        <w:rPr>
          <w:rFonts w:hint="eastAsia" w:ascii="宋体" w:hAnsi="宋体"/>
          <w:color w:val="auto"/>
          <w:highlight w:val="none"/>
        </w:rPr>
        <w:t>质量标准</w:t>
      </w:r>
      <w:r>
        <w:rPr>
          <w:rFonts w:hint="eastAsia" w:ascii="宋体" w:hAnsi="宋体"/>
          <w:color w:val="auto"/>
          <w:szCs w:val="21"/>
          <w:highlight w:val="none"/>
        </w:rPr>
        <w:t>：见投标人须知前附表。</w:t>
      </w:r>
    </w:p>
    <w:p>
      <w:pPr>
        <w:pStyle w:val="12"/>
        <w:kinsoku w:val="0"/>
        <w:overflowPunct w:val="0"/>
        <w:spacing w:line="288" w:lineRule="auto"/>
        <w:ind w:firstLine="420" w:firstLineChars="200"/>
        <w:rPr>
          <w:rFonts w:ascii="宋体" w:hAnsi="宋体"/>
          <w:color w:val="auto"/>
          <w:szCs w:val="21"/>
          <w:highlight w:val="none"/>
        </w:rPr>
      </w:pPr>
    </w:p>
    <w:p>
      <w:pPr>
        <w:pStyle w:val="7"/>
        <w:rPr>
          <w:color w:val="auto"/>
          <w:highlight w:val="none"/>
        </w:rPr>
      </w:pPr>
      <w:r>
        <w:rPr>
          <w:color w:val="auto"/>
          <w:highlight w:val="none"/>
        </w:rPr>
        <w:t xml:space="preserve">1.4 </w:t>
      </w:r>
      <w:r>
        <w:rPr>
          <w:rFonts w:hint="eastAsia"/>
          <w:color w:val="auto"/>
          <w:highlight w:val="none"/>
        </w:rPr>
        <w:t>投标人资格要求</w:t>
      </w:r>
    </w:p>
    <w:p>
      <w:pPr>
        <w:pStyle w:val="12"/>
        <w:kinsoku w:val="0"/>
        <w:overflowPunct w:val="0"/>
        <w:spacing w:line="288" w:lineRule="auto"/>
        <w:ind w:firstLine="420" w:firstLineChars="200"/>
        <w:rPr>
          <w:rFonts w:ascii="宋体" w:hAnsi="宋体"/>
          <w:color w:val="auto"/>
          <w:szCs w:val="21"/>
          <w:highlight w:val="none"/>
          <w:u w:val="single"/>
        </w:rPr>
      </w:pPr>
      <w:r>
        <w:rPr>
          <w:rFonts w:ascii="宋体" w:hAnsi="宋体"/>
          <w:color w:val="auto"/>
          <w:szCs w:val="21"/>
          <w:highlight w:val="none"/>
        </w:rPr>
        <w:t>1.4.1</w:t>
      </w:r>
      <w:r>
        <w:rPr>
          <w:rFonts w:hint="eastAsia" w:ascii="宋体" w:hAnsi="宋体"/>
          <w:color w:val="auto"/>
          <w:szCs w:val="21"/>
          <w:highlight w:val="none"/>
        </w:rPr>
        <w:t>投标人应具备承担本招标项目资质条件、能力和信誉：</w:t>
      </w:r>
      <w:r>
        <w:rPr>
          <w:rFonts w:hint="eastAsia" w:ascii="宋体" w:hAnsi="宋体"/>
          <w:color w:val="auto"/>
          <w:szCs w:val="21"/>
          <w:highlight w:val="none"/>
          <w:u w:val="single"/>
        </w:rPr>
        <w:t>详见招标公告。</w:t>
      </w:r>
    </w:p>
    <w:p>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1.4.2</w:t>
      </w:r>
      <w:r>
        <w:rPr>
          <w:rFonts w:hint="eastAsia" w:ascii="宋体" w:hAnsi="宋体"/>
          <w:color w:val="auto"/>
          <w:szCs w:val="21"/>
          <w:highlight w:val="none"/>
        </w:rPr>
        <w:t>投标人须知前附表规定接受联合体投标的，联合体除应符合本章第</w:t>
      </w:r>
      <w:r>
        <w:rPr>
          <w:rFonts w:ascii="宋体" w:hAnsi="宋体"/>
          <w:color w:val="auto"/>
          <w:szCs w:val="21"/>
          <w:highlight w:val="none"/>
        </w:rPr>
        <w:t>1.4.</w:t>
      </w:r>
      <w:r>
        <w:rPr>
          <w:rFonts w:hint="eastAsia" w:ascii="宋体" w:hAnsi="宋体"/>
          <w:color w:val="auto"/>
          <w:szCs w:val="21"/>
          <w:highlight w:val="none"/>
        </w:rPr>
        <w:t>2项和投标人须知前附表的要求外，还应遵守以下规定：</w:t>
      </w:r>
    </w:p>
    <w:p>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）联合体各方应按招标文件提供的格式签订联合体协议书，明确联合体牵头人和各方权利义务，并承诺就中标项目向招标人承担连带责任；</w:t>
      </w:r>
    </w:p>
    <w:p>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）联合体各方不得再以自己名义单独或参加其他联合体在本招标项目中投标，否则各相关投标均无效。</w:t>
      </w:r>
    </w:p>
    <w:p>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1.4.3</w:t>
      </w:r>
      <w:r>
        <w:rPr>
          <w:rFonts w:hint="eastAsia" w:ascii="宋体" w:hAnsi="宋体"/>
          <w:color w:val="auto"/>
          <w:szCs w:val="21"/>
          <w:highlight w:val="none"/>
        </w:rPr>
        <w:t>投标人不得存在下列情形之一：</w:t>
      </w:r>
    </w:p>
    <w:p>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（1）为招标人不具有独立法人资格的附属机构（单位）；</w:t>
      </w:r>
    </w:p>
    <w:p>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（2）与招标人存在利害关系且可能影响招标公正性；</w:t>
      </w:r>
    </w:p>
    <w:p>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（3）与本招标项目的其他投标人为同一个单位负责人；</w:t>
      </w:r>
    </w:p>
    <w:p>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（4）与本招标项目的其他投标人存在控股、管理关系；</w:t>
      </w:r>
    </w:p>
    <w:p>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（5）为本招标项目的代建人；</w:t>
      </w:r>
    </w:p>
    <w:p>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（6）为本招标项目的招标代理机构；</w:t>
      </w:r>
    </w:p>
    <w:p>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（7）与本招标项目的代建人或招标代理机构同为一个法定代表人；</w:t>
      </w:r>
    </w:p>
    <w:p>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（8）与本招标项目的代建人或招标代理机构存在控股或参股关系；</w:t>
      </w:r>
    </w:p>
    <w:p>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（9）与本招标项目的施工承包人以及建筑材料、建筑构配件和设备供应商有隶属关系或者其他利害关系；</w:t>
      </w:r>
    </w:p>
    <w:p>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（10）被依法暂停或者取消投标资格；</w:t>
      </w:r>
    </w:p>
    <w:p>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（11）被责令停产停业、暂扣或者吊销许可证、暂扣或者吊销执照；</w:t>
      </w:r>
    </w:p>
    <w:p>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（12）进入清算程序，或被宣告破产，或其他丧失履约能力的情形；</w:t>
      </w:r>
    </w:p>
    <w:p>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（13）在最近三年内发生重大检测质量问题（以相关行业主管部门的行政处罚决定或司法机关出具的有关法律文书为准）；</w:t>
      </w:r>
    </w:p>
    <w:p>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（14）被工商行政管理机关在全国企业信用信息公示系统中列入严重违法失信企业名单；</w:t>
      </w:r>
    </w:p>
    <w:p>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（15）被最高人民法院在“信用中国”网站（www.creditchina.gov.cn）或各级信用信息共享平台中列入失信被执行人名单；</w:t>
      </w:r>
    </w:p>
    <w:p>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（16）法律法规或投标人须知前附表规定的其他情形。</w:t>
      </w:r>
    </w:p>
    <w:p>
      <w:pPr>
        <w:pStyle w:val="7"/>
        <w:rPr>
          <w:color w:val="auto"/>
          <w:highlight w:val="none"/>
        </w:rPr>
      </w:pPr>
      <w:r>
        <w:rPr>
          <w:color w:val="auto"/>
          <w:highlight w:val="none"/>
        </w:rPr>
        <w:t xml:space="preserve">1.5 </w:t>
      </w:r>
      <w:r>
        <w:rPr>
          <w:rFonts w:hint="eastAsia"/>
          <w:color w:val="auto"/>
          <w:highlight w:val="none"/>
        </w:rPr>
        <w:t>费用承担</w:t>
      </w:r>
    </w:p>
    <w:p>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投标人准备和参加投标活动发生的费用自理。</w:t>
      </w:r>
    </w:p>
    <w:p>
      <w:pPr>
        <w:pStyle w:val="12"/>
        <w:kinsoku w:val="0"/>
        <w:overflowPunct w:val="0"/>
        <w:spacing w:line="288" w:lineRule="auto"/>
        <w:ind w:firstLine="420" w:firstLineChars="200"/>
        <w:rPr>
          <w:rFonts w:ascii="宋体" w:hAnsi="宋体"/>
          <w:color w:val="auto"/>
          <w:szCs w:val="21"/>
          <w:highlight w:val="none"/>
        </w:rPr>
      </w:pPr>
    </w:p>
    <w:p>
      <w:pPr>
        <w:pStyle w:val="7"/>
        <w:rPr>
          <w:color w:val="auto"/>
          <w:highlight w:val="none"/>
        </w:rPr>
      </w:pPr>
      <w:bookmarkStart w:id="41" w:name="bookmark26"/>
      <w:bookmarkEnd w:id="41"/>
      <w:r>
        <w:rPr>
          <w:color w:val="auto"/>
          <w:highlight w:val="none"/>
        </w:rPr>
        <w:t xml:space="preserve">1.6 </w:t>
      </w:r>
      <w:r>
        <w:rPr>
          <w:rFonts w:hint="eastAsia"/>
          <w:color w:val="auto"/>
          <w:highlight w:val="none"/>
        </w:rPr>
        <w:t>保密</w:t>
      </w:r>
    </w:p>
    <w:p>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参与招标投标活动的各方应对招标文件和投标文件中的商业和技术等秘密保密，否则应承担相应的法律责任。</w:t>
      </w:r>
    </w:p>
    <w:p>
      <w:pPr>
        <w:pStyle w:val="12"/>
        <w:kinsoku w:val="0"/>
        <w:overflowPunct w:val="0"/>
        <w:spacing w:line="288" w:lineRule="auto"/>
        <w:ind w:firstLine="420" w:firstLineChars="200"/>
        <w:rPr>
          <w:rFonts w:ascii="宋体" w:hAnsi="宋体"/>
          <w:color w:val="auto"/>
          <w:szCs w:val="21"/>
          <w:highlight w:val="none"/>
        </w:rPr>
      </w:pPr>
    </w:p>
    <w:p>
      <w:pPr>
        <w:pStyle w:val="7"/>
        <w:rPr>
          <w:color w:val="auto"/>
          <w:highlight w:val="none"/>
        </w:rPr>
      </w:pPr>
      <w:bookmarkStart w:id="42" w:name="bookmark27"/>
      <w:bookmarkEnd w:id="42"/>
      <w:r>
        <w:rPr>
          <w:color w:val="auto"/>
          <w:highlight w:val="none"/>
        </w:rPr>
        <w:t xml:space="preserve">1.7 </w:t>
      </w:r>
      <w:r>
        <w:rPr>
          <w:rFonts w:hint="eastAsia"/>
          <w:color w:val="auto"/>
          <w:highlight w:val="none"/>
        </w:rPr>
        <w:t>语言文字</w:t>
      </w:r>
    </w:p>
    <w:p>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招标投标文件使用的语言文字为中文。专用术语使用外文的，应附有中文注释。</w:t>
      </w:r>
    </w:p>
    <w:p>
      <w:pPr>
        <w:pStyle w:val="12"/>
        <w:kinsoku w:val="0"/>
        <w:overflowPunct w:val="0"/>
        <w:spacing w:line="288" w:lineRule="auto"/>
        <w:ind w:firstLine="420" w:firstLineChars="200"/>
        <w:rPr>
          <w:rFonts w:ascii="宋体" w:hAnsi="宋体"/>
          <w:color w:val="auto"/>
          <w:szCs w:val="21"/>
          <w:highlight w:val="none"/>
        </w:rPr>
      </w:pPr>
    </w:p>
    <w:p>
      <w:pPr>
        <w:pStyle w:val="7"/>
        <w:rPr>
          <w:color w:val="auto"/>
          <w:highlight w:val="none"/>
        </w:rPr>
      </w:pPr>
      <w:bookmarkStart w:id="43" w:name="bookmark28"/>
      <w:bookmarkEnd w:id="43"/>
      <w:r>
        <w:rPr>
          <w:color w:val="auto"/>
          <w:highlight w:val="none"/>
        </w:rPr>
        <w:t xml:space="preserve">1.8 </w:t>
      </w:r>
      <w:r>
        <w:rPr>
          <w:rFonts w:hint="eastAsia"/>
          <w:color w:val="auto"/>
          <w:highlight w:val="none"/>
        </w:rPr>
        <w:t>计量单位</w:t>
      </w:r>
    </w:p>
    <w:p>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所有计量均采用中华人民共和国法定计量单位。</w:t>
      </w:r>
    </w:p>
    <w:p>
      <w:pPr>
        <w:pStyle w:val="12"/>
        <w:kinsoku w:val="0"/>
        <w:overflowPunct w:val="0"/>
        <w:spacing w:line="288" w:lineRule="auto"/>
        <w:ind w:firstLine="420" w:firstLineChars="200"/>
        <w:rPr>
          <w:rFonts w:ascii="宋体" w:hAnsi="宋体"/>
          <w:color w:val="auto"/>
          <w:szCs w:val="21"/>
          <w:highlight w:val="none"/>
        </w:rPr>
      </w:pPr>
    </w:p>
    <w:p>
      <w:pPr>
        <w:pStyle w:val="7"/>
        <w:rPr>
          <w:color w:val="auto"/>
          <w:highlight w:val="none"/>
        </w:rPr>
      </w:pPr>
      <w:bookmarkStart w:id="44" w:name="bookmark29"/>
      <w:bookmarkEnd w:id="44"/>
      <w:r>
        <w:rPr>
          <w:color w:val="auto"/>
          <w:highlight w:val="none"/>
        </w:rPr>
        <w:t xml:space="preserve">1.9 </w:t>
      </w:r>
      <w:r>
        <w:rPr>
          <w:rFonts w:hint="eastAsia"/>
          <w:color w:val="auto"/>
          <w:highlight w:val="none"/>
        </w:rPr>
        <w:t>踏勘现场</w:t>
      </w:r>
    </w:p>
    <w:p>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1.9.1</w:t>
      </w:r>
      <w:r>
        <w:rPr>
          <w:rFonts w:hint="eastAsia" w:ascii="宋体" w:hAnsi="宋体"/>
          <w:color w:val="auto"/>
          <w:szCs w:val="21"/>
          <w:highlight w:val="none"/>
        </w:rPr>
        <w:t>投标人须知前附表规定组织踏勘现场的，招标人按投标人须知前附表规定的时间、地点组织投标人踏勘项目现场。部分投标人未按时参加踏勘现场的，不影响踏勘现场的正常进行。</w:t>
      </w:r>
    </w:p>
    <w:p>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1.9.2</w:t>
      </w:r>
      <w:r>
        <w:rPr>
          <w:rFonts w:hint="eastAsia" w:ascii="宋体" w:hAnsi="宋体"/>
          <w:color w:val="auto"/>
          <w:szCs w:val="21"/>
          <w:highlight w:val="none"/>
        </w:rPr>
        <w:t>投标人踏勘现场发生的费用自理。</w:t>
      </w:r>
    </w:p>
    <w:p>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1.9.3</w:t>
      </w:r>
      <w:r>
        <w:rPr>
          <w:rFonts w:hint="eastAsia" w:ascii="宋体" w:hAnsi="宋体"/>
          <w:color w:val="auto"/>
          <w:szCs w:val="21"/>
          <w:highlight w:val="none"/>
        </w:rPr>
        <w:t>除招标人的原因外，投标人自行负责在踏勘现场中所发生的人员伤亡和财产损失。</w:t>
      </w:r>
    </w:p>
    <w:p>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1.9.4</w:t>
      </w:r>
      <w:r>
        <w:rPr>
          <w:rFonts w:hint="eastAsia" w:ascii="宋体" w:hAnsi="宋体"/>
          <w:color w:val="auto"/>
          <w:szCs w:val="21"/>
          <w:highlight w:val="none"/>
        </w:rPr>
        <w:t>招标人在踏勘现场中介绍的工程场地和相关的周边环境情况，供投标人在编制投标文件时参考，招标人不对投标人据此作出的判断和决策负责。</w:t>
      </w:r>
    </w:p>
    <w:p>
      <w:pPr>
        <w:pStyle w:val="12"/>
        <w:kinsoku w:val="0"/>
        <w:overflowPunct w:val="0"/>
        <w:spacing w:line="288" w:lineRule="auto"/>
        <w:ind w:firstLine="420" w:firstLineChars="200"/>
        <w:rPr>
          <w:rFonts w:ascii="宋体" w:hAnsi="宋体"/>
          <w:color w:val="auto"/>
          <w:szCs w:val="21"/>
          <w:highlight w:val="none"/>
        </w:rPr>
      </w:pPr>
    </w:p>
    <w:p>
      <w:pPr>
        <w:pStyle w:val="7"/>
        <w:rPr>
          <w:color w:val="auto"/>
          <w:highlight w:val="none"/>
        </w:rPr>
      </w:pPr>
      <w:bookmarkStart w:id="45" w:name="bookmark30"/>
      <w:bookmarkEnd w:id="45"/>
      <w:r>
        <w:rPr>
          <w:color w:val="auto"/>
          <w:highlight w:val="none"/>
        </w:rPr>
        <w:t xml:space="preserve">1.10 </w:t>
      </w:r>
      <w:r>
        <w:rPr>
          <w:rFonts w:hint="eastAsia"/>
          <w:color w:val="auto"/>
          <w:highlight w:val="none"/>
        </w:rPr>
        <w:t>投标预备会</w:t>
      </w:r>
    </w:p>
    <w:p>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1.10.1</w:t>
      </w:r>
      <w:r>
        <w:rPr>
          <w:rFonts w:hint="eastAsia" w:ascii="宋体" w:hAnsi="宋体"/>
          <w:color w:val="auto"/>
          <w:szCs w:val="21"/>
          <w:highlight w:val="none"/>
        </w:rPr>
        <w:t>投标人须知前附表规定召开投标预备会的，招标人按投标人须知前附表规定的时间和地点召开投标预备会，澄清投标人提出的问题。</w:t>
      </w:r>
    </w:p>
    <w:p>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1.10.2</w:t>
      </w:r>
      <w:r>
        <w:rPr>
          <w:rFonts w:hint="eastAsia" w:ascii="宋体" w:hAnsi="宋体"/>
          <w:color w:val="auto"/>
          <w:szCs w:val="21"/>
          <w:highlight w:val="none"/>
        </w:rPr>
        <w:t>投标人应按投标人须知前附表规定的时间和形式将提出的问题送达招标人，以便招标人在会议期间澄清。</w:t>
      </w:r>
    </w:p>
    <w:p>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1.10.3</w:t>
      </w:r>
      <w:r>
        <w:rPr>
          <w:rFonts w:hint="eastAsia" w:ascii="宋体" w:hAnsi="宋体"/>
          <w:color w:val="auto"/>
          <w:szCs w:val="21"/>
          <w:highlight w:val="none"/>
        </w:rPr>
        <w:t>投标预备会后，招标人将对投标人所提问题的澄清，以投标人须知前附表规定的形式通知所有潜在投标人。该澄清内容为招标文件的组成部分。</w:t>
      </w:r>
      <w:bookmarkStart w:id="46" w:name="bookmark31"/>
      <w:bookmarkEnd w:id="46"/>
    </w:p>
    <w:p>
      <w:pPr>
        <w:pStyle w:val="12"/>
        <w:kinsoku w:val="0"/>
        <w:overflowPunct w:val="0"/>
        <w:spacing w:line="288" w:lineRule="auto"/>
        <w:ind w:firstLine="420" w:firstLineChars="200"/>
        <w:rPr>
          <w:rFonts w:ascii="宋体" w:hAnsi="宋体"/>
          <w:color w:val="auto"/>
          <w:szCs w:val="21"/>
          <w:highlight w:val="none"/>
        </w:rPr>
      </w:pPr>
    </w:p>
    <w:p>
      <w:pPr>
        <w:pStyle w:val="7"/>
        <w:rPr>
          <w:color w:val="auto"/>
          <w:highlight w:val="none"/>
        </w:rPr>
      </w:pPr>
      <w:r>
        <w:rPr>
          <w:color w:val="auto"/>
          <w:highlight w:val="none"/>
        </w:rPr>
        <w:t xml:space="preserve">1.11 </w:t>
      </w:r>
      <w:r>
        <w:rPr>
          <w:rFonts w:hint="eastAsia"/>
          <w:color w:val="auto"/>
          <w:highlight w:val="none"/>
        </w:rPr>
        <w:t>分包</w:t>
      </w:r>
    </w:p>
    <w:p>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u w:val="single"/>
        </w:rPr>
        <w:t>1.11.1</w:t>
      </w:r>
      <w:r>
        <w:rPr>
          <w:rFonts w:ascii="宋体" w:hAnsi="宋体"/>
          <w:color w:val="auto"/>
          <w:szCs w:val="21"/>
          <w:highlight w:val="none"/>
          <w:u w:val="single"/>
        </w:rPr>
        <w:t>对于非主要检测</w:t>
      </w:r>
      <w:r>
        <w:rPr>
          <w:rFonts w:hint="eastAsia" w:ascii="宋体" w:hAnsi="宋体"/>
          <w:color w:val="auto"/>
          <w:szCs w:val="21"/>
          <w:highlight w:val="none"/>
          <w:u w:val="single"/>
          <w:lang w:val="en-US" w:eastAsia="zh-CN"/>
        </w:rPr>
        <w:t>和监测</w:t>
      </w:r>
      <w:r>
        <w:rPr>
          <w:rFonts w:ascii="宋体" w:hAnsi="宋体"/>
          <w:color w:val="auto"/>
          <w:szCs w:val="21"/>
          <w:highlight w:val="none"/>
          <w:u w:val="single"/>
        </w:rPr>
        <w:t>工作，中标人不具备资质的，经招标人同意后可依法分包给具备相关资质的检测单位，分包的检测</w:t>
      </w:r>
      <w:r>
        <w:rPr>
          <w:rFonts w:hint="eastAsia" w:ascii="宋体" w:hAnsi="宋体"/>
          <w:color w:val="auto"/>
          <w:szCs w:val="21"/>
          <w:highlight w:val="none"/>
          <w:u w:val="single"/>
          <w:lang w:val="en-US" w:eastAsia="zh-CN"/>
        </w:rPr>
        <w:t>和监测</w:t>
      </w:r>
      <w:r>
        <w:rPr>
          <w:rFonts w:ascii="宋体" w:hAnsi="宋体"/>
          <w:color w:val="auto"/>
          <w:szCs w:val="21"/>
          <w:highlight w:val="none"/>
          <w:u w:val="single"/>
        </w:rPr>
        <w:t>工作不得再次分包。</w:t>
      </w:r>
      <w:r>
        <w:rPr>
          <w:rFonts w:hint="eastAsia" w:ascii="宋体" w:hAnsi="宋体"/>
          <w:color w:val="auto"/>
          <w:szCs w:val="21"/>
          <w:highlight w:val="none"/>
          <w:u w:val="single"/>
          <w:lang w:val="en-US" w:eastAsia="zh-CN"/>
        </w:rPr>
        <w:t>具体约定</w:t>
      </w:r>
      <w:r>
        <w:rPr>
          <w:rFonts w:hint="eastAsia" w:ascii="宋体" w:hAnsi="宋体"/>
          <w:color w:val="auto"/>
          <w:szCs w:val="21"/>
          <w:highlight w:val="none"/>
          <w:u w:val="single"/>
        </w:rPr>
        <w:t>按合同相应条款执行</w:t>
      </w:r>
      <w:r>
        <w:rPr>
          <w:rFonts w:hint="eastAsia" w:ascii="宋体" w:hAnsi="宋体"/>
          <w:color w:val="auto"/>
          <w:szCs w:val="21"/>
          <w:highlight w:val="none"/>
          <w:u w:val="single"/>
          <w:lang w:eastAsia="zh-CN"/>
        </w:rPr>
        <w:t>。</w:t>
      </w:r>
    </w:p>
    <w:p>
      <w:pPr>
        <w:pStyle w:val="7"/>
        <w:rPr>
          <w:color w:val="auto"/>
          <w:highlight w:val="none"/>
        </w:rPr>
      </w:pPr>
      <w:bookmarkStart w:id="47" w:name="bookmark32"/>
      <w:bookmarkEnd w:id="47"/>
      <w:r>
        <w:rPr>
          <w:color w:val="auto"/>
          <w:highlight w:val="none"/>
        </w:rPr>
        <w:t xml:space="preserve">1.12 </w:t>
      </w:r>
      <w:r>
        <w:rPr>
          <w:rFonts w:hint="eastAsia"/>
          <w:color w:val="auto"/>
          <w:highlight w:val="none"/>
        </w:rPr>
        <w:t>响应和偏差</w:t>
      </w:r>
    </w:p>
    <w:p>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1.12.1</w:t>
      </w:r>
      <w:r>
        <w:rPr>
          <w:rFonts w:hint="eastAsia" w:ascii="宋体" w:hAnsi="宋体"/>
          <w:color w:val="auto"/>
          <w:szCs w:val="21"/>
          <w:highlight w:val="none"/>
        </w:rPr>
        <w:t>投标文件应当对招标文件的实质性要求和条件作出满足性或更有利于招标人的响应，否则，投标人的投标将被否决。实质性要求和条件见投标人须知前附表。</w:t>
      </w:r>
    </w:p>
    <w:p>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1.12.2</w:t>
      </w:r>
      <w:r>
        <w:rPr>
          <w:rFonts w:hint="eastAsia" w:ascii="宋体" w:hAnsi="宋体"/>
          <w:color w:val="auto"/>
          <w:szCs w:val="21"/>
          <w:highlight w:val="none"/>
        </w:rPr>
        <w:t>投标人应根据招标文件的要求提供技术方案等内容以对招标文件作出响应。</w:t>
      </w:r>
    </w:p>
    <w:p>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1.12.3</w:t>
      </w:r>
      <w:r>
        <w:rPr>
          <w:rFonts w:hint="eastAsia" w:ascii="宋体" w:hAnsi="宋体"/>
          <w:color w:val="auto"/>
          <w:szCs w:val="21"/>
          <w:highlight w:val="none"/>
        </w:rPr>
        <w:t>投标人须知前附表允许投标文件偏离招标文件某些要求的，偏差应当符合招标文件规定的偏差范围和幅度。</w:t>
      </w:r>
    </w:p>
    <w:p>
      <w:pPr>
        <w:pStyle w:val="5"/>
        <w:rPr>
          <w:color w:val="auto"/>
          <w:highlight w:val="none"/>
        </w:rPr>
      </w:pPr>
      <w:bookmarkStart w:id="48" w:name="_Toc10251"/>
      <w:bookmarkStart w:id="49" w:name="_Toc533357309"/>
      <w:r>
        <w:rPr>
          <w:color w:val="auto"/>
          <w:highlight w:val="none"/>
        </w:rPr>
        <w:t xml:space="preserve">2. </w:t>
      </w:r>
      <w:r>
        <w:rPr>
          <w:rFonts w:hint="eastAsia"/>
          <w:color w:val="auto"/>
          <w:highlight w:val="none"/>
        </w:rPr>
        <w:t>招标文件</w:t>
      </w:r>
      <w:bookmarkEnd w:id="48"/>
      <w:bookmarkEnd w:id="49"/>
    </w:p>
    <w:p>
      <w:pPr>
        <w:pStyle w:val="7"/>
        <w:rPr>
          <w:color w:val="auto"/>
          <w:highlight w:val="none"/>
        </w:rPr>
      </w:pPr>
      <w:bookmarkStart w:id="50" w:name="bookmark34"/>
      <w:bookmarkEnd w:id="50"/>
      <w:r>
        <w:rPr>
          <w:color w:val="auto"/>
          <w:highlight w:val="none"/>
        </w:rPr>
        <w:t xml:space="preserve">2.1 </w:t>
      </w:r>
      <w:r>
        <w:rPr>
          <w:rFonts w:hint="eastAsia"/>
          <w:color w:val="auto"/>
          <w:highlight w:val="none"/>
        </w:rPr>
        <w:t>招标文件的组成</w:t>
      </w:r>
    </w:p>
    <w:p>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本招标文件包括：</w:t>
      </w:r>
    </w:p>
    <w:p>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）招标公告；</w:t>
      </w:r>
    </w:p>
    <w:p>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）投标人须知；</w:t>
      </w:r>
    </w:p>
    <w:p>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）评标办法；</w:t>
      </w:r>
    </w:p>
    <w:p>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）合同条款及格式；</w:t>
      </w:r>
    </w:p>
    <w:p>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5</w:t>
      </w:r>
      <w:r>
        <w:rPr>
          <w:rFonts w:hint="eastAsia" w:ascii="宋体" w:hAnsi="宋体"/>
          <w:color w:val="auto"/>
          <w:szCs w:val="21"/>
          <w:highlight w:val="none"/>
        </w:rPr>
        <w:t>）委托人要求；</w:t>
      </w:r>
    </w:p>
    <w:p>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6</w:t>
      </w:r>
      <w:r>
        <w:rPr>
          <w:rFonts w:hint="eastAsia" w:ascii="宋体" w:hAnsi="宋体"/>
          <w:color w:val="auto"/>
          <w:szCs w:val="21"/>
          <w:highlight w:val="none"/>
        </w:rPr>
        <w:t>）投标文件格式；</w:t>
      </w:r>
    </w:p>
    <w:p>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7</w:t>
      </w:r>
      <w:r>
        <w:rPr>
          <w:rFonts w:hint="eastAsia" w:ascii="宋体" w:hAnsi="宋体"/>
          <w:color w:val="auto"/>
          <w:szCs w:val="21"/>
          <w:highlight w:val="none"/>
        </w:rPr>
        <w:t>）投标人须知前附表规定的其他资料。</w:t>
      </w:r>
    </w:p>
    <w:p>
      <w:pPr>
        <w:pStyle w:val="12"/>
        <w:kinsoku w:val="0"/>
        <w:overflowPunct w:val="0"/>
        <w:spacing w:line="288" w:lineRule="auto"/>
        <w:rPr>
          <w:rFonts w:ascii="宋体" w:hAnsi="宋体"/>
          <w:color w:val="auto"/>
          <w:szCs w:val="21"/>
          <w:highlight w:val="none"/>
        </w:rPr>
      </w:pPr>
      <w:r>
        <w:rPr>
          <w:rFonts w:hint="eastAsia" w:ascii="宋体" w:hAnsi="宋体"/>
          <w:color w:val="auto"/>
          <w:szCs w:val="21"/>
          <w:highlight w:val="none"/>
        </w:rPr>
        <w:t>根据本章第</w:t>
      </w:r>
      <w:r>
        <w:rPr>
          <w:rFonts w:ascii="宋体" w:hAnsi="宋体"/>
          <w:color w:val="auto"/>
          <w:szCs w:val="21"/>
          <w:highlight w:val="none"/>
        </w:rPr>
        <w:t>1.10</w:t>
      </w:r>
      <w:r>
        <w:rPr>
          <w:rFonts w:hint="eastAsia" w:ascii="宋体" w:hAnsi="宋体"/>
          <w:color w:val="auto"/>
          <w:szCs w:val="21"/>
          <w:highlight w:val="none"/>
        </w:rPr>
        <w:t>款、第</w:t>
      </w:r>
      <w:r>
        <w:rPr>
          <w:rFonts w:ascii="宋体" w:hAnsi="宋体"/>
          <w:color w:val="auto"/>
          <w:szCs w:val="21"/>
          <w:highlight w:val="none"/>
        </w:rPr>
        <w:t>2.2</w:t>
      </w:r>
      <w:r>
        <w:rPr>
          <w:rFonts w:hint="eastAsia" w:ascii="宋体" w:hAnsi="宋体"/>
          <w:color w:val="auto"/>
          <w:szCs w:val="21"/>
          <w:highlight w:val="none"/>
        </w:rPr>
        <w:t>款和第</w:t>
      </w:r>
      <w:r>
        <w:rPr>
          <w:rFonts w:ascii="宋体" w:hAnsi="宋体"/>
          <w:color w:val="auto"/>
          <w:szCs w:val="21"/>
          <w:highlight w:val="none"/>
        </w:rPr>
        <w:t>2.3</w:t>
      </w:r>
      <w:r>
        <w:rPr>
          <w:rFonts w:hint="eastAsia" w:ascii="宋体" w:hAnsi="宋体"/>
          <w:color w:val="auto"/>
          <w:szCs w:val="21"/>
          <w:highlight w:val="none"/>
        </w:rPr>
        <w:t>款对招标文件所作的澄清、修改，构成招标文件的组成部分。</w:t>
      </w:r>
    </w:p>
    <w:p>
      <w:pPr>
        <w:pStyle w:val="7"/>
        <w:rPr>
          <w:color w:val="auto"/>
          <w:highlight w:val="none"/>
        </w:rPr>
      </w:pPr>
      <w:bookmarkStart w:id="51" w:name="bookmark35"/>
      <w:bookmarkEnd w:id="51"/>
      <w:r>
        <w:rPr>
          <w:color w:val="auto"/>
          <w:highlight w:val="none"/>
        </w:rPr>
        <w:t xml:space="preserve">2.2 </w:t>
      </w:r>
      <w:r>
        <w:rPr>
          <w:rFonts w:hint="eastAsia"/>
          <w:color w:val="auto"/>
          <w:highlight w:val="none"/>
        </w:rPr>
        <w:t>招标文件的澄清</w:t>
      </w:r>
    </w:p>
    <w:p>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2.2.1</w:t>
      </w:r>
      <w:r>
        <w:rPr>
          <w:rFonts w:hint="eastAsia" w:ascii="宋体" w:hAnsi="宋体"/>
          <w:color w:val="auto"/>
          <w:szCs w:val="21"/>
          <w:highlight w:val="none"/>
        </w:rPr>
        <w:t>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2.2.2</w:t>
      </w:r>
      <w:r>
        <w:rPr>
          <w:rFonts w:hint="eastAsia" w:ascii="宋体" w:hAnsi="宋体"/>
          <w:color w:val="auto"/>
          <w:szCs w:val="21"/>
          <w:highlight w:val="none"/>
        </w:rPr>
        <w:t>招标文件的澄清以投标人须知前附表规定的形式发给所有潜在投标人，但不指明澄清问题的来源。澄清发出的时间距本章第</w:t>
      </w:r>
      <w:r>
        <w:rPr>
          <w:rFonts w:ascii="宋体" w:hAnsi="宋体"/>
          <w:color w:val="auto"/>
          <w:szCs w:val="21"/>
          <w:highlight w:val="none"/>
        </w:rPr>
        <w:t>4.2.1</w:t>
      </w:r>
      <w:r>
        <w:rPr>
          <w:rFonts w:hint="eastAsia" w:ascii="宋体" w:hAnsi="宋体"/>
          <w:color w:val="auto"/>
          <w:szCs w:val="21"/>
          <w:highlight w:val="none"/>
        </w:rPr>
        <w:t>项规定的投标截止时间不足</w:t>
      </w:r>
      <w:r>
        <w:rPr>
          <w:rFonts w:ascii="宋体" w:hAnsi="宋体"/>
          <w:color w:val="auto"/>
          <w:szCs w:val="21"/>
          <w:highlight w:val="none"/>
        </w:rPr>
        <w:t>15</w:t>
      </w:r>
      <w:r>
        <w:rPr>
          <w:rFonts w:hint="eastAsia" w:ascii="宋体" w:hAnsi="宋体"/>
          <w:color w:val="auto"/>
          <w:szCs w:val="21"/>
          <w:highlight w:val="none"/>
        </w:rPr>
        <w:t>日的，并且澄清内容可能影响投标文件编制的，将相应延长投标截止时间。</w:t>
      </w:r>
    </w:p>
    <w:p>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 xml:space="preserve">2.2.3 </w:t>
      </w:r>
      <w:r>
        <w:rPr>
          <w:rFonts w:hint="eastAsia" w:ascii="宋体" w:hAnsi="宋体"/>
          <w:color w:val="auto"/>
          <w:szCs w:val="21"/>
          <w:highlight w:val="none"/>
        </w:rPr>
        <w:t>投标人在收到澄清后，应按投标人须知前附表规定的时间和形式通知</w:t>
      </w:r>
      <w:r>
        <w:rPr>
          <w:rFonts w:hint="eastAsia" w:ascii="宋体" w:hAnsi="宋体"/>
          <w:color w:val="auto"/>
          <w:sz w:val="21"/>
          <w:szCs w:val="21"/>
          <w:highlight w:val="none"/>
        </w:rPr>
        <w:t>招标人，</w:t>
      </w:r>
      <w:r>
        <w:rPr>
          <w:rFonts w:hint="eastAsia" w:ascii="宋体" w:hAnsi="宋体"/>
          <w:color w:val="auto"/>
          <w:szCs w:val="21"/>
          <w:highlight w:val="none"/>
        </w:rPr>
        <w:t>确认已收到该澄清。</w:t>
      </w:r>
    </w:p>
    <w:p>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2.2.4</w:t>
      </w:r>
      <w:r>
        <w:rPr>
          <w:rFonts w:hint="eastAsia" w:ascii="宋体" w:hAnsi="宋体"/>
          <w:color w:val="auto"/>
          <w:szCs w:val="21"/>
          <w:highlight w:val="none"/>
        </w:rPr>
        <w:t>除非招标人认为确有必要答复，否则，招标人有权拒绝回复投标人在本章第</w:t>
      </w:r>
      <w:r>
        <w:rPr>
          <w:rFonts w:ascii="宋体" w:hAnsi="宋体"/>
          <w:color w:val="auto"/>
          <w:szCs w:val="21"/>
          <w:highlight w:val="none"/>
        </w:rPr>
        <w:t>2.2.1</w:t>
      </w:r>
      <w:r>
        <w:rPr>
          <w:rFonts w:hint="eastAsia" w:ascii="宋体" w:hAnsi="宋体"/>
          <w:color w:val="auto"/>
          <w:szCs w:val="21"/>
          <w:highlight w:val="none"/>
        </w:rPr>
        <w:t>项规定的时间后的任何澄清要求。</w:t>
      </w:r>
    </w:p>
    <w:p>
      <w:pPr>
        <w:pStyle w:val="12"/>
        <w:kinsoku w:val="0"/>
        <w:overflowPunct w:val="0"/>
        <w:spacing w:line="288" w:lineRule="auto"/>
        <w:ind w:firstLine="420" w:firstLineChars="200"/>
        <w:rPr>
          <w:rFonts w:ascii="宋体" w:hAnsi="宋体"/>
          <w:color w:val="auto"/>
          <w:szCs w:val="21"/>
          <w:highlight w:val="none"/>
        </w:rPr>
      </w:pPr>
    </w:p>
    <w:p>
      <w:pPr>
        <w:pStyle w:val="7"/>
        <w:rPr>
          <w:color w:val="auto"/>
          <w:highlight w:val="none"/>
        </w:rPr>
      </w:pPr>
      <w:bookmarkStart w:id="52" w:name="bookmark36"/>
      <w:bookmarkEnd w:id="52"/>
      <w:r>
        <w:rPr>
          <w:color w:val="auto"/>
          <w:highlight w:val="none"/>
        </w:rPr>
        <w:t xml:space="preserve">2.3 </w:t>
      </w:r>
      <w:r>
        <w:rPr>
          <w:rFonts w:hint="eastAsia"/>
          <w:color w:val="auto"/>
          <w:highlight w:val="none"/>
        </w:rPr>
        <w:t>招标文件的修改</w:t>
      </w:r>
    </w:p>
    <w:p>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2.3.1</w:t>
      </w:r>
      <w:r>
        <w:rPr>
          <w:rFonts w:hint="eastAsia" w:ascii="宋体" w:hAnsi="宋体"/>
          <w:color w:val="auto"/>
          <w:szCs w:val="21"/>
          <w:highlight w:val="none"/>
        </w:rPr>
        <w:t>招标人以投标人须知前附表规定的形式修改招标文件，并通知所有潜在投标人。修改招标文件的时间距本章第</w:t>
      </w:r>
      <w:r>
        <w:rPr>
          <w:rFonts w:ascii="宋体" w:hAnsi="宋体"/>
          <w:color w:val="auto"/>
          <w:szCs w:val="21"/>
          <w:highlight w:val="none"/>
        </w:rPr>
        <w:t>4.2.1</w:t>
      </w:r>
      <w:r>
        <w:rPr>
          <w:rFonts w:hint="eastAsia" w:ascii="宋体" w:hAnsi="宋体"/>
          <w:color w:val="auto"/>
          <w:szCs w:val="21"/>
          <w:highlight w:val="none"/>
        </w:rPr>
        <w:t>项规定的投标截止时间不足</w:t>
      </w:r>
      <w:r>
        <w:rPr>
          <w:rFonts w:ascii="宋体" w:hAnsi="宋体"/>
          <w:color w:val="auto"/>
          <w:szCs w:val="21"/>
          <w:highlight w:val="none"/>
        </w:rPr>
        <w:t>15</w:t>
      </w:r>
      <w:r>
        <w:rPr>
          <w:rFonts w:hint="eastAsia" w:ascii="宋体" w:hAnsi="宋体"/>
          <w:color w:val="auto"/>
          <w:szCs w:val="21"/>
          <w:highlight w:val="none"/>
        </w:rPr>
        <w:t>日的，并且修改内容可能影响投标文件编制的，将相应延长投标截止时间。</w:t>
      </w:r>
    </w:p>
    <w:p>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2.3.2</w:t>
      </w:r>
      <w:r>
        <w:rPr>
          <w:rFonts w:hint="eastAsia" w:ascii="宋体" w:hAnsi="宋体"/>
          <w:color w:val="auto"/>
          <w:szCs w:val="21"/>
          <w:highlight w:val="none"/>
        </w:rPr>
        <w:t>投标人收到修改内容后，应按投标人须知前附表规定的时间和形式通知招标人，确认已收到该修改。</w:t>
      </w:r>
    </w:p>
    <w:p>
      <w:pPr>
        <w:pStyle w:val="12"/>
        <w:kinsoku w:val="0"/>
        <w:overflowPunct w:val="0"/>
        <w:spacing w:line="288" w:lineRule="auto"/>
        <w:ind w:firstLine="420" w:firstLineChars="200"/>
        <w:rPr>
          <w:rFonts w:ascii="宋体" w:hAnsi="宋体"/>
          <w:color w:val="auto"/>
          <w:szCs w:val="21"/>
          <w:highlight w:val="none"/>
        </w:rPr>
      </w:pPr>
    </w:p>
    <w:p>
      <w:pPr>
        <w:pStyle w:val="7"/>
        <w:rPr>
          <w:color w:val="auto"/>
          <w:highlight w:val="none"/>
        </w:rPr>
      </w:pPr>
      <w:bookmarkStart w:id="53" w:name="bookmark37"/>
      <w:bookmarkEnd w:id="53"/>
      <w:r>
        <w:rPr>
          <w:color w:val="auto"/>
          <w:highlight w:val="none"/>
        </w:rPr>
        <w:t xml:space="preserve">2.4 </w:t>
      </w:r>
      <w:r>
        <w:rPr>
          <w:rFonts w:hint="eastAsia"/>
          <w:color w:val="auto"/>
          <w:highlight w:val="none"/>
        </w:rPr>
        <w:t>招标文件的异议</w:t>
      </w:r>
    </w:p>
    <w:p>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投标人或者其他利害关系人对招标文件有异议的，应当在投标截止时间</w:t>
      </w:r>
      <w:r>
        <w:rPr>
          <w:rFonts w:ascii="宋体" w:hAnsi="宋体"/>
          <w:color w:val="auto"/>
          <w:szCs w:val="21"/>
          <w:highlight w:val="none"/>
        </w:rPr>
        <w:t>10</w:t>
      </w:r>
      <w:r>
        <w:rPr>
          <w:rFonts w:hint="eastAsia" w:ascii="宋体" w:hAnsi="宋体"/>
          <w:color w:val="auto"/>
          <w:szCs w:val="21"/>
          <w:highlight w:val="none"/>
        </w:rPr>
        <w:t>日前以书面形式提出。招标人将在收到异议之日起</w:t>
      </w:r>
      <w:r>
        <w:rPr>
          <w:rFonts w:ascii="宋体" w:hAnsi="宋体"/>
          <w:color w:val="auto"/>
          <w:szCs w:val="21"/>
          <w:highlight w:val="none"/>
        </w:rPr>
        <w:t>3</w:t>
      </w:r>
      <w:r>
        <w:rPr>
          <w:rFonts w:hint="eastAsia" w:ascii="宋体" w:hAnsi="宋体"/>
          <w:color w:val="auto"/>
          <w:szCs w:val="21"/>
          <w:highlight w:val="none"/>
        </w:rPr>
        <w:t>日内作出答复;作出答复前,将暂停招标投标活动。</w:t>
      </w:r>
    </w:p>
    <w:p>
      <w:pPr>
        <w:pStyle w:val="5"/>
        <w:rPr>
          <w:color w:val="auto"/>
          <w:highlight w:val="none"/>
        </w:rPr>
      </w:pPr>
      <w:bookmarkStart w:id="54" w:name="_Toc533357310"/>
      <w:bookmarkStart w:id="55" w:name="_Toc7990"/>
      <w:r>
        <w:rPr>
          <w:color w:val="auto"/>
          <w:highlight w:val="none"/>
        </w:rPr>
        <w:t xml:space="preserve">3. </w:t>
      </w:r>
      <w:r>
        <w:rPr>
          <w:rFonts w:hint="eastAsia"/>
          <w:color w:val="auto"/>
          <w:highlight w:val="none"/>
        </w:rPr>
        <w:t>投标文件</w:t>
      </w:r>
      <w:bookmarkEnd w:id="54"/>
      <w:bookmarkEnd w:id="55"/>
    </w:p>
    <w:p>
      <w:pPr>
        <w:pStyle w:val="7"/>
        <w:ind w:firstLine="420"/>
        <w:rPr>
          <w:color w:val="auto"/>
          <w:highlight w:val="none"/>
        </w:rPr>
      </w:pPr>
      <w:bookmarkStart w:id="56" w:name="bookmark39"/>
      <w:bookmarkEnd w:id="56"/>
      <w:r>
        <w:rPr>
          <w:color w:val="auto"/>
          <w:highlight w:val="none"/>
        </w:rPr>
        <w:t xml:space="preserve">3.1 </w:t>
      </w:r>
      <w:r>
        <w:rPr>
          <w:rFonts w:hint="eastAsia"/>
          <w:color w:val="auto"/>
          <w:highlight w:val="none"/>
        </w:rPr>
        <w:t>投标文件的组成</w:t>
      </w:r>
    </w:p>
    <w:p>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3.1.1</w:t>
      </w:r>
      <w:r>
        <w:rPr>
          <w:rFonts w:hint="eastAsia" w:ascii="宋体" w:hAnsi="宋体"/>
          <w:color w:val="auto"/>
          <w:szCs w:val="21"/>
          <w:highlight w:val="none"/>
        </w:rPr>
        <w:t>投标文件应包括下列内容：</w:t>
      </w:r>
    </w:p>
    <w:p>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（1）投标函及其附表；</w:t>
      </w:r>
    </w:p>
    <w:p>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（2）法定代表人证明书及授权委托书；</w:t>
      </w:r>
    </w:p>
    <w:p>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（3）投标保证金；</w:t>
      </w:r>
    </w:p>
    <w:p>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（4）投标报价书；</w:t>
      </w:r>
    </w:p>
    <w:p>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（5）资格审查资料；</w:t>
      </w:r>
    </w:p>
    <w:p>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（6）类似项目情况表；</w:t>
      </w:r>
    </w:p>
    <w:p>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（7）拟投入本项目的检测人员一览表；</w:t>
      </w:r>
    </w:p>
    <w:p>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（8）拟投入本项目的检测人员简历表；</w:t>
      </w:r>
    </w:p>
    <w:p>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（9）拟投入本项目的主要仪器设备一览表；</w:t>
      </w:r>
    </w:p>
    <w:p>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（10）检测方案；</w:t>
      </w:r>
    </w:p>
    <w:p>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（11）其他资料。投标人须知前附表规定的其他资料，投标人认为有必要提交的其他资料。投标人在评标过程中作出的符合法律法规和招标文件规定的澄清确认，构成投标文件的组成部分。</w:t>
      </w:r>
    </w:p>
    <w:p>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3.1.2</w:t>
      </w:r>
      <w:r>
        <w:rPr>
          <w:rFonts w:hint="eastAsia" w:ascii="宋体" w:hAnsi="宋体"/>
          <w:color w:val="auto"/>
          <w:szCs w:val="21"/>
          <w:highlight w:val="none"/>
        </w:rPr>
        <w:t>投标人须知前附表规定不接受联合体投标的，或投标人没有组成联合体的，投标文件不包括本章第</w:t>
      </w:r>
      <w:r>
        <w:rPr>
          <w:rFonts w:ascii="宋体" w:hAnsi="宋体"/>
          <w:color w:val="auto"/>
          <w:szCs w:val="21"/>
          <w:highlight w:val="none"/>
        </w:rPr>
        <w:t>3.1.1</w:t>
      </w:r>
      <w:r>
        <w:rPr>
          <w:rFonts w:hint="eastAsia" w:ascii="宋体" w:hAnsi="宋体"/>
          <w:color w:val="auto"/>
          <w:szCs w:val="21"/>
          <w:highlight w:val="none"/>
        </w:rPr>
        <w:t>所指的联合体协议书。</w:t>
      </w:r>
    </w:p>
    <w:p>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3.1.3</w:t>
      </w:r>
      <w:r>
        <w:rPr>
          <w:rFonts w:hint="eastAsia" w:ascii="宋体" w:hAnsi="宋体"/>
          <w:color w:val="auto"/>
          <w:szCs w:val="21"/>
          <w:highlight w:val="none"/>
        </w:rPr>
        <w:t>投标人须知前附表未要求提交投标保证金的，投标文件不包括本章第</w:t>
      </w:r>
      <w:r>
        <w:rPr>
          <w:rFonts w:ascii="宋体" w:hAnsi="宋体"/>
          <w:color w:val="auto"/>
          <w:szCs w:val="21"/>
          <w:highlight w:val="none"/>
        </w:rPr>
        <w:t>3.1.1</w:t>
      </w: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）所指的投标保证金。</w:t>
      </w:r>
    </w:p>
    <w:p>
      <w:pPr>
        <w:pStyle w:val="12"/>
        <w:kinsoku w:val="0"/>
        <w:overflowPunct w:val="0"/>
        <w:spacing w:line="288" w:lineRule="auto"/>
        <w:ind w:firstLine="420" w:firstLineChars="200"/>
        <w:rPr>
          <w:rFonts w:ascii="宋体" w:hAnsi="宋体"/>
          <w:color w:val="auto"/>
          <w:szCs w:val="21"/>
          <w:highlight w:val="none"/>
        </w:rPr>
      </w:pPr>
    </w:p>
    <w:p>
      <w:pPr>
        <w:pStyle w:val="7"/>
        <w:rPr>
          <w:color w:val="auto"/>
          <w:highlight w:val="none"/>
        </w:rPr>
      </w:pPr>
      <w:bookmarkStart w:id="57" w:name="bookmark40"/>
      <w:bookmarkEnd w:id="57"/>
      <w:r>
        <w:rPr>
          <w:color w:val="auto"/>
          <w:highlight w:val="none"/>
        </w:rPr>
        <w:t xml:space="preserve">3.2 </w:t>
      </w:r>
      <w:r>
        <w:rPr>
          <w:rFonts w:hint="eastAsia"/>
          <w:color w:val="auto"/>
          <w:highlight w:val="none"/>
        </w:rPr>
        <w:t>投标报价</w:t>
      </w:r>
    </w:p>
    <w:p>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3.2.1</w:t>
      </w:r>
      <w:r>
        <w:rPr>
          <w:rFonts w:hint="eastAsia" w:ascii="宋体" w:hAnsi="宋体"/>
          <w:color w:val="auto"/>
          <w:szCs w:val="21"/>
          <w:highlight w:val="none"/>
        </w:rPr>
        <w:t>投标报价应包括国家规定的增值税税金，除投标人须知前附表另有规定外，增值税税金按一般计税方法计算。投标人应按第六章“投标文件格式”的要求在投标函中进行报价并填写报价书。</w:t>
      </w:r>
    </w:p>
    <w:p>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3.2.2</w:t>
      </w:r>
      <w:r>
        <w:rPr>
          <w:rFonts w:hint="eastAsia" w:ascii="宋体" w:hAnsi="宋体"/>
          <w:color w:val="auto"/>
          <w:szCs w:val="21"/>
          <w:highlight w:val="none"/>
        </w:rPr>
        <w:t>投标人应充分了解该项目的总体情况以及影响投标报价的其他要素。</w:t>
      </w:r>
    </w:p>
    <w:p>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3.2.3</w:t>
      </w:r>
      <w:r>
        <w:rPr>
          <w:rFonts w:hint="eastAsia" w:ascii="宋体" w:hAnsi="宋体"/>
          <w:color w:val="auto"/>
          <w:szCs w:val="21"/>
          <w:highlight w:val="none"/>
        </w:rPr>
        <w:t>本项目的报价方式见投标人须知前附表。投标人在投标截止时间前修改投标函中的投标报价总额，应同时修改投标文件“报价书”中的相应报价。此修改须符合本章第</w:t>
      </w:r>
      <w:r>
        <w:rPr>
          <w:rFonts w:ascii="宋体" w:hAnsi="宋体"/>
          <w:color w:val="auto"/>
          <w:szCs w:val="21"/>
          <w:highlight w:val="none"/>
        </w:rPr>
        <w:t>4.3</w:t>
      </w:r>
      <w:r>
        <w:rPr>
          <w:rFonts w:hint="eastAsia" w:ascii="宋体" w:hAnsi="宋体"/>
          <w:color w:val="auto"/>
          <w:szCs w:val="21"/>
          <w:highlight w:val="none"/>
        </w:rPr>
        <w:t>款的有关要求。</w:t>
      </w:r>
    </w:p>
    <w:p>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3.2.4</w:t>
      </w:r>
      <w:r>
        <w:rPr>
          <w:rFonts w:hint="eastAsia" w:ascii="宋体" w:hAnsi="宋体"/>
          <w:color w:val="auto"/>
          <w:szCs w:val="21"/>
          <w:highlight w:val="none"/>
        </w:rPr>
        <w:t>招标人设有最高投标限价的，投标人的投标报价不得超过最高投标限价，最高投标限价在投标人须知前附表中载明。</w:t>
      </w:r>
    </w:p>
    <w:p>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3.2.5</w:t>
      </w:r>
      <w:r>
        <w:rPr>
          <w:rFonts w:hint="eastAsia" w:ascii="宋体" w:hAnsi="宋体"/>
          <w:color w:val="auto"/>
          <w:szCs w:val="21"/>
          <w:highlight w:val="none"/>
        </w:rPr>
        <w:t>投标报价的其他要求见投标人须知前附表。</w:t>
      </w:r>
    </w:p>
    <w:p>
      <w:pPr>
        <w:pStyle w:val="12"/>
        <w:kinsoku w:val="0"/>
        <w:overflowPunct w:val="0"/>
        <w:spacing w:line="288" w:lineRule="auto"/>
        <w:ind w:firstLine="420" w:firstLineChars="200"/>
        <w:rPr>
          <w:rFonts w:ascii="宋体" w:hAnsi="宋体"/>
          <w:color w:val="auto"/>
          <w:szCs w:val="21"/>
          <w:highlight w:val="none"/>
        </w:rPr>
      </w:pPr>
    </w:p>
    <w:p>
      <w:pPr>
        <w:pStyle w:val="7"/>
        <w:rPr>
          <w:color w:val="auto"/>
          <w:highlight w:val="none"/>
        </w:rPr>
      </w:pPr>
      <w:bookmarkStart w:id="58" w:name="bookmark41"/>
      <w:bookmarkEnd w:id="58"/>
      <w:r>
        <w:rPr>
          <w:color w:val="auto"/>
          <w:highlight w:val="none"/>
        </w:rPr>
        <w:t xml:space="preserve">3.3 </w:t>
      </w:r>
      <w:r>
        <w:rPr>
          <w:rFonts w:hint="eastAsia"/>
          <w:color w:val="auto"/>
          <w:highlight w:val="none"/>
        </w:rPr>
        <w:t>投标有效期</w:t>
      </w:r>
    </w:p>
    <w:p>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3.3.1</w:t>
      </w:r>
      <w:r>
        <w:rPr>
          <w:rFonts w:hint="eastAsia" w:ascii="宋体" w:hAnsi="宋体"/>
          <w:color w:val="auto"/>
          <w:szCs w:val="21"/>
          <w:highlight w:val="none"/>
        </w:rPr>
        <w:t>除投标人须知前附表另有规定外，投标有效期为</w:t>
      </w:r>
      <w:r>
        <w:rPr>
          <w:rFonts w:ascii="宋体" w:hAnsi="宋体"/>
          <w:color w:val="auto"/>
          <w:szCs w:val="21"/>
          <w:highlight w:val="none"/>
        </w:rPr>
        <w:t>90</w:t>
      </w:r>
      <w:r>
        <w:rPr>
          <w:rFonts w:hint="eastAsia" w:ascii="宋体" w:hAnsi="宋体"/>
          <w:color w:val="auto"/>
          <w:szCs w:val="21"/>
          <w:highlight w:val="none"/>
        </w:rPr>
        <w:t>天。</w:t>
      </w:r>
    </w:p>
    <w:p>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3.3.2</w:t>
      </w:r>
      <w:r>
        <w:rPr>
          <w:rFonts w:hint="eastAsia" w:ascii="宋体" w:hAnsi="宋体"/>
          <w:color w:val="auto"/>
          <w:szCs w:val="21"/>
          <w:highlight w:val="none"/>
        </w:rPr>
        <w:t>在投标有效期内，投标人撤销投标文件的，应承担招标文件和法律规定的责任。</w:t>
      </w:r>
    </w:p>
    <w:p>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3.3.3</w:t>
      </w:r>
      <w:r>
        <w:rPr>
          <w:rFonts w:hint="eastAsia" w:ascii="宋体" w:hAnsi="宋体"/>
          <w:color w:val="auto"/>
          <w:szCs w:val="21"/>
          <w:highlight w:val="none"/>
        </w:rPr>
        <w:t>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pPr>
        <w:pStyle w:val="12"/>
        <w:kinsoku w:val="0"/>
        <w:overflowPunct w:val="0"/>
        <w:spacing w:line="288" w:lineRule="auto"/>
        <w:ind w:firstLine="420" w:firstLineChars="200"/>
        <w:rPr>
          <w:rFonts w:ascii="宋体" w:hAnsi="宋体"/>
          <w:color w:val="auto"/>
          <w:szCs w:val="21"/>
          <w:highlight w:val="none"/>
        </w:rPr>
      </w:pPr>
    </w:p>
    <w:p>
      <w:pPr>
        <w:pStyle w:val="7"/>
        <w:rPr>
          <w:color w:val="auto"/>
          <w:highlight w:val="none"/>
        </w:rPr>
      </w:pPr>
      <w:bookmarkStart w:id="59" w:name="bookmark42"/>
      <w:bookmarkEnd w:id="59"/>
      <w:r>
        <w:rPr>
          <w:color w:val="auto"/>
          <w:highlight w:val="none"/>
        </w:rPr>
        <w:t xml:space="preserve">3.4 </w:t>
      </w:r>
      <w:r>
        <w:rPr>
          <w:rFonts w:hint="eastAsia"/>
          <w:color w:val="auto"/>
          <w:highlight w:val="none"/>
        </w:rPr>
        <w:t>投标保证金</w:t>
      </w:r>
    </w:p>
    <w:p>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3.4.1</w:t>
      </w:r>
      <w:r>
        <w:rPr>
          <w:rFonts w:hint="eastAsia" w:ascii="宋体" w:hAnsi="宋体"/>
          <w:color w:val="auto"/>
          <w:szCs w:val="21"/>
          <w:highlight w:val="none"/>
        </w:rPr>
        <w:t>投标人在递交投标文件的同时，应按投标人须知前附表规定的金额、形式和第六章“投标文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牵头人递交，并应符合投标人须知前附表的规定。</w:t>
      </w:r>
    </w:p>
    <w:p>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3.4.2</w:t>
      </w:r>
      <w:r>
        <w:rPr>
          <w:rFonts w:hint="eastAsia" w:ascii="宋体" w:hAnsi="宋体"/>
          <w:color w:val="auto"/>
          <w:szCs w:val="21"/>
          <w:highlight w:val="none"/>
        </w:rPr>
        <w:t>投标人不按本章第</w:t>
      </w:r>
      <w:r>
        <w:rPr>
          <w:rFonts w:ascii="宋体" w:hAnsi="宋体"/>
          <w:color w:val="auto"/>
          <w:szCs w:val="21"/>
          <w:highlight w:val="none"/>
        </w:rPr>
        <w:t>3.4.1</w:t>
      </w:r>
      <w:r>
        <w:rPr>
          <w:rFonts w:hint="eastAsia" w:ascii="宋体" w:hAnsi="宋体"/>
          <w:color w:val="auto"/>
          <w:szCs w:val="21"/>
          <w:highlight w:val="none"/>
        </w:rPr>
        <w:t>项要求提交投标保证金的，评标委员会将否决其投标。</w:t>
      </w:r>
    </w:p>
    <w:p>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3.4.3</w:t>
      </w:r>
      <w:r>
        <w:rPr>
          <w:rFonts w:hint="eastAsia" w:ascii="宋体" w:hAnsi="宋体"/>
          <w:color w:val="auto"/>
          <w:szCs w:val="21"/>
          <w:highlight w:val="none"/>
        </w:rPr>
        <w:t>招标人最迟将在与中标人签订合同后</w:t>
      </w:r>
      <w:r>
        <w:rPr>
          <w:rFonts w:ascii="宋体" w:hAnsi="宋体"/>
          <w:color w:val="auto"/>
          <w:szCs w:val="21"/>
          <w:highlight w:val="none"/>
        </w:rPr>
        <w:t>5</w:t>
      </w:r>
      <w:r>
        <w:rPr>
          <w:rFonts w:hint="eastAsia" w:ascii="宋体" w:hAnsi="宋体"/>
          <w:color w:val="auto"/>
          <w:szCs w:val="21"/>
          <w:highlight w:val="none"/>
        </w:rPr>
        <w:t>日内，向未中标的投标人和中标人退还投标保证金。投标保证金以现金或者支票形式递交的，还应退还银行同期存款利息。</w:t>
      </w:r>
    </w:p>
    <w:p>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3.4.4</w:t>
      </w:r>
      <w:r>
        <w:rPr>
          <w:rFonts w:hint="eastAsia" w:ascii="宋体" w:hAnsi="宋体"/>
          <w:color w:val="auto"/>
          <w:szCs w:val="21"/>
          <w:highlight w:val="none"/>
        </w:rPr>
        <w:t>有下列情形之一的，投标保证金将不予退还：</w:t>
      </w:r>
    </w:p>
    <w:p>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）投标人在投标有效期内撤销投标文件；</w:t>
      </w:r>
    </w:p>
    <w:p>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）中标人在收到中标通知书后，无正当理由不与招标人订立合同，在签订合同时向招标人提出附加条件，或者不按照招标文件要求提交履约保证金；</w:t>
      </w:r>
    </w:p>
    <w:p>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）发生投标人须知前附表规定的其他可以不予退还投标保证金的情形。</w:t>
      </w:r>
    </w:p>
    <w:p>
      <w:pPr>
        <w:pStyle w:val="12"/>
        <w:kinsoku w:val="0"/>
        <w:overflowPunct w:val="0"/>
        <w:spacing w:line="288" w:lineRule="auto"/>
        <w:ind w:firstLine="420" w:firstLineChars="200"/>
        <w:rPr>
          <w:rFonts w:ascii="宋体" w:hAnsi="宋体"/>
          <w:color w:val="auto"/>
          <w:szCs w:val="21"/>
          <w:highlight w:val="none"/>
        </w:rPr>
      </w:pPr>
      <w:bookmarkStart w:id="60" w:name="bookmark43"/>
      <w:bookmarkEnd w:id="60"/>
    </w:p>
    <w:p>
      <w:pPr>
        <w:pStyle w:val="7"/>
        <w:rPr>
          <w:color w:val="auto"/>
          <w:highlight w:val="none"/>
        </w:rPr>
      </w:pPr>
      <w:bookmarkStart w:id="61" w:name="bookmark44"/>
      <w:bookmarkEnd w:id="61"/>
      <w:r>
        <w:rPr>
          <w:color w:val="auto"/>
          <w:highlight w:val="none"/>
        </w:rPr>
        <w:t xml:space="preserve">3.5 </w:t>
      </w:r>
      <w:r>
        <w:rPr>
          <w:rFonts w:hint="eastAsia"/>
          <w:color w:val="auto"/>
          <w:highlight w:val="none"/>
        </w:rPr>
        <w:t>资格审查资料</w:t>
      </w:r>
    </w:p>
    <w:p>
      <w:pPr>
        <w:pStyle w:val="12"/>
        <w:kinsoku w:val="0"/>
        <w:overflowPunct w:val="0"/>
        <w:spacing w:line="288" w:lineRule="auto"/>
        <w:ind w:firstLine="420" w:firstLineChars="200"/>
        <w:rPr>
          <w:rFonts w:ascii="宋体" w:hAnsi="宋体"/>
          <w:color w:val="auto"/>
          <w:szCs w:val="21"/>
          <w:highlight w:val="none"/>
        </w:rPr>
      </w:pPr>
      <w:bookmarkStart w:id="62" w:name="bookmark45"/>
      <w:bookmarkEnd w:id="62"/>
      <w:r>
        <w:rPr>
          <w:rFonts w:hint="eastAsia" w:ascii="宋体" w:hAnsi="宋体"/>
          <w:color w:val="auto"/>
          <w:szCs w:val="21"/>
          <w:highlight w:val="none"/>
        </w:rPr>
        <w:t>除投标人须知前附表另有规定外，投标人应按下列规定提供资格审查资料，以证明其满足本章第</w:t>
      </w:r>
      <w:r>
        <w:rPr>
          <w:rFonts w:ascii="宋体" w:hAnsi="宋体"/>
          <w:color w:val="auto"/>
          <w:szCs w:val="21"/>
          <w:highlight w:val="none"/>
        </w:rPr>
        <w:t>1.4</w:t>
      </w:r>
      <w:r>
        <w:rPr>
          <w:rFonts w:hint="eastAsia" w:ascii="宋体" w:hAnsi="宋体"/>
          <w:color w:val="auto"/>
          <w:szCs w:val="21"/>
          <w:highlight w:val="none"/>
        </w:rPr>
        <w:t>款规定的资质、财务、业绩、信誉等要求。</w:t>
      </w:r>
    </w:p>
    <w:p>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3.5.1</w:t>
      </w:r>
      <w:r>
        <w:rPr>
          <w:rFonts w:hint="eastAsia" w:ascii="宋体" w:hAnsi="宋体"/>
          <w:color w:val="auto"/>
          <w:szCs w:val="21"/>
          <w:highlight w:val="none"/>
        </w:rPr>
        <w:t>“投标人基本情况表”应附检测投标单位的营业执照副本或事业单位法人证书副本、建设行政主管部门颁发的建设工程质量检测机构资质证书、</w:t>
      </w:r>
      <w:r>
        <w:rPr>
          <w:rFonts w:ascii="宋体" w:hAnsi="宋体"/>
          <w:color w:val="auto"/>
          <w:szCs w:val="21"/>
          <w:highlight w:val="none"/>
        </w:rPr>
        <w:t>CMA</w:t>
      </w:r>
      <w:r>
        <w:rPr>
          <w:rFonts w:hint="eastAsia" w:ascii="宋体" w:hAnsi="宋体"/>
          <w:color w:val="auto"/>
          <w:szCs w:val="21"/>
          <w:highlight w:val="none"/>
        </w:rPr>
        <w:t>计量认证合格证书以及其他相关资料。</w:t>
      </w:r>
    </w:p>
    <w:p>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3.5.2其他满足本章第</w:t>
      </w:r>
      <w:r>
        <w:rPr>
          <w:rFonts w:ascii="宋体" w:hAnsi="宋体"/>
          <w:color w:val="auto"/>
          <w:szCs w:val="21"/>
          <w:highlight w:val="none"/>
        </w:rPr>
        <w:t>1.4.1</w:t>
      </w:r>
      <w:r>
        <w:rPr>
          <w:rFonts w:hint="eastAsia" w:ascii="宋体" w:hAnsi="宋体"/>
          <w:color w:val="auto"/>
          <w:szCs w:val="21"/>
          <w:highlight w:val="none"/>
        </w:rPr>
        <w:t>项规定的要求的相关资料。</w:t>
      </w:r>
    </w:p>
    <w:p>
      <w:pPr>
        <w:rPr>
          <w:rFonts w:ascii="宋体" w:hAnsi="宋体"/>
          <w:color w:val="auto"/>
          <w:highlight w:val="none"/>
        </w:rPr>
      </w:pPr>
    </w:p>
    <w:p>
      <w:pPr>
        <w:pStyle w:val="7"/>
        <w:rPr>
          <w:color w:val="auto"/>
          <w:highlight w:val="none"/>
        </w:rPr>
      </w:pPr>
      <w:r>
        <w:rPr>
          <w:color w:val="auto"/>
          <w:highlight w:val="none"/>
        </w:rPr>
        <w:t xml:space="preserve">3.6 </w:t>
      </w:r>
      <w:r>
        <w:rPr>
          <w:rFonts w:hint="eastAsia"/>
          <w:color w:val="auto"/>
          <w:highlight w:val="none"/>
        </w:rPr>
        <w:t>备选投标方案</w:t>
      </w:r>
    </w:p>
    <w:p>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3.6.1</w:t>
      </w:r>
      <w:r>
        <w:rPr>
          <w:rFonts w:hint="eastAsia" w:ascii="宋体" w:hAnsi="宋体"/>
          <w:color w:val="auto"/>
          <w:szCs w:val="21"/>
          <w:highlight w:val="none"/>
        </w:rPr>
        <w:t>除投标人须知前附表规定允许外，投标人不得递交备选投标方案，否则其投标将被否决。</w:t>
      </w:r>
    </w:p>
    <w:p>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3.6.2</w:t>
      </w:r>
      <w:r>
        <w:rPr>
          <w:rFonts w:hint="eastAsia" w:ascii="宋体" w:hAnsi="宋体"/>
          <w:color w:val="auto"/>
          <w:szCs w:val="21"/>
          <w:highlight w:val="none"/>
        </w:rPr>
        <w:t>允许投标人递交备选投标方案的，只有中标人所递交的备选投标方案方可予以考虑。评标委员会认为中标人的备选投标方案优于其按照招标文件要求编制的投标方案的，招标人可以接受该备选投标方案。</w:t>
      </w:r>
    </w:p>
    <w:p>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3.6.3</w:t>
      </w:r>
      <w:r>
        <w:rPr>
          <w:rFonts w:hint="eastAsia" w:ascii="宋体" w:hAnsi="宋体"/>
          <w:color w:val="auto"/>
          <w:szCs w:val="21"/>
          <w:highlight w:val="none"/>
        </w:rPr>
        <w:t>投标人提供两个或两个以上投标报价，或者在投标文件中提供一个报价，但同时提供两个或两个以上服务方案的，视为提供备选方案。</w:t>
      </w:r>
    </w:p>
    <w:p>
      <w:pPr>
        <w:pStyle w:val="12"/>
        <w:kinsoku w:val="0"/>
        <w:overflowPunct w:val="0"/>
        <w:spacing w:line="288" w:lineRule="auto"/>
        <w:ind w:firstLine="420" w:firstLineChars="200"/>
        <w:rPr>
          <w:rFonts w:ascii="宋体" w:hAnsi="宋体"/>
          <w:color w:val="auto"/>
          <w:szCs w:val="21"/>
          <w:highlight w:val="none"/>
        </w:rPr>
      </w:pPr>
    </w:p>
    <w:p>
      <w:pPr>
        <w:pStyle w:val="7"/>
        <w:rPr>
          <w:color w:val="auto"/>
          <w:highlight w:val="none"/>
        </w:rPr>
      </w:pPr>
      <w:bookmarkStart w:id="63" w:name="bookmark46"/>
      <w:bookmarkEnd w:id="63"/>
      <w:r>
        <w:rPr>
          <w:color w:val="auto"/>
          <w:highlight w:val="none"/>
        </w:rPr>
        <w:t xml:space="preserve">3.7 </w:t>
      </w:r>
      <w:r>
        <w:rPr>
          <w:rFonts w:hint="eastAsia"/>
          <w:color w:val="auto"/>
          <w:highlight w:val="none"/>
        </w:rPr>
        <w:t>投标文件的编制</w:t>
      </w:r>
    </w:p>
    <w:p>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3.7.1</w:t>
      </w:r>
      <w:r>
        <w:rPr>
          <w:rFonts w:hint="eastAsia" w:ascii="宋体" w:hAnsi="宋体"/>
          <w:color w:val="auto"/>
          <w:szCs w:val="21"/>
          <w:highlight w:val="none"/>
        </w:rPr>
        <w:t>投标文件应按第六章“投标文件格式”进行编写，如有必要，可以增加附页，作为投标文件的组成部分。</w:t>
      </w:r>
    </w:p>
    <w:p>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3.7.2</w:t>
      </w:r>
      <w:r>
        <w:rPr>
          <w:rFonts w:hint="eastAsia" w:ascii="宋体" w:hAnsi="宋体"/>
          <w:color w:val="auto"/>
          <w:szCs w:val="21"/>
          <w:highlight w:val="none"/>
        </w:rPr>
        <w:t>投标文件应当对招标文件有关服务期限、投标有效期、委托人要求、招标范围等实质性内容作出响应。</w:t>
      </w:r>
    </w:p>
    <w:p>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3.7.3</w:t>
      </w:r>
      <w:r>
        <w:rPr>
          <w:rFonts w:hint="eastAsia" w:ascii="宋体" w:hAnsi="宋体"/>
          <w:color w:val="auto"/>
          <w:szCs w:val="21"/>
          <w:highlight w:val="none"/>
        </w:rPr>
        <w:t>投标文件全部采用电子文档，除投标人须知前附表另有规定外，投标文件所附证书证件均为原件扫描件，并采用单位和个人数字证书，按招标文件要求在相应位置加盖电子印章。由投标人的法定代表人签字或加盖电子印章的，应附法定代表人身份证明，由代理人签字或加盖电子印章的，应附由法定代表人签署的授权委托书。签字或盖章的具体要求见投标人须知前附表。</w:t>
      </w:r>
    </w:p>
    <w:p>
      <w:pPr>
        <w:pStyle w:val="5"/>
        <w:rPr>
          <w:color w:val="auto"/>
          <w:highlight w:val="none"/>
        </w:rPr>
      </w:pPr>
      <w:bookmarkStart w:id="64" w:name="_Toc21250"/>
      <w:bookmarkStart w:id="65" w:name="_Toc533357311"/>
      <w:r>
        <w:rPr>
          <w:color w:val="auto"/>
          <w:highlight w:val="none"/>
        </w:rPr>
        <w:t xml:space="preserve">4. </w:t>
      </w:r>
      <w:r>
        <w:rPr>
          <w:rFonts w:hint="eastAsia"/>
          <w:color w:val="auto"/>
          <w:highlight w:val="none"/>
        </w:rPr>
        <w:t>投标</w:t>
      </w:r>
      <w:bookmarkEnd w:id="64"/>
      <w:bookmarkEnd w:id="65"/>
    </w:p>
    <w:p>
      <w:pPr>
        <w:pStyle w:val="7"/>
        <w:ind w:firstLine="420"/>
        <w:rPr>
          <w:color w:val="auto"/>
          <w:highlight w:val="none"/>
        </w:rPr>
      </w:pPr>
      <w:bookmarkStart w:id="66" w:name="bookmark48"/>
      <w:bookmarkEnd w:id="66"/>
      <w:r>
        <w:rPr>
          <w:color w:val="auto"/>
          <w:highlight w:val="none"/>
        </w:rPr>
        <w:t xml:space="preserve">4.1 </w:t>
      </w:r>
      <w:r>
        <w:rPr>
          <w:rFonts w:hint="eastAsia"/>
          <w:color w:val="auto"/>
          <w:highlight w:val="none"/>
        </w:rPr>
        <w:t>投标文件的密封和标记</w:t>
      </w:r>
    </w:p>
    <w:p>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4.1.1</w:t>
      </w:r>
      <w:r>
        <w:rPr>
          <w:rFonts w:hint="eastAsia" w:ascii="宋体" w:hAnsi="宋体"/>
          <w:color w:val="auto"/>
          <w:szCs w:val="21"/>
          <w:highlight w:val="none"/>
        </w:rPr>
        <w:t>投标人应当按照招标文件和电子招标投标交易平台的要求加密投标文件，具体要求见投标人须知前附表。</w:t>
      </w:r>
    </w:p>
    <w:p>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4.1.2</w:t>
      </w:r>
      <w:r>
        <w:rPr>
          <w:rFonts w:hint="eastAsia" w:ascii="宋体" w:hAnsi="宋体"/>
          <w:color w:val="auto"/>
          <w:szCs w:val="21"/>
          <w:highlight w:val="none"/>
        </w:rPr>
        <w:t>投标文件封套上应写明的内容见投标人须知前附表。</w:t>
      </w:r>
    </w:p>
    <w:p>
      <w:pPr>
        <w:pStyle w:val="12"/>
        <w:kinsoku w:val="0"/>
        <w:overflowPunct w:val="0"/>
        <w:spacing w:line="288" w:lineRule="auto"/>
        <w:ind w:firstLine="420" w:firstLineChars="200"/>
        <w:rPr>
          <w:rFonts w:ascii="宋体" w:hAnsi="宋体"/>
          <w:strike/>
          <w:color w:val="auto"/>
          <w:szCs w:val="21"/>
          <w:highlight w:val="none"/>
        </w:rPr>
      </w:pPr>
      <w:r>
        <w:rPr>
          <w:rFonts w:ascii="宋体" w:hAnsi="宋体"/>
          <w:strike/>
          <w:color w:val="auto"/>
          <w:szCs w:val="21"/>
          <w:highlight w:val="none"/>
        </w:rPr>
        <w:t>4.1.3</w:t>
      </w:r>
      <w:r>
        <w:rPr>
          <w:rFonts w:hint="eastAsia" w:ascii="宋体" w:hAnsi="宋体"/>
          <w:strike/>
          <w:color w:val="auto"/>
          <w:szCs w:val="21"/>
          <w:highlight w:val="none"/>
        </w:rPr>
        <w:t>未按本章第</w:t>
      </w:r>
      <w:r>
        <w:rPr>
          <w:rFonts w:ascii="宋体" w:hAnsi="宋体"/>
          <w:strike/>
          <w:color w:val="auto"/>
          <w:szCs w:val="21"/>
          <w:highlight w:val="none"/>
        </w:rPr>
        <w:t>4.1.1</w:t>
      </w:r>
      <w:r>
        <w:rPr>
          <w:rFonts w:hint="eastAsia" w:ascii="宋体" w:hAnsi="宋体"/>
          <w:strike/>
          <w:color w:val="auto"/>
          <w:szCs w:val="21"/>
          <w:highlight w:val="none"/>
        </w:rPr>
        <w:t>项要求密封的投标文件，招标人将予以拒收。</w:t>
      </w:r>
    </w:p>
    <w:p>
      <w:pPr>
        <w:pStyle w:val="12"/>
        <w:kinsoku w:val="0"/>
        <w:overflowPunct w:val="0"/>
        <w:spacing w:line="288" w:lineRule="auto"/>
        <w:ind w:firstLine="420" w:firstLineChars="200"/>
        <w:rPr>
          <w:rFonts w:ascii="宋体" w:hAnsi="宋体"/>
          <w:color w:val="auto"/>
          <w:szCs w:val="21"/>
          <w:highlight w:val="none"/>
        </w:rPr>
      </w:pPr>
    </w:p>
    <w:p>
      <w:pPr>
        <w:pStyle w:val="7"/>
        <w:rPr>
          <w:color w:val="auto"/>
          <w:highlight w:val="none"/>
        </w:rPr>
      </w:pPr>
      <w:bookmarkStart w:id="67" w:name="bookmark49"/>
      <w:bookmarkEnd w:id="67"/>
      <w:r>
        <w:rPr>
          <w:color w:val="auto"/>
          <w:highlight w:val="none"/>
        </w:rPr>
        <w:t xml:space="preserve">4.2 </w:t>
      </w:r>
      <w:r>
        <w:rPr>
          <w:rFonts w:hint="eastAsia"/>
          <w:color w:val="auto"/>
          <w:highlight w:val="none"/>
        </w:rPr>
        <w:t>投标文件的递交</w:t>
      </w:r>
    </w:p>
    <w:p>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4.2.1</w:t>
      </w:r>
      <w:r>
        <w:rPr>
          <w:rFonts w:hint="eastAsia" w:ascii="宋体" w:hAnsi="宋体"/>
          <w:color w:val="auto"/>
          <w:szCs w:val="21"/>
          <w:highlight w:val="none"/>
        </w:rPr>
        <w:t>投标人应在投标人须知前附表规定的投标截止时间前递交投标文件。</w:t>
      </w:r>
    </w:p>
    <w:p>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4.2.2</w:t>
      </w:r>
      <w:r>
        <w:rPr>
          <w:rFonts w:hint="eastAsia" w:ascii="宋体" w:hAnsi="宋体"/>
          <w:color w:val="auto"/>
          <w:szCs w:val="21"/>
          <w:highlight w:val="none"/>
        </w:rPr>
        <w:t>投标人通过下载招标文件的电子招标投标交易平台递交电子投标文件。</w:t>
      </w:r>
    </w:p>
    <w:p>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4.2.3</w:t>
      </w:r>
      <w:r>
        <w:rPr>
          <w:rFonts w:hint="eastAsia" w:ascii="宋体" w:hAnsi="宋体"/>
          <w:color w:val="auto"/>
          <w:szCs w:val="21"/>
          <w:highlight w:val="none"/>
        </w:rPr>
        <w:t>除投标人须知前附表另有规定外，投标人所递交的投标文件不予退还。</w:t>
      </w:r>
    </w:p>
    <w:p>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4.2.4</w:t>
      </w:r>
      <w:r>
        <w:rPr>
          <w:rFonts w:hint="eastAsia" w:ascii="宋体" w:hAnsi="宋体"/>
          <w:color w:val="auto"/>
          <w:szCs w:val="21"/>
          <w:highlight w:val="none"/>
        </w:rPr>
        <w:t>投标人完成电子投标文件上传后，电子招标投标交易平台即时向投标人发出递交回执通知。递交时间以递交回执通知载明的传输完成时间为准。</w:t>
      </w:r>
    </w:p>
    <w:p>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4.2.5</w:t>
      </w:r>
      <w:r>
        <w:rPr>
          <w:rFonts w:hint="eastAsia" w:ascii="宋体" w:hAnsi="宋体"/>
          <w:color w:val="auto"/>
          <w:szCs w:val="21"/>
          <w:highlight w:val="none"/>
        </w:rPr>
        <w:t>逾期送达的投标文件，电子招标投标交易平台将予以拒收。</w:t>
      </w:r>
      <w:bookmarkStart w:id="68" w:name="bookmark50"/>
      <w:bookmarkEnd w:id="68"/>
    </w:p>
    <w:p>
      <w:pPr>
        <w:pStyle w:val="12"/>
        <w:kinsoku w:val="0"/>
        <w:overflowPunct w:val="0"/>
        <w:spacing w:line="288" w:lineRule="auto"/>
        <w:ind w:firstLine="420" w:firstLineChars="200"/>
        <w:rPr>
          <w:rFonts w:ascii="宋体" w:hAnsi="宋体"/>
          <w:color w:val="auto"/>
          <w:szCs w:val="21"/>
          <w:highlight w:val="none"/>
        </w:rPr>
      </w:pPr>
    </w:p>
    <w:p>
      <w:pPr>
        <w:pStyle w:val="7"/>
        <w:rPr>
          <w:color w:val="auto"/>
          <w:highlight w:val="none"/>
        </w:rPr>
      </w:pPr>
      <w:r>
        <w:rPr>
          <w:color w:val="auto"/>
          <w:highlight w:val="none"/>
        </w:rPr>
        <w:t xml:space="preserve">4.3 </w:t>
      </w:r>
      <w:r>
        <w:rPr>
          <w:rFonts w:hint="eastAsia"/>
          <w:color w:val="auto"/>
          <w:highlight w:val="none"/>
        </w:rPr>
        <w:t>投标文件的修改与撤回</w:t>
      </w:r>
    </w:p>
    <w:p>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4.3.1</w:t>
      </w:r>
      <w:r>
        <w:rPr>
          <w:rFonts w:hint="eastAsia" w:ascii="宋体" w:hAnsi="宋体"/>
          <w:color w:val="auto"/>
          <w:szCs w:val="21"/>
          <w:highlight w:val="none"/>
        </w:rPr>
        <w:t>在本章第</w:t>
      </w:r>
      <w:r>
        <w:rPr>
          <w:rFonts w:ascii="宋体" w:hAnsi="宋体"/>
          <w:color w:val="auto"/>
          <w:szCs w:val="21"/>
          <w:highlight w:val="none"/>
        </w:rPr>
        <w:t>4.2.1</w:t>
      </w:r>
      <w:r>
        <w:rPr>
          <w:rFonts w:hint="eastAsia" w:ascii="宋体" w:hAnsi="宋体"/>
          <w:color w:val="auto"/>
          <w:szCs w:val="21"/>
          <w:highlight w:val="none"/>
        </w:rPr>
        <w:t>项规定的投标截止时间前，投标人可以修改或撤回已递交的投标文件，但应以书面形式通知招标人。</w:t>
      </w:r>
    </w:p>
    <w:p>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4.3.2</w:t>
      </w:r>
      <w:r>
        <w:rPr>
          <w:rFonts w:hint="eastAsia" w:ascii="宋体" w:hAnsi="宋体"/>
          <w:color w:val="auto"/>
          <w:szCs w:val="21"/>
          <w:highlight w:val="none"/>
        </w:rPr>
        <w:t>投标人修改或撤回已递交投标文件的通知，应按照本章第</w:t>
      </w:r>
      <w:r>
        <w:rPr>
          <w:rFonts w:ascii="宋体" w:hAnsi="宋体"/>
          <w:color w:val="auto"/>
          <w:szCs w:val="21"/>
          <w:highlight w:val="none"/>
        </w:rPr>
        <w:t>3.7.3</w:t>
      </w:r>
      <w:r>
        <w:rPr>
          <w:rFonts w:hint="eastAsia" w:ascii="宋体" w:hAnsi="宋体"/>
          <w:color w:val="auto"/>
          <w:szCs w:val="21"/>
          <w:highlight w:val="none"/>
        </w:rPr>
        <w:t>项的要求加盖电子印章。电子招标投标交易平台收到通知后，即时向投标人发出确认回执通知。</w:t>
      </w:r>
    </w:p>
    <w:p>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4.3.3</w:t>
      </w:r>
      <w:r>
        <w:rPr>
          <w:rFonts w:hint="eastAsia" w:ascii="宋体" w:hAnsi="宋体"/>
          <w:color w:val="auto"/>
          <w:szCs w:val="21"/>
          <w:highlight w:val="none"/>
        </w:rPr>
        <w:t>投标人撤回投标文件的，招标人自收到投标人书面撤回通知之日起</w:t>
      </w:r>
      <w:r>
        <w:rPr>
          <w:rFonts w:ascii="宋体" w:hAnsi="宋体"/>
          <w:color w:val="auto"/>
          <w:szCs w:val="21"/>
          <w:highlight w:val="none"/>
        </w:rPr>
        <w:t>5</w:t>
      </w:r>
      <w:r>
        <w:rPr>
          <w:rFonts w:hint="eastAsia" w:ascii="宋体" w:hAnsi="宋体"/>
          <w:color w:val="auto"/>
          <w:szCs w:val="21"/>
          <w:highlight w:val="none"/>
        </w:rPr>
        <w:t>日内退还已收取的投标保证金。</w:t>
      </w:r>
    </w:p>
    <w:p>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4.3.4</w:t>
      </w:r>
      <w:r>
        <w:rPr>
          <w:rFonts w:hint="eastAsia" w:ascii="宋体" w:hAnsi="宋体"/>
          <w:color w:val="auto"/>
          <w:szCs w:val="21"/>
          <w:highlight w:val="none"/>
        </w:rPr>
        <w:t>修改的内容为投标文件的组成部分。修改的投标文件应按照本章第</w:t>
      </w:r>
      <w:r>
        <w:rPr>
          <w:rFonts w:ascii="宋体" w:hAnsi="宋体"/>
          <w:color w:val="auto"/>
          <w:szCs w:val="21"/>
          <w:highlight w:val="none"/>
        </w:rPr>
        <w:t>3</w:t>
      </w:r>
      <w:r>
        <w:rPr>
          <w:rFonts w:hint="eastAsia" w:ascii="宋体" w:hAnsi="宋体"/>
          <w:color w:val="auto"/>
          <w:szCs w:val="21"/>
          <w:highlight w:val="none"/>
        </w:rPr>
        <w:t>条、第</w:t>
      </w:r>
      <w:r>
        <w:rPr>
          <w:rFonts w:ascii="宋体" w:hAnsi="宋体"/>
          <w:color w:val="auto"/>
          <w:szCs w:val="21"/>
          <w:highlight w:val="none"/>
        </w:rPr>
        <w:t>4</w:t>
      </w:r>
      <w:r>
        <w:rPr>
          <w:rFonts w:hint="eastAsia" w:ascii="宋体" w:hAnsi="宋体"/>
          <w:color w:val="auto"/>
          <w:szCs w:val="21"/>
          <w:highlight w:val="none"/>
        </w:rPr>
        <w:t>条的规定进行编制、密封、标记和递交，并标明“修改”字样。</w:t>
      </w:r>
    </w:p>
    <w:p>
      <w:pPr>
        <w:pStyle w:val="5"/>
        <w:rPr>
          <w:color w:val="auto"/>
          <w:highlight w:val="none"/>
        </w:rPr>
      </w:pPr>
      <w:bookmarkStart w:id="69" w:name="_Toc30561"/>
      <w:bookmarkStart w:id="70" w:name="_Toc533357312"/>
      <w:r>
        <w:rPr>
          <w:color w:val="auto"/>
          <w:highlight w:val="none"/>
        </w:rPr>
        <w:t xml:space="preserve">5. </w:t>
      </w:r>
      <w:r>
        <w:rPr>
          <w:rFonts w:hint="eastAsia"/>
          <w:color w:val="auto"/>
          <w:highlight w:val="none"/>
        </w:rPr>
        <w:t>开标</w:t>
      </w:r>
      <w:bookmarkEnd w:id="69"/>
      <w:bookmarkEnd w:id="70"/>
    </w:p>
    <w:p>
      <w:pPr>
        <w:pStyle w:val="7"/>
        <w:ind w:firstLine="420"/>
        <w:rPr>
          <w:color w:val="auto"/>
          <w:highlight w:val="none"/>
        </w:rPr>
      </w:pPr>
      <w:bookmarkStart w:id="71" w:name="bookmark52"/>
      <w:bookmarkEnd w:id="71"/>
      <w:bookmarkStart w:id="72" w:name="bookmark53"/>
      <w:bookmarkEnd w:id="72"/>
      <w:r>
        <w:rPr>
          <w:color w:val="auto"/>
          <w:highlight w:val="none"/>
        </w:rPr>
        <w:t xml:space="preserve">5.1 </w:t>
      </w:r>
      <w:r>
        <w:rPr>
          <w:rFonts w:hint="eastAsia"/>
          <w:color w:val="auto"/>
          <w:highlight w:val="none"/>
        </w:rPr>
        <w:t>开标时间和地点</w:t>
      </w:r>
    </w:p>
    <w:p>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招标人在本章第</w:t>
      </w:r>
      <w:r>
        <w:rPr>
          <w:rFonts w:ascii="宋体" w:hAnsi="宋体"/>
          <w:color w:val="auto"/>
          <w:szCs w:val="21"/>
          <w:highlight w:val="none"/>
        </w:rPr>
        <w:t>4.2.1</w:t>
      </w:r>
      <w:r>
        <w:rPr>
          <w:rFonts w:hint="eastAsia" w:ascii="宋体" w:hAnsi="宋体"/>
          <w:color w:val="auto"/>
          <w:szCs w:val="21"/>
          <w:highlight w:val="none"/>
        </w:rPr>
        <w:t>项规定的投标截止时间（开标时间）</w:t>
      </w:r>
      <w:r>
        <w:rPr>
          <w:rFonts w:ascii="宋体" w:hAnsi="宋体"/>
          <w:color w:val="auto"/>
          <w:szCs w:val="21"/>
          <w:highlight w:val="none"/>
        </w:rPr>
        <w:t>,</w:t>
      </w:r>
      <w:r>
        <w:rPr>
          <w:rFonts w:hint="eastAsia" w:ascii="宋体" w:hAnsi="宋体"/>
          <w:color w:val="auto"/>
          <w:szCs w:val="21"/>
          <w:highlight w:val="none"/>
        </w:rPr>
        <w:t>通过电子招标投标交易平台公开开标。开标时，投标人代表有权出席开标会，也可以自主决定不参加开标会。</w:t>
      </w:r>
    </w:p>
    <w:p>
      <w:pPr>
        <w:rPr>
          <w:rFonts w:ascii="宋体" w:hAnsi="宋体"/>
          <w:color w:val="auto"/>
          <w:highlight w:val="none"/>
        </w:rPr>
      </w:pPr>
    </w:p>
    <w:p>
      <w:pPr>
        <w:pStyle w:val="7"/>
        <w:rPr>
          <w:color w:val="auto"/>
          <w:highlight w:val="none"/>
        </w:rPr>
      </w:pPr>
      <w:bookmarkStart w:id="73" w:name="bookmark54"/>
      <w:bookmarkEnd w:id="73"/>
      <w:r>
        <w:rPr>
          <w:color w:val="auto"/>
          <w:highlight w:val="none"/>
        </w:rPr>
        <w:t xml:space="preserve">5.2 </w:t>
      </w:r>
      <w:r>
        <w:rPr>
          <w:rFonts w:hint="eastAsia"/>
          <w:color w:val="auto"/>
          <w:highlight w:val="none"/>
        </w:rPr>
        <w:t>开标程序</w:t>
      </w:r>
    </w:p>
    <w:p>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5.2.1</w:t>
      </w:r>
      <w:r>
        <w:rPr>
          <w:rFonts w:hint="eastAsia" w:ascii="宋体" w:hAnsi="宋体"/>
          <w:color w:val="auto"/>
          <w:szCs w:val="21"/>
          <w:highlight w:val="none"/>
        </w:rPr>
        <w:t>主持人按下列程序进行开标：</w:t>
      </w:r>
    </w:p>
    <w:p>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）宣布开标纪律；</w:t>
      </w:r>
    </w:p>
    <w:p>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）公布在投标截止时间前递交投标文件的投标人名称；</w:t>
      </w:r>
    </w:p>
    <w:p>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）宣布开标人、唱标人、记录人、监标人等有关人员姓名；</w:t>
      </w:r>
    </w:p>
    <w:p>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）投标人通过电子招标投标交易平台对已递交的电子投标文件进行解密，公布招标项目名称、投标人名称、投标保证金的递交情况、投标报价及其他内容，并记录在案；</w:t>
      </w:r>
    </w:p>
    <w:p>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5</w:t>
      </w:r>
      <w:r>
        <w:rPr>
          <w:rFonts w:hint="eastAsia" w:ascii="宋体" w:hAnsi="宋体"/>
          <w:color w:val="auto"/>
          <w:szCs w:val="21"/>
          <w:highlight w:val="none"/>
        </w:rPr>
        <w:t>）投标人代表、招标人代表、监标人、记录人等有关人员在开标记录上签字确认；若有关人员不签字的，不影响开标程序；</w:t>
      </w:r>
    </w:p>
    <w:p>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6</w:t>
      </w:r>
      <w:r>
        <w:rPr>
          <w:rFonts w:hint="eastAsia" w:ascii="宋体" w:hAnsi="宋体"/>
          <w:color w:val="auto"/>
          <w:szCs w:val="21"/>
          <w:highlight w:val="none"/>
        </w:rPr>
        <w:t>）开标结束。</w:t>
      </w:r>
    </w:p>
    <w:p>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5.2.2</w:t>
      </w:r>
      <w:r>
        <w:rPr>
          <w:rFonts w:hint="eastAsia" w:ascii="宋体" w:hAnsi="宋体"/>
          <w:color w:val="auto"/>
          <w:szCs w:val="21"/>
          <w:highlight w:val="none"/>
          <w:u w:val="single"/>
        </w:rPr>
        <w:t>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5.2.3</w:t>
      </w:r>
      <w:r>
        <w:rPr>
          <w:rFonts w:hint="eastAsia" w:ascii="宋体" w:hAnsi="宋体"/>
          <w:color w:val="auto"/>
          <w:szCs w:val="21"/>
          <w:highlight w:val="none"/>
        </w:rPr>
        <w:t>开标时，两个（含两个）以上的投标人加密打包投标文件电脑机器特征码一致的，不参与下一程序，并由评标委员会否决其投标。</w:t>
      </w:r>
    </w:p>
    <w:p>
      <w:pPr>
        <w:pStyle w:val="12"/>
        <w:kinsoku w:val="0"/>
        <w:overflowPunct w:val="0"/>
        <w:spacing w:line="288" w:lineRule="auto"/>
        <w:ind w:firstLine="420" w:firstLineChars="200"/>
        <w:rPr>
          <w:rFonts w:ascii="宋体" w:hAnsi="宋体"/>
          <w:color w:val="auto"/>
          <w:szCs w:val="21"/>
          <w:highlight w:val="none"/>
        </w:rPr>
      </w:pPr>
    </w:p>
    <w:p>
      <w:pPr>
        <w:pStyle w:val="7"/>
        <w:rPr>
          <w:color w:val="auto"/>
          <w:highlight w:val="none"/>
        </w:rPr>
      </w:pPr>
      <w:bookmarkStart w:id="74" w:name="bookmark55"/>
      <w:bookmarkEnd w:id="74"/>
      <w:r>
        <w:rPr>
          <w:color w:val="auto"/>
          <w:highlight w:val="none"/>
        </w:rPr>
        <w:t xml:space="preserve">5.3 </w:t>
      </w:r>
      <w:r>
        <w:rPr>
          <w:rFonts w:hint="eastAsia"/>
          <w:color w:val="auto"/>
          <w:highlight w:val="none"/>
        </w:rPr>
        <w:t>开标异议</w:t>
      </w:r>
    </w:p>
    <w:p>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投标人对开标有异议的，应当在开标现场提出，并出示本人身份证，招标人当场作出答复，并制作记录。</w:t>
      </w:r>
    </w:p>
    <w:p>
      <w:pPr>
        <w:pStyle w:val="5"/>
        <w:rPr>
          <w:color w:val="auto"/>
          <w:highlight w:val="none"/>
        </w:rPr>
      </w:pPr>
      <w:bookmarkStart w:id="75" w:name="_Toc533357313"/>
      <w:bookmarkStart w:id="76" w:name="_Toc26604"/>
      <w:r>
        <w:rPr>
          <w:color w:val="auto"/>
          <w:highlight w:val="none"/>
        </w:rPr>
        <w:t xml:space="preserve">6. </w:t>
      </w:r>
      <w:r>
        <w:rPr>
          <w:rFonts w:hint="eastAsia"/>
          <w:color w:val="auto"/>
          <w:highlight w:val="none"/>
        </w:rPr>
        <w:t>评标</w:t>
      </w:r>
      <w:bookmarkEnd w:id="75"/>
      <w:bookmarkEnd w:id="76"/>
    </w:p>
    <w:p>
      <w:pPr>
        <w:pStyle w:val="7"/>
        <w:ind w:firstLine="420"/>
        <w:rPr>
          <w:color w:val="auto"/>
          <w:highlight w:val="none"/>
        </w:rPr>
      </w:pPr>
      <w:bookmarkStart w:id="77" w:name="bookmark57"/>
      <w:bookmarkEnd w:id="77"/>
      <w:r>
        <w:rPr>
          <w:color w:val="auto"/>
          <w:highlight w:val="none"/>
        </w:rPr>
        <w:t xml:space="preserve">6.1 </w:t>
      </w:r>
      <w:r>
        <w:rPr>
          <w:rFonts w:hint="eastAsia"/>
          <w:color w:val="auto"/>
          <w:highlight w:val="none"/>
        </w:rPr>
        <w:t>评标委员会</w:t>
      </w:r>
    </w:p>
    <w:p>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6.1.1</w:t>
      </w:r>
      <w:r>
        <w:rPr>
          <w:rFonts w:hint="eastAsia" w:ascii="宋体" w:hAnsi="宋体"/>
          <w:color w:val="auto"/>
          <w:szCs w:val="21"/>
          <w:highlight w:val="none"/>
        </w:rPr>
        <w:t>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6.1.2</w:t>
      </w:r>
      <w:r>
        <w:rPr>
          <w:rFonts w:hint="eastAsia" w:ascii="宋体" w:hAnsi="宋体"/>
          <w:color w:val="auto"/>
          <w:szCs w:val="21"/>
          <w:highlight w:val="none"/>
        </w:rPr>
        <w:t>评标委员会成员有下列情形之一的，应当回避：</w:t>
      </w:r>
    </w:p>
    <w:p>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）投标人或投标人主要负责人的近亲属；</w:t>
      </w:r>
    </w:p>
    <w:p>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）项目主管部门或者行政监督部门的人员；</w:t>
      </w:r>
    </w:p>
    <w:p>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）与投标人有经济利益关系，可能影响对投标公正评审的；</w:t>
      </w:r>
    </w:p>
    <w:p>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）曾因在招标、评标以及其他与招标投标有关活动中从事违法行为而受过行政处罚或刑事处罚的</w:t>
      </w:r>
    </w:p>
    <w:p>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5</w:t>
      </w:r>
      <w:r>
        <w:rPr>
          <w:rFonts w:hint="eastAsia" w:ascii="宋体" w:hAnsi="宋体"/>
          <w:color w:val="auto"/>
          <w:szCs w:val="21"/>
          <w:highlight w:val="none"/>
        </w:rPr>
        <w:t>）与投标人有其他利害关系。</w:t>
      </w:r>
    </w:p>
    <w:p>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6.1.3</w:t>
      </w:r>
      <w:r>
        <w:rPr>
          <w:rFonts w:hint="eastAsia" w:ascii="宋体" w:hAnsi="宋体"/>
          <w:color w:val="auto"/>
          <w:szCs w:val="21"/>
          <w:highlight w:val="none"/>
        </w:rPr>
        <w:t>评标过程中，评标委员会成员有回避事由、擅离职守或者因健康等原因不能继续评标的，招标人有权更换。被更换的评标委员会成员作出的评审结论无效，由更换后的评标委员会成员重新进行评审。</w:t>
      </w:r>
    </w:p>
    <w:p>
      <w:pPr>
        <w:pStyle w:val="12"/>
        <w:kinsoku w:val="0"/>
        <w:overflowPunct w:val="0"/>
        <w:spacing w:line="288" w:lineRule="auto"/>
        <w:ind w:firstLine="420" w:firstLineChars="200"/>
        <w:rPr>
          <w:rFonts w:ascii="宋体" w:hAnsi="宋体"/>
          <w:color w:val="auto"/>
          <w:szCs w:val="21"/>
          <w:highlight w:val="none"/>
        </w:rPr>
      </w:pPr>
    </w:p>
    <w:p>
      <w:pPr>
        <w:pStyle w:val="7"/>
        <w:rPr>
          <w:color w:val="auto"/>
          <w:highlight w:val="none"/>
        </w:rPr>
      </w:pPr>
      <w:bookmarkStart w:id="78" w:name="bookmark58"/>
      <w:bookmarkEnd w:id="78"/>
      <w:r>
        <w:rPr>
          <w:color w:val="auto"/>
          <w:highlight w:val="none"/>
        </w:rPr>
        <w:t xml:space="preserve">6.2 </w:t>
      </w:r>
      <w:r>
        <w:rPr>
          <w:rFonts w:hint="eastAsia"/>
          <w:color w:val="auto"/>
          <w:highlight w:val="none"/>
        </w:rPr>
        <w:t>评标原则</w:t>
      </w:r>
    </w:p>
    <w:p>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评标活动遵循公平、公正、科学和择优的原则。</w:t>
      </w:r>
    </w:p>
    <w:p>
      <w:pPr>
        <w:pStyle w:val="12"/>
        <w:kinsoku w:val="0"/>
        <w:overflowPunct w:val="0"/>
        <w:spacing w:line="288" w:lineRule="auto"/>
        <w:ind w:firstLine="420" w:firstLineChars="200"/>
        <w:rPr>
          <w:rFonts w:ascii="宋体" w:hAnsi="宋体"/>
          <w:color w:val="auto"/>
          <w:szCs w:val="21"/>
          <w:highlight w:val="none"/>
        </w:rPr>
      </w:pPr>
    </w:p>
    <w:p>
      <w:pPr>
        <w:pStyle w:val="7"/>
        <w:rPr>
          <w:color w:val="auto"/>
          <w:highlight w:val="none"/>
        </w:rPr>
      </w:pPr>
      <w:bookmarkStart w:id="79" w:name="bookmark59"/>
      <w:bookmarkEnd w:id="79"/>
      <w:r>
        <w:rPr>
          <w:color w:val="auto"/>
          <w:highlight w:val="none"/>
        </w:rPr>
        <w:t xml:space="preserve">6.3 </w:t>
      </w:r>
      <w:r>
        <w:rPr>
          <w:rFonts w:hint="eastAsia"/>
          <w:color w:val="auto"/>
          <w:highlight w:val="none"/>
        </w:rPr>
        <w:t>评标</w:t>
      </w:r>
    </w:p>
    <w:p>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6.3.1</w:t>
      </w:r>
      <w:r>
        <w:rPr>
          <w:rFonts w:hint="eastAsia" w:ascii="宋体" w:hAnsi="宋体"/>
          <w:color w:val="auto"/>
          <w:szCs w:val="21"/>
          <w:highlight w:val="none"/>
        </w:rPr>
        <w:t>评标委员会按照第三章“评标办法”规定的方法、评审因素、标准和程序对投标文件进行评审。第三章“评标办法”没有规定的方法、评审因素和标准，不作为评标依据。</w:t>
      </w:r>
    </w:p>
    <w:p>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6.3.2</w:t>
      </w:r>
      <w:r>
        <w:rPr>
          <w:rFonts w:hint="eastAsia" w:ascii="宋体" w:hAnsi="宋体"/>
          <w:color w:val="auto"/>
          <w:szCs w:val="21"/>
          <w:highlight w:val="none"/>
        </w:rPr>
        <w:t>评标完成后，评标委员会应当向招标人提交书面评标报告和中标候选人名单。评标委员会推荐中标候选人的人数见投标人须知前附表。</w:t>
      </w:r>
    </w:p>
    <w:p>
      <w:pPr>
        <w:pStyle w:val="5"/>
        <w:rPr>
          <w:color w:val="auto"/>
          <w:highlight w:val="none"/>
        </w:rPr>
      </w:pPr>
      <w:bookmarkStart w:id="80" w:name="bookmark60"/>
      <w:bookmarkEnd w:id="80"/>
      <w:bookmarkStart w:id="81" w:name="_Toc26243"/>
      <w:bookmarkStart w:id="82" w:name="_Toc533357314"/>
      <w:r>
        <w:rPr>
          <w:color w:val="auto"/>
          <w:highlight w:val="none"/>
        </w:rPr>
        <w:t xml:space="preserve">7. </w:t>
      </w:r>
      <w:r>
        <w:rPr>
          <w:rFonts w:hint="eastAsia"/>
          <w:color w:val="auto"/>
          <w:highlight w:val="none"/>
        </w:rPr>
        <w:t>合同授予</w:t>
      </w:r>
      <w:bookmarkEnd w:id="81"/>
      <w:bookmarkEnd w:id="82"/>
    </w:p>
    <w:p>
      <w:pPr>
        <w:pStyle w:val="7"/>
        <w:ind w:firstLine="420"/>
        <w:rPr>
          <w:color w:val="auto"/>
          <w:highlight w:val="none"/>
        </w:rPr>
      </w:pPr>
      <w:bookmarkStart w:id="83" w:name="bookmark61"/>
      <w:bookmarkEnd w:id="83"/>
      <w:r>
        <w:rPr>
          <w:color w:val="auto"/>
          <w:highlight w:val="none"/>
        </w:rPr>
        <w:t xml:space="preserve">7.1 </w:t>
      </w:r>
      <w:r>
        <w:rPr>
          <w:rFonts w:hint="eastAsia"/>
          <w:color w:val="auto"/>
          <w:highlight w:val="none"/>
        </w:rPr>
        <w:t>中标候选人公示</w:t>
      </w:r>
    </w:p>
    <w:p>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招标人在收到评标报告之日起</w:t>
      </w:r>
      <w:r>
        <w:rPr>
          <w:rFonts w:ascii="宋体" w:hAnsi="宋体"/>
          <w:color w:val="auto"/>
          <w:szCs w:val="21"/>
          <w:highlight w:val="none"/>
        </w:rPr>
        <w:t>3</w:t>
      </w:r>
      <w:r>
        <w:rPr>
          <w:rFonts w:hint="eastAsia" w:ascii="宋体" w:hAnsi="宋体"/>
          <w:color w:val="auto"/>
          <w:szCs w:val="21"/>
          <w:highlight w:val="none"/>
        </w:rPr>
        <w:t>日内，按照投标人须知前附表规定的公示媒介和期限公示中标候选人，公示期不得少于</w:t>
      </w:r>
      <w:r>
        <w:rPr>
          <w:rFonts w:ascii="宋体" w:hAnsi="宋体"/>
          <w:color w:val="auto"/>
          <w:szCs w:val="21"/>
          <w:highlight w:val="none"/>
        </w:rPr>
        <w:t>3</w:t>
      </w:r>
      <w:r>
        <w:rPr>
          <w:rFonts w:hint="eastAsia" w:ascii="宋体" w:hAnsi="宋体"/>
          <w:color w:val="auto"/>
          <w:szCs w:val="21"/>
          <w:highlight w:val="none"/>
        </w:rPr>
        <w:t>天。</w:t>
      </w:r>
    </w:p>
    <w:p>
      <w:pPr>
        <w:pStyle w:val="7"/>
        <w:rPr>
          <w:color w:val="auto"/>
          <w:highlight w:val="none"/>
        </w:rPr>
      </w:pPr>
      <w:bookmarkStart w:id="84" w:name="bookmark62"/>
      <w:bookmarkEnd w:id="84"/>
      <w:r>
        <w:rPr>
          <w:color w:val="auto"/>
          <w:highlight w:val="none"/>
        </w:rPr>
        <w:t xml:space="preserve">7.2 </w:t>
      </w:r>
      <w:r>
        <w:rPr>
          <w:rFonts w:hint="eastAsia"/>
          <w:color w:val="auto"/>
          <w:highlight w:val="none"/>
        </w:rPr>
        <w:t>评标结果异议</w:t>
      </w:r>
    </w:p>
    <w:p>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投标人或者其他利害关系人对评标结果有异议的，应当在中标候选人公示期间提出。招标人将在收到异议之日起</w:t>
      </w:r>
      <w:r>
        <w:rPr>
          <w:rFonts w:ascii="宋体" w:hAnsi="宋体"/>
          <w:color w:val="auto"/>
          <w:szCs w:val="21"/>
          <w:highlight w:val="none"/>
        </w:rPr>
        <w:t>3</w:t>
      </w:r>
      <w:r>
        <w:rPr>
          <w:rFonts w:hint="eastAsia" w:ascii="宋体" w:hAnsi="宋体"/>
          <w:color w:val="auto"/>
          <w:szCs w:val="21"/>
          <w:highlight w:val="none"/>
        </w:rPr>
        <w:t>日内作出答复；作出答复前，将暂停招标投标活动。</w:t>
      </w:r>
    </w:p>
    <w:p>
      <w:pPr>
        <w:pStyle w:val="12"/>
        <w:kinsoku w:val="0"/>
        <w:overflowPunct w:val="0"/>
        <w:spacing w:line="288" w:lineRule="auto"/>
        <w:ind w:firstLine="420" w:firstLineChars="200"/>
        <w:rPr>
          <w:rFonts w:ascii="宋体" w:hAnsi="宋体"/>
          <w:color w:val="auto"/>
          <w:szCs w:val="21"/>
          <w:highlight w:val="none"/>
        </w:rPr>
      </w:pPr>
    </w:p>
    <w:p>
      <w:pPr>
        <w:pStyle w:val="7"/>
        <w:rPr>
          <w:color w:val="auto"/>
          <w:highlight w:val="none"/>
        </w:rPr>
      </w:pPr>
      <w:bookmarkStart w:id="85" w:name="bookmark63"/>
      <w:bookmarkEnd w:id="85"/>
      <w:r>
        <w:rPr>
          <w:color w:val="auto"/>
          <w:highlight w:val="none"/>
        </w:rPr>
        <w:t xml:space="preserve">7.3 </w:t>
      </w:r>
      <w:r>
        <w:rPr>
          <w:rFonts w:hint="eastAsia"/>
          <w:color w:val="auto"/>
          <w:highlight w:val="none"/>
        </w:rPr>
        <w:t>中标候选人履约能力审查</w:t>
      </w:r>
    </w:p>
    <w:p>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中标候选人的经营、财务状况发生较大变化或存在违法行为，招标人认为可能影响其履约能力的，将在发出中标通知书前提请原评标委员会按照招标文件规定的标准和方法进行审查确认。</w:t>
      </w:r>
    </w:p>
    <w:p>
      <w:pPr>
        <w:pStyle w:val="12"/>
        <w:kinsoku w:val="0"/>
        <w:overflowPunct w:val="0"/>
        <w:spacing w:line="288" w:lineRule="auto"/>
        <w:ind w:firstLine="420" w:firstLineChars="200"/>
        <w:rPr>
          <w:rFonts w:ascii="宋体" w:hAnsi="宋体"/>
          <w:color w:val="auto"/>
          <w:szCs w:val="21"/>
          <w:highlight w:val="none"/>
        </w:rPr>
      </w:pPr>
    </w:p>
    <w:p>
      <w:pPr>
        <w:pStyle w:val="7"/>
        <w:rPr>
          <w:color w:val="auto"/>
          <w:highlight w:val="none"/>
        </w:rPr>
      </w:pPr>
      <w:bookmarkStart w:id="86" w:name="bookmark64"/>
      <w:bookmarkEnd w:id="86"/>
      <w:r>
        <w:rPr>
          <w:color w:val="auto"/>
          <w:highlight w:val="none"/>
        </w:rPr>
        <w:t xml:space="preserve">7.4 </w:t>
      </w:r>
      <w:r>
        <w:rPr>
          <w:rFonts w:hint="eastAsia"/>
          <w:color w:val="auto"/>
          <w:highlight w:val="none"/>
        </w:rPr>
        <w:t>定标</w:t>
      </w:r>
    </w:p>
    <w:p>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按照投标人须知前附表的规定，招标人或招标人授权的评标委员会依法确定中标人。</w:t>
      </w:r>
    </w:p>
    <w:p>
      <w:pPr>
        <w:pStyle w:val="12"/>
        <w:kinsoku w:val="0"/>
        <w:overflowPunct w:val="0"/>
        <w:spacing w:line="288" w:lineRule="auto"/>
        <w:ind w:firstLine="420" w:firstLineChars="200"/>
        <w:rPr>
          <w:rFonts w:ascii="宋体" w:hAnsi="宋体"/>
          <w:color w:val="auto"/>
          <w:szCs w:val="21"/>
          <w:highlight w:val="none"/>
        </w:rPr>
      </w:pPr>
    </w:p>
    <w:p>
      <w:pPr>
        <w:pStyle w:val="7"/>
        <w:rPr>
          <w:color w:val="auto"/>
          <w:highlight w:val="none"/>
        </w:rPr>
      </w:pPr>
      <w:bookmarkStart w:id="87" w:name="bookmark65"/>
      <w:bookmarkEnd w:id="87"/>
      <w:r>
        <w:rPr>
          <w:color w:val="auto"/>
          <w:highlight w:val="none"/>
        </w:rPr>
        <w:t xml:space="preserve">7.5 </w:t>
      </w:r>
      <w:r>
        <w:rPr>
          <w:rFonts w:hint="eastAsia"/>
          <w:color w:val="auto"/>
          <w:highlight w:val="none"/>
        </w:rPr>
        <w:t>中标通知</w:t>
      </w:r>
    </w:p>
    <w:p>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在本章第</w:t>
      </w:r>
      <w:r>
        <w:rPr>
          <w:rFonts w:ascii="宋体" w:hAnsi="宋体"/>
          <w:color w:val="auto"/>
          <w:szCs w:val="21"/>
          <w:highlight w:val="none"/>
        </w:rPr>
        <w:t>3.3</w:t>
      </w:r>
      <w:r>
        <w:rPr>
          <w:rFonts w:hint="eastAsia" w:ascii="宋体" w:hAnsi="宋体"/>
          <w:color w:val="auto"/>
          <w:szCs w:val="21"/>
          <w:highlight w:val="none"/>
        </w:rPr>
        <w:t>款规定的投标有效期内，招标人以书面形式向中标人发出中标通知书，同时将中标结果通知未中标的投标人。</w:t>
      </w:r>
    </w:p>
    <w:p>
      <w:pPr>
        <w:pStyle w:val="12"/>
        <w:kinsoku w:val="0"/>
        <w:overflowPunct w:val="0"/>
        <w:spacing w:line="288" w:lineRule="auto"/>
        <w:ind w:firstLine="420" w:firstLineChars="200"/>
        <w:rPr>
          <w:rFonts w:ascii="宋体" w:hAnsi="宋体"/>
          <w:color w:val="auto"/>
          <w:szCs w:val="21"/>
          <w:highlight w:val="none"/>
        </w:rPr>
      </w:pPr>
    </w:p>
    <w:p>
      <w:pPr>
        <w:pStyle w:val="7"/>
        <w:rPr>
          <w:color w:val="auto"/>
          <w:highlight w:val="none"/>
        </w:rPr>
      </w:pPr>
      <w:bookmarkStart w:id="88" w:name="bookmark66"/>
      <w:bookmarkEnd w:id="88"/>
      <w:r>
        <w:rPr>
          <w:color w:val="auto"/>
          <w:highlight w:val="none"/>
        </w:rPr>
        <w:t xml:space="preserve">7.6 </w:t>
      </w:r>
      <w:r>
        <w:rPr>
          <w:rFonts w:hint="eastAsia"/>
          <w:color w:val="auto"/>
          <w:highlight w:val="none"/>
        </w:rPr>
        <w:t>履约保证金</w:t>
      </w:r>
    </w:p>
    <w:p>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7.6.1</w:t>
      </w:r>
      <w:r>
        <w:rPr>
          <w:rFonts w:hint="eastAsia" w:ascii="宋体" w:hAnsi="宋体"/>
          <w:color w:val="auto"/>
          <w:szCs w:val="21"/>
          <w:highlight w:val="none"/>
        </w:rPr>
        <w:t>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w:t>
      </w:r>
      <w:r>
        <w:rPr>
          <w:rFonts w:ascii="宋体" w:hAnsi="宋体"/>
          <w:color w:val="auto"/>
          <w:szCs w:val="21"/>
          <w:highlight w:val="none"/>
        </w:rPr>
        <w:t>10%</w:t>
      </w:r>
      <w:r>
        <w:rPr>
          <w:rFonts w:hint="eastAsia" w:ascii="宋体" w:hAnsi="宋体"/>
          <w:color w:val="auto"/>
          <w:szCs w:val="21"/>
          <w:highlight w:val="none"/>
        </w:rPr>
        <w:t>。联合体中标的，其履约保证金以联合体各方或者联合体中牵头人的名义提交。</w:t>
      </w:r>
    </w:p>
    <w:p>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7.6.2</w:t>
      </w:r>
      <w:r>
        <w:rPr>
          <w:rFonts w:hint="eastAsia" w:ascii="宋体" w:hAnsi="宋体"/>
          <w:color w:val="auto"/>
          <w:szCs w:val="21"/>
          <w:highlight w:val="none"/>
        </w:rPr>
        <w:t>中标人不能按本章第</w:t>
      </w:r>
      <w:r>
        <w:rPr>
          <w:rFonts w:ascii="宋体" w:hAnsi="宋体"/>
          <w:color w:val="auto"/>
          <w:szCs w:val="21"/>
          <w:highlight w:val="none"/>
        </w:rPr>
        <w:t>7.6.1</w:t>
      </w:r>
      <w:r>
        <w:rPr>
          <w:rFonts w:hint="eastAsia" w:ascii="宋体" w:hAnsi="宋体"/>
          <w:color w:val="auto"/>
          <w:szCs w:val="21"/>
          <w:highlight w:val="none"/>
        </w:rPr>
        <w:t>项要求提交履约保证金的，视为放弃中标，其投标保证金不予退还，给招标人造成的损失超过投标保证金数额的，中标人还应当对超过部分予以赔偿。</w:t>
      </w:r>
    </w:p>
    <w:p>
      <w:pPr>
        <w:pStyle w:val="12"/>
        <w:kinsoku w:val="0"/>
        <w:overflowPunct w:val="0"/>
        <w:spacing w:line="288" w:lineRule="auto"/>
        <w:ind w:firstLine="420" w:firstLineChars="200"/>
        <w:rPr>
          <w:rFonts w:ascii="宋体" w:hAnsi="宋体"/>
          <w:color w:val="auto"/>
          <w:szCs w:val="21"/>
          <w:highlight w:val="none"/>
        </w:rPr>
      </w:pPr>
    </w:p>
    <w:p>
      <w:pPr>
        <w:pStyle w:val="7"/>
        <w:rPr>
          <w:color w:val="auto"/>
          <w:highlight w:val="none"/>
        </w:rPr>
      </w:pPr>
      <w:bookmarkStart w:id="89" w:name="bookmark67"/>
      <w:bookmarkEnd w:id="89"/>
      <w:r>
        <w:rPr>
          <w:color w:val="auto"/>
          <w:highlight w:val="none"/>
        </w:rPr>
        <w:t xml:space="preserve">7.7 </w:t>
      </w:r>
      <w:r>
        <w:rPr>
          <w:rFonts w:hint="eastAsia"/>
          <w:color w:val="auto"/>
          <w:highlight w:val="none"/>
        </w:rPr>
        <w:t>签订合同</w:t>
      </w:r>
    </w:p>
    <w:p>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7.7.1</w:t>
      </w:r>
      <w:r>
        <w:rPr>
          <w:rFonts w:hint="eastAsia" w:ascii="宋体" w:hAnsi="宋体"/>
          <w:color w:val="auto"/>
          <w:szCs w:val="21"/>
          <w:highlight w:val="none"/>
        </w:rPr>
        <w:t>招标人和中标人应当在中标通知书发出之日起</w:t>
      </w:r>
      <w:r>
        <w:rPr>
          <w:rFonts w:ascii="宋体" w:hAnsi="宋体"/>
          <w:color w:val="auto"/>
          <w:szCs w:val="21"/>
          <w:highlight w:val="none"/>
        </w:rPr>
        <w:t>30</w:t>
      </w:r>
      <w:r>
        <w:rPr>
          <w:rFonts w:hint="eastAsia" w:ascii="宋体" w:hAnsi="宋体"/>
          <w:color w:val="auto"/>
          <w:szCs w:val="21"/>
          <w:highlight w:val="none"/>
        </w:rPr>
        <w:t>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7.7.2</w:t>
      </w:r>
      <w:r>
        <w:rPr>
          <w:rFonts w:hint="eastAsia" w:ascii="宋体" w:hAnsi="宋体"/>
          <w:color w:val="auto"/>
          <w:szCs w:val="21"/>
          <w:highlight w:val="none"/>
        </w:rPr>
        <w:t>发出中标通知书后，招标人无正当理由拒签合同，或者在签订合同时向中标人提出附加条件的，招标人向中标人退还投标保证金；给中标人造成损失的，还应当赔偿损失。</w:t>
      </w:r>
    </w:p>
    <w:p>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7.7.3</w:t>
      </w:r>
      <w:r>
        <w:rPr>
          <w:rFonts w:hint="eastAsia" w:ascii="宋体" w:hAnsi="宋体"/>
          <w:color w:val="auto"/>
          <w:szCs w:val="21"/>
          <w:highlight w:val="none"/>
        </w:rPr>
        <w:t>联合体中标的，联合体各方应当共同与招标人签订合同，就中标项目向招标人承担连带责任。</w:t>
      </w:r>
    </w:p>
    <w:p>
      <w:pPr>
        <w:pStyle w:val="5"/>
        <w:rPr>
          <w:color w:val="auto"/>
          <w:highlight w:val="none"/>
        </w:rPr>
      </w:pPr>
      <w:bookmarkStart w:id="90" w:name="bookmark68"/>
      <w:bookmarkEnd w:id="90"/>
      <w:bookmarkStart w:id="91" w:name="_Toc533357315"/>
      <w:bookmarkStart w:id="92" w:name="_Toc32395"/>
      <w:r>
        <w:rPr>
          <w:color w:val="auto"/>
          <w:highlight w:val="none"/>
        </w:rPr>
        <w:t xml:space="preserve">8. </w:t>
      </w:r>
      <w:r>
        <w:rPr>
          <w:rFonts w:hint="eastAsia"/>
          <w:color w:val="auto"/>
          <w:highlight w:val="none"/>
        </w:rPr>
        <w:t>纪律和监督</w:t>
      </w:r>
      <w:bookmarkEnd w:id="91"/>
      <w:bookmarkEnd w:id="92"/>
    </w:p>
    <w:p>
      <w:pPr>
        <w:pStyle w:val="7"/>
        <w:rPr>
          <w:color w:val="auto"/>
          <w:highlight w:val="none"/>
        </w:rPr>
      </w:pPr>
      <w:bookmarkStart w:id="93" w:name="bookmark69"/>
      <w:bookmarkEnd w:id="93"/>
      <w:r>
        <w:rPr>
          <w:color w:val="auto"/>
          <w:highlight w:val="none"/>
        </w:rPr>
        <w:t xml:space="preserve">8.1 </w:t>
      </w:r>
      <w:r>
        <w:rPr>
          <w:rFonts w:hint="eastAsia"/>
          <w:color w:val="auto"/>
          <w:highlight w:val="none"/>
        </w:rPr>
        <w:t>对招标人的纪律要求</w:t>
      </w:r>
    </w:p>
    <w:p>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招标人不得泄露招标投标活动中应当保密的情况和资料，不得与投标人串通损害国家利益、社会公共利益或者他人合法权益。</w:t>
      </w:r>
    </w:p>
    <w:p>
      <w:pPr>
        <w:pStyle w:val="12"/>
        <w:kinsoku w:val="0"/>
        <w:overflowPunct w:val="0"/>
        <w:spacing w:line="288" w:lineRule="auto"/>
        <w:ind w:firstLine="420" w:firstLineChars="200"/>
        <w:rPr>
          <w:rFonts w:ascii="宋体" w:hAnsi="宋体"/>
          <w:color w:val="auto"/>
          <w:szCs w:val="21"/>
          <w:highlight w:val="none"/>
        </w:rPr>
      </w:pPr>
    </w:p>
    <w:p>
      <w:pPr>
        <w:pStyle w:val="7"/>
        <w:rPr>
          <w:color w:val="auto"/>
          <w:highlight w:val="none"/>
        </w:rPr>
      </w:pPr>
      <w:bookmarkStart w:id="94" w:name="bookmark70"/>
      <w:bookmarkEnd w:id="94"/>
      <w:r>
        <w:rPr>
          <w:color w:val="auto"/>
          <w:highlight w:val="none"/>
        </w:rPr>
        <w:t xml:space="preserve">8.2 </w:t>
      </w:r>
      <w:r>
        <w:rPr>
          <w:rFonts w:hint="eastAsia"/>
          <w:color w:val="auto"/>
          <w:highlight w:val="none"/>
        </w:rPr>
        <w:t>对投标人的纪律要求</w:t>
      </w:r>
    </w:p>
    <w:p>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12"/>
        <w:kinsoku w:val="0"/>
        <w:overflowPunct w:val="0"/>
        <w:spacing w:line="288" w:lineRule="auto"/>
        <w:ind w:firstLine="420" w:firstLineChars="200"/>
        <w:rPr>
          <w:rFonts w:ascii="宋体" w:hAnsi="宋体"/>
          <w:color w:val="auto"/>
          <w:szCs w:val="21"/>
          <w:highlight w:val="none"/>
        </w:rPr>
      </w:pPr>
    </w:p>
    <w:p>
      <w:pPr>
        <w:pStyle w:val="7"/>
        <w:rPr>
          <w:color w:val="auto"/>
          <w:highlight w:val="none"/>
        </w:rPr>
      </w:pPr>
      <w:bookmarkStart w:id="95" w:name="bookmark71"/>
      <w:bookmarkEnd w:id="95"/>
      <w:r>
        <w:rPr>
          <w:color w:val="auto"/>
          <w:highlight w:val="none"/>
        </w:rPr>
        <w:t xml:space="preserve">8.3 </w:t>
      </w:r>
      <w:r>
        <w:rPr>
          <w:rFonts w:hint="eastAsia"/>
          <w:color w:val="auto"/>
          <w:highlight w:val="none"/>
        </w:rPr>
        <w:t>对评标委员会成员的纪律要求</w:t>
      </w:r>
    </w:p>
    <w:p>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pStyle w:val="12"/>
        <w:kinsoku w:val="0"/>
        <w:overflowPunct w:val="0"/>
        <w:spacing w:line="288" w:lineRule="auto"/>
        <w:ind w:firstLine="420" w:firstLineChars="200"/>
        <w:rPr>
          <w:rFonts w:ascii="宋体" w:hAnsi="宋体"/>
          <w:color w:val="auto"/>
          <w:szCs w:val="21"/>
          <w:highlight w:val="none"/>
        </w:rPr>
      </w:pPr>
    </w:p>
    <w:p>
      <w:pPr>
        <w:pStyle w:val="7"/>
        <w:rPr>
          <w:color w:val="auto"/>
          <w:highlight w:val="none"/>
        </w:rPr>
      </w:pPr>
      <w:bookmarkStart w:id="96" w:name="bookmark72"/>
      <w:bookmarkEnd w:id="96"/>
      <w:r>
        <w:rPr>
          <w:color w:val="auto"/>
          <w:highlight w:val="none"/>
        </w:rPr>
        <w:t xml:space="preserve">8.4 </w:t>
      </w:r>
      <w:r>
        <w:rPr>
          <w:rFonts w:hint="eastAsia"/>
          <w:color w:val="auto"/>
          <w:highlight w:val="none"/>
        </w:rPr>
        <w:t>对与评标活动有关的工作人员的纪律要求</w:t>
      </w:r>
    </w:p>
    <w:p>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pStyle w:val="12"/>
        <w:kinsoku w:val="0"/>
        <w:overflowPunct w:val="0"/>
        <w:spacing w:line="288" w:lineRule="auto"/>
        <w:ind w:firstLine="420" w:firstLineChars="200"/>
        <w:rPr>
          <w:rFonts w:ascii="宋体" w:hAnsi="宋体"/>
          <w:color w:val="auto"/>
          <w:szCs w:val="21"/>
          <w:highlight w:val="none"/>
        </w:rPr>
      </w:pPr>
    </w:p>
    <w:p>
      <w:pPr>
        <w:pStyle w:val="7"/>
        <w:rPr>
          <w:color w:val="auto"/>
          <w:highlight w:val="none"/>
        </w:rPr>
      </w:pPr>
      <w:bookmarkStart w:id="97" w:name="bookmark73"/>
      <w:bookmarkEnd w:id="97"/>
      <w:r>
        <w:rPr>
          <w:color w:val="auto"/>
          <w:highlight w:val="none"/>
        </w:rPr>
        <w:t xml:space="preserve">8.5 </w:t>
      </w:r>
      <w:r>
        <w:rPr>
          <w:rFonts w:hint="eastAsia"/>
          <w:color w:val="auto"/>
          <w:highlight w:val="none"/>
        </w:rPr>
        <w:t>投诉</w:t>
      </w:r>
    </w:p>
    <w:p>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8.5.1</w:t>
      </w:r>
      <w:r>
        <w:rPr>
          <w:rFonts w:hint="eastAsia" w:ascii="宋体" w:hAnsi="宋体"/>
          <w:color w:val="auto"/>
          <w:szCs w:val="21"/>
          <w:highlight w:val="none"/>
        </w:rPr>
        <w:t>投标人或者其他利害关系人认为招标投标活动不符合法律、行政法规规定的，可以自知道或者应当知道之日起</w:t>
      </w:r>
      <w:r>
        <w:rPr>
          <w:rFonts w:ascii="宋体" w:hAnsi="宋体"/>
          <w:color w:val="auto"/>
          <w:szCs w:val="21"/>
          <w:highlight w:val="none"/>
        </w:rPr>
        <w:t>10</w:t>
      </w:r>
      <w:r>
        <w:rPr>
          <w:rFonts w:hint="eastAsia" w:ascii="宋体" w:hAnsi="宋体"/>
          <w:color w:val="auto"/>
          <w:szCs w:val="21"/>
          <w:highlight w:val="none"/>
        </w:rPr>
        <w:t>日内向有关行政监督部门投诉。投诉应当有明确的请求和必要的证明材料。</w:t>
      </w:r>
    </w:p>
    <w:p>
      <w:pPr>
        <w:pStyle w:val="12"/>
        <w:kinsoku w:val="0"/>
        <w:overflowPunct w:val="0"/>
        <w:spacing w:line="288" w:lineRule="auto"/>
        <w:ind w:firstLine="420" w:firstLineChars="200"/>
        <w:rPr>
          <w:rFonts w:ascii="宋体" w:hAnsi="宋体"/>
          <w:color w:val="auto"/>
          <w:szCs w:val="21"/>
          <w:highlight w:val="none"/>
        </w:rPr>
      </w:pPr>
      <w:r>
        <w:rPr>
          <w:rFonts w:ascii="宋体" w:hAnsi="宋体"/>
          <w:color w:val="auto"/>
          <w:szCs w:val="21"/>
          <w:highlight w:val="none"/>
        </w:rPr>
        <w:t>8.5.2</w:t>
      </w:r>
      <w:r>
        <w:rPr>
          <w:rFonts w:hint="eastAsia" w:ascii="宋体" w:hAnsi="宋体"/>
          <w:color w:val="auto"/>
          <w:szCs w:val="21"/>
          <w:highlight w:val="none"/>
        </w:rPr>
        <w:t>投标人或者其他利害关系人对招标文件、开标和评标结果提出投诉的，应当按照投标人须知第</w:t>
      </w:r>
      <w:r>
        <w:rPr>
          <w:rFonts w:ascii="宋体" w:hAnsi="宋体"/>
          <w:color w:val="auto"/>
          <w:szCs w:val="21"/>
          <w:highlight w:val="none"/>
        </w:rPr>
        <w:t>2.4</w:t>
      </w:r>
      <w:r>
        <w:rPr>
          <w:rFonts w:hint="eastAsia" w:ascii="宋体" w:hAnsi="宋体"/>
          <w:color w:val="auto"/>
          <w:szCs w:val="21"/>
          <w:highlight w:val="none"/>
        </w:rPr>
        <w:t>款、第</w:t>
      </w:r>
      <w:r>
        <w:rPr>
          <w:rFonts w:ascii="宋体" w:hAnsi="宋体"/>
          <w:color w:val="auto"/>
          <w:szCs w:val="21"/>
          <w:highlight w:val="none"/>
        </w:rPr>
        <w:t>5.3</w:t>
      </w:r>
      <w:r>
        <w:rPr>
          <w:rFonts w:hint="eastAsia" w:ascii="宋体" w:hAnsi="宋体"/>
          <w:color w:val="auto"/>
          <w:szCs w:val="21"/>
          <w:highlight w:val="none"/>
        </w:rPr>
        <w:t>款和第</w:t>
      </w:r>
      <w:r>
        <w:rPr>
          <w:rFonts w:ascii="宋体" w:hAnsi="宋体"/>
          <w:color w:val="auto"/>
          <w:szCs w:val="21"/>
          <w:highlight w:val="none"/>
        </w:rPr>
        <w:t>7.2</w:t>
      </w:r>
      <w:r>
        <w:rPr>
          <w:rFonts w:hint="eastAsia" w:ascii="宋体" w:hAnsi="宋体"/>
          <w:color w:val="auto"/>
          <w:szCs w:val="21"/>
          <w:highlight w:val="none"/>
        </w:rPr>
        <w:t>款的规定先向招标人提出异议。异议答复期间不计算在第</w:t>
      </w:r>
      <w:r>
        <w:rPr>
          <w:rFonts w:ascii="宋体" w:hAnsi="宋体"/>
          <w:color w:val="auto"/>
          <w:szCs w:val="21"/>
          <w:highlight w:val="none"/>
        </w:rPr>
        <w:t>8.5.1</w:t>
      </w:r>
      <w:r>
        <w:rPr>
          <w:rFonts w:hint="eastAsia" w:ascii="宋体" w:hAnsi="宋体"/>
          <w:color w:val="auto"/>
          <w:szCs w:val="21"/>
          <w:highlight w:val="none"/>
        </w:rPr>
        <w:t>项规定的期限内。</w:t>
      </w:r>
    </w:p>
    <w:p>
      <w:pPr>
        <w:pStyle w:val="5"/>
        <w:rPr>
          <w:color w:val="auto"/>
          <w:highlight w:val="none"/>
        </w:rPr>
      </w:pPr>
      <w:bookmarkStart w:id="98" w:name="bookmark74"/>
      <w:bookmarkEnd w:id="98"/>
      <w:bookmarkStart w:id="99" w:name="_Toc11707"/>
      <w:r>
        <w:rPr>
          <w:color w:val="auto"/>
          <w:highlight w:val="none"/>
        </w:rPr>
        <w:t xml:space="preserve">9. </w:t>
      </w:r>
      <w:r>
        <w:rPr>
          <w:rFonts w:hint="eastAsia"/>
          <w:color w:val="auto"/>
          <w:highlight w:val="none"/>
        </w:rPr>
        <w:t>是否采用电子招标投标</w:t>
      </w:r>
      <w:bookmarkEnd w:id="99"/>
    </w:p>
    <w:p>
      <w:pPr>
        <w:pStyle w:val="12"/>
        <w:kinsoku w:val="0"/>
        <w:overflowPunct w:val="0"/>
        <w:spacing w:line="288" w:lineRule="auto"/>
        <w:ind w:firstLine="420" w:firstLineChars="200"/>
        <w:rPr>
          <w:rFonts w:ascii="宋体" w:hAnsi="宋体"/>
          <w:color w:val="auto"/>
          <w:szCs w:val="21"/>
          <w:highlight w:val="none"/>
        </w:rPr>
      </w:pPr>
      <w:r>
        <w:rPr>
          <w:rFonts w:hint="eastAsia" w:ascii="宋体" w:hAnsi="宋体"/>
          <w:color w:val="auto"/>
          <w:szCs w:val="21"/>
          <w:highlight w:val="none"/>
        </w:rPr>
        <w:t>本招标项目采用电子招标投标方式，具体要求见投标人须知前附表。</w:t>
      </w:r>
    </w:p>
    <w:p>
      <w:pPr>
        <w:pStyle w:val="12"/>
        <w:kinsoku w:val="0"/>
        <w:overflowPunct w:val="0"/>
        <w:spacing w:line="288" w:lineRule="auto"/>
        <w:ind w:firstLine="420" w:firstLineChars="200"/>
        <w:rPr>
          <w:rFonts w:ascii="宋体" w:hAnsi="宋体"/>
          <w:color w:val="auto"/>
          <w:szCs w:val="21"/>
          <w:highlight w:val="none"/>
        </w:rPr>
      </w:pPr>
    </w:p>
    <w:p>
      <w:pPr>
        <w:pStyle w:val="5"/>
        <w:rPr>
          <w:color w:val="auto"/>
          <w:highlight w:val="none"/>
        </w:rPr>
      </w:pPr>
      <w:bookmarkStart w:id="100" w:name="bookmark75"/>
      <w:bookmarkEnd w:id="100"/>
      <w:bookmarkStart w:id="101" w:name="_Toc25151"/>
      <w:r>
        <w:rPr>
          <w:color w:val="auto"/>
          <w:highlight w:val="none"/>
        </w:rPr>
        <w:t xml:space="preserve">10. </w:t>
      </w:r>
      <w:r>
        <w:rPr>
          <w:rFonts w:hint="eastAsia"/>
          <w:color w:val="auto"/>
          <w:highlight w:val="none"/>
        </w:rPr>
        <w:t>需要补充的其他内容</w:t>
      </w:r>
      <w:bookmarkEnd w:id="101"/>
    </w:p>
    <w:p>
      <w:pPr>
        <w:ind w:firstLine="424" w:firstLineChars="202"/>
        <w:rPr>
          <w:rFonts w:ascii="宋体" w:hAnsi="宋体"/>
          <w:color w:val="auto"/>
          <w:highlight w:val="none"/>
        </w:rPr>
      </w:pPr>
      <w:r>
        <w:rPr>
          <w:rFonts w:hint="eastAsia" w:ascii="宋体" w:hAnsi="宋体"/>
          <w:color w:val="auto"/>
          <w:highlight w:val="none"/>
        </w:rPr>
        <w:t>需要补充的其他内容：见投标人须知前附表。</w:t>
      </w:r>
    </w:p>
    <w:p>
      <w:pPr>
        <w:ind w:firstLine="424" w:firstLineChars="202"/>
        <w:rPr>
          <w:rFonts w:ascii="宋体" w:hAnsi="宋体"/>
          <w:color w:val="auto"/>
          <w:highlight w:val="none"/>
        </w:rPr>
      </w:pPr>
    </w:p>
    <w:p>
      <w:pPr>
        <w:ind w:firstLine="424" w:firstLineChars="202"/>
        <w:rPr>
          <w:rFonts w:ascii="宋体" w:hAnsi="宋体"/>
          <w:color w:val="auto"/>
          <w:highlight w:val="none"/>
        </w:rPr>
      </w:pPr>
    </w:p>
    <w:p>
      <w:pPr>
        <w:ind w:firstLine="424" w:firstLineChars="202"/>
        <w:rPr>
          <w:rFonts w:ascii="宋体" w:hAnsi="宋体"/>
          <w:color w:val="auto"/>
          <w:highlight w:val="none"/>
        </w:rPr>
      </w:pPr>
    </w:p>
    <w:p>
      <w:pPr>
        <w:pStyle w:val="3"/>
        <w:rPr>
          <w:color w:val="auto"/>
          <w:highlight w:val="none"/>
        </w:rPr>
      </w:pPr>
      <w:r>
        <w:rPr>
          <w:color w:val="auto"/>
          <w:szCs w:val="24"/>
          <w:highlight w:val="none"/>
        </w:rPr>
        <w:br w:type="page"/>
      </w:r>
      <w:bookmarkStart w:id="102" w:name="_Toc18086"/>
      <w:bookmarkStart w:id="103" w:name="_Toc533357317"/>
      <w:r>
        <w:rPr>
          <w:rFonts w:hint="eastAsia"/>
          <w:color w:val="auto"/>
          <w:highlight w:val="none"/>
        </w:rPr>
        <w:t>第三章  评标办法（综合评估法）</w:t>
      </w:r>
      <w:bookmarkEnd w:id="102"/>
      <w:bookmarkEnd w:id="103"/>
    </w:p>
    <w:p>
      <w:pPr>
        <w:pStyle w:val="4"/>
        <w:rPr>
          <w:rFonts w:ascii="宋体" w:hAnsi="宋体"/>
          <w:color w:val="auto"/>
          <w:highlight w:val="none"/>
        </w:rPr>
      </w:pPr>
      <w:bookmarkStart w:id="104" w:name="_Toc31498"/>
      <w:bookmarkStart w:id="105" w:name="_Toc533357318"/>
      <w:r>
        <w:rPr>
          <w:rFonts w:hint="eastAsia" w:ascii="宋体" w:hAnsi="宋体"/>
          <w:color w:val="auto"/>
          <w:highlight w:val="none"/>
        </w:rPr>
        <w:t>评标办法前附表</w:t>
      </w:r>
      <w:bookmarkEnd w:id="104"/>
      <w:bookmarkEnd w:id="105"/>
    </w:p>
    <w:tbl>
      <w:tblPr>
        <w:tblStyle w:val="29"/>
        <w:tblW w:w="10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851"/>
        <w:gridCol w:w="1550"/>
        <w:gridCol w:w="7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18" w:type="dxa"/>
            <w:gridSpan w:val="2"/>
            <w:noWrap w:val="0"/>
            <w:vAlign w:val="center"/>
          </w:tcPr>
          <w:p>
            <w:pPr>
              <w:spacing w:line="276" w:lineRule="auto"/>
              <w:jc w:val="center"/>
              <w:rPr>
                <w:rFonts w:ascii="宋体" w:hAnsi="宋体"/>
                <w:b/>
                <w:color w:val="auto"/>
                <w:szCs w:val="21"/>
                <w:highlight w:val="none"/>
              </w:rPr>
            </w:pPr>
            <w:r>
              <w:rPr>
                <w:rFonts w:hint="eastAsia" w:ascii="宋体" w:hAnsi="宋体"/>
                <w:b/>
                <w:color w:val="auto"/>
                <w:szCs w:val="21"/>
                <w:highlight w:val="none"/>
              </w:rPr>
              <w:t>条款号</w:t>
            </w:r>
          </w:p>
        </w:tc>
        <w:tc>
          <w:tcPr>
            <w:tcW w:w="1550" w:type="dxa"/>
            <w:noWrap w:val="0"/>
            <w:vAlign w:val="center"/>
          </w:tcPr>
          <w:p>
            <w:pPr>
              <w:spacing w:line="276" w:lineRule="auto"/>
              <w:jc w:val="center"/>
              <w:rPr>
                <w:rFonts w:ascii="宋体" w:hAnsi="宋体"/>
                <w:b/>
                <w:color w:val="auto"/>
                <w:szCs w:val="21"/>
                <w:highlight w:val="none"/>
              </w:rPr>
            </w:pPr>
            <w:r>
              <w:rPr>
                <w:rFonts w:hint="eastAsia" w:ascii="宋体" w:hAnsi="宋体"/>
                <w:b/>
                <w:color w:val="auto"/>
                <w:szCs w:val="21"/>
                <w:highlight w:val="none"/>
              </w:rPr>
              <w:t>评审因素</w:t>
            </w:r>
          </w:p>
        </w:tc>
        <w:tc>
          <w:tcPr>
            <w:tcW w:w="7136" w:type="dxa"/>
            <w:noWrap w:val="0"/>
            <w:vAlign w:val="center"/>
          </w:tcPr>
          <w:p>
            <w:pPr>
              <w:spacing w:line="276" w:lineRule="auto"/>
              <w:jc w:val="center"/>
              <w:rPr>
                <w:rFonts w:ascii="宋体" w:hAnsi="宋体"/>
                <w:b/>
                <w:color w:val="auto"/>
                <w:szCs w:val="21"/>
                <w:highlight w:val="none"/>
              </w:rPr>
            </w:pPr>
            <w:r>
              <w:rPr>
                <w:rFonts w:hint="eastAsia" w:ascii="宋体" w:hAnsi="宋体"/>
                <w:b/>
                <w:color w:val="auto"/>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noWrap w:val="0"/>
            <w:vAlign w:val="center"/>
          </w:tcPr>
          <w:p>
            <w:pPr>
              <w:spacing w:line="276" w:lineRule="auto"/>
              <w:jc w:val="center"/>
              <w:rPr>
                <w:rFonts w:ascii="宋体" w:hAnsi="宋体"/>
                <w:color w:val="auto"/>
                <w:szCs w:val="21"/>
                <w:highlight w:val="none"/>
              </w:rPr>
            </w:pPr>
            <w:r>
              <w:rPr>
                <w:rFonts w:ascii="宋体" w:hAnsi="宋体"/>
                <w:color w:val="auto"/>
                <w:szCs w:val="21"/>
                <w:highlight w:val="none"/>
              </w:rPr>
              <w:t>1</w:t>
            </w:r>
          </w:p>
        </w:tc>
        <w:tc>
          <w:tcPr>
            <w:tcW w:w="851" w:type="dxa"/>
            <w:noWrap w:val="0"/>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评标方法</w:t>
            </w:r>
          </w:p>
        </w:tc>
        <w:tc>
          <w:tcPr>
            <w:tcW w:w="1550" w:type="dxa"/>
            <w:noWrap w:val="0"/>
            <w:vAlign w:val="center"/>
          </w:tcPr>
          <w:p>
            <w:pPr>
              <w:spacing w:line="276" w:lineRule="auto"/>
              <w:jc w:val="center"/>
              <w:rPr>
                <w:rFonts w:ascii="宋体" w:hAnsi="宋体" w:cs="宋体"/>
                <w:color w:val="auto"/>
                <w:szCs w:val="21"/>
                <w:highlight w:val="none"/>
              </w:rPr>
            </w:pPr>
            <w:r>
              <w:rPr>
                <w:rFonts w:hint="eastAsia" w:ascii="宋体" w:hAnsi="宋体" w:cs="宋体"/>
                <w:color w:val="auto"/>
                <w:szCs w:val="21"/>
                <w:highlight w:val="none"/>
              </w:rPr>
              <w:t>中标候选人排序方法</w:t>
            </w:r>
          </w:p>
        </w:tc>
        <w:tc>
          <w:tcPr>
            <w:tcW w:w="7136" w:type="dxa"/>
            <w:noWrap w:val="0"/>
            <w:vAlign w:val="center"/>
          </w:tcPr>
          <w:p>
            <w:pPr>
              <w:spacing w:line="276" w:lineRule="auto"/>
              <w:rPr>
                <w:rFonts w:ascii="宋体" w:hAnsi="宋体"/>
                <w:color w:val="auto"/>
                <w:szCs w:val="21"/>
                <w:highlight w:val="none"/>
              </w:rPr>
            </w:pPr>
            <w:r>
              <w:rPr>
                <w:rFonts w:hint="eastAsia" w:ascii="宋体" w:hAnsi="宋体"/>
                <w:color w:val="auto"/>
                <w:szCs w:val="21"/>
                <w:highlight w:val="none"/>
              </w:rPr>
              <w:t>本次评标采用综合评估法。评标委员会对满足招标文件实质性要求的投标文件，按照本章第2.2款规定的评分标准进行打分，并按得分由高到低顺序推荐中标候选人，排序的前一~三名为第一中标候选人、第二中标候选人和第三中标候选人。总得分相等时，以投标报价低的优先；报价也相等的，以检测</w:t>
            </w:r>
            <w:r>
              <w:rPr>
                <w:rFonts w:hint="eastAsia" w:ascii="宋体" w:hAnsi="宋体"/>
                <w:color w:val="auto"/>
                <w:szCs w:val="21"/>
                <w:highlight w:val="none"/>
                <w:lang w:val="en-US" w:eastAsia="zh-CN"/>
              </w:rPr>
              <w:t>和监测</w:t>
            </w:r>
            <w:r>
              <w:rPr>
                <w:rFonts w:hint="eastAsia" w:ascii="宋体" w:hAnsi="宋体"/>
                <w:color w:val="auto"/>
                <w:szCs w:val="21"/>
                <w:highlight w:val="none"/>
              </w:rPr>
              <w:t>方案得分高的优先；如果检测</w:t>
            </w:r>
            <w:r>
              <w:rPr>
                <w:rFonts w:hint="eastAsia" w:ascii="宋体" w:hAnsi="宋体"/>
                <w:color w:val="auto"/>
                <w:szCs w:val="21"/>
                <w:highlight w:val="none"/>
                <w:lang w:val="en-US" w:eastAsia="zh-CN"/>
              </w:rPr>
              <w:t>和监测</w:t>
            </w:r>
            <w:r>
              <w:rPr>
                <w:rFonts w:hint="eastAsia" w:ascii="宋体" w:hAnsi="宋体"/>
                <w:color w:val="auto"/>
                <w:szCs w:val="21"/>
                <w:highlight w:val="none"/>
              </w:rPr>
              <w:t>方案得分也相等，由评标委员会采用记名投票方式，以得票多的优先。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restart"/>
            <w:noWrap w:val="0"/>
            <w:vAlign w:val="center"/>
          </w:tcPr>
          <w:p>
            <w:pPr>
              <w:spacing w:line="276" w:lineRule="auto"/>
              <w:jc w:val="center"/>
              <w:rPr>
                <w:rFonts w:ascii="宋体" w:hAnsi="宋体"/>
                <w:color w:val="auto"/>
                <w:szCs w:val="21"/>
                <w:highlight w:val="none"/>
              </w:rPr>
            </w:pPr>
            <w:r>
              <w:rPr>
                <w:rFonts w:ascii="宋体" w:hAnsi="宋体"/>
                <w:color w:val="auto"/>
                <w:szCs w:val="21"/>
                <w:highlight w:val="none"/>
              </w:rPr>
              <w:t>2.1.1</w:t>
            </w:r>
          </w:p>
        </w:tc>
        <w:tc>
          <w:tcPr>
            <w:tcW w:w="851" w:type="dxa"/>
            <w:vMerge w:val="restart"/>
            <w:noWrap w:val="0"/>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形式评审标准</w:t>
            </w:r>
          </w:p>
        </w:tc>
        <w:tc>
          <w:tcPr>
            <w:tcW w:w="1550" w:type="dxa"/>
            <w:noWrap w:val="0"/>
            <w:vAlign w:val="center"/>
          </w:tcPr>
          <w:p>
            <w:pPr>
              <w:spacing w:line="276" w:lineRule="auto"/>
              <w:jc w:val="center"/>
              <w:rPr>
                <w:rFonts w:ascii="宋体" w:hAnsi="宋体" w:cs="宋体"/>
                <w:color w:val="auto"/>
                <w:szCs w:val="21"/>
                <w:highlight w:val="none"/>
              </w:rPr>
            </w:pPr>
            <w:r>
              <w:rPr>
                <w:rFonts w:hint="eastAsia" w:ascii="宋体" w:hAnsi="宋体" w:cs="宋体"/>
                <w:color w:val="auto"/>
                <w:szCs w:val="21"/>
                <w:highlight w:val="none"/>
              </w:rPr>
              <w:t>投标人名称</w:t>
            </w:r>
          </w:p>
        </w:tc>
        <w:tc>
          <w:tcPr>
            <w:tcW w:w="7136" w:type="dxa"/>
            <w:noWrap w:val="0"/>
            <w:vAlign w:val="center"/>
          </w:tcPr>
          <w:p>
            <w:pPr>
              <w:spacing w:line="276" w:lineRule="auto"/>
              <w:rPr>
                <w:rFonts w:ascii="宋体" w:hAnsi="宋体"/>
                <w:color w:val="auto"/>
                <w:szCs w:val="21"/>
                <w:highlight w:val="none"/>
              </w:rPr>
            </w:pPr>
            <w:r>
              <w:rPr>
                <w:rFonts w:hint="eastAsia" w:ascii="宋体" w:hAnsi="宋体"/>
                <w:color w:val="auto"/>
                <w:szCs w:val="21"/>
                <w:highlight w:val="none"/>
              </w:rPr>
              <w:t>与营业执照（或事业单位法人证书）、资质证书一致。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continue"/>
            <w:noWrap w:val="0"/>
            <w:vAlign w:val="center"/>
          </w:tcPr>
          <w:p>
            <w:pPr>
              <w:spacing w:line="276" w:lineRule="auto"/>
              <w:rPr>
                <w:rFonts w:ascii="宋体" w:hAnsi="宋体"/>
                <w:color w:val="auto"/>
                <w:szCs w:val="21"/>
                <w:highlight w:val="none"/>
              </w:rPr>
            </w:pPr>
          </w:p>
        </w:tc>
        <w:tc>
          <w:tcPr>
            <w:tcW w:w="851" w:type="dxa"/>
            <w:vMerge w:val="continue"/>
            <w:noWrap w:val="0"/>
            <w:vAlign w:val="center"/>
          </w:tcPr>
          <w:p>
            <w:pPr>
              <w:spacing w:line="276" w:lineRule="auto"/>
              <w:rPr>
                <w:rFonts w:ascii="宋体" w:hAnsi="宋体"/>
                <w:color w:val="auto"/>
                <w:szCs w:val="21"/>
                <w:highlight w:val="none"/>
              </w:rPr>
            </w:pPr>
          </w:p>
        </w:tc>
        <w:tc>
          <w:tcPr>
            <w:tcW w:w="1550" w:type="dxa"/>
            <w:noWrap w:val="0"/>
            <w:vAlign w:val="center"/>
          </w:tcPr>
          <w:p>
            <w:pPr>
              <w:spacing w:line="276" w:lineRule="auto"/>
              <w:jc w:val="center"/>
              <w:rPr>
                <w:rFonts w:ascii="宋体" w:hAnsi="宋体" w:cs="宋体"/>
                <w:color w:val="auto"/>
                <w:szCs w:val="21"/>
                <w:highlight w:val="none"/>
              </w:rPr>
            </w:pPr>
            <w:r>
              <w:rPr>
                <w:rFonts w:hint="eastAsia" w:ascii="宋体" w:hAnsi="宋体" w:cs="宋体"/>
                <w:color w:val="auto"/>
                <w:szCs w:val="21"/>
                <w:highlight w:val="none"/>
              </w:rPr>
              <w:t>投标函及其附表签字盖章</w:t>
            </w:r>
          </w:p>
        </w:tc>
        <w:tc>
          <w:tcPr>
            <w:tcW w:w="7136" w:type="dxa"/>
            <w:noWrap w:val="0"/>
            <w:vAlign w:val="center"/>
          </w:tcPr>
          <w:p>
            <w:pPr>
              <w:spacing w:line="276" w:lineRule="auto"/>
              <w:rPr>
                <w:rFonts w:ascii="宋体" w:hAnsi="宋体"/>
                <w:color w:val="auto"/>
                <w:szCs w:val="21"/>
                <w:highlight w:val="none"/>
              </w:rPr>
            </w:pPr>
            <w:r>
              <w:rPr>
                <w:rFonts w:hint="eastAsia" w:ascii="宋体" w:hAnsi="宋体"/>
                <w:color w:val="auto"/>
                <w:szCs w:val="21"/>
                <w:highlight w:val="none"/>
              </w:rPr>
              <w:t>投标函及其附表格式及签字盖章符合招标文件要求，由法定代表人签字的，应附法定代表人证明书，由代理人签字的，应附法定代表人证明书及授权委托书。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continue"/>
            <w:noWrap w:val="0"/>
            <w:vAlign w:val="center"/>
          </w:tcPr>
          <w:p>
            <w:pPr>
              <w:spacing w:line="276" w:lineRule="auto"/>
              <w:rPr>
                <w:rFonts w:ascii="宋体" w:hAnsi="宋体"/>
                <w:color w:val="auto"/>
                <w:szCs w:val="21"/>
                <w:highlight w:val="none"/>
              </w:rPr>
            </w:pPr>
          </w:p>
        </w:tc>
        <w:tc>
          <w:tcPr>
            <w:tcW w:w="851" w:type="dxa"/>
            <w:vMerge w:val="continue"/>
            <w:noWrap w:val="0"/>
            <w:vAlign w:val="center"/>
          </w:tcPr>
          <w:p>
            <w:pPr>
              <w:spacing w:line="276" w:lineRule="auto"/>
              <w:rPr>
                <w:rFonts w:ascii="宋体" w:hAnsi="宋体"/>
                <w:color w:val="auto"/>
                <w:szCs w:val="21"/>
                <w:highlight w:val="none"/>
              </w:rPr>
            </w:pPr>
          </w:p>
        </w:tc>
        <w:tc>
          <w:tcPr>
            <w:tcW w:w="1550" w:type="dxa"/>
            <w:noWrap w:val="0"/>
            <w:vAlign w:val="center"/>
          </w:tcPr>
          <w:p>
            <w:pPr>
              <w:spacing w:line="276" w:lineRule="auto"/>
              <w:jc w:val="center"/>
              <w:rPr>
                <w:rFonts w:ascii="宋体" w:hAnsi="宋体" w:cs="宋体"/>
                <w:color w:val="auto"/>
                <w:szCs w:val="21"/>
                <w:highlight w:val="none"/>
              </w:rPr>
            </w:pPr>
            <w:r>
              <w:rPr>
                <w:rFonts w:hint="eastAsia" w:ascii="宋体" w:hAnsi="宋体" w:cs="宋体"/>
                <w:color w:val="auto"/>
                <w:szCs w:val="21"/>
                <w:highlight w:val="none"/>
              </w:rPr>
              <w:t>投标文件格式</w:t>
            </w:r>
          </w:p>
        </w:tc>
        <w:tc>
          <w:tcPr>
            <w:tcW w:w="7136" w:type="dxa"/>
            <w:noWrap w:val="0"/>
            <w:vAlign w:val="center"/>
          </w:tcPr>
          <w:p>
            <w:pPr>
              <w:spacing w:line="276" w:lineRule="auto"/>
              <w:rPr>
                <w:rFonts w:ascii="宋体" w:hAnsi="宋体"/>
                <w:color w:val="auto"/>
                <w:szCs w:val="21"/>
                <w:highlight w:val="none"/>
              </w:rPr>
            </w:pPr>
            <w:r>
              <w:rPr>
                <w:rFonts w:hint="eastAsia" w:ascii="宋体" w:hAnsi="宋体"/>
                <w:color w:val="auto"/>
                <w:szCs w:val="21"/>
                <w:highlight w:val="none"/>
              </w:rPr>
              <w:t>符合第六章“投标文件格式”的规定。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continue"/>
            <w:noWrap w:val="0"/>
            <w:vAlign w:val="center"/>
          </w:tcPr>
          <w:p>
            <w:pPr>
              <w:spacing w:line="276" w:lineRule="auto"/>
              <w:rPr>
                <w:rFonts w:ascii="宋体" w:hAnsi="宋体"/>
                <w:color w:val="auto"/>
                <w:szCs w:val="21"/>
                <w:highlight w:val="none"/>
              </w:rPr>
            </w:pPr>
          </w:p>
        </w:tc>
        <w:tc>
          <w:tcPr>
            <w:tcW w:w="851" w:type="dxa"/>
            <w:vMerge w:val="continue"/>
            <w:noWrap w:val="0"/>
            <w:vAlign w:val="center"/>
          </w:tcPr>
          <w:p>
            <w:pPr>
              <w:spacing w:line="276" w:lineRule="auto"/>
              <w:rPr>
                <w:rFonts w:ascii="宋体" w:hAnsi="宋体"/>
                <w:color w:val="auto"/>
                <w:szCs w:val="21"/>
                <w:highlight w:val="none"/>
              </w:rPr>
            </w:pPr>
          </w:p>
        </w:tc>
        <w:tc>
          <w:tcPr>
            <w:tcW w:w="1550" w:type="dxa"/>
            <w:noWrap w:val="0"/>
            <w:vAlign w:val="center"/>
          </w:tcPr>
          <w:p>
            <w:pPr>
              <w:spacing w:line="276" w:lineRule="auto"/>
              <w:jc w:val="center"/>
              <w:rPr>
                <w:rFonts w:ascii="宋体" w:hAnsi="宋体" w:cs="宋体"/>
                <w:color w:val="auto"/>
                <w:szCs w:val="21"/>
                <w:highlight w:val="none"/>
              </w:rPr>
            </w:pPr>
            <w:r>
              <w:rPr>
                <w:rFonts w:hint="eastAsia" w:ascii="宋体" w:hAnsi="宋体" w:cs="宋体"/>
                <w:color w:val="auto"/>
                <w:szCs w:val="21"/>
                <w:highlight w:val="none"/>
              </w:rPr>
              <w:t>备选投标方案</w:t>
            </w:r>
          </w:p>
        </w:tc>
        <w:tc>
          <w:tcPr>
            <w:tcW w:w="7136" w:type="dxa"/>
            <w:noWrap w:val="0"/>
            <w:vAlign w:val="center"/>
          </w:tcPr>
          <w:p>
            <w:pPr>
              <w:spacing w:line="276" w:lineRule="auto"/>
              <w:rPr>
                <w:rFonts w:ascii="宋体" w:hAnsi="宋体"/>
                <w:color w:val="auto"/>
                <w:szCs w:val="21"/>
                <w:highlight w:val="none"/>
              </w:rPr>
            </w:pPr>
            <w:r>
              <w:rPr>
                <w:rFonts w:hint="eastAsia" w:ascii="宋体" w:hAnsi="宋体"/>
                <w:color w:val="auto"/>
                <w:szCs w:val="21"/>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767" w:type="dxa"/>
            <w:vMerge w:val="continue"/>
            <w:noWrap w:val="0"/>
            <w:vAlign w:val="center"/>
          </w:tcPr>
          <w:p>
            <w:pPr>
              <w:spacing w:line="276" w:lineRule="auto"/>
              <w:rPr>
                <w:rFonts w:ascii="宋体" w:hAnsi="宋体"/>
                <w:color w:val="auto"/>
                <w:szCs w:val="21"/>
                <w:highlight w:val="none"/>
              </w:rPr>
            </w:pPr>
          </w:p>
        </w:tc>
        <w:tc>
          <w:tcPr>
            <w:tcW w:w="851" w:type="dxa"/>
            <w:vMerge w:val="continue"/>
            <w:noWrap w:val="0"/>
            <w:vAlign w:val="center"/>
          </w:tcPr>
          <w:p>
            <w:pPr>
              <w:spacing w:line="276" w:lineRule="auto"/>
              <w:rPr>
                <w:rFonts w:ascii="宋体" w:hAnsi="宋体"/>
                <w:color w:val="auto"/>
                <w:szCs w:val="21"/>
                <w:highlight w:val="none"/>
              </w:rPr>
            </w:pPr>
          </w:p>
        </w:tc>
        <w:tc>
          <w:tcPr>
            <w:tcW w:w="1550" w:type="dxa"/>
            <w:noWrap w:val="0"/>
            <w:vAlign w:val="top"/>
          </w:tcPr>
          <w:p>
            <w:pPr>
              <w:spacing w:line="276" w:lineRule="auto"/>
              <w:jc w:val="center"/>
              <w:rPr>
                <w:rFonts w:ascii="宋体" w:hAnsi="宋体" w:cs="宋体"/>
                <w:color w:val="auto"/>
                <w:szCs w:val="21"/>
                <w:highlight w:val="none"/>
              </w:rPr>
            </w:pPr>
            <w:r>
              <w:rPr>
                <w:rFonts w:hint="eastAsia" w:ascii="宋体" w:hAnsi="宋体" w:cs="宋体"/>
                <w:color w:val="auto"/>
                <w:szCs w:val="21"/>
                <w:highlight w:val="none"/>
              </w:rPr>
              <w:t>投标人机器码</w:t>
            </w:r>
          </w:p>
        </w:tc>
        <w:tc>
          <w:tcPr>
            <w:tcW w:w="7136" w:type="dxa"/>
            <w:noWrap w:val="0"/>
            <w:vAlign w:val="top"/>
          </w:tcPr>
          <w:p>
            <w:pPr>
              <w:spacing w:line="276" w:lineRule="auto"/>
              <w:rPr>
                <w:rFonts w:ascii="宋体" w:hAnsi="宋体"/>
                <w:color w:val="auto"/>
                <w:szCs w:val="21"/>
                <w:highlight w:val="none"/>
              </w:rPr>
            </w:pPr>
            <w:r>
              <w:rPr>
                <w:rFonts w:ascii="宋体" w:hAnsi="宋体" w:eastAsia="宋体" w:cs="宋体"/>
                <w:spacing w:val="6"/>
                <w:sz w:val="21"/>
                <w:szCs w:val="21"/>
              </w:rPr>
              <w:t>投</w:t>
            </w:r>
            <w:r>
              <w:rPr>
                <w:rFonts w:ascii="宋体" w:hAnsi="宋体" w:eastAsia="宋体" w:cs="宋体"/>
                <w:spacing w:val="5"/>
                <w:sz w:val="21"/>
                <w:szCs w:val="21"/>
              </w:rPr>
              <w:t>标人与其他投标人加密打包投标文件电脑机器特征码一致</w:t>
            </w:r>
            <w:r>
              <w:rPr>
                <w:rFonts w:ascii="宋体" w:hAnsi="宋体" w:eastAsia="宋体" w:cs="宋体"/>
                <w:spacing w:val="-1"/>
                <w:sz w:val="21"/>
                <w:szCs w:val="21"/>
              </w:rPr>
              <w:t>的</w:t>
            </w:r>
            <w:r>
              <w:rPr>
                <w:rFonts w:hint="eastAsia" w:ascii="Times New Roman" w:hAnsi="Times New Roman" w:eastAsia="宋体" w:cs="Times New Roman"/>
                <w:spacing w:val="-1"/>
                <w:sz w:val="21"/>
                <w:szCs w:val="21"/>
                <w:lang w:eastAsia="zh-CN"/>
              </w:rPr>
              <w:t>（</w:t>
            </w:r>
            <w:r>
              <w:rPr>
                <w:rFonts w:ascii="宋体" w:hAnsi="宋体" w:eastAsia="宋体" w:cs="宋体"/>
                <w:spacing w:val="-1"/>
                <w:sz w:val="21"/>
                <w:szCs w:val="21"/>
              </w:rPr>
              <w:t>以广州公共资源交</w:t>
            </w:r>
            <w:r>
              <w:rPr>
                <w:rFonts w:ascii="宋体" w:hAnsi="宋体" w:eastAsia="宋体" w:cs="宋体"/>
                <w:sz w:val="21"/>
                <w:szCs w:val="21"/>
              </w:rPr>
              <w:t>易中心评标系统的检索信息为准</w:t>
            </w:r>
            <w:r>
              <w:rPr>
                <w:rFonts w:hint="eastAsia" w:ascii="Times New Roman" w:hAnsi="Times New Roman" w:eastAsia="宋体" w:cs="Times New Roman"/>
                <w:spacing w:val="-1"/>
                <w:sz w:val="21"/>
                <w:szCs w:val="21"/>
                <w:lang w:eastAsia="zh-CN"/>
              </w:rPr>
              <w:t>）</w:t>
            </w:r>
            <w:r>
              <w:rPr>
                <w:rFonts w:ascii="宋体" w:hAnsi="宋体" w:eastAsia="宋体" w:cs="宋体"/>
                <w:sz w:val="21"/>
                <w:szCs w:val="21"/>
              </w:rPr>
              <w:t>将被否</w:t>
            </w:r>
            <w:r>
              <w:rPr>
                <w:rFonts w:ascii="宋体" w:hAnsi="宋体" w:eastAsia="宋体" w:cs="宋体"/>
                <w:spacing w:val="-12"/>
                <w:sz w:val="21"/>
                <w:szCs w:val="21"/>
              </w:rPr>
              <w:t>决</w:t>
            </w:r>
            <w:r>
              <w:rPr>
                <w:rFonts w:ascii="宋体" w:hAnsi="宋体" w:eastAsia="宋体" w:cs="宋体"/>
                <w:spacing w:val="-1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restart"/>
            <w:noWrap w:val="0"/>
            <w:vAlign w:val="center"/>
          </w:tcPr>
          <w:p>
            <w:pPr>
              <w:spacing w:line="276" w:lineRule="auto"/>
              <w:jc w:val="center"/>
              <w:rPr>
                <w:rFonts w:ascii="宋体" w:hAnsi="宋体"/>
                <w:color w:val="auto"/>
                <w:szCs w:val="21"/>
                <w:highlight w:val="none"/>
              </w:rPr>
            </w:pPr>
            <w:r>
              <w:rPr>
                <w:rFonts w:ascii="宋体" w:hAnsi="宋体"/>
                <w:color w:val="auto"/>
                <w:szCs w:val="21"/>
                <w:highlight w:val="none"/>
              </w:rPr>
              <w:t>2.1.2</w:t>
            </w:r>
          </w:p>
        </w:tc>
        <w:tc>
          <w:tcPr>
            <w:tcW w:w="851" w:type="dxa"/>
            <w:vMerge w:val="restart"/>
            <w:noWrap w:val="0"/>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资格评审标准</w:t>
            </w:r>
          </w:p>
        </w:tc>
        <w:tc>
          <w:tcPr>
            <w:tcW w:w="1550" w:type="dxa"/>
            <w:noWrap w:val="0"/>
            <w:vAlign w:val="center"/>
          </w:tcPr>
          <w:p>
            <w:pPr>
              <w:spacing w:line="276" w:lineRule="auto"/>
              <w:jc w:val="center"/>
              <w:rPr>
                <w:rFonts w:ascii="宋体" w:hAnsi="宋体" w:cs="宋体"/>
                <w:color w:val="auto"/>
                <w:szCs w:val="21"/>
                <w:highlight w:val="none"/>
              </w:rPr>
            </w:pPr>
            <w:r>
              <w:rPr>
                <w:rFonts w:hint="eastAsia" w:ascii="宋体" w:hAnsi="宋体" w:cs="宋体"/>
                <w:color w:val="auto"/>
                <w:szCs w:val="21"/>
                <w:highlight w:val="none"/>
              </w:rPr>
              <w:t>营业执照</w:t>
            </w:r>
            <w:r>
              <w:rPr>
                <w:rFonts w:hint="eastAsia" w:ascii="宋体" w:hAnsi="宋体" w:cs="宋体"/>
                <w:color w:val="auto"/>
                <w:szCs w:val="21"/>
                <w:highlight w:val="none"/>
                <w:u w:val="single"/>
              </w:rPr>
              <w:t>（或事业单位法人证书）</w:t>
            </w:r>
          </w:p>
        </w:tc>
        <w:tc>
          <w:tcPr>
            <w:tcW w:w="7136" w:type="dxa"/>
            <w:noWrap w:val="0"/>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符合第二章“投标人须知”第3.5.1项规定。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continue"/>
            <w:noWrap w:val="0"/>
            <w:vAlign w:val="center"/>
          </w:tcPr>
          <w:p>
            <w:pPr>
              <w:spacing w:line="276" w:lineRule="auto"/>
              <w:jc w:val="center"/>
              <w:rPr>
                <w:rFonts w:ascii="宋体" w:hAnsi="宋体"/>
                <w:color w:val="auto"/>
                <w:szCs w:val="21"/>
                <w:highlight w:val="none"/>
              </w:rPr>
            </w:pPr>
          </w:p>
        </w:tc>
        <w:tc>
          <w:tcPr>
            <w:tcW w:w="851" w:type="dxa"/>
            <w:vMerge w:val="continue"/>
            <w:noWrap w:val="0"/>
            <w:vAlign w:val="center"/>
          </w:tcPr>
          <w:p>
            <w:pPr>
              <w:spacing w:line="276" w:lineRule="auto"/>
              <w:jc w:val="center"/>
              <w:rPr>
                <w:rFonts w:ascii="宋体" w:hAnsi="宋体"/>
                <w:color w:val="auto"/>
                <w:szCs w:val="21"/>
                <w:highlight w:val="none"/>
              </w:rPr>
            </w:pPr>
          </w:p>
        </w:tc>
        <w:tc>
          <w:tcPr>
            <w:tcW w:w="1550" w:type="dxa"/>
            <w:noWrap w:val="0"/>
            <w:vAlign w:val="center"/>
          </w:tcPr>
          <w:p>
            <w:pPr>
              <w:spacing w:line="276" w:lineRule="auto"/>
              <w:jc w:val="center"/>
              <w:rPr>
                <w:rFonts w:ascii="宋体" w:hAnsi="宋体" w:cs="宋体"/>
                <w:color w:val="auto"/>
                <w:szCs w:val="21"/>
                <w:highlight w:val="none"/>
              </w:rPr>
            </w:pPr>
            <w:r>
              <w:rPr>
                <w:rFonts w:hint="eastAsia" w:ascii="宋体" w:hAnsi="宋体" w:cs="宋体"/>
                <w:color w:val="auto"/>
                <w:szCs w:val="21"/>
                <w:highlight w:val="none"/>
              </w:rPr>
              <w:t>资质要求</w:t>
            </w:r>
          </w:p>
        </w:tc>
        <w:tc>
          <w:tcPr>
            <w:tcW w:w="7136" w:type="dxa"/>
            <w:noWrap w:val="0"/>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符合第二章“投标人须知”第1.4.1项规定。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continue"/>
            <w:noWrap w:val="0"/>
            <w:vAlign w:val="center"/>
          </w:tcPr>
          <w:p>
            <w:pPr>
              <w:spacing w:line="276" w:lineRule="auto"/>
              <w:jc w:val="center"/>
              <w:rPr>
                <w:rFonts w:ascii="宋体" w:hAnsi="宋体"/>
                <w:color w:val="auto"/>
                <w:szCs w:val="21"/>
                <w:highlight w:val="none"/>
              </w:rPr>
            </w:pPr>
          </w:p>
        </w:tc>
        <w:tc>
          <w:tcPr>
            <w:tcW w:w="851" w:type="dxa"/>
            <w:vMerge w:val="continue"/>
            <w:noWrap w:val="0"/>
            <w:vAlign w:val="center"/>
          </w:tcPr>
          <w:p>
            <w:pPr>
              <w:spacing w:line="276" w:lineRule="auto"/>
              <w:jc w:val="center"/>
              <w:rPr>
                <w:rFonts w:ascii="宋体" w:hAnsi="宋体"/>
                <w:color w:val="auto"/>
                <w:szCs w:val="21"/>
                <w:highlight w:val="none"/>
              </w:rPr>
            </w:pPr>
          </w:p>
        </w:tc>
        <w:tc>
          <w:tcPr>
            <w:tcW w:w="1550" w:type="dxa"/>
            <w:noWrap w:val="0"/>
            <w:vAlign w:val="center"/>
          </w:tcPr>
          <w:p>
            <w:pPr>
              <w:spacing w:line="276" w:lineRule="auto"/>
              <w:jc w:val="center"/>
              <w:rPr>
                <w:rFonts w:ascii="宋体" w:hAnsi="宋体" w:cs="宋体"/>
                <w:color w:val="auto"/>
                <w:szCs w:val="21"/>
                <w:highlight w:val="none"/>
              </w:rPr>
            </w:pPr>
            <w:r>
              <w:rPr>
                <w:rFonts w:hint="eastAsia" w:ascii="宋体" w:hAnsi="宋体" w:cs="宋体"/>
                <w:color w:val="auto"/>
                <w:szCs w:val="21"/>
                <w:highlight w:val="none"/>
              </w:rPr>
              <w:t>业绩要求</w:t>
            </w:r>
          </w:p>
        </w:tc>
        <w:tc>
          <w:tcPr>
            <w:tcW w:w="7136" w:type="dxa"/>
            <w:noWrap w:val="0"/>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continue"/>
            <w:noWrap w:val="0"/>
            <w:vAlign w:val="center"/>
          </w:tcPr>
          <w:p>
            <w:pPr>
              <w:spacing w:line="276" w:lineRule="auto"/>
              <w:jc w:val="center"/>
              <w:rPr>
                <w:rFonts w:ascii="宋体" w:hAnsi="宋体"/>
                <w:color w:val="auto"/>
                <w:szCs w:val="21"/>
                <w:highlight w:val="none"/>
              </w:rPr>
            </w:pPr>
          </w:p>
        </w:tc>
        <w:tc>
          <w:tcPr>
            <w:tcW w:w="851" w:type="dxa"/>
            <w:vMerge w:val="continue"/>
            <w:noWrap w:val="0"/>
            <w:vAlign w:val="center"/>
          </w:tcPr>
          <w:p>
            <w:pPr>
              <w:spacing w:line="276" w:lineRule="auto"/>
              <w:jc w:val="center"/>
              <w:rPr>
                <w:rFonts w:ascii="宋体" w:hAnsi="宋体"/>
                <w:color w:val="auto"/>
                <w:szCs w:val="21"/>
                <w:highlight w:val="none"/>
              </w:rPr>
            </w:pPr>
          </w:p>
        </w:tc>
        <w:tc>
          <w:tcPr>
            <w:tcW w:w="1550" w:type="dxa"/>
            <w:noWrap w:val="0"/>
            <w:vAlign w:val="center"/>
          </w:tcPr>
          <w:p>
            <w:pPr>
              <w:spacing w:line="276" w:lineRule="auto"/>
              <w:jc w:val="center"/>
              <w:rPr>
                <w:rFonts w:ascii="宋体" w:hAnsi="宋体" w:cs="宋体"/>
                <w:color w:val="auto"/>
                <w:szCs w:val="21"/>
                <w:highlight w:val="none"/>
              </w:rPr>
            </w:pPr>
            <w:r>
              <w:rPr>
                <w:rFonts w:hint="eastAsia" w:ascii="宋体" w:hAnsi="宋体" w:cs="宋体"/>
                <w:color w:val="auto"/>
                <w:szCs w:val="21"/>
                <w:highlight w:val="none"/>
              </w:rPr>
              <w:t>项目负责人</w:t>
            </w:r>
          </w:p>
        </w:tc>
        <w:tc>
          <w:tcPr>
            <w:tcW w:w="7136" w:type="dxa"/>
            <w:noWrap w:val="0"/>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符合第二章“投标人须知”第1.4.1项规定。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767" w:type="dxa"/>
            <w:vMerge w:val="continue"/>
            <w:noWrap w:val="0"/>
            <w:vAlign w:val="center"/>
          </w:tcPr>
          <w:p>
            <w:pPr>
              <w:spacing w:line="276" w:lineRule="auto"/>
              <w:jc w:val="center"/>
              <w:rPr>
                <w:rFonts w:ascii="宋体" w:hAnsi="宋体"/>
                <w:color w:val="auto"/>
                <w:szCs w:val="21"/>
                <w:highlight w:val="none"/>
              </w:rPr>
            </w:pPr>
          </w:p>
        </w:tc>
        <w:tc>
          <w:tcPr>
            <w:tcW w:w="851" w:type="dxa"/>
            <w:vMerge w:val="continue"/>
            <w:noWrap w:val="0"/>
            <w:vAlign w:val="center"/>
          </w:tcPr>
          <w:p>
            <w:pPr>
              <w:spacing w:line="276" w:lineRule="auto"/>
              <w:jc w:val="center"/>
              <w:rPr>
                <w:rFonts w:ascii="宋体" w:hAnsi="宋体"/>
                <w:color w:val="auto"/>
                <w:szCs w:val="21"/>
                <w:highlight w:val="none"/>
              </w:rPr>
            </w:pPr>
          </w:p>
        </w:tc>
        <w:tc>
          <w:tcPr>
            <w:tcW w:w="1550" w:type="dxa"/>
            <w:noWrap w:val="0"/>
            <w:vAlign w:val="center"/>
          </w:tcPr>
          <w:p>
            <w:pPr>
              <w:spacing w:line="276" w:lineRule="auto"/>
              <w:jc w:val="center"/>
              <w:rPr>
                <w:rFonts w:ascii="宋体" w:hAnsi="宋体" w:cs="宋体"/>
                <w:color w:val="auto"/>
                <w:szCs w:val="21"/>
                <w:highlight w:val="none"/>
              </w:rPr>
            </w:pPr>
            <w:r>
              <w:rPr>
                <w:rFonts w:hint="eastAsia" w:ascii="宋体" w:hAnsi="宋体" w:cs="宋体"/>
                <w:color w:val="auto"/>
                <w:szCs w:val="21"/>
                <w:highlight w:val="none"/>
              </w:rPr>
              <w:t>其他主要人员</w:t>
            </w:r>
          </w:p>
        </w:tc>
        <w:tc>
          <w:tcPr>
            <w:tcW w:w="7136" w:type="dxa"/>
            <w:noWrap w:val="0"/>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continue"/>
            <w:noWrap w:val="0"/>
            <w:vAlign w:val="center"/>
          </w:tcPr>
          <w:p>
            <w:pPr>
              <w:spacing w:line="276" w:lineRule="auto"/>
              <w:jc w:val="center"/>
              <w:rPr>
                <w:rFonts w:ascii="宋体" w:hAnsi="宋体"/>
                <w:color w:val="auto"/>
                <w:szCs w:val="21"/>
                <w:highlight w:val="none"/>
              </w:rPr>
            </w:pPr>
          </w:p>
        </w:tc>
        <w:tc>
          <w:tcPr>
            <w:tcW w:w="851" w:type="dxa"/>
            <w:vMerge w:val="continue"/>
            <w:noWrap w:val="0"/>
            <w:vAlign w:val="center"/>
          </w:tcPr>
          <w:p>
            <w:pPr>
              <w:spacing w:line="276" w:lineRule="auto"/>
              <w:jc w:val="center"/>
              <w:rPr>
                <w:rFonts w:ascii="宋体" w:hAnsi="宋体"/>
                <w:color w:val="auto"/>
                <w:szCs w:val="21"/>
                <w:highlight w:val="none"/>
              </w:rPr>
            </w:pPr>
          </w:p>
        </w:tc>
        <w:tc>
          <w:tcPr>
            <w:tcW w:w="1550" w:type="dxa"/>
            <w:noWrap w:val="0"/>
            <w:vAlign w:val="center"/>
          </w:tcPr>
          <w:p>
            <w:pPr>
              <w:spacing w:line="276" w:lineRule="auto"/>
              <w:jc w:val="center"/>
              <w:rPr>
                <w:rFonts w:ascii="宋体" w:hAnsi="宋体" w:cs="宋体"/>
                <w:color w:val="auto"/>
                <w:szCs w:val="21"/>
                <w:highlight w:val="none"/>
              </w:rPr>
            </w:pPr>
            <w:r>
              <w:rPr>
                <w:rFonts w:hint="eastAsia" w:ascii="宋体" w:hAnsi="宋体" w:cs="宋体"/>
                <w:color w:val="auto"/>
                <w:szCs w:val="21"/>
                <w:highlight w:val="none"/>
              </w:rPr>
              <w:t>试验检测仪器设备</w:t>
            </w:r>
          </w:p>
        </w:tc>
        <w:tc>
          <w:tcPr>
            <w:tcW w:w="7136" w:type="dxa"/>
            <w:noWrap w:val="0"/>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continue"/>
            <w:noWrap w:val="0"/>
            <w:vAlign w:val="center"/>
          </w:tcPr>
          <w:p>
            <w:pPr>
              <w:spacing w:line="276" w:lineRule="auto"/>
              <w:jc w:val="center"/>
              <w:rPr>
                <w:rFonts w:ascii="宋体" w:hAnsi="宋体"/>
                <w:color w:val="auto"/>
                <w:szCs w:val="21"/>
                <w:highlight w:val="none"/>
              </w:rPr>
            </w:pPr>
          </w:p>
        </w:tc>
        <w:tc>
          <w:tcPr>
            <w:tcW w:w="851" w:type="dxa"/>
            <w:vMerge w:val="continue"/>
            <w:noWrap w:val="0"/>
            <w:vAlign w:val="center"/>
          </w:tcPr>
          <w:p>
            <w:pPr>
              <w:spacing w:line="276" w:lineRule="auto"/>
              <w:jc w:val="center"/>
              <w:rPr>
                <w:rFonts w:ascii="宋体" w:hAnsi="宋体"/>
                <w:color w:val="auto"/>
                <w:szCs w:val="21"/>
                <w:highlight w:val="none"/>
              </w:rPr>
            </w:pPr>
          </w:p>
        </w:tc>
        <w:tc>
          <w:tcPr>
            <w:tcW w:w="1550" w:type="dxa"/>
            <w:noWrap w:val="0"/>
            <w:vAlign w:val="center"/>
          </w:tcPr>
          <w:p>
            <w:pPr>
              <w:spacing w:line="276" w:lineRule="auto"/>
              <w:jc w:val="center"/>
              <w:rPr>
                <w:rFonts w:ascii="宋体" w:hAnsi="宋体" w:cs="宋体"/>
                <w:color w:val="auto"/>
                <w:szCs w:val="21"/>
                <w:highlight w:val="none"/>
              </w:rPr>
            </w:pPr>
            <w:r>
              <w:rPr>
                <w:rFonts w:hint="eastAsia" w:ascii="宋体" w:hAnsi="宋体" w:cs="宋体"/>
                <w:color w:val="auto"/>
                <w:szCs w:val="21"/>
                <w:highlight w:val="none"/>
              </w:rPr>
              <w:t>其他要求</w:t>
            </w:r>
          </w:p>
        </w:tc>
        <w:tc>
          <w:tcPr>
            <w:tcW w:w="7136" w:type="dxa"/>
            <w:noWrap w:val="0"/>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符合第二章“投标人须知”第1.4.1项规定。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continue"/>
            <w:noWrap w:val="0"/>
            <w:vAlign w:val="center"/>
          </w:tcPr>
          <w:p>
            <w:pPr>
              <w:spacing w:line="276" w:lineRule="auto"/>
              <w:jc w:val="center"/>
              <w:rPr>
                <w:rFonts w:ascii="宋体" w:hAnsi="宋体"/>
                <w:color w:val="auto"/>
                <w:szCs w:val="21"/>
                <w:highlight w:val="none"/>
              </w:rPr>
            </w:pPr>
          </w:p>
        </w:tc>
        <w:tc>
          <w:tcPr>
            <w:tcW w:w="851" w:type="dxa"/>
            <w:vMerge w:val="continue"/>
            <w:noWrap w:val="0"/>
            <w:vAlign w:val="center"/>
          </w:tcPr>
          <w:p>
            <w:pPr>
              <w:spacing w:line="276" w:lineRule="auto"/>
              <w:jc w:val="center"/>
              <w:rPr>
                <w:rFonts w:ascii="宋体" w:hAnsi="宋体"/>
                <w:color w:val="auto"/>
                <w:szCs w:val="21"/>
                <w:highlight w:val="none"/>
              </w:rPr>
            </w:pPr>
          </w:p>
        </w:tc>
        <w:tc>
          <w:tcPr>
            <w:tcW w:w="1550" w:type="dxa"/>
            <w:noWrap w:val="0"/>
            <w:vAlign w:val="center"/>
          </w:tcPr>
          <w:p>
            <w:pPr>
              <w:spacing w:line="276" w:lineRule="auto"/>
              <w:jc w:val="center"/>
              <w:rPr>
                <w:rFonts w:ascii="宋体" w:hAnsi="宋体" w:cs="宋体"/>
                <w:color w:val="auto"/>
                <w:szCs w:val="21"/>
                <w:highlight w:val="none"/>
              </w:rPr>
            </w:pPr>
            <w:r>
              <w:rPr>
                <w:rFonts w:hint="eastAsia" w:ascii="宋体" w:hAnsi="宋体" w:cs="宋体"/>
                <w:color w:val="auto"/>
                <w:szCs w:val="21"/>
                <w:highlight w:val="none"/>
              </w:rPr>
              <w:t>联合体投标人</w:t>
            </w:r>
          </w:p>
        </w:tc>
        <w:tc>
          <w:tcPr>
            <w:tcW w:w="7136" w:type="dxa"/>
            <w:noWrap w:val="0"/>
            <w:vAlign w:val="center"/>
          </w:tcPr>
          <w:p>
            <w:pPr>
              <w:spacing w:line="276" w:lineRule="auto"/>
              <w:rPr>
                <w:rFonts w:ascii="宋体" w:hAnsi="宋体"/>
                <w:color w:val="auto"/>
                <w:szCs w:val="21"/>
                <w:highlight w:val="none"/>
              </w:rPr>
            </w:pPr>
            <w:r>
              <w:rPr>
                <w:rFonts w:hint="eastAsia" w:ascii="宋体" w:hAnsi="宋体" w:cs="宋体"/>
                <w:color w:val="auto"/>
                <w:szCs w:val="21"/>
                <w:highlight w:val="none"/>
              </w:rPr>
              <w:t>符合第二章“投标人须知”第1.4.</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continue"/>
            <w:noWrap w:val="0"/>
            <w:vAlign w:val="center"/>
          </w:tcPr>
          <w:p>
            <w:pPr>
              <w:spacing w:line="276" w:lineRule="auto"/>
              <w:jc w:val="center"/>
              <w:rPr>
                <w:rFonts w:ascii="宋体" w:hAnsi="宋体"/>
                <w:color w:val="auto"/>
                <w:szCs w:val="21"/>
                <w:highlight w:val="none"/>
              </w:rPr>
            </w:pPr>
          </w:p>
        </w:tc>
        <w:tc>
          <w:tcPr>
            <w:tcW w:w="851" w:type="dxa"/>
            <w:vMerge w:val="continue"/>
            <w:noWrap w:val="0"/>
            <w:vAlign w:val="center"/>
          </w:tcPr>
          <w:p>
            <w:pPr>
              <w:spacing w:line="276" w:lineRule="auto"/>
              <w:jc w:val="center"/>
              <w:rPr>
                <w:rFonts w:ascii="宋体" w:hAnsi="宋体"/>
                <w:color w:val="auto"/>
                <w:szCs w:val="21"/>
                <w:highlight w:val="none"/>
              </w:rPr>
            </w:pPr>
          </w:p>
        </w:tc>
        <w:tc>
          <w:tcPr>
            <w:tcW w:w="1550" w:type="dxa"/>
            <w:noWrap w:val="0"/>
            <w:vAlign w:val="center"/>
          </w:tcPr>
          <w:p>
            <w:pPr>
              <w:spacing w:line="276" w:lineRule="auto"/>
              <w:jc w:val="center"/>
              <w:rPr>
                <w:rFonts w:ascii="宋体" w:hAnsi="宋体" w:cs="宋体"/>
                <w:color w:val="auto"/>
                <w:szCs w:val="21"/>
                <w:highlight w:val="none"/>
              </w:rPr>
            </w:pPr>
            <w:r>
              <w:rPr>
                <w:rFonts w:hint="eastAsia" w:ascii="宋体" w:hAnsi="宋体" w:cs="宋体"/>
                <w:color w:val="auto"/>
                <w:szCs w:val="21"/>
                <w:highlight w:val="none"/>
              </w:rPr>
              <w:t>不存在禁止投标的情形</w:t>
            </w:r>
          </w:p>
        </w:tc>
        <w:tc>
          <w:tcPr>
            <w:tcW w:w="7136" w:type="dxa"/>
            <w:noWrap w:val="0"/>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不存在第二章“投标人须知”第 1.4.3 项规定的任何一种情形（以《投标申请人声明》为准）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67" w:type="dxa"/>
            <w:vMerge w:val="restart"/>
            <w:noWrap w:val="0"/>
            <w:vAlign w:val="center"/>
          </w:tcPr>
          <w:p>
            <w:pPr>
              <w:spacing w:line="276" w:lineRule="auto"/>
              <w:jc w:val="center"/>
              <w:rPr>
                <w:rFonts w:ascii="宋体" w:hAnsi="宋体"/>
                <w:color w:val="auto"/>
                <w:szCs w:val="21"/>
                <w:highlight w:val="none"/>
              </w:rPr>
            </w:pPr>
            <w:r>
              <w:rPr>
                <w:rFonts w:ascii="宋体" w:hAnsi="宋体"/>
                <w:color w:val="auto"/>
                <w:szCs w:val="21"/>
                <w:highlight w:val="none"/>
              </w:rPr>
              <w:t>2.1.3</w:t>
            </w:r>
          </w:p>
        </w:tc>
        <w:tc>
          <w:tcPr>
            <w:tcW w:w="851" w:type="dxa"/>
            <w:vMerge w:val="restart"/>
            <w:noWrap w:val="0"/>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响应性评审标准</w:t>
            </w:r>
          </w:p>
        </w:tc>
        <w:tc>
          <w:tcPr>
            <w:tcW w:w="1550" w:type="dxa"/>
            <w:noWrap w:val="0"/>
            <w:vAlign w:val="center"/>
          </w:tcPr>
          <w:p>
            <w:pPr>
              <w:spacing w:line="276" w:lineRule="auto"/>
              <w:jc w:val="center"/>
              <w:rPr>
                <w:rFonts w:ascii="宋体" w:hAnsi="宋体" w:cs="宋体"/>
                <w:color w:val="auto"/>
                <w:szCs w:val="21"/>
                <w:highlight w:val="none"/>
              </w:rPr>
            </w:pPr>
            <w:r>
              <w:rPr>
                <w:rFonts w:hint="eastAsia" w:ascii="宋体" w:hAnsi="宋体" w:cs="宋体"/>
                <w:color w:val="auto"/>
                <w:szCs w:val="21"/>
                <w:highlight w:val="none"/>
              </w:rPr>
              <w:t>投标报价</w:t>
            </w:r>
          </w:p>
        </w:tc>
        <w:tc>
          <w:tcPr>
            <w:tcW w:w="7136" w:type="dxa"/>
            <w:noWrap w:val="0"/>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符合第二章“投标人须知”第3.2规定；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continue"/>
            <w:noWrap w:val="0"/>
            <w:vAlign w:val="center"/>
          </w:tcPr>
          <w:p>
            <w:pPr>
              <w:spacing w:line="276" w:lineRule="auto"/>
              <w:jc w:val="center"/>
              <w:rPr>
                <w:rFonts w:ascii="宋体" w:hAnsi="宋体"/>
                <w:color w:val="auto"/>
                <w:szCs w:val="21"/>
                <w:highlight w:val="none"/>
              </w:rPr>
            </w:pPr>
          </w:p>
        </w:tc>
        <w:tc>
          <w:tcPr>
            <w:tcW w:w="851" w:type="dxa"/>
            <w:vMerge w:val="continue"/>
            <w:noWrap w:val="0"/>
            <w:vAlign w:val="center"/>
          </w:tcPr>
          <w:p>
            <w:pPr>
              <w:spacing w:line="276" w:lineRule="auto"/>
              <w:jc w:val="center"/>
              <w:rPr>
                <w:rFonts w:ascii="宋体" w:hAnsi="宋体"/>
                <w:color w:val="auto"/>
                <w:szCs w:val="21"/>
                <w:highlight w:val="none"/>
              </w:rPr>
            </w:pPr>
          </w:p>
        </w:tc>
        <w:tc>
          <w:tcPr>
            <w:tcW w:w="1550" w:type="dxa"/>
            <w:noWrap w:val="0"/>
            <w:vAlign w:val="center"/>
          </w:tcPr>
          <w:p>
            <w:pPr>
              <w:spacing w:line="276" w:lineRule="auto"/>
              <w:jc w:val="center"/>
              <w:rPr>
                <w:rFonts w:ascii="宋体" w:hAnsi="宋体" w:cs="宋体"/>
                <w:color w:val="auto"/>
                <w:szCs w:val="21"/>
                <w:highlight w:val="none"/>
              </w:rPr>
            </w:pPr>
            <w:r>
              <w:rPr>
                <w:rFonts w:hint="eastAsia" w:ascii="宋体" w:hAnsi="宋体" w:cs="宋体"/>
                <w:color w:val="auto"/>
                <w:szCs w:val="21"/>
                <w:highlight w:val="none"/>
              </w:rPr>
              <w:t>投标内容</w:t>
            </w:r>
          </w:p>
        </w:tc>
        <w:tc>
          <w:tcPr>
            <w:tcW w:w="7136" w:type="dxa"/>
            <w:noWrap w:val="0"/>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符合第二章“投标人须知”第1.3.1规定；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continue"/>
            <w:noWrap w:val="0"/>
            <w:vAlign w:val="center"/>
          </w:tcPr>
          <w:p>
            <w:pPr>
              <w:spacing w:line="276" w:lineRule="auto"/>
              <w:jc w:val="center"/>
              <w:rPr>
                <w:rFonts w:ascii="宋体" w:hAnsi="宋体"/>
                <w:color w:val="auto"/>
                <w:szCs w:val="21"/>
                <w:highlight w:val="none"/>
              </w:rPr>
            </w:pPr>
          </w:p>
        </w:tc>
        <w:tc>
          <w:tcPr>
            <w:tcW w:w="851" w:type="dxa"/>
            <w:vMerge w:val="continue"/>
            <w:noWrap w:val="0"/>
            <w:vAlign w:val="center"/>
          </w:tcPr>
          <w:p>
            <w:pPr>
              <w:spacing w:line="276" w:lineRule="auto"/>
              <w:jc w:val="center"/>
              <w:rPr>
                <w:rFonts w:ascii="宋体" w:hAnsi="宋体"/>
                <w:color w:val="auto"/>
                <w:szCs w:val="21"/>
                <w:highlight w:val="none"/>
              </w:rPr>
            </w:pPr>
          </w:p>
        </w:tc>
        <w:tc>
          <w:tcPr>
            <w:tcW w:w="1550" w:type="dxa"/>
            <w:noWrap w:val="0"/>
            <w:vAlign w:val="center"/>
          </w:tcPr>
          <w:p>
            <w:pPr>
              <w:spacing w:line="276" w:lineRule="auto"/>
              <w:jc w:val="center"/>
              <w:rPr>
                <w:rFonts w:ascii="宋体" w:hAnsi="宋体" w:cs="宋体"/>
                <w:color w:val="auto"/>
                <w:szCs w:val="21"/>
                <w:highlight w:val="none"/>
              </w:rPr>
            </w:pPr>
            <w:r>
              <w:rPr>
                <w:rFonts w:hint="eastAsia" w:ascii="宋体" w:hAnsi="宋体" w:cs="宋体"/>
                <w:color w:val="auto"/>
                <w:szCs w:val="21"/>
                <w:highlight w:val="none"/>
              </w:rPr>
              <w:t>服务期限</w:t>
            </w:r>
          </w:p>
        </w:tc>
        <w:tc>
          <w:tcPr>
            <w:tcW w:w="7136" w:type="dxa"/>
            <w:noWrap w:val="0"/>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符合第二章“投标人须知”第1.3.2规定；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continue"/>
            <w:noWrap w:val="0"/>
            <w:vAlign w:val="center"/>
          </w:tcPr>
          <w:p>
            <w:pPr>
              <w:spacing w:line="276" w:lineRule="auto"/>
              <w:jc w:val="center"/>
              <w:rPr>
                <w:rFonts w:ascii="宋体" w:hAnsi="宋体"/>
                <w:color w:val="auto"/>
                <w:szCs w:val="21"/>
                <w:highlight w:val="none"/>
              </w:rPr>
            </w:pPr>
          </w:p>
        </w:tc>
        <w:tc>
          <w:tcPr>
            <w:tcW w:w="851" w:type="dxa"/>
            <w:vMerge w:val="continue"/>
            <w:noWrap w:val="0"/>
            <w:vAlign w:val="center"/>
          </w:tcPr>
          <w:p>
            <w:pPr>
              <w:spacing w:line="276" w:lineRule="auto"/>
              <w:jc w:val="center"/>
              <w:rPr>
                <w:rFonts w:ascii="宋体" w:hAnsi="宋体"/>
                <w:color w:val="auto"/>
                <w:szCs w:val="21"/>
                <w:highlight w:val="none"/>
              </w:rPr>
            </w:pPr>
          </w:p>
        </w:tc>
        <w:tc>
          <w:tcPr>
            <w:tcW w:w="1550" w:type="dxa"/>
            <w:noWrap w:val="0"/>
            <w:vAlign w:val="center"/>
          </w:tcPr>
          <w:p>
            <w:pPr>
              <w:spacing w:line="276" w:lineRule="auto"/>
              <w:jc w:val="center"/>
              <w:rPr>
                <w:rFonts w:ascii="宋体" w:hAnsi="宋体" w:cs="宋体"/>
                <w:color w:val="auto"/>
                <w:szCs w:val="21"/>
                <w:highlight w:val="none"/>
              </w:rPr>
            </w:pPr>
            <w:r>
              <w:rPr>
                <w:rFonts w:hint="eastAsia" w:ascii="宋体" w:hAnsi="宋体" w:cs="宋体"/>
                <w:color w:val="auto"/>
                <w:szCs w:val="21"/>
                <w:highlight w:val="none"/>
              </w:rPr>
              <w:t>质量标准</w:t>
            </w:r>
          </w:p>
        </w:tc>
        <w:tc>
          <w:tcPr>
            <w:tcW w:w="7136" w:type="dxa"/>
            <w:noWrap w:val="0"/>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符合第二章“投标人须知”第1.3.3规定；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continue"/>
            <w:noWrap w:val="0"/>
            <w:vAlign w:val="center"/>
          </w:tcPr>
          <w:p>
            <w:pPr>
              <w:spacing w:line="276" w:lineRule="auto"/>
              <w:jc w:val="center"/>
              <w:rPr>
                <w:rFonts w:ascii="宋体" w:hAnsi="宋体"/>
                <w:color w:val="auto"/>
                <w:szCs w:val="21"/>
                <w:highlight w:val="none"/>
              </w:rPr>
            </w:pPr>
          </w:p>
        </w:tc>
        <w:tc>
          <w:tcPr>
            <w:tcW w:w="851" w:type="dxa"/>
            <w:vMerge w:val="continue"/>
            <w:noWrap w:val="0"/>
            <w:vAlign w:val="center"/>
          </w:tcPr>
          <w:p>
            <w:pPr>
              <w:spacing w:line="276" w:lineRule="auto"/>
              <w:jc w:val="center"/>
              <w:rPr>
                <w:rFonts w:ascii="宋体" w:hAnsi="宋体"/>
                <w:color w:val="auto"/>
                <w:szCs w:val="21"/>
                <w:highlight w:val="none"/>
              </w:rPr>
            </w:pPr>
          </w:p>
        </w:tc>
        <w:tc>
          <w:tcPr>
            <w:tcW w:w="1550" w:type="dxa"/>
            <w:noWrap w:val="0"/>
            <w:vAlign w:val="center"/>
          </w:tcPr>
          <w:p>
            <w:pPr>
              <w:spacing w:line="276" w:lineRule="auto"/>
              <w:jc w:val="center"/>
              <w:rPr>
                <w:rFonts w:ascii="宋体" w:hAnsi="宋体" w:cs="宋体"/>
                <w:color w:val="auto"/>
                <w:szCs w:val="21"/>
                <w:highlight w:val="none"/>
              </w:rPr>
            </w:pPr>
            <w:r>
              <w:rPr>
                <w:rFonts w:hint="eastAsia" w:ascii="宋体" w:hAnsi="宋体" w:cs="宋体"/>
                <w:color w:val="auto"/>
                <w:szCs w:val="21"/>
                <w:highlight w:val="none"/>
              </w:rPr>
              <w:t>投标有效期</w:t>
            </w:r>
          </w:p>
        </w:tc>
        <w:tc>
          <w:tcPr>
            <w:tcW w:w="7136" w:type="dxa"/>
            <w:noWrap w:val="0"/>
            <w:vAlign w:val="top"/>
          </w:tcPr>
          <w:p>
            <w:pPr>
              <w:spacing w:line="276" w:lineRule="auto"/>
              <w:rPr>
                <w:rFonts w:ascii="宋体" w:hAnsi="宋体" w:cs="宋体"/>
                <w:color w:val="auto"/>
                <w:szCs w:val="21"/>
                <w:highlight w:val="none"/>
              </w:rPr>
            </w:pPr>
            <w:r>
              <w:rPr>
                <w:rFonts w:hint="eastAsia" w:ascii="宋体" w:hAnsi="宋体" w:cs="宋体"/>
                <w:color w:val="auto"/>
                <w:szCs w:val="21"/>
                <w:highlight w:val="none"/>
              </w:rPr>
              <w:t>符合第二章“投标人须知”第3.3.1规定；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continue"/>
            <w:noWrap w:val="0"/>
            <w:vAlign w:val="center"/>
          </w:tcPr>
          <w:p>
            <w:pPr>
              <w:spacing w:line="276" w:lineRule="auto"/>
              <w:jc w:val="center"/>
              <w:rPr>
                <w:rFonts w:ascii="宋体" w:hAnsi="宋体"/>
                <w:color w:val="auto"/>
                <w:szCs w:val="21"/>
                <w:highlight w:val="none"/>
              </w:rPr>
            </w:pPr>
          </w:p>
        </w:tc>
        <w:tc>
          <w:tcPr>
            <w:tcW w:w="851" w:type="dxa"/>
            <w:vMerge w:val="continue"/>
            <w:noWrap w:val="0"/>
            <w:vAlign w:val="center"/>
          </w:tcPr>
          <w:p>
            <w:pPr>
              <w:spacing w:line="276" w:lineRule="auto"/>
              <w:jc w:val="center"/>
              <w:rPr>
                <w:rFonts w:ascii="宋体" w:hAnsi="宋体"/>
                <w:color w:val="auto"/>
                <w:szCs w:val="21"/>
                <w:highlight w:val="none"/>
              </w:rPr>
            </w:pPr>
          </w:p>
        </w:tc>
        <w:tc>
          <w:tcPr>
            <w:tcW w:w="1550" w:type="dxa"/>
            <w:noWrap w:val="0"/>
            <w:vAlign w:val="center"/>
          </w:tcPr>
          <w:p>
            <w:pPr>
              <w:spacing w:line="276" w:lineRule="auto"/>
              <w:jc w:val="center"/>
              <w:rPr>
                <w:rFonts w:ascii="宋体" w:hAnsi="宋体" w:cs="宋体"/>
                <w:color w:val="auto"/>
                <w:szCs w:val="21"/>
                <w:highlight w:val="none"/>
              </w:rPr>
            </w:pPr>
            <w:r>
              <w:rPr>
                <w:rFonts w:hint="eastAsia" w:ascii="宋体" w:hAnsi="宋体" w:cs="宋体"/>
                <w:color w:val="auto"/>
                <w:szCs w:val="21"/>
                <w:highlight w:val="none"/>
              </w:rPr>
              <w:t>投标保证金</w:t>
            </w:r>
          </w:p>
        </w:tc>
        <w:tc>
          <w:tcPr>
            <w:tcW w:w="7136" w:type="dxa"/>
            <w:noWrap w:val="0"/>
            <w:vAlign w:val="top"/>
          </w:tcPr>
          <w:p>
            <w:pPr>
              <w:spacing w:line="276" w:lineRule="auto"/>
              <w:rPr>
                <w:rFonts w:ascii="宋体" w:hAnsi="宋体" w:cs="宋体"/>
                <w:color w:val="auto"/>
                <w:szCs w:val="21"/>
                <w:highlight w:val="none"/>
              </w:rPr>
            </w:pPr>
            <w:r>
              <w:rPr>
                <w:rFonts w:hint="eastAsia" w:ascii="宋体" w:hAnsi="宋体" w:cs="宋体"/>
                <w:color w:val="auto"/>
                <w:szCs w:val="21"/>
                <w:highlight w:val="none"/>
              </w:rPr>
              <w:t>符合第二章“投标人须知”第3.4.1规定；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continue"/>
            <w:noWrap w:val="0"/>
            <w:vAlign w:val="center"/>
          </w:tcPr>
          <w:p>
            <w:pPr>
              <w:spacing w:line="276" w:lineRule="auto"/>
              <w:jc w:val="center"/>
              <w:rPr>
                <w:rFonts w:ascii="宋体" w:hAnsi="宋体"/>
                <w:color w:val="auto"/>
                <w:szCs w:val="21"/>
                <w:highlight w:val="none"/>
              </w:rPr>
            </w:pPr>
          </w:p>
        </w:tc>
        <w:tc>
          <w:tcPr>
            <w:tcW w:w="851" w:type="dxa"/>
            <w:vMerge w:val="continue"/>
            <w:noWrap w:val="0"/>
            <w:vAlign w:val="center"/>
          </w:tcPr>
          <w:p>
            <w:pPr>
              <w:spacing w:line="276" w:lineRule="auto"/>
              <w:jc w:val="center"/>
              <w:rPr>
                <w:rFonts w:ascii="宋体" w:hAnsi="宋体"/>
                <w:color w:val="auto"/>
                <w:szCs w:val="21"/>
                <w:highlight w:val="none"/>
              </w:rPr>
            </w:pPr>
          </w:p>
        </w:tc>
        <w:tc>
          <w:tcPr>
            <w:tcW w:w="1550" w:type="dxa"/>
            <w:noWrap w:val="0"/>
            <w:vAlign w:val="center"/>
          </w:tcPr>
          <w:p>
            <w:pPr>
              <w:spacing w:line="276" w:lineRule="auto"/>
              <w:jc w:val="center"/>
              <w:rPr>
                <w:rFonts w:ascii="宋体" w:hAnsi="宋体" w:cs="宋体"/>
                <w:color w:val="auto"/>
                <w:szCs w:val="21"/>
                <w:highlight w:val="none"/>
              </w:rPr>
            </w:pPr>
            <w:r>
              <w:rPr>
                <w:rFonts w:hint="eastAsia" w:ascii="宋体" w:hAnsi="宋体" w:cs="宋体"/>
                <w:color w:val="auto"/>
                <w:szCs w:val="21"/>
                <w:highlight w:val="none"/>
              </w:rPr>
              <w:t>串通投标情形</w:t>
            </w:r>
          </w:p>
        </w:tc>
        <w:tc>
          <w:tcPr>
            <w:tcW w:w="7136" w:type="dxa"/>
            <w:noWrap w:val="0"/>
            <w:vAlign w:val="top"/>
          </w:tcPr>
          <w:p>
            <w:pPr>
              <w:spacing w:line="276" w:lineRule="auto"/>
              <w:rPr>
                <w:rFonts w:ascii="宋体" w:hAnsi="宋体" w:cs="宋体"/>
                <w:color w:val="auto"/>
                <w:szCs w:val="21"/>
                <w:highlight w:val="none"/>
              </w:rPr>
            </w:pPr>
            <w:r>
              <w:rPr>
                <w:rFonts w:hint="eastAsia" w:ascii="宋体" w:hAnsi="宋体" w:cs="宋体"/>
                <w:color w:val="auto"/>
                <w:szCs w:val="21"/>
                <w:highlight w:val="none"/>
              </w:rPr>
              <w:t>不存在串通投标情形（串通投标情形以《中华人民共和国招标投标法实施条例》的规定为准）；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18" w:type="dxa"/>
            <w:gridSpan w:val="2"/>
            <w:noWrap w:val="0"/>
            <w:vAlign w:val="center"/>
          </w:tcPr>
          <w:p>
            <w:pPr>
              <w:spacing w:line="276" w:lineRule="auto"/>
              <w:jc w:val="center"/>
              <w:rPr>
                <w:rFonts w:ascii="宋体" w:hAnsi="宋体"/>
                <w:color w:val="auto"/>
                <w:szCs w:val="21"/>
                <w:highlight w:val="none"/>
              </w:rPr>
            </w:pPr>
            <w:r>
              <w:rPr>
                <w:rFonts w:ascii="宋体" w:hAnsi="宋体"/>
                <w:color w:val="auto"/>
                <w:szCs w:val="21"/>
                <w:highlight w:val="none"/>
              </w:rPr>
              <w:t>2.2.1</w:t>
            </w:r>
          </w:p>
        </w:tc>
        <w:tc>
          <w:tcPr>
            <w:tcW w:w="1550" w:type="dxa"/>
            <w:noWrap w:val="0"/>
            <w:vAlign w:val="center"/>
          </w:tcPr>
          <w:p>
            <w:pPr>
              <w:spacing w:line="276" w:lineRule="auto"/>
              <w:jc w:val="center"/>
              <w:rPr>
                <w:rFonts w:ascii="宋体" w:hAnsi="宋体" w:cs="宋体"/>
                <w:color w:val="auto"/>
                <w:szCs w:val="21"/>
                <w:highlight w:val="none"/>
              </w:rPr>
            </w:pPr>
            <w:r>
              <w:rPr>
                <w:rFonts w:hint="eastAsia" w:ascii="宋体" w:hAnsi="宋体" w:cs="宋体"/>
                <w:color w:val="auto"/>
                <w:szCs w:val="21"/>
                <w:highlight w:val="none"/>
              </w:rPr>
              <w:t>分值构成</w:t>
            </w:r>
          </w:p>
          <w:p>
            <w:pPr>
              <w:spacing w:line="276" w:lineRule="auto"/>
              <w:jc w:val="center"/>
              <w:rPr>
                <w:rFonts w:ascii="宋体" w:hAnsi="宋体" w:cs="宋体"/>
                <w:color w:val="auto"/>
                <w:szCs w:val="21"/>
                <w:highlight w:val="none"/>
              </w:rPr>
            </w:pPr>
            <w:r>
              <w:rPr>
                <w:rFonts w:ascii="宋体" w:hAnsi="宋体" w:cs="宋体"/>
                <w:color w:val="auto"/>
                <w:szCs w:val="21"/>
                <w:highlight w:val="none"/>
              </w:rPr>
              <w:t>(</w:t>
            </w:r>
            <w:r>
              <w:rPr>
                <w:rFonts w:hint="eastAsia" w:ascii="宋体" w:hAnsi="宋体" w:cs="宋体"/>
                <w:color w:val="auto"/>
                <w:szCs w:val="21"/>
                <w:highlight w:val="none"/>
              </w:rPr>
              <w:t>总分</w:t>
            </w:r>
            <w:r>
              <w:rPr>
                <w:rFonts w:ascii="宋体" w:hAnsi="宋体" w:cs="宋体"/>
                <w:color w:val="auto"/>
                <w:szCs w:val="21"/>
                <w:highlight w:val="none"/>
              </w:rPr>
              <w:t>100</w:t>
            </w:r>
            <w:r>
              <w:rPr>
                <w:rFonts w:hint="eastAsia" w:ascii="宋体" w:hAnsi="宋体" w:cs="宋体"/>
                <w:color w:val="auto"/>
                <w:szCs w:val="21"/>
                <w:highlight w:val="none"/>
              </w:rPr>
              <w:t>分</w:t>
            </w:r>
            <w:r>
              <w:rPr>
                <w:rFonts w:ascii="宋体" w:hAnsi="宋体" w:cs="宋体"/>
                <w:color w:val="auto"/>
                <w:szCs w:val="21"/>
                <w:highlight w:val="none"/>
              </w:rPr>
              <w:t>)</w:t>
            </w:r>
          </w:p>
        </w:tc>
        <w:tc>
          <w:tcPr>
            <w:tcW w:w="7136" w:type="dxa"/>
            <w:noWrap w:val="0"/>
            <w:vAlign w:val="center"/>
          </w:tcPr>
          <w:p>
            <w:pPr>
              <w:bidi w:val="0"/>
            </w:pPr>
            <w:r>
              <w:t>投标人总得分=(</w:t>
            </w:r>
            <w:r>
              <w:rPr>
                <w:rFonts w:hint="eastAsia"/>
                <w:lang w:val="en-US" w:eastAsia="zh-CN"/>
              </w:rPr>
              <w:t>A</w:t>
            </w:r>
            <w:r>
              <w:t>+</w:t>
            </w:r>
            <w:r>
              <w:rPr>
                <w:rFonts w:hint="eastAsia"/>
                <w:lang w:val="en-US" w:eastAsia="zh-CN"/>
              </w:rPr>
              <w:t>B</w:t>
            </w:r>
            <w:r>
              <w:t>+</w:t>
            </w:r>
            <w:r>
              <w:rPr>
                <w:rFonts w:hint="eastAsia"/>
                <w:lang w:val="en-US" w:eastAsia="zh-CN"/>
              </w:rPr>
              <w:t>C</w:t>
            </w:r>
            <w:r>
              <w:t>)×90%+</w:t>
            </w:r>
            <w:r>
              <w:rPr>
                <w:rFonts w:hint="eastAsia"/>
                <w:highlight w:val="none"/>
                <w:lang w:val="en-US" w:eastAsia="zh-CN"/>
              </w:rPr>
              <w:t>D</w:t>
            </w:r>
            <w:r>
              <w:rPr>
                <w:highlight w:val="none"/>
              </w:rPr>
              <w:t>×</w:t>
            </w:r>
            <w:r>
              <w:t>10%</w:t>
            </w:r>
          </w:p>
          <w:p>
            <w:pPr>
              <w:bidi w:val="0"/>
            </w:pPr>
            <w:r>
              <w:rPr>
                <w:rFonts w:hint="eastAsia"/>
                <w:lang w:val="en-US" w:eastAsia="zh-CN"/>
              </w:rPr>
              <w:t>A.</w:t>
            </w:r>
            <w:r>
              <w:t>企业综合实力：6</w:t>
            </w:r>
            <w:r>
              <w:rPr>
                <w:rFonts w:hint="eastAsia"/>
                <w:lang w:val="en-US" w:eastAsia="zh-CN"/>
              </w:rPr>
              <w:t>5</w:t>
            </w:r>
            <w:r>
              <w:t>分</w:t>
            </w:r>
          </w:p>
          <w:p>
            <w:pPr>
              <w:bidi w:val="0"/>
            </w:pPr>
            <w:r>
              <w:rPr>
                <w:rFonts w:hint="eastAsia"/>
                <w:lang w:val="en-US" w:eastAsia="zh-CN"/>
              </w:rPr>
              <w:t>B.</w:t>
            </w:r>
            <w:r>
              <w:t>技术方案：</w:t>
            </w:r>
            <w:r>
              <w:rPr>
                <w:rFonts w:hint="eastAsia"/>
                <w:lang w:val="en-US" w:eastAsia="zh-CN"/>
              </w:rPr>
              <w:t>25</w:t>
            </w:r>
            <w:r>
              <w:t>分</w:t>
            </w:r>
          </w:p>
          <w:p>
            <w:pPr>
              <w:bidi w:val="0"/>
            </w:pPr>
            <w:r>
              <w:rPr>
                <w:rFonts w:hint="eastAsia"/>
                <w:lang w:val="en-US" w:eastAsia="zh-CN"/>
              </w:rPr>
              <w:t>C.</w:t>
            </w:r>
            <w:r>
              <w:t>投标报价：</w:t>
            </w:r>
            <w:r>
              <w:rPr>
                <w:rFonts w:hint="eastAsia"/>
                <w:lang w:val="en-US" w:eastAsia="zh-CN"/>
              </w:rPr>
              <w:t>1</w:t>
            </w:r>
            <w:r>
              <w:t>0分</w:t>
            </w:r>
          </w:p>
          <w:p>
            <w:pPr>
              <w:bidi w:val="0"/>
            </w:pPr>
            <w:r>
              <w:rPr>
                <w:rFonts w:hint="eastAsia"/>
                <w:lang w:val="en-US" w:eastAsia="zh-CN"/>
              </w:rPr>
              <w:t>D.</w:t>
            </w:r>
            <w:r>
              <w:t>其他评分因素：投标人诚信综合评价得分：10</w:t>
            </w:r>
            <w:r>
              <w:rPr>
                <w:rFonts w:hint="eastAsia"/>
                <w:lang w:val="en-US" w:eastAsia="zh-CN"/>
              </w:rPr>
              <w:t>0</w:t>
            </w:r>
            <w:r>
              <w:t>分</w:t>
            </w:r>
          </w:p>
          <w:p>
            <w:pPr>
              <w:bidi w:val="0"/>
              <w:jc w:val="left"/>
            </w:pPr>
            <w:r>
              <w:t>投标人诚信综合评价得分=在广州市检测单位诚信评价中60日诚信分得分×10%(如联合体投标，诚信分取主成员的诚信分)。</w:t>
            </w:r>
          </w:p>
          <w:p>
            <w:pPr>
              <w:bidi w:val="0"/>
              <w:jc w:val="left"/>
              <w:rPr>
                <w:rFonts w:hint="eastAsia" w:ascii="宋体" w:hAnsi="宋体" w:eastAsia="宋体"/>
                <w:b/>
                <w:strike w:val="0"/>
                <w:dstrike w:val="0"/>
                <w:color w:val="auto"/>
                <w:szCs w:val="21"/>
                <w:highlight w:val="none"/>
                <w:u w:val="single"/>
                <w:lang w:val="en-US" w:eastAsia="zh-CN"/>
              </w:rPr>
            </w:pPr>
            <w:r>
              <w:t>企业的诚信综合评价得分以开标当天广州公共资源交易中心网站上公布的广州市建设工程检测机构60日诚信评价得分排名为准。</w:t>
            </w:r>
          </w:p>
          <w:p>
            <w:pPr>
              <w:spacing w:line="276" w:lineRule="auto"/>
              <w:rPr>
                <w:color w:val="auto"/>
                <w:highlight w:val="none"/>
              </w:rPr>
            </w:pPr>
            <w:r>
              <w:rPr>
                <w:rFonts w:hint="eastAsia" w:ascii="宋体" w:hAnsi="宋体" w:cs="宋体"/>
                <w:strike w:val="0"/>
                <w:dstrike w:val="0"/>
                <w:color w:val="auto"/>
                <w:szCs w:val="21"/>
                <w:highlight w:val="none"/>
              </w:rPr>
              <w:t>注：1）投标人综合得分为各评委</w:t>
            </w:r>
            <w:r>
              <w:t>(</w:t>
            </w:r>
            <w:r>
              <w:rPr>
                <w:rFonts w:hint="eastAsia"/>
                <w:lang w:val="en-US" w:eastAsia="zh-CN"/>
              </w:rPr>
              <w:t>A</w:t>
            </w:r>
            <w:r>
              <w:t>+</w:t>
            </w:r>
            <w:r>
              <w:rPr>
                <w:rFonts w:hint="eastAsia"/>
                <w:lang w:val="en-US" w:eastAsia="zh-CN"/>
              </w:rPr>
              <w:t>B</w:t>
            </w:r>
            <w:r>
              <w:t>+</w:t>
            </w:r>
            <w:r>
              <w:rPr>
                <w:rFonts w:hint="eastAsia"/>
                <w:lang w:val="en-US" w:eastAsia="zh-CN"/>
              </w:rPr>
              <w:t>C</w:t>
            </w:r>
            <w:r>
              <w:t>)×90%+</w:t>
            </w:r>
            <w:r>
              <w:rPr>
                <w:rFonts w:hint="eastAsia"/>
                <w:highlight w:val="none"/>
                <w:lang w:val="en-US" w:eastAsia="zh-CN"/>
              </w:rPr>
              <w:t>D</w:t>
            </w:r>
            <w:r>
              <w:rPr>
                <w:highlight w:val="none"/>
              </w:rPr>
              <w:t>×</w:t>
            </w:r>
            <w:r>
              <w:t>10%</w:t>
            </w:r>
            <w:r>
              <w:rPr>
                <w:rFonts w:hint="eastAsia" w:ascii="宋体" w:hAnsi="宋体" w:cs="宋体"/>
                <w:strike w:val="0"/>
                <w:dstrike w:val="0"/>
                <w:color w:val="auto"/>
                <w:szCs w:val="21"/>
                <w:highlight w:val="none"/>
              </w:rPr>
              <w:t>的总分去掉一个最高分和一个最低分后计取的算术平均分（分数出现小数点时，保留小数点后二位，第三位小数四舍五入）；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18" w:type="dxa"/>
            <w:gridSpan w:val="2"/>
            <w:noWrap w:val="0"/>
            <w:vAlign w:val="center"/>
          </w:tcPr>
          <w:p>
            <w:pPr>
              <w:spacing w:line="276" w:lineRule="auto"/>
              <w:jc w:val="center"/>
              <w:rPr>
                <w:rFonts w:ascii="宋体" w:hAnsi="宋体"/>
                <w:color w:val="auto"/>
                <w:szCs w:val="21"/>
                <w:highlight w:val="none"/>
              </w:rPr>
            </w:pPr>
            <w:r>
              <w:rPr>
                <w:rFonts w:ascii="宋体" w:hAnsi="宋体"/>
                <w:color w:val="auto"/>
                <w:szCs w:val="21"/>
                <w:highlight w:val="none"/>
              </w:rPr>
              <w:t>2.2.2</w:t>
            </w:r>
          </w:p>
        </w:tc>
        <w:tc>
          <w:tcPr>
            <w:tcW w:w="1550" w:type="dxa"/>
            <w:noWrap w:val="0"/>
            <w:vAlign w:val="center"/>
          </w:tcPr>
          <w:p>
            <w:pPr>
              <w:spacing w:line="276" w:lineRule="auto"/>
              <w:jc w:val="center"/>
              <w:rPr>
                <w:rFonts w:ascii="宋体" w:hAnsi="宋体" w:cs="宋体"/>
                <w:color w:val="auto"/>
                <w:szCs w:val="21"/>
                <w:highlight w:val="none"/>
              </w:rPr>
            </w:pPr>
            <w:r>
              <w:rPr>
                <w:rFonts w:hint="eastAsia" w:ascii="宋体" w:hAnsi="宋体" w:cs="宋体"/>
                <w:color w:val="auto"/>
                <w:szCs w:val="21"/>
                <w:highlight w:val="none"/>
              </w:rPr>
              <w:t>评标参考价计算方法</w:t>
            </w:r>
          </w:p>
        </w:tc>
        <w:tc>
          <w:tcPr>
            <w:tcW w:w="7136" w:type="dxa"/>
            <w:noWrap w:val="0"/>
            <w:vAlign w:val="center"/>
          </w:tcPr>
          <w:p>
            <w:pPr>
              <w:spacing w:line="276" w:lineRule="auto"/>
              <w:jc w:val="left"/>
              <w:rPr>
                <w:rFonts w:ascii="宋体" w:hAnsi="宋体"/>
                <w:color w:val="auto"/>
                <w:szCs w:val="21"/>
                <w:highlight w:val="none"/>
              </w:rPr>
            </w:pPr>
            <w:r>
              <w:rPr>
                <w:rFonts w:hint="eastAsia" w:ascii="宋体" w:hAnsi="宋体"/>
                <w:color w:val="auto"/>
                <w:szCs w:val="21"/>
                <w:highlight w:val="none"/>
              </w:rPr>
              <w:t>当通过初步评审的有效投标人大于5名时，去掉一个最高价和一个最低价，取余下有效投标人的投标报价的算术平均值作为评标参考价；当通过初步评审的有效投标人小于或等于5名时取所有入围的有效投标人的投标报价的算术平均值作为评标参考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618" w:type="dxa"/>
            <w:gridSpan w:val="2"/>
            <w:noWrap w:val="0"/>
            <w:vAlign w:val="center"/>
          </w:tcPr>
          <w:p>
            <w:pPr>
              <w:spacing w:line="276" w:lineRule="auto"/>
              <w:jc w:val="center"/>
              <w:rPr>
                <w:rFonts w:ascii="宋体" w:hAnsi="宋体"/>
                <w:color w:val="auto"/>
                <w:szCs w:val="21"/>
                <w:highlight w:val="none"/>
              </w:rPr>
            </w:pPr>
            <w:r>
              <w:rPr>
                <w:rFonts w:ascii="宋体" w:hAnsi="宋体"/>
                <w:color w:val="auto"/>
                <w:szCs w:val="21"/>
                <w:highlight w:val="none"/>
              </w:rPr>
              <w:t>2.2.3</w:t>
            </w:r>
          </w:p>
        </w:tc>
        <w:tc>
          <w:tcPr>
            <w:tcW w:w="1550" w:type="dxa"/>
            <w:noWrap w:val="0"/>
            <w:vAlign w:val="center"/>
          </w:tcPr>
          <w:p>
            <w:pPr>
              <w:spacing w:line="276" w:lineRule="auto"/>
              <w:jc w:val="center"/>
              <w:rPr>
                <w:rFonts w:ascii="宋体" w:hAnsi="宋体" w:cs="宋体"/>
                <w:color w:val="auto"/>
                <w:szCs w:val="21"/>
                <w:highlight w:val="none"/>
              </w:rPr>
            </w:pPr>
            <w:r>
              <w:rPr>
                <w:rFonts w:hint="eastAsia" w:ascii="宋体" w:hAnsi="宋体" w:cs="宋体"/>
                <w:color w:val="auto"/>
                <w:szCs w:val="21"/>
                <w:highlight w:val="none"/>
              </w:rPr>
              <w:t>投标报价的偏差率计算公式</w:t>
            </w:r>
          </w:p>
        </w:tc>
        <w:tc>
          <w:tcPr>
            <w:tcW w:w="7136" w:type="dxa"/>
            <w:noWrap w:val="0"/>
            <w:vAlign w:val="center"/>
          </w:tcPr>
          <w:p>
            <w:pPr>
              <w:spacing w:line="276" w:lineRule="auto"/>
              <w:rPr>
                <w:rFonts w:ascii="宋体" w:hAnsi="宋体"/>
                <w:color w:val="auto"/>
                <w:szCs w:val="21"/>
                <w:highlight w:val="none"/>
              </w:rPr>
            </w:pPr>
            <w:r>
              <w:rPr>
                <w:rFonts w:hint="eastAsia" w:ascii="宋体" w:hAnsi="宋体"/>
                <w:color w:val="auto"/>
                <w:szCs w:val="21"/>
                <w:highlight w:val="none"/>
              </w:rPr>
              <w:t>投标报价的偏差率=（有效投标报价-</w:t>
            </w:r>
            <w:r>
              <w:rPr>
                <w:rFonts w:hint="eastAsia" w:ascii="宋体" w:hAnsi="宋体" w:cs="宋体"/>
                <w:color w:val="auto"/>
                <w:szCs w:val="21"/>
                <w:highlight w:val="none"/>
              </w:rPr>
              <w:t>评标参考价</w:t>
            </w:r>
            <w:r>
              <w:rPr>
                <w:rFonts w:hint="eastAsia" w:ascii="宋体" w:hAnsi="宋体"/>
                <w:color w:val="auto"/>
                <w:szCs w:val="21"/>
                <w:highlight w:val="none"/>
              </w:rPr>
              <w:t>）/</w:t>
            </w:r>
            <w:r>
              <w:rPr>
                <w:rFonts w:hint="eastAsia" w:ascii="宋体" w:hAnsi="宋体" w:cs="宋体"/>
                <w:color w:val="auto"/>
                <w:szCs w:val="21"/>
                <w:highlight w:val="none"/>
              </w:rPr>
              <w:t>评标参考价</w:t>
            </w:r>
            <w:r>
              <w:rPr>
                <w:rFonts w:hint="eastAsia" w:ascii="宋体" w:hAnsi="宋体"/>
                <w:color w:val="auto"/>
                <w:szCs w:val="21"/>
                <w:highlight w:val="none"/>
              </w:rPr>
              <w:t>×100%（偏差率出现小数点时，保留小数点后2位，第三位小数四舍五入。）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767" w:type="dxa"/>
            <w:vMerge w:val="restart"/>
            <w:noWrap w:val="0"/>
            <w:vAlign w:val="center"/>
          </w:tcPr>
          <w:p>
            <w:pPr>
              <w:spacing w:line="276" w:lineRule="auto"/>
              <w:jc w:val="center"/>
              <w:rPr>
                <w:rFonts w:ascii="宋体" w:hAnsi="宋体"/>
                <w:color w:val="auto"/>
                <w:szCs w:val="21"/>
                <w:highlight w:val="none"/>
              </w:rPr>
            </w:pPr>
            <w:r>
              <w:rPr>
                <w:rFonts w:hint="eastAsia" w:ascii="宋体" w:hAnsi="宋体" w:cs="宋体"/>
                <w:color w:val="auto"/>
                <w:szCs w:val="21"/>
                <w:highlight w:val="none"/>
              </w:rPr>
              <w:t>2.2.4（1）</w:t>
            </w:r>
          </w:p>
        </w:tc>
        <w:tc>
          <w:tcPr>
            <w:tcW w:w="851" w:type="dxa"/>
            <w:vMerge w:val="restart"/>
            <w:noWrap w:val="0"/>
            <w:vAlign w:val="center"/>
          </w:tcPr>
          <w:p>
            <w:pPr>
              <w:spacing w:line="276" w:lineRule="auto"/>
              <w:jc w:val="center"/>
              <w:rPr>
                <w:rFonts w:ascii="宋体" w:hAnsi="宋体" w:cs="宋体"/>
                <w:color w:val="auto"/>
                <w:szCs w:val="21"/>
                <w:highlight w:val="none"/>
              </w:rPr>
            </w:pPr>
            <w:r>
              <w:rPr>
                <w:rFonts w:hint="eastAsia" w:ascii="宋体" w:hAnsi="宋体" w:cs="宋体"/>
                <w:color w:val="auto"/>
                <w:szCs w:val="21"/>
                <w:highlight w:val="none"/>
              </w:rPr>
              <w:t>企业综合实力评分标准</w:t>
            </w:r>
          </w:p>
        </w:tc>
        <w:tc>
          <w:tcPr>
            <w:tcW w:w="1550" w:type="dxa"/>
            <w:noWrap w:val="0"/>
            <w:vAlign w:val="center"/>
          </w:tcPr>
          <w:p>
            <w:pPr>
              <w:spacing w:line="276" w:lineRule="auto"/>
              <w:jc w:val="center"/>
              <w:rPr>
                <w:rFonts w:ascii="宋体" w:hAnsi="宋体" w:cs="宋体"/>
                <w:color w:val="auto"/>
                <w:szCs w:val="21"/>
                <w:highlight w:val="none"/>
              </w:rPr>
            </w:pPr>
            <w:r>
              <w:rPr>
                <w:rFonts w:hint="eastAsia" w:ascii="宋体" w:hAnsi="宋体" w:cs="宋体"/>
                <w:color w:val="auto"/>
                <w:highlight w:val="none"/>
              </w:rPr>
              <w:t>投标人业绩</w:t>
            </w:r>
          </w:p>
        </w:tc>
        <w:tc>
          <w:tcPr>
            <w:tcW w:w="7136" w:type="dxa"/>
            <w:noWrap w:val="0"/>
            <w:vAlign w:val="center"/>
          </w:tcPr>
          <w:p>
            <w:pPr>
              <w:spacing w:line="276" w:lineRule="auto"/>
              <w:jc w:val="left"/>
              <w:rPr>
                <w:rFonts w:ascii="宋体" w:hAnsi="宋体" w:cs="宋体"/>
                <w:color w:val="auto"/>
                <w:szCs w:val="21"/>
                <w:highlight w:val="none"/>
              </w:rPr>
            </w:pPr>
            <w:r>
              <w:rPr>
                <w:rFonts w:hint="eastAsia" w:ascii="宋体" w:hAnsi="宋体" w:cs="宋体"/>
                <w:color w:val="auto"/>
                <w:szCs w:val="21"/>
                <w:highlight w:val="none"/>
              </w:rPr>
              <w:t>详见本章附表：综合评分表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767" w:type="dxa"/>
            <w:vMerge w:val="continue"/>
            <w:noWrap w:val="0"/>
            <w:vAlign w:val="center"/>
          </w:tcPr>
          <w:p>
            <w:pPr>
              <w:spacing w:line="276" w:lineRule="auto"/>
              <w:jc w:val="center"/>
              <w:rPr>
                <w:rFonts w:ascii="宋体" w:hAnsi="宋体"/>
                <w:color w:val="auto"/>
                <w:szCs w:val="21"/>
                <w:highlight w:val="none"/>
              </w:rPr>
            </w:pPr>
          </w:p>
        </w:tc>
        <w:tc>
          <w:tcPr>
            <w:tcW w:w="851" w:type="dxa"/>
            <w:vMerge w:val="continue"/>
            <w:noWrap w:val="0"/>
            <w:vAlign w:val="center"/>
          </w:tcPr>
          <w:p>
            <w:pPr>
              <w:spacing w:line="276" w:lineRule="auto"/>
              <w:jc w:val="center"/>
              <w:rPr>
                <w:rFonts w:ascii="宋体" w:hAnsi="宋体"/>
                <w:color w:val="auto"/>
                <w:szCs w:val="21"/>
                <w:highlight w:val="none"/>
              </w:rPr>
            </w:pPr>
          </w:p>
        </w:tc>
        <w:tc>
          <w:tcPr>
            <w:tcW w:w="1550" w:type="dxa"/>
            <w:noWrap w:val="0"/>
            <w:vAlign w:val="center"/>
          </w:tcPr>
          <w:p>
            <w:pPr>
              <w:spacing w:line="276" w:lineRule="auto"/>
              <w:jc w:val="center"/>
              <w:rPr>
                <w:rFonts w:ascii="宋体" w:hAnsi="宋体" w:cs="宋体"/>
                <w:color w:val="auto"/>
                <w:szCs w:val="21"/>
                <w:highlight w:val="none"/>
              </w:rPr>
            </w:pPr>
            <w:r>
              <w:rPr>
                <w:rFonts w:hint="eastAsia" w:ascii="宋体" w:hAnsi="宋体" w:cs="宋体"/>
                <w:color w:val="auto"/>
                <w:szCs w:val="21"/>
                <w:highlight w:val="none"/>
              </w:rPr>
              <w:t>企业实力信誉</w:t>
            </w:r>
          </w:p>
        </w:tc>
        <w:tc>
          <w:tcPr>
            <w:tcW w:w="7136" w:type="dxa"/>
            <w:noWrap w:val="0"/>
            <w:vAlign w:val="center"/>
          </w:tcPr>
          <w:p>
            <w:pPr>
              <w:spacing w:line="276" w:lineRule="auto"/>
              <w:jc w:val="left"/>
              <w:rPr>
                <w:rFonts w:ascii="宋体" w:hAnsi="宋体" w:cs="宋体"/>
                <w:color w:val="auto"/>
                <w:szCs w:val="21"/>
                <w:highlight w:val="none"/>
              </w:rPr>
            </w:pPr>
            <w:r>
              <w:rPr>
                <w:rFonts w:hint="eastAsia" w:ascii="宋体" w:hAnsi="宋体" w:cs="宋体"/>
                <w:color w:val="auto"/>
                <w:szCs w:val="21"/>
                <w:highlight w:val="none"/>
              </w:rPr>
              <w:t>详见本章附表：综合评分表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7" w:type="dxa"/>
            <w:vMerge w:val="continue"/>
            <w:noWrap w:val="0"/>
            <w:vAlign w:val="center"/>
          </w:tcPr>
          <w:p>
            <w:pPr>
              <w:spacing w:line="276" w:lineRule="auto"/>
              <w:jc w:val="center"/>
              <w:rPr>
                <w:rFonts w:ascii="宋体" w:hAnsi="宋体"/>
                <w:color w:val="auto"/>
                <w:szCs w:val="21"/>
                <w:highlight w:val="none"/>
              </w:rPr>
            </w:pPr>
          </w:p>
        </w:tc>
        <w:tc>
          <w:tcPr>
            <w:tcW w:w="851" w:type="dxa"/>
            <w:vMerge w:val="continue"/>
            <w:noWrap w:val="0"/>
            <w:vAlign w:val="center"/>
          </w:tcPr>
          <w:p>
            <w:pPr>
              <w:spacing w:line="276" w:lineRule="auto"/>
              <w:jc w:val="center"/>
              <w:rPr>
                <w:rFonts w:ascii="宋体" w:hAnsi="宋体"/>
                <w:color w:val="auto"/>
                <w:szCs w:val="21"/>
                <w:highlight w:val="none"/>
              </w:rPr>
            </w:pPr>
          </w:p>
        </w:tc>
        <w:tc>
          <w:tcPr>
            <w:tcW w:w="1550" w:type="dxa"/>
            <w:noWrap w:val="0"/>
            <w:vAlign w:val="center"/>
          </w:tcPr>
          <w:p>
            <w:pPr>
              <w:spacing w:line="276" w:lineRule="auto"/>
              <w:jc w:val="center"/>
              <w:rPr>
                <w:rFonts w:ascii="宋体" w:hAnsi="宋体" w:cs="宋体"/>
                <w:color w:val="auto"/>
                <w:szCs w:val="21"/>
                <w:highlight w:val="none"/>
              </w:rPr>
            </w:pPr>
            <w:r>
              <w:rPr>
                <w:rFonts w:hint="eastAsia" w:ascii="宋体" w:hAnsi="宋体" w:cs="宋体"/>
                <w:color w:val="auto"/>
                <w:szCs w:val="21"/>
                <w:highlight w:val="none"/>
              </w:rPr>
              <w:t>拟投入本项目的管理班子</w:t>
            </w:r>
          </w:p>
        </w:tc>
        <w:tc>
          <w:tcPr>
            <w:tcW w:w="7136" w:type="dxa"/>
            <w:noWrap w:val="0"/>
            <w:vAlign w:val="center"/>
          </w:tcPr>
          <w:p>
            <w:pPr>
              <w:spacing w:line="276" w:lineRule="auto"/>
              <w:jc w:val="left"/>
              <w:rPr>
                <w:rFonts w:ascii="宋体" w:hAnsi="宋体" w:cs="宋体"/>
                <w:color w:val="auto"/>
                <w:szCs w:val="21"/>
                <w:highlight w:val="none"/>
              </w:rPr>
            </w:pPr>
            <w:r>
              <w:rPr>
                <w:rFonts w:hint="eastAsia" w:ascii="宋体" w:hAnsi="宋体" w:cs="宋体"/>
                <w:color w:val="auto"/>
                <w:szCs w:val="21"/>
                <w:highlight w:val="none"/>
              </w:rPr>
              <w:t>详见本章附表：综合评分表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jc w:val="center"/>
        </w:trPr>
        <w:tc>
          <w:tcPr>
            <w:tcW w:w="767" w:type="dxa"/>
            <w:noWrap w:val="0"/>
            <w:vAlign w:val="center"/>
          </w:tcPr>
          <w:p>
            <w:pPr>
              <w:spacing w:line="276" w:lineRule="auto"/>
              <w:jc w:val="center"/>
              <w:rPr>
                <w:rFonts w:ascii="宋体" w:hAnsi="宋体"/>
                <w:color w:val="auto"/>
                <w:szCs w:val="21"/>
                <w:highlight w:val="none"/>
              </w:rPr>
            </w:pPr>
            <w:r>
              <w:rPr>
                <w:rFonts w:hint="eastAsia" w:ascii="宋体" w:hAnsi="宋体" w:cs="宋体"/>
                <w:color w:val="auto"/>
                <w:szCs w:val="21"/>
                <w:highlight w:val="none"/>
              </w:rPr>
              <w:t>2.2.4（2）</w:t>
            </w:r>
          </w:p>
        </w:tc>
        <w:tc>
          <w:tcPr>
            <w:tcW w:w="851" w:type="dxa"/>
            <w:noWrap w:val="0"/>
            <w:vAlign w:val="center"/>
          </w:tcPr>
          <w:p>
            <w:pPr>
              <w:spacing w:line="276" w:lineRule="auto"/>
              <w:jc w:val="center"/>
              <w:rPr>
                <w:rFonts w:ascii="宋体" w:hAnsi="宋体"/>
                <w:color w:val="auto"/>
                <w:szCs w:val="21"/>
                <w:highlight w:val="none"/>
              </w:rPr>
            </w:pPr>
            <w:r>
              <w:rPr>
                <w:rFonts w:hint="eastAsia" w:ascii="宋体" w:hAnsi="宋体" w:cs="宋体"/>
                <w:color w:val="auto"/>
                <w:szCs w:val="21"/>
                <w:highlight w:val="none"/>
              </w:rPr>
              <w:t>技术方案评分标准</w:t>
            </w:r>
          </w:p>
        </w:tc>
        <w:tc>
          <w:tcPr>
            <w:tcW w:w="1550" w:type="dxa"/>
            <w:noWrap w:val="0"/>
            <w:vAlign w:val="center"/>
          </w:tcPr>
          <w:p>
            <w:pPr>
              <w:spacing w:line="276" w:lineRule="auto"/>
              <w:jc w:val="center"/>
              <w:rPr>
                <w:rFonts w:ascii="宋体" w:hAnsi="宋体" w:cs="Arial Unicode MS"/>
                <w:color w:val="auto"/>
                <w:szCs w:val="21"/>
                <w:highlight w:val="none"/>
              </w:rPr>
            </w:pPr>
            <w:r>
              <w:rPr>
                <w:rFonts w:hint="eastAsia" w:ascii="宋体" w:hAnsi="宋体" w:cs="宋体"/>
                <w:color w:val="auto"/>
                <w:highlight w:val="none"/>
              </w:rPr>
              <w:t>检测方案</w:t>
            </w:r>
          </w:p>
        </w:tc>
        <w:tc>
          <w:tcPr>
            <w:tcW w:w="7136" w:type="dxa"/>
            <w:noWrap w:val="0"/>
            <w:vAlign w:val="center"/>
          </w:tcPr>
          <w:p>
            <w:pPr>
              <w:spacing w:line="276" w:lineRule="auto"/>
              <w:ind w:left="0" w:firstLine="0" w:firstLineChars="0"/>
              <w:rPr>
                <w:rFonts w:ascii="宋体" w:hAnsi="宋体" w:cs="宋体"/>
                <w:color w:val="auto"/>
                <w:kern w:val="0"/>
                <w:szCs w:val="21"/>
                <w:highlight w:val="none"/>
              </w:rPr>
            </w:pPr>
            <w:r>
              <w:rPr>
                <w:rFonts w:hint="eastAsia" w:ascii="宋体" w:hAnsi="宋体" w:cs="宋体"/>
                <w:color w:val="auto"/>
                <w:szCs w:val="21"/>
                <w:highlight w:val="none"/>
              </w:rPr>
              <w:t>详见本章附表：综合评分表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noWrap w:val="0"/>
            <w:vAlign w:val="center"/>
          </w:tcPr>
          <w:p>
            <w:pPr>
              <w:spacing w:line="276" w:lineRule="auto"/>
              <w:jc w:val="center"/>
              <w:rPr>
                <w:rFonts w:ascii="宋体" w:hAnsi="宋体" w:cs="宋体"/>
                <w:color w:val="auto"/>
                <w:szCs w:val="21"/>
                <w:highlight w:val="none"/>
              </w:rPr>
            </w:pPr>
            <w:r>
              <w:rPr>
                <w:rFonts w:hint="eastAsia" w:ascii="宋体" w:hAnsi="宋体" w:cs="宋体"/>
                <w:color w:val="auto"/>
                <w:szCs w:val="21"/>
                <w:highlight w:val="none"/>
              </w:rPr>
              <w:t>2.2.4（3）</w:t>
            </w:r>
          </w:p>
        </w:tc>
        <w:tc>
          <w:tcPr>
            <w:tcW w:w="851" w:type="dxa"/>
            <w:noWrap w:val="0"/>
            <w:vAlign w:val="center"/>
          </w:tcPr>
          <w:p>
            <w:pPr>
              <w:spacing w:line="276" w:lineRule="auto"/>
              <w:ind w:left="-107" w:leftChars="-51" w:right="-107" w:rightChars="-51"/>
              <w:jc w:val="center"/>
              <w:rPr>
                <w:rFonts w:ascii="宋体" w:hAnsi="宋体" w:cs="宋体"/>
                <w:color w:val="auto"/>
                <w:szCs w:val="21"/>
                <w:highlight w:val="none"/>
              </w:rPr>
            </w:pPr>
            <w:r>
              <w:rPr>
                <w:rFonts w:hint="eastAsia" w:ascii="宋体" w:hAnsi="宋体" w:cs="宋体"/>
                <w:color w:val="auto"/>
                <w:szCs w:val="21"/>
                <w:highlight w:val="none"/>
              </w:rPr>
              <w:t>投标报价评分标准</w:t>
            </w:r>
          </w:p>
        </w:tc>
        <w:tc>
          <w:tcPr>
            <w:tcW w:w="8686" w:type="dxa"/>
            <w:gridSpan w:val="2"/>
            <w:noWrap w:val="0"/>
            <w:vAlign w:val="center"/>
          </w:tcPr>
          <w:p>
            <w:pPr>
              <w:widowControl/>
              <w:spacing w:line="276" w:lineRule="auto"/>
              <w:rPr>
                <w:rFonts w:ascii="宋体" w:hAnsi="宋体" w:cs="宋体"/>
                <w:color w:val="auto"/>
                <w:kern w:val="0"/>
                <w:szCs w:val="21"/>
                <w:highlight w:val="none"/>
              </w:rPr>
            </w:pPr>
            <w:r>
              <w:rPr>
                <w:rFonts w:hint="eastAsia" w:ascii="宋体" w:hAnsi="宋体"/>
                <w:color w:val="auto"/>
                <w:szCs w:val="21"/>
                <w:highlight w:val="none"/>
              </w:rPr>
              <w:t>以评标参考价作为计算各有效投标报价得分的基础，当有效投标报价等于评标参考价时得</w:t>
            </w:r>
            <w:r>
              <w:rPr>
                <w:rFonts w:hint="eastAsia" w:ascii="宋体" w:hAnsi="宋体"/>
                <w:color w:val="auto"/>
                <w:szCs w:val="21"/>
                <w:highlight w:val="none"/>
                <w:lang w:val="en-US" w:eastAsia="zh-CN"/>
              </w:rPr>
              <w:t>10</w:t>
            </w:r>
            <w:r>
              <w:rPr>
                <w:rFonts w:hint="eastAsia" w:ascii="宋体" w:hAnsi="宋体"/>
                <w:color w:val="auto"/>
                <w:szCs w:val="21"/>
                <w:highlight w:val="none"/>
              </w:rPr>
              <w:t>分；投标有效报价与评标参考价之差，每上偏1%扣1.0分，下偏1%扣0.5分；最多减至0分止。</w:t>
            </w:r>
            <w:r>
              <w:rPr>
                <w:rFonts w:hint="eastAsia" w:ascii="宋体" w:hAnsi="宋体"/>
                <w:b/>
                <w:color w:val="auto"/>
                <w:szCs w:val="21"/>
                <w:highlight w:val="none"/>
              </w:rPr>
              <w:t>得分精确到小数点后两位。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noWrap w:val="0"/>
            <w:vAlign w:val="center"/>
          </w:tcPr>
          <w:p>
            <w:pPr>
              <w:spacing w:line="276" w:lineRule="auto"/>
              <w:jc w:val="center"/>
              <w:rPr>
                <w:rFonts w:ascii="宋体" w:hAnsi="宋体" w:cs="宋体"/>
                <w:strike w:val="0"/>
                <w:dstrike w:val="0"/>
                <w:color w:val="auto"/>
                <w:szCs w:val="21"/>
                <w:highlight w:val="none"/>
              </w:rPr>
            </w:pPr>
            <w:r>
              <w:rPr>
                <w:rFonts w:ascii="宋体" w:hAnsi="宋体"/>
                <w:strike w:val="0"/>
                <w:dstrike w:val="0"/>
                <w:color w:val="auto"/>
                <w:szCs w:val="21"/>
                <w:highlight w:val="none"/>
              </w:rPr>
              <w:t>2.2.4</w:t>
            </w:r>
            <w:r>
              <w:rPr>
                <w:rFonts w:hint="eastAsia" w:ascii="宋体" w:hAnsi="宋体"/>
                <w:strike w:val="0"/>
                <w:dstrike w:val="0"/>
                <w:color w:val="auto"/>
                <w:szCs w:val="21"/>
                <w:highlight w:val="none"/>
              </w:rPr>
              <w:t>（</w:t>
            </w:r>
            <w:r>
              <w:rPr>
                <w:rFonts w:ascii="宋体" w:hAnsi="宋体"/>
                <w:strike w:val="0"/>
                <w:dstrike w:val="0"/>
                <w:color w:val="auto"/>
                <w:szCs w:val="21"/>
                <w:highlight w:val="none"/>
              </w:rPr>
              <w:t>4</w:t>
            </w:r>
            <w:r>
              <w:rPr>
                <w:rFonts w:hint="eastAsia" w:ascii="宋体" w:hAnsi="宋体"/>
                <w:strike w:val="0"/>
                <w:dstrike w:val="0"/>
                <w:color w:val="auto"/>
                <w:szCs w:val="21"/>
                <w:highlight w:val="none"/>
              </w:rPr>
              <w:t>）</w:t>
            </w:r>
          </w:p>
        </w:tc>
        <w:tc>
          <w:tcPr>
            <w:tcW w:w="851" w:type="dxa"/>
            <w:noWrap w:val="0"/>
            <w:vAlign w:val="center"/>
          </w:tcPr>
          <w:p>
            <w:pPr>
              <w:spacing w:line="276" w:lineRule="auto"/>
              <w:ind w:left="-126" w:leftChars="-60" w:right="-107" w:rightChars="-51"/>
              <w:jc w:val="center"/>
              <w:rPr>
                <w:rFonts w:ascii="宋体" w:hAnsi="宋体" w:cs="宋体"/>
                <w:strike w:val="0"/>
                <w:dstrike w:val="0"/>
                <w:color w:val="auto"/>
                <w:szCs w:val="21"/>
                <w:highlight w:val="none"/>
              </w:rPr>
            </w:pPr>
            <w:r>
              <w:rPr>
                <w:rFonts w:hint="eastAsia" w:ascii="宋体" w:hAnsi="宋体" w:cs="宋体"/>
                <w:strike w:val="0"/>
                <w:dstrike w:val="0"/>
                <w:color w:val="auto"/>
                <w:szCs w:val="21"/>
                <w:highlight w:val="none"/>
              </w:rPr>
              <w:t>其他因素评分标准</w:t>
            </w:r>
          </w:p>
        </w:tc>
        <w:tc>
          <w:tcPr>
            <w:tcW w:w="8686" w:type="dxa"/>
            <w:gridSpan w:val="2"/>
            <w:noWrap w:val="0"/>
            <w:vAlign w:val="center"/>
          </w:tcPr>
          <w:p>
            <w:pPr>
              <w:widowControl/>
              <w:spacing w:line="276" w:lineRule="auto"/>
              <w:rPr>
                <w:rFonts w:hint="eastAsia" w:ascii="宋体" w:hAnsi="宋体" w:eastAsia="宋体" w:cs="宋体"/>
                <w:strike/>
                <w:dstrike w:val="0"/>
                <w:color w:val="auto"/>
                <w:szCs w:val="21"/>
                <w:highlight w:val="none"/>
                <w:lang w:eastAsia="zh-CN"/>
              </w:rPr>
            </w:pPr>
            <w:r>
              <w:rPr>
                <w:rFonts w:hint="eastAsia" w:ascii="宋体" w:hAnsi="宋体" w:cs="宋体"/>
                <w:strike w:val="0"/>
                <w:dstrike w:val="0"/>
                <w:color w:val="auto"/>
                <w:szCs w:val="21"/>
                <w:highlight w:val="none"/>
                <w:lang w:val="en-US" w:eastAsia="zh-CN"/>
              </w:rPr>
              <w:t>/</w:t>
            </w:r>
          </w:p>
        </w:tc>
      </w:tr>
    </w:tbl>
    <w:p>
      <w:pPr>
        <w:rPr>
          <w:rFonts w:hint="eastAsia"/>
          <w:color w:val="auto"/>
          <w:highlight w:val="none"/>
        </w:rPr>
      </w:pPr>
      <w:r>
        <w:rPr>
          <w:rFonts w:hint="eastAsia"/>
          <w:color w:val="auto"/>
          <w:highlight w:val="none"/>
        </w:rPr>
        <w:br w:type="page"/>
      </w:r>
    </w:p>
    <w:p>
      <w:pPr>
        <w:pStyle w:val="5"/>
        <w:rPr>
          <w:color w:val="auto"/>
          <w:highlight w:val="none"/>
        </w:rPr>
      </w:pPr>
      <w:bookmarkStart w:id="106" w:name="_Toc17098"/>
      <w:r>
        <w:rPr>
          <w:rFonts w:hint="eastAsia"/>
          <w:color w:val="auto"/>
          <w:highlight w:val="none"/>
        </w:rPr>
        <w:t>附表一：形式评审表</w:t>
      </w:r>
      <w:bookmarkEnd w:id="106"/>
    </w:p>
    <w:p>
      <w:pPr>
        <w:spacing w:line="360" w:lineRule="auto"/>
        <w:jc w:val="center"/>
        <w:rPr>
          <w:rFonts w:ascii="宋体" w:hAnsi="宋体" w:cs="宋体"/>
          <w:color w:val="auto"/>
          <w:sz w:val="28"/>
          <w:szCs w:val="28"/>
          <w:highlight w:val="none"/>
        </w:rPr>
      </w:pPr>
      <w:r>
        <w:rPr>
          <w:rFonts w:hint="eastAsia" w:ascii="宋体" w:hAnsi="宋体" w:cs="宋体"/>
          <w:color w:val="auto"/>
          <w:sz w:val="28"/>
          <w:szCs w:val="28"/>
          <w:highlight w:val="none"/>
        </w:rPr>
        <w:t>形式评审表</w:t>
      </w:r>
    </w:p>
    <w:tbl>
      <w:tblPr>
        <w:tblStyle w:val="29"/>
        <w:tblpPr w:leftFromText="180" w:rightFromText="180" w:vertAnchor="text" w:horzAnchor="margin" w:tblpY="15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4258"/>
        <w:gridCol w:w="761"/>
        <w:gridCol w:w="762"/>
        <w:gridCol w:w="762"/>
        <w:gridCol w:w="762"/>
        <w:gridCol w:w="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534" w:type="dxa"/>
            <w:noWrap w:val="0"/>
            <w:vAlign w:val="center"/>
          </w:tcPr>
          <w:p>
            <w:pPr>
              <w:tabs>
                <w:tab w:val="left" w:pos="720"/>
              </w:tabs>
              <w:snapToGrid w:val="0"/>
              <w:spacing w:line="276" w:lineRule="auto"/>
              <w:jc w:val="center"/>
              <w:rPr>
                <w:rFonts w:ascii="宋体" w:hAnsi="宋体"/>
                <w:color w:val="auto"/>
                <w:sz w:val="20"/>
                <w:szCs w:val="20"/>
                <w:highlight w:val="none"/>
              </w:rPr>
            </w:pPr>
            <w:r>
              <w:rPr>
                <w:rFonts w:hint="eastAsia" w:ascii="宋体" w:hAnsi="宋体"/>
                <w:color w:val="auto"/>
                <w:sz w:val="20"/>
                <w:szCs w:val="20"/>
                <w:highlight w:val="none"/>
              </w:rPr>
              <w:t>编号</w:t>
            </w:r>
          </w:p>
        </w:tc>
        <w:tc>
          <w:tcPr>
            <w:tcW w:w="4258" w:type="dxa"/>
            <w:tcBorders>
              <w:tl2br w:val="single" w:color="auto" w:sz="4" w:space="0"/>
            </w:tcBorders>
            <w:noWrap w:val="0"/>
            <w:vAlign w:val="center"/>
          </w:tcPr>
          <w:p>
            <w:pPr>
              <w:tabs>
                <w:tab w:val="left" w:pos="720"/>
              </w:tabs>
              <w:snapToGrid w:val="0"/>
              <w:spacing w:line="276" w:lineRule="auto"/>
              <w:ind w:firstLine="2300" w:firstLineChars="1150"/>
              <w:rPr>
                <w:rFonts w:ascii="宋体" w:hAnsi="宋体"/>
                <w:color w:val="auto"/>
                <w:sz w:val="20"/>
                <w:szCs w:val="20"/>
                <w:highlight w:val="none"/>
              </w:rPr>
            </w:pPr>
            <w:r>
              <w:rPr>
                <w:rFonts w:hint="eastAsia" w:ascii="宋体" w:hAnsi="宋体"/>
                <w:color w:val="auto"/>
                <w:sz w:val="20"/>
                <w:szCs w:val="20"/>
                <w:highlight w:val="none"/>
              </w:rPr>
              <w:t>投标人名称</w:t>
            </w:r>
          </w:p>
          <w:p>
            <w:pPr>
              <w:tabs>
                <w:tab w:val="left" w:pos="720"/>
              </w:tabs>
              <w:snapToGrid w:val="0"/>
              <w:spacing w:line="276" w:lineRule="auto"/>
              <w:rPr>
                <w:rFonts w:ascii="宋体" w:hAnsi="宋体"/>
                <w:color w:val="auto"/>
                <w:sz w:val="20"/>
                <w:szCs w:val="20"/>
                <w:highlight w:val="none"/>
              </w:rPr>
            </w:pPr>
            <w:r>
              <w:rPr>
                <w:rFonts w:hint="eastAsia" w:ascii="宋体" w:hAnsi="宋体"/>
                <w:color w:val="auto"/>
                <w:sz w:val="20"/>
                <w:szCs w:val="20"/>
                <w:highlight w:val="none"/>
              </w:rPr>
              <w:t>评审项目</w:t>
            </w:r>
          </w:p>
        </w:tc>
        <w:tc>
          <w:tcPr>
            <w:tcW w:w="761" w:type="dxa"/>
            <w:noWrap w:val="0"/>
            <w:vAlign w:val="center"/>
          </w:tcPr>
          <w:p>
            <w:pPr>
              <w:tabs>
                <w:tab w:val="left" w:pos="720"/>
              </w:tabs>
              <w:snapToGrid w:val="0"/>
              <w:spacing w:line="276" w:lineRule="auto"/>
              <w:rPr>
                <w:rFonts w:ascii="宋体" w:hAnsi="宋体"/>
                <w:color w:val="auto"/>
                <w:sz w:val="18"/>
                <w:szCs w:val="18"/>
                <w:highlight w:val="none"/>
              </w:rPr>
            </w:pPr>
          </w:p>
        </w:tc>
        <w:tc>
          <w:tcPr>
            <w:tcW w:w="762" w:type="dxa"/>
            <w:noWrap w:val="0"/>
            <w:vAlign w:val="center"/>
          </w:tcPr>
          <w:p>
            <w:pPr>
              <w:tabs>
                <w:tab w:val="left" w:pos="720"/>
              </w:tabs>
              <w:snapToGrid w:val="0"/>
              <w:spacing w:line="276" w:lineRule="auto"/>
              <w:jc w:val="center"/>
              <w:rPr>
                <w:rFonts w:ascii="宋体" w:hAnsi="宋体"/>
                <w:color w:val="auto"/>
                <w:sz w:val="18"/>
                <w:szCs w:val="18"/>
                <w:highlight w:val="none"/>
              </w:rPr>
            </w:pPr>
          </w:p>
        </w:tc>
        <w:tc>
          <w:tcPr>
            <w:tcW w:w="762" w:type="dxa"/>
            <w:noWrap w:val="0"/>
            <w:vAlign w:val="center"/>
          </w:tcPr>
          <w:p>
            <w:pPr>
              <w:tabs>
                <w:tab w:val="left" w:pos="720"/>
              </w:tabs>
              <w:snapToGrid w:val="0"/>
              <w:spacing w:line="276" w:lineRule="auto"/>
              <w:jc w:val="center"/>
              <w:rPr>
                <w:rFonts w:ascii="宋体" w:hAnsi="宋体"/>
                <w:color w:val="auto"/>
                <w:sz w:val="18"/>
                <w:szCs w:val="18"/>
                <w:highlight w:val="none"/>
              </w:rPr>
            </w:pPr>
          </w:p>
        </w:tc>
        <w:tc>
          <w:tcPr>
            <w:tcW w:w="762" w:type="dxa"/>
            <w:noWrap w:val="0"/>
            <w:vAlign w:val="center"/>
          </w:tcPr>
          <w:p>
            <w:pPr>
              <w:tabs>
                <w:tab w:val="left" w:pos="720"/>
              </w:tabs>
              <w:snapToGrid w:val="0"/>
              <w:spacing w:line="276" w:lineRule="auto"/>
              <w:jc w:val="center"/>
              <w:rPr>
                <w:rFonts w:ascii="宋体" w:hAnsi="宋体"/>
                <w:color w:val="auto"/>
                <w:sz w:val="18"/>
                <w:szCs w:val="18"/>
                <w:highlight w:val="none"/>
              </w:rPr>
            </w:pPr>
          </w:p>
        </w:tc>
        <w:tc>
          <w:tcPr>
            <w:tcW w:w="762" w:type="dxa"/>
            <w:noWrap w:val="0"/>
            <w:vAlign w:val="center"/>
          </w:tcPr>
          <w:p>
            <w:pPr>
              <w:tabs>
                <w:tab w:val="left" w:pos="720"/>
              </w:tabs>
              <w:snapToGrid w:val="0"/>
              <w:spacing w:line="276" w:lineRule="auto"/>
              <w:jc w:val="center"/>
              <w:rPr>
                <w:rFonts w:ascii="宋体" w:hAnsi="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534" w:type="dxa"/>
            <w:noWrap w:val="0"/>
            <w:vAlign w:val="center"/>
          </w:tcPr>
          <w:p>
            <w:pPr>
              <w:tabs>
                <w:tab w:val="left" w:pos="720"/>
              </w:tabs>
              <w:snapToGrid w:val="0"/>
              <w:spacing w:line="276" w:lineRule="auto"/>
              <w:jc w:val="center"/>
              <w:rPr>
                <w:rFonts w:ascii="宋体" w:hAnsi="宋体"/>
                <w:color w:val="auto"/>
                <w:sz w:val="20"/>
                <w:szCs w:val="20"/>
                <w:highlight w:val="none"/>
              </w:rPr>
            </w:pPr>
            <w:r>
              <w:rPr>
                <w:rFonts w:hint="eastAsia" w:ascii="宋体" w:hAnsi="宋体"/>
                <w:color w:val="auto"/>
                <w:sz w:val="20"/>
                <w:szCs w:val="20"/>
                <w:highlight w:val="none"/>
              </w:rPr>
              <w:t>1</w:t>
            </w:r>
          </w:p>
        </w:tc>
        <w:tc>
          <w:tcPr>
            <w:tcW w:w="4258" w:type="dxa"/>
            <w:noWrap w:val="0"/>
            <w:vAlign w:val="center"/>
          </w:tcPr>
          <w:p>
            <w:pPr>
              <w:tabs>
                <w:tab w:val="left" w:pos="720"/>
              </w:tabs>
              <w:snapToGrid w:val="0"/>
              <w:spacing w:line="276" w:lineRule="auto"/>
              <w:rPr>
                <w:rFonts w:ascii="宋体" w:hAnsi="宋体"/>
                <w:color w:val="auto"/>
                <w:sz w:val="20"/>
                <w:szCs w:val="20"/>
                <w:highlight w:val="none"/>
              </w:rPr>
            </w:pPr>
            <w:r>
              <w:rPr>
                <w:rFonts w:hint="eastAsia" w:ascii="宋体" w:hAnsi="宋体"/>
                <w:color w:val="auto"/>
                <w:sz w:val="20"/>
                <w:szCs w:val="20"/>
                <w:highlight w:val="none"/>
              </w:rPr>
              <w:t>投标人名称：与营业执照（或事业单位法人证书）、资质证书一致。</w:t>
            </w:r>
          </w:p>
        </w:tc>
        <w:tc>
          <w:tcPr>
            <w:tcW w:w="761" w:type="dxa"/>
            <w:noWrap w:val="0"/>
            <w:vAlign w:val="center"/>
          </w:tcPr>
          <w:p>
            <w:pPr>
              <w:tabs>
                <w:tab w:val="left" w:pos="720"/>
              </w:tabs>
              <w:snapToGrid w:val="0"/>
              <w:spacing w:line="276" w:lineRule="auto"/>
              <w:jc w:val="center"/>
              <w:rPr>
                <w:rFonts w:ascii="宋体" w:hAnsi="宋体"/>
                <w:color w:val="auto"/>
                <w:sz w:val="18"/>
                <w:szCs w:val="18"/>
                <w:highlight w:val="none"/>
              </w:rPr>
            </w:pPr>
          </w:p>
        </w:tc>
        <w:tc>
          <w:tcPr>
            <w:tcW w:w="762" w:type="dxa"/>
            <w:noWrap w:val="0"/>
            <w:vAlign w:val="center"/>
          </w:tcPr>
          <w:p>
            <w:pPr>
              <w:tabs>
                <w:tab w:val="left" w:pos="720"/>
              </w:tabs>
              <w:snapToGrid w:val="0"/>
              <w:spacing w:line="276" w:lineRule="auto"/>
              <w:jc w:val="center"/>
              <w:rPr>
                <w:rFonts w:ascii="宋体" w:hAnsi="宋体"/>
                <w:color w:val="auto"/>
                <w:sz w:val="18"/>
                <w:szCs w:val="18"/>
                <w:highlight w:val="none"/>
              </w:rPr>
            </w:pPr>
          </w:p>
        </w:tc>
        <w:tc>
          <w:tcPr>
            <w:tcW w:w="762" w:type="dxa"/>
            <w:noWrap w:val="0"/>
            <w:vAlign w:val="center"/>
          </w:tcPr>
          <w:p>
            <w:pPr>
              <w:tabs>
                <w:tab w:val="left" w:pos="720"/>
              </w:tabs>
              <w:snapToGrid w:val="0"/>
              <w:spacing w:line="276" w:lineRule="auto"/>
              <w:jc w:val="center"/>
              <w:rPr>
                <w:rFonts w:ascii="宋体" w:hAnsi="宋体"/>
                <w:color w:val="auto"/>
                <w:sz w:val="18"/>
                <w:szCs w:val="18"/>
                <w:highlight w:val="none"/>
              </w:rPr>
            </w:pPr>
          </w:p>
        </w:tc>
        <w:tc>
          <w:tcPr>
            <w:tcW w:w="762" w:type="dxa"/>
            <w:noWrap w:val="0"/>
            <w:vAlign w:val="center"/>
          </w:tcPr>
          <w:p>
            <w:pPr>
              <w:tabs>
                <w:tab w:val="left" w:pos="720"/>
              </w:tabs>
              <w:snapToGrid w:val="0"/>
              <w:spacing w:line="276" w:lineRule="auto"/>
              <w:jc w:val="center"/>
              <w:rPr>
                <w:rFonts w:ascii="宋体" w:hAnsi="宋体"/>
                <w:color w:val="auto"/>
                <w:sz w:val="18"/>
                <w:szCs w:val="18"/>
                <w:highlight w:val="none"/>
              </w:rPr>
            </w:pPr>
          </w:p>
        </w:tc>
        <w:tc>
          <w:tcPr>
            <w:tcW w:w="762" w:type="dxa"/>
            <w:noWrap w:val="0"/>
            <w:vAlign w:val="center"/>
          </w:tcPr>
          <w:p>
            <w:pPr>
              <w:tabs>
                <w:tab w:val="left" w:pos="720"/>
              </w:tabs>
              <w:snapToGrid w:val="0"/>
              <w:spacing w:line="276" w:lineRule="auto"/>
              <w:jc w:val="center"/>
              <w:rPr>
                <w:rFonts w:ascii="宋体" w:hAnsi="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534" w:type="dxa"/>
            <w:noWrap w:val="0"/>
            <w:vAlign w:val="center"/>
          </w:tcPr>
          <w:p>
            <w:pPr>
              <w:tabs>
                <w:tab w:val="left" w:pos="720"/>
              </w:tabs>
              <w:snapToGrid w:val="0"/>
              <w:spacing w:line="276" w:lineRule="auto"/>
              <w:jc w:val="center"/>
              <w:rPr>
                <w:rFonts w:ascii="宋体" w:hAnsi="宋体"/>
                <w:color w:val="auto"/>
                <w:sz w:val="20"/>
                <w:szCs w:val="20"/>
                <w:highlight w:val="none"/>
              </w:rPr>
            </w:pPr>
            <w:r>
              <w:rPr>
                <w:rFonts w:hint="eastAsia" w:ascii="宋体" w:hAnsi="宋体"/>
                <w:color w:val="auto"/>
                <w:sz w:val="20"/>
                <w:szCs w:val="20"/>
                <w:highlight w:val="none"/>
              </w:rPr>
              <w:t>2</w:t>
            </w:r>
          </w:p>
        </w:tc>
        <w:tc>
          <w:tcPr>
            <w:tcW w:w="4258" w:type="dxa"/>
            <w:noWrap w:val="0"/>
            <w:vAlign w:val="center"/>
          </w:tcPr>
          <w:p>
            <w:pPr>
              <w:tabs>
                <w:tab w:val="left" w:pos="720"/>
              </w:tabs>
              <w:snapToGrid w:val="0"/>
              <w:spacing w:line="276" w:lineRule="auto"/>
              <w:rPr>
                <w:rFonts w:ascii="宋体" w:hAnsi="宋体"/>
                <w:color w:val="auto"/>
                <w:sz w:val="20"/>
                <w:szCs w:val="20"/>
                <w:highlight w:val="none"/>
              </w:rPr>
            </w:pPr>
            <w:r>
              <w:rPr>
                <w:rFonts w:hint="eastAsia" w:ascii="宋体" w:hAnsi="宋体"/>
                <w:color w:val="auto"/>
                <w:sz w:val="20"/>
                <w:szCs w:val="20"/>
                <w:highlight w:val="none"/>
              </w:rPr>
              <w:t>投标函及其附表签字盖章：投标函及其附表格式及签字盖章符合招标文件要求，由法定代表人签字的，应附法定代表人证明书，由代理人签字的，应附法定代表人证明书及授权委托书。</w:t>
            </w:r>
          </w:p>
        </w:tc>
        <w:tc>
          <w:tcPr>
            <w:tcW w:w="761" w:type="dxa"/>
            <w:noWrap w:val="0"/>
            <w:vAlign w:val="center"/>
          </w:tcPr>
          <w:p>
            <w:pPr>
              <w:tabs>
                <w:tab w:val="left" w:pos="720"/>
              </w:tabs>
              <w:snapToGrid w:val="0"/>
              <w:spacing w:line="276" w:lineRule="auto"/>
              <w:jc w:val="center"/>
              <w:rPr>
                <w:rFonts w:ascii="宋体" w:hAnsi="宋体"/>
                <w:color w:val="auto"/>
                <w:sz w:val="18"/>
                <w:szCs w:val="18"/>
                <w:highlight w:val="none"/>
              </w:rPr>
            </w:pPr>
          </w:p>
        </w:tc>
        <w:tc>
          <w:tcPr>
            <w:tcW w:w="762" w:type="dxa"/>
            <w:noWrap w:val="0"/>
            <w:vAlign w:val="center"/>
          </w:tcPr>
          <w:p>
            <w:pPr>
              <w:tabs>
                <w:tab w:val="left" w:pos="720"/>
              </w:tabs>
              <w:snapToGrid w:val="0"/>
              <w:spacing w:line="276" w:lineRule="auto"/>
              <w:jc w:val="center"/>
              <w:rPr>
                <w:rFonts w:ascii="宋体" w:hAnsi="宋体"/>
                <w:color w:val="auto"/>
                <w:sz w:val="18"/>
                <w:szCs w:val="18"/>
                <w:highlight w:val="none"/>
              </w:rPr>
            </w:pPr>
          </w:p>
        </w:tc>
        <w:tc>
          <w:tcPr>
            <w:tcW w:w="762" w:type="dxa"/>
            <w:noWrap w:val="0"/>
            <w:vAlign w:val="center"/>
          </w:tcPr>
          <w:p>
            <w:pPr>
              <w:tabs>
                <w:tab w:val="left" w:pos="720"/>
              </w:tabs>
              <w:snapToGrid w:val="0"/>
              <w:spacing w:line="276" w:lineRule="auto"/>
              <w:jc w:val="center"/>
              <w:rPr>
                <w:rFonts w:ascii="宋体" w:hAnsi="宋体"/>
                <w:color w:val="auto"/>
                <w:sz w:val="18"/>
                <w:szCs w:val="18"/>
                <w:highlight w:val="none"/>
              </w:rPr>
            </w:pPr>
          </w:p>
        </w:tc>
        <w:tc>
          <w:tcPr>
            <w:tcW w:w="762" w:type="dxa"/>
            <w:noWrap w:val="0"/>
            <w:vAlign w:val="center"/>
          </w:tcPr>
          <w:p>
            <w:pPr>
              <w:tabs>
                <w:tab w:val="left" w:pos="720"/>
              </w:tabs>
              <w:snapToGrid w:val="0"/>
              <w:spacing w:line="276" w:lineRule="auto"/>
              <w:jc w:val="center"/>
              <w:rPr>
                <w:rFonts w:ascii="宋体" w:hAnsi="宋体"/>
                <w:color w:val="auto"/>
                <w:sz w:val="18"/>
                <w:szCs w:val="18"/>
                <w:highlight w:val="none"/>
              </w:rPr>
            </w:pPr>
          </w:p>
        </w:tc>
        <w:tc>
          <w:tcPr>
            <w:tcW w:w="762" w:type="dxa"/>
            <w:noWrap w:val="0"/>
            <w:vAlign w:val="center"/>
          </w:tcPr>
          <w:p>
            <w:pPr>
              <w:tabs>
                <w:tab w:val="left" w:pos="720"/>
              </w:tabs>
              <w:snapToGrid w:val="0"/>
              <w:spacing w:line="276" w:lineRule="auto"/>
              <w:jc w:val="center"/>
              <w:rPr>
                <w:rFonts w:ascii="宋体" w:hAnsi="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34" w:type="dxa"/>
            <w:noWrap w:val="0"/>
            <w:vAlign w:val="center"/>
          </w:tcPr>
          <w:p>
            <w:pPr>
              <w:tabs>
                <w:tab w:val="left" w:pos="720"/>
              </w:tabs>
              <w:snapToGrid w:val="0"/>
              <w:spacing w:line="276" w:lineRule="auto"/>
              <w:jc w:val="center"/>
              <w:rPr>
                <w:rFonts w:ascii="宋体" w:hAnsi="宋体"/>
                <w:color w:val="auto"/>
                <w:sz w:val="20"/>
                <w:szCs w:val="20"/>
                <w:highlight w:val="none"/>
              </w:rPr>
            </w:pPr>
            <w:r>
              <w:rPr>
                <w:rFonts w:hint="eastAsia" w:ascii="宋体" w:hAnsi="宋体"/>
                <w:color w:val="auto"/>
                <w:sz w:val="20"/>
                <w:szCs w:val="20"/>
                <w:highlight w:val="none"/>
              </w:rPr>
              <w:t>3</w:t>
            </w:r>
          </w:p>
        </w:tc>
        <w:tc>
          <w:tcPr>
            <w:tcW w:w="4258" w:type="dxa"/>
            <w:noWrap w:val="0"/>
            <w:vAlign w:val="center"/>
          </w:tcPr>
          <w:p>
            <w:pPr>
              <w:tabs>
                <w:tab w:val="left" w:pos="720"/>
              </w:tabs>
              <w:snapToGrid w:val="0"/>
              <w:spacing w:line="276" w:lineRule="auto"/>
              <w:rPr>
                <w:rFonts w:ascii="宋体" w:hAnsi="宋体"/>
                <w:color w:val="auto"/>
                <w:sz w:val="20"/>
                <w:szCs w:val="20"/>
                <w:highlight w:val="none"/>
              </w:rPr>
            </w:pPr>
            <w:r>
              <w:rPr>
                <w:rFonts w:hint="eastAsia" w:ascii="宋体" w:hAnsi="宋体"/>
                <w:color w:val="auto"/>
                <w:sz w:val="20"/>
                <w:szCs w:val="20"/>
                <w:highlight w:val="none"/>
              </w:rPr>
              <w:t>投标文件格式：符合第六章“投标文件格式”的规定。</w:t>
            </w:r>
          </w:p>
        </w:tc>
        <w:tc>
          <w:tcPr>
            <w:tcW w:w="761" w:type="dxa"/>
            <w:noWrap w:val="0"/>
            <w:vAlign w:val="center"/>
          </w:tcPr>
          <w:p>
            <w:pPr>
              <w:tabs>
                <w:tab w:val="left" w:pos="720"/>
              </w:tabs>
              <w:snapToGrid w:val="0"/>
              <w:spacing w:line="276" w:lineRule="auto"/>
              <w:jc w:val="center"/>
              <w:rPr>
                <w:rFonts w:ascii="宋体" w:hAnsi="宋体"/>
                <w:color w:val="auto"/>
                <w:sz w:val="18"/>
                <w:szCs w:val="18"/>
                <w:highlight w:val="none"/>
              </w:rPr>
            </w:pPr>
          </w:p>
        </w:tc>
        <w:tc>
          <w:tcPr>
            <w:tcW w:w="762" w:type="dxa"/>
            <w:noWrap w:val="0"/>
            <w:vAlign w:val="center"/>
          </w:tcPr>
          <w:p>
            <w:pPr>
              <w:tabs>
                <w:tab w:val="left" w:pos="720"/>
              </w:tabs>
              <w:snapToGrid w:val="0"/>
              <w:spacing w:line="276" w:lineRule="auto"/>
              <w:jc w:val="center"/>
              <w:rPr>
                <w:rFonts w:ascii="宋体" w:hAnsi="宋体"/>
                <w:color w:val="auto"/>
                <w:sz w:val="18"/>
                <w:szCs w:val="18"/>
                <w:highlight w:val="none"/>
              </w:rPr>
            </w:pPr>
          </w:p>
        </w:tc>
        <w:tc>
          <w:tcPr>
            <w:tcW w:w="762" w:type="dxa"/>
            <w:noWrap w:val="0"/>
            <w:vAlign w:val="center"/>
          </w:tcPr>
          <w:p>
            <w:pPr>
              <w:tabs>
                <w:tab w:val="left" w:pos="720"/>
              </w:tabs>
              <w:snapToGrid w:val="0"/>
              <w:spacing w:line="276" w:lineRule="auto"/>
              <w:jc w:val="center"/>
              <w:rPr>
                <w:rFonts w:ascii="宋体" w:hAnsi="宋体"/>
                <w:color w:val="auto"/>
                <w:sz w:val="18"/>
                <w:szCs w:val="18"/>
                <w:highlight w:val="none"/>
              </w:rPr>
            </w:pPr>
          </w:p>
        </w:tc>
        <w:tc>
          <w:tcPr>
            <w:tcW w:w="762" w:type="dxa"/>
            <w:noWrap w:val="0"/>
            <w:vAlign w:val="center"/>
          </w:tcPr>
          <w:p>
            <w:pPr>
              <w:tabs>
                <w:tab w:val="left" w:pos="720"/>
              </w:tabs>
              <w:snapToGrid w:val="0"/>
              <w:spacing w:line="276" w:lineRule="auto"/>
              <w:jc w:val="center"/>
              <w:rPr>
                <w:rFonts w:ascii="宋体" w:hAnsi="宋体"/>
                <w:color w:val="auto"/>
                <w:sz w:val="18"/>
                <w:szCs w:val="18"/>
                <w:highlight w:val="none"/>
              </w:rPr>
            </w:pPr>
          </w:p>
        </w:tc>
        <w:tc>
          <w:tcPr>
            <w:tcW w:w="762" w:type="dxa"/>
            <w:noWrap w:val="0"/>
            <w:vAlign w:val="center"/>
          </w:tcPr>
          <w:p>
            <w:pPr>
              <w:tabs>
                <w:tab w:val="left" w:pos="720"/>
              </w:tabs>
              <w:snapToGrid w:val="0"/>
              <w:spacing w:line="276" w:lineRule="auto"/>
              <w:jc w:val="center"/>
              <w:rPr>
                <w:rFonts w:ascii="宋体" w:hAnsi="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34" w:type="dxa"/>
            <w:noWrap w:val="0"/>
            <w:vAlign w:val="center"/>
          </w:tcPr>
          <w:p>
            <w:pPr>
              <w:tabs>
                <w:tab w:val="left" w:pos="720"/>
              </w:tabs>
              <w:snapToGrid w:val="0"/>
              <w:spacing w:line="276" w:lineRule="auto"/>
              <w:jc w:val="center"/>
              <w:rPr>
                <w:rFonts w:ascii="宋体" w:hAnsi="宋体"/>
                <w:color w:val="auto"/>
                <w:sz w:val="20"/>
                <w:szCs w:val="20"/>
                <w:highlight w:val="none"/>
              </w:rPr>
            </w:pPr>
            <w:r>
              <w:rPr>
                <w:rFonts w:hint="eastAsia" w:ascii="宋体" w:hAnsi="宋体"/>
                <w:color w:val="auto"/>
                <w:sz w:val="20"/>
                <w:szCs w:val="20"/>
                <w:highlight w:val="none"/>
              </w:rPr>
              <w:t>4</w:t>
            </w:r>
          </w:p>
        </w:tc>
        <w:tc>
          <w:tcPr>
            <w:tcW w:w="4258" w:type="dxa"/>
            <w:noWrap w:val="0"/>
            <w:vAlign w:val="center"/>
          </w:tcPr>
          <w:p>
            <w:pPr>
              <w:tabs>
                <w:tab w:val="left" w:pos="720"/>
              </w:tabs>
              <w:snapToGrid w:val="0"/>
              <w:spacing w:line="276" w:lineRule="auto"/>
              <w:rPr>
                <w:rFonts w:ascii="宋体" w:hAnsi="宋体"/>
                <w:color w:val="auto"/>
                <w:sz w:val="20"/>
                <w:szCs w:val="20"/>
                <w:highlight w:val="none"/>
              </w:rPr>
            </w:pPr>
            <w:r>
              <w:rPr>
                <w:rFonts w:hint="eastAsia" w:ascii="宋体" w:hAnsi="宋体"/>
                <w:color w:val="auto"/>
                <w:sz w:val="20"/>
                <w:szCs w:val="20"/>
                <w:highlight w:val="none"/>
              </w:rPr>
              <w:t>备选投标方案：不允许。</w:t>
            </w:r>
          </w:p>
        </w:tc>
        <w:tc>
          <w:tcPr>
            <w:tcW w:w="761" w:type="dxa"/>
            <w:noWrap w:val="0"/>
            <w:vAlign w:val="center"/>
          </w:tcPr>
          <w:p>
            <w:pPr>
              <w:tabs>
                <w:tab w:val="left" w:pos="720"/>
              </w:tabs>
              <w:snapToGrid w:val="0"/>
              <w:spacing w:line="276" w:lineRule="auto"/>
              <w:jc w:val="center"/>
              <w:rPr>
                <w:rFonts w:ascii="宋体" w:hAnsi="宋体"/>
                <w:color w:val="auto"/>
                <w:sz w:val="18"/>
                <w:szCs w:val="18"/>
                <w:highlight w:val="none"/>
              </w:rPr>
            </w:pPr>
          </w:p>
        </w:tc>
        <w:tc>
          <w:tcPr>
            <w:tcW w:w="762" w:type="dxa"/>
            <w:noWrap w:val="0"/>
            <w:vAlign w:val="center"/>
          </w:tcPr>
          <w:p>
            <w:pPr>
              <w:tabs>
                <w:tab w:val="left" w:pos="720"/>
              </w:tabs>
              <w:snapToGrid w:val="0"/>
              <w:spacing w:line="276" w:lineRule="auto"/>
              <w:jc w:val="center"/>
              <w:rPr>
                <w:rFonts w:ascii="宋体" w:hAnsi="宋体"/>
                <w:color w:val="auto"/>
                <w:sz w:val="18"/>
                <w:szCs w:val="18"/>
                <w:highlight w:val="none"/>
              </w:rPr>
            </w:pPr>
          </w:p>
        </w:tc>
        <w:tc>
          <w:tcPr>
            <w:tcW w:w="762" w:type="dxa"/>
            <w:noWrap w:val="0"/>
            <w:vAlign w:val="center"/>
          </w:tcPr>
          <w:p>
            <w:pPr>
              <w:tabs>
                <w:tab w:val="left" w:pos="720"/>
              </w:tabs>
              <w:snapToGrid w:val="0"/>
              <w:spacing w:line="276" w:lineRule="auto"/>
              <w:jc w:val="center"/>
              <w:rPr>
                <w:rFonts w:ascii="宋体" w:hAnsi="宋体"/>
                <w:color w:val="auto"/>
                <w:sz w:val="18"/>
                <w:szCs w:val="18"/>
                <w:highlight w:val="none"/>
              </w:rPr>
            </w:pPr>
          </w:p>
        </w:tc>
        <w:tc>
          <w:tcPr>
            <w:tcW w:w="762" w:type="dxa"/>
            <w:noWrap w:val="0"/>
            <w:vAlign w:val="center"/>
          </w:tcPr>
          <w:p>
            <w:pPr>
              <w:tabs>
                <w:tab w:val="left" w:pos="720"/>
              </w:tabs>
              <w:snapToGrid w:val="0"/>
              <w:spacing w:line="276" w:lineRule="auto"/>
              <w:jc w:val="center"/>
              <w:rPr>
                <w:rFonts w:ascii="宋体" w:hAnsi="宋体"/>
                <w:color w:val="auto"/>
                <w:sz w:val="18"/>
                <w:szCs w:val="18"/>
                <w:highlight w:val="none"/>
              </w:rPr>
            </w:pPr>
          </w:p>
        </w:tc>
        <w:tc>
          <w:tcPr>
            <w:tcW w:w="762" w:type="dxa"/>
            <w:noWrap w:val="0"/>
            <w:vAlign w:val="center"/>
          </w:tcPr>
          <w:p>
            <w:pPr>
              <w:tabs>
                <w:tab w:val="left" w:pos="720"/>
              </w:tabs>
              <w:snapToGrid w:val="0"/>
              <w:spacing w:line="276" w:lineRule="auto"/>
              <w:jc w:val="center"/>
              <w:rPr>
                <w:rFonts w:ascii="宋体" w:hAnsi="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34" w:type="dxa"/>
            <w:noWrap w:val="0"/>
            <w:vAlign w:val="center"/>
          </w:tcPr>
          <w:p>
            <w:pPr>
              <w:tabs>
                <w:tab w:val="left" w:pos="720"/>
              </w:tabs>
              <w:snapToGrid w:val="0"/>
              <w:spacing w:line="276" w:lineRule="auto"/>
              <w:jc w:val="center"/>
              <w:rPr>
                <w:rFonts w:ascii="宋体" w:hAnsi="宋体"/>
                <w:color w:val="auto"/>
                <w:sz w:val="20"/>
                <w:szCs w:val="20"/>
                <w:highlight w:val="none"/>
              </w:rPr>
            </w:pPr>
            <w:r>
              <w:rPr>
                <w:rFonts w:hint="eastAsia" w:ascii="宋体" w:hAnsi="宋体"/>
                <w:color w:val="auto"/>
                <w:sz w:val="20"/>
                <w:szCs w:val="20"/>
                <w:highlight w:val="none"/>
              </w:rPr>
              <w:t>5</w:t>
            </w:r>
          </w:p>
        </w:tc>
        <w:tc>
          <w:tcPr>
            <w:tcW w:w="4258" w:type="dxa"/>
            <w:noWrap w:val="0"/>
            <w:vAlign w:val="center"/>
          </w:tcPr>
          <w:p>
            <w:pPr>
              <w:tabs>
                <w:tab w:val="left" w:pos="720"/>
              </w:tabs>
              <w:snapToGrid w:val="0"/>
              <w:spacing w:line="276" w:lineRule="auto"/>
              <w:rPr>
                <w:rFonts w:ascii="宋体" w:hAnsi="宋体"/>
                <w:color w:val="auto"/>
                <w:sz w:val="20"/>
                <w:szCs w:val="20"/>
                <w:highlight w:val="none"/>
              </w:rPr>
            </w:pPr>
            <w:r>
              <w:rPr>
                <w:rFonts w:hint="eastAsia" w:ascii="宋体" w:hAnsi="宋体"/>
                <w:color w:val="auto"/>
                <w:sz w:val="20"/>
                <w:szCs w:val="20"/>
                <w:highlight w:val="none"/>
              </w:rPr>
              <w:t>投标人机器码：不同投标人机器码相同（以广州公共资源交易中心评标系统的检索信息为准），将被否决。</w:t>
            </w:r>
          </w:p>
        </w:tc>
        <w:tc>
          <w:tcPr>
            <w:tcW w:w="761" w:type="dxa"/>
            <w:noWrap w:val="0"/>
            <w:vAlign w:val="center"/>
          </w:tcPr>
          <w:p>
            <w:pPr>
              <w:tabs>
                <w:tab w:val="left" w:pos="720"/>
              </w:tabs>
              <w:snapToGrid w:val="0"/>
              <w:spacing w:line="276" w:lineRule="auto"/>
              <w:jc w:val="center"/>
              <w:rPr>
                <w:rFonts w:ascii="宋体" w:hAnsi="宋体"/>
                <w:color w:val="auto"/>
                <w:sz w:val="18"/>
                <w:szCs w:val="18"/>
                <w:highlight w:val="none"/>
              </w:rPr>
            </w:pPr>
          </w:p>
        </w:tc>
        <w:tc>
          <w:tcPr>
            <w:tcW w:w="762" w:type="dxa"/>
            <w:noWrap w:val="0"/>
            <w:vAlign w:val="center"/>
          </w:tcPr>
          <w:p>
            <w:pPr>
              <w:tabs>
                <w:tab w:val="left" w:pos="720"/>
              </w:tabs>
              <w:snapToGrid w:val="0"/>
              <w:spacing w:line="276" w:lineRule="auto"/>
              <w:jc w:val="center"/>
              <w:rPr>
                <w:rFonts w:ascii="宋体" w:hAnsi="宋体"/>
                <w:color w:val="auto"/>
                <w:sz w:val="18"/>
                <w:szCs w:val="18"/>
                <w:highlight w:val="none"/>
              </w:rPr>
            </w:pPr>
          </w:p>
        </w:tc>
        <w:tc>
          <w:tcPr>
            <w:tcW w:w="762" w:type="dxa"/>
            <w:noWrap w:val="0"/>
            <w:vAlign w:val="center"/>
          </w:tcPr>
          <w:p>
            <w:pPr>
              <w:tabs>
                <w:tab w:val="left" w:pos="720"/>
              </w:tabs>
              <w:snapToGrid w:val="0"/>
              <w:spacing w:line="276" w:lineRule="auto"/>
              <w:jc w:val="center"/>
              <w:rPr>
                <w:rFonts w:ascii="宋体" w:hAnsi="宋体"/>
                <w:color w:val="auto"/>
                <w:sz w:val="18"/>
                <w:szCs w:val="18"/>
                <w:highlight w:val="none"/>
              </w:rPr>
            </w:pPr>
          </w:p>
        </w:tc>
        <w:tc>
          <w:tcPr>
            <w:tcW w:w="762" w:type="dxa"/>
            <w:noWrap w:val="0"/>
            <w:vAlign w:val="center"/>
          </w:tcPr>
          <w:p>
            <w:pPr>
              <w:tabs>
                <w:tab w:val="left" w:pos="720"/>
              </w:tabs>
              <w:snapToGrid w:val="0"/>
              <w:spacing w:line="276" w:lineRule="auto"/>
              <w:jc w:val="center"/>
              <w:rPr>
                <w:rFonts w:ascii="宋体" w:hAnsi="宋体"/>
                <w:color w:val="auto"/>
                <w:sz w:val="18"/>
                <w:szCs w:val="18"/>
                <w:highlight w:val="none"/>
              </w:rPr>
            </w:pPr>
          </w:p>
        </w:tc>
        <w:tc>
          <w:tcPr>
            <w:tcW w:w="762" w:type="dxa"/>
            <w:noWrap w:val="0"/>
            <w:vAlign w:val="center"/>
          </w:tcPr>
          <w:p>
            <w:pPr>
              <w:tabs>
                <w:tab w:val="left" w:pos="720"/>
              </w:tabs>
              <w:snapToGrid w:val="0"/>
              <w:spacing w:line="276" w:lineRule="auto"/>
              <w:jc w:val="center"/>
              <w:rPr>
                <w:rFonts w:ascii="宋体" w:hAnsi="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534" w:type="dxa"/>
            <w:noWrap w:val="0"/>
            <w:vAlign w:val="center"/>
          </w:tcPr>
          <w:p>
            <w:pPr>
              <w:tabs>
                <w:tab w:val="left" w:pos="720"/>
              </w:tabs>
              <w:snapToGrid w:val="0"/>
              <w:spacing w:line="276" w:lineRule="auto"/>
              <w:jc w:val="center"/>
              <w:rPr>
                <w:rFonts w:ascii="宋体" w:hAnsi="宋体"/>
                <w:color w:val="auto"/>
                <w:sz w:val="20"/>
                <w:szCs w:val="20"/>
                <w:highlight w:val="none"/>
              </w:rPr>
            </w:pPr>
            <w:r>
              <w:rPr>
                <w:rFonts w:hint="eastAsia" w:ascii="宋体" w:hAnsi="宋体"/>
                <w:color w:val="auto"/>
                <w:sz w:val="20"/>
                <w:szCs w:val="20"/>
                <w:highlight w:val="none"/>
              </w:rPr>
              <w:t>结论</w:t>
            </w:r>
          </w:p>
        </w:tc>
        <w:tc>
          <w:tcPr>
            <w:tcW w:w="4258" w:type="dxa"/>
            <w:noWrap w:val="0"/>
            <w:vAlign w:val="center"/>
          </w:tcPr>
          <w:p>
            <w:pPr>
              <w:tabs>
                <w:tab w:val="left" w:pos="720"/>
              </w:tabs>
              <w:snapToGrid w:val="0"/>
              <w:spacing w:line="276" w:lineRule="auto"/>
              <w:rPr>
                <w:rFonts w:ascii="宋体" w:hAnsi="宋体"/>
                <w:color w:val="auto"/>
                <w:sz w:val="20"/>
                <w:szCs w:val="20"/>
                <w:highlight w:val="none"/>
              </w:rPr>
            </w:pPr>
            <w:r>
              <w:rPr>
                <w:rFonts w:hint="eastAsia" w:ascii="宋体" w:hAnsi="宋体"/>
                <w:color w:val="auto"/>
                <w:sz w:val="20"/>
                <w:szCs w:val="20"/>
                <w:highlight w:val="none"/>
              </w:rPr>
              <w:t>是否通过并进入下一阶段评审</w:t>
            </w:r>
          </w:p>
        </w:tc>
        <w:tc>
          <w:tcPr>
            <w:tcW w:w="761" w:type="dxa"/>
            <w:noWrap w:val="0"/>
            <w:vAlign w:val="center"/>
          </w:tcPr>
          <w:p>
            <w:pPr>
              <w:tabs>
                <w:tab w:val="left" w:pos="720"/>
              </w:tabs>
              <w:snapToGrid w:val="0"/>
              <w:spacing w:line="276" w:lineRule="auto"/>
              <w:jc w:val="center"/>
              <w:rPr>
                <w:rFonts w:ascii="宋体" w:hAnsi="宋体"/>
                <w:color w:val="auto"/>
                <w:sz w:val="18"/>
                <w:szCs w:val="18"/>
                <w:highlight w:val="none"/>
              </w:rPr>
            </w:pPr>
          </w:p>
        </w:tc>
        <w:tc>
          <w:tcPr>
            <w:tcW w:w="762" w:type="dxa"/>
            <w:noWrap w:val="0"/>
            <w:vAlign w:val="center"/>
          </w:tcPr>
          <w:p>
            <w:pPr>
              <w:tabs>
                <w:tab w:val="left" w:pos="720"/>
              </w:tabs>
              <w:snapToGrid w:val="0"/>
              <w:spacing w:line="276" w:lineRule="auto"/>
              <w:jc w:val="center"/>
              <w:rPr>
                <w:rFonts w:ascii="宋体" w:hAnsi="宋体"/>
                <w:color w:val="auto"/>
                <w:sz w:val="18"/>
                <w:szCs w:val="18"/>
                <w:highlight w:val="none"/>
              </w:rPr>
            </w:pPr>
          </w:p>
        </w:tc>
        <w:tc>
          <w:tcPr>
            <w:tcW w:w="762" w:type="dxa"/>
            <w:noWrap w:val="0"/>
            <w:vAlign w:val="center"/>
          </w:tcPr>
          <w:p>
            <w:pPr>
              <w:tabs>
                <w:tab w:val="left" w:pos="720"/>
              </w:tabs>
              <w:snapToGrid w:val="0"/>
              <w:spacing w:line="276" w:lineRule="auto"/>
              <w:jc w:val="center"/>
              <w:rPr>
                <w:rFonts w:ascii="宋体" w:hAnsi="宋体"/>
                <w:color w:val="auto"/>
                <w:sz w:val="18"/>
                <w:szCs w:val="18"/>
                <w:highlight w:val="none"/>
              </w:rPr>
            </w:pPr>
          </w:p>
        </w:tc>
        <w:tc>
          <w:tcPr>
            <w:tcW w:w="762" w:type="dxa"/>
            <w:noWrap w:val="0"/>
            <w:vAlign w:val="center"/>
          </w:tcPr>
          <w:p>
            <w:pPr>
              <w:tabs>
                <w:tab w:val="left" w:pos="720"/>
              </w:tabs>
              <w:snapToGrid w:val="0"/>
              <w:spacing w:line="276" w:lineRule="auto"/>
              <w:jc w:val="center"/>
              <w:rPr>
                <w:rFonts w:ascii="宋体" w:hAnsi="宋体"/>
                <w:color w:val="auto"/>
                <w:sz w:val="18"/>
                <w:szCs w:val="18"/>
                <w:highlight w:val="none"/>
              </w:rPr>
            </w:pPr>
          </w:p>
        </w:tc>
        <w:tc>
          <w:tcPr>
            <w:tcW w:w="762" w:type="dxa"/>
            <w:noWrap w:val="0"/>
            <w:vAlign w:val="center"/>
          </w:tcPr>
          <w:p>
            <w:pPr>
              <w:tabs>
                <w:tab w:val="left" w:pos="720"/>
              </w:tabs>
              <w:snapToGrid w:val="0"/>
              <w:spacing w:line="276" w:lineRule="auto"/>
              <w:jc w:val="center"/>
              <w:rPr>
                <w:rFonts w:ascii="宋体" w:hAnsi="宋体"/>
                <w:color w:val="auto"/>
                <w:sz w:val="18"/>
                <w:szCs w:val="18"/>
                <w:highlight w:val="none"/>
              </w:rPr>
            </w:pPr>
          </w:p>
        </w:tc>
      </w:tr>
    </w:tbl>
    <w:p>
      <w:pPr>
        <w:rPr>
          <w:rFonts w:ascii="宋体" w:hAnsi="宋体"/>
          <w:color w:val="auto"/>
          <w:sz w:val="18"/>
          <w:szCs w:val="18"/>
          <w:highlight w:val="none"/>
        </w:rPr>
      </w:pPr>
    </w:p>
    <w:p>
      <w:pPr>
        <w:pStyle w:val="5"/>
        <w:rPr>
          <w:color w:val="auto"/>
          <w:highlight w:val="none"/>
        </w:rPr>
      </w:pPr>
      <w:r>
        <w:rPr>
          <w:color w:val="auto"/>
          <w:highlight w:val="none"/>
        </w:rPr>
        <w:br w:type="page"/>
      </w:r>
      <w:bookmarkStart w:id="107" w:name="_Toc24501"/>
      <w:r>
        <w:rPr>
          <w:rFonts w:hint="eastAsia"/>
          <w:color w:val="auto"/>
          <w:highlight w:val="none"/>
        </w:rPr>
        <w:t>附表二：资格评审表</w:t>
      </w:r>
      <w:bookmarkEnd w:id="107"/>
    </w:p>
    <w:p>
      <w:pPr>
        <w:spacing w:line="360" w:lineRule="auto"/>
        <w:jc w:val="center"/>
        <w:rPr>
          <w:rFonts w:ascii="宋体" w:hAnsi="宋体" w:cs="宋体"/>
          <w:color w:val="auto"/>
          <w:sz w:val="28"/>
          <w:szCs w:val="28"/>
          <w:highlight w:val="none"/>
        </w:rPr>
      </w:pPr>
      <w:r>
        <w:rPr>
          <w:rFonts w:hint="eastAsia" w:ascii="宋体" w:hAnsi="宋体" w:cs="宋体"/>
          <w:color w:val="auto"/>
          <w:sz w:val="28"/>
          <w:szCs w:val="28"/>
          <w:highlight w:val="none"/>
        </w:rPr>
        <w:t>资格评审表</w:t>
      </w:r>
    </w:p>
    <w:tbl>
      <w:tblPr>
        <w:tblStyle w:val="29"/>
        <w:tblpPr w:leftFromText="180" w:rightFromText="180" w:vertAnchor="text" w:horzAnchor="margin" w:tblpY="12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7163"/>
        <w:gridCol w:w="553"/>
        <w:gridCol w:w="553"/>
        <w:gridCol w:w="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636" w:type="dxa"/>
            <w:noWrap w:val="0"/>
            <w:vAlign w:val="center"/>
          </w:tcPr>
          <w:p>
            <w:pPr>
              <w:tabs>
                <w:tab w:val="left" w:pos="720"/>
              </w:tabs>
              <w:snapToGrid w:val="0"/>
              <w:spacing w:line="276" w:lineRule="auto"/>
              <w:jc w:val="center"/>
              <w:rPr>
                <w:rFonts w:ascii="宋体" w:hAnsi="宋体"/>
                <w:color w:val="auto"/>
                <w:sz w:val="21"/>
                <w:szCs w:val="21"/>
                <w:highlight w:val="none"/>
              </w:rPr>
            </w:pPr>
            <w:r>
              <w:rPr>
                <w:rFonts w:hint="eastAsia" w:ascii="宋体" w:hAnsi="宋体"/>
                <w:color w:val="auto"/>
                <w:sz w:val="21"/>
                <w:szCs w:val="21"/>
                <w:highlight w:val="none"/>
              </w:rPr>
              <w:t>编号</w:t>
            </w:r>
          </w:p>
        </w:tc>
        <w:tc>
          <w:tcPr>
            <w:tcW w:w="7163" w:type="dxa"/>
            <w:tcBorders>
              <w:tl2br w:val="single" w:color="auto" w:sz="4" w:space="0"/>
            </w:tcBorders>
            <w:noWrap w:val="0"/>
            <w:vAlign w:val="center"/>
          </w:tcPr>
          <w:p>
            <w:pPr>
              <w:tabs>
                <w:tab w:val="left" w:pos="720"/>
              </w:tabs>
              <w:snapToGrid w:val="0"/>
              <w:spacing w:line="276" w:lineRule="auto"/>
              <w:ind w:firstLine="5880" w:firstLineChars="2800"/>
              <w:rPr>
                <w:rFonts w:ascii="宋体" w:hAnsi="宋体"/>
                <w:color w:val="auto"/>
                <w:sz w:val="21"/>
                <w:szCs w:val="21"/>
                <w:highlight w:val="none"/>
              </w:rPr>
            </w:pPr>
            <w:r>
              <w:rPr>
                <w:rFonts w:hint="eastAsia" w:ascii="宋体" w:hAnsi="宋体"/>
                <w:color w:val="auto"/>
                <w:sz w:val="21"/>
                <w:szCs w:val="21"/>
                <w:highlight w:val="none"/>
              </w:rPr>
              <w:t>投标人名称</w:t>
            </w:r>
          </w:p>
          <w:p>
            <w:pPr>
              <w:tabs>
                <w:tab w:val="left" w:pos="720"/>
              </w:tabs>
              <w:snapToGrid w:val="0"/>
              <w:spacing w:line="276" w:lineRule="auto"/>
              <w:rPr>
                <w:rFonts w:ascii="宋体" w:hAnsi="宋体"/>
                <w:color w:val="auto"/>
                <w:sz w:val="21"/>
                <w:szCs w:val="21"/>
                <w:highlight w:val="none"/>
              </w:rPr>
            </w:pPr>
            <w:r>
              <w:rPr>
                <w:rFonts w:hint="eastAsia" w:ascii="宋体" w:hAnsi="宋体"/>
                <w:color w:val="auto"/>
                <w:sz w:val="21"/>
                <w:szCs w:val="21"/>
                <w:highlight w:val="none"/>
              </w:rPr>
              <w:t>审查项目</w:t>
            </w:r>
          </w:p>
        </w:tc>
        <w:tc>
          <w:tcPr>
            <w:tcW w:w="553" w:type="dxa"/>
            <w:noWrap w:val="0"/>
            <w:vAlign w:val="center"/>
          </w:tcPr>
          <w:p>
            <w:pPr>
              <w:tabs>
                <w:tab w:val="left" w:pos="720"/>
              </w:tabs>
              <w:snapToGrid w:val="0"/>
              <w:spacing w:line="276" w:lineRule="auto"/>
              <w:jc w:val="center"/>
              <w:rPr>
                <w:rFonts w:ascii="宋体" w:hAnsi="宋体"/>
                <w:color w:val="auto"/>
                <w:sz w:val="21"/>
                <w:szCs w:val="21"/>
                <w:highlight w:val="none"/>
              </w:rPr>
            </w:pPr>
          </w:p>
        </w:tc>
        <w:tc>
          <w:tcPr>
            <w:tcW w:w="553" w:type="dxa"/>
            <w:noWrap w:val="0"/>
            <w:vAlign w:val="center"/>
          </w:tcPr>
          <w:p>
            <w:pPr>
              <w:tabs>
                <w:tab w:val="left" w:pos="720"/>
              </w:tabs>
              <w:snapToGrid w:val="0"/>
              <w:spacing w:line="276" w:lineRule="auto"/>
              <w:jc w:val="center"/>
              <w:rPr>
                <w:rFonts w:ascii="宋体" w:hAnsi="宋体"/>
                <w:color w:val="auto"/>
                <w:sz w:val="21"/>
                <w:szCs w:val="21"/>
                <w:highlight w:val="none"/>
              </w:rPr>
            </w:pPr>
          </w:p>
        </w:tc>
        <w:tc>
          <w:tcPr>
            <w:tcW w:w="554" w:type="dxa"/>
            <w:noWrap w:val="0"/>
            <w:vAlign w:val="center"/>
          </w:tcPr>
          <w:p>
            <w:pPr>
              <w:tabs>
                <w:tab w:val="left" w:pos="720"/>
              </w:tabs>
              <w:snapToGrid w:val="0"/>
              <w:spacing w:line="276" w:lineRule="auto"/>
              <w:jc w:val="cente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636" w:type="dxa"/>
            <w:noWrap w:val="0"/>
            <w:vAlign w:val="center"/>
          </w:tcPr>
          <w:p>
            <w:pPr>
              <w:tabs>
                <w:tab w:val="left" w:pos="720"/>
              </w:tabs>
              <w:snapToGrid w:val="0"/>
              <w:spacing w:line="276" w:lineRule="auto"/>
              <w:jc w:val="center"/>
              <w:rPr>
                <w:rFonts w:ascii="宋体" w:hAnsi="宋体"/>
                <w:color w:val="auto"/>
                <w:sz w:val="21"/>
                <w:szCs w:val="21"/>
                <w:highlight w:val="none"/>
              </w:rPr>
            </w:pPr>
            <w:r>
              <w:rPr>
                <w:rFonts w:hint="eastAsia" w:ascii="宋体" w:hAnsi="宋体"/>
                <w:color w:val="auto"/>
                <w:sz w:val="21"/>
                <w:szCs w:val="21"/>
                <w:highlight w:val="none"/>
              </w:rPr>
              <w:t>1</w:t>
            </w:r>
          </w:p>
        </w:tc>
        <w:tc>
          <w:tcPr>
            <w:tcW w:w="7163" w:type="dxa"/>
            <w:noWrap w:val="0"/>
            <w:vAlign w:val="center"/>
          </w:tcPr>
          <w:p>
            <w:pPr>
              <w:tabs>
                <w:tab w:val="left" w:pos="720"/>
              </w:tabs>
              <w:snapToGrid w:val="0"/>
              <w:spacing w:line="276" w:lineRule="auto"/>
              <w:rPr>
                <w:rFonts w:ascii="宋体" w:hAnsi="宋体"/>
                <w:color w:val="auto"/>
                <w:sz w:val="21"/>
                <w:szCs w:val="21"/>
                <w:highlight w:val="none"/>
              </w:rPr>
            </w:pPr>
            <w:r>
              <w:rPr>
                <w:rFonts w:hint="eastAsia" w:ascii="宋体" w:hAnsi="宋体"/>
                <w:color w:val="auto"/>
                <w:sz w:val="21"/>
                <w:szCs w:val="21"/>
                <w:highlight w:val="none"/>
              </w:rPr>
              <w:t>营业执照（或事业单位法人证书）：符合第二章“投标人须知”第3.5.1项规定。</w:t>
            </w:r>
          </w:p>
        </w:tc>
        <w:tc>
          <w:tcPr>
            <w:tcW w:w="553" w:type="dxa"/>
            <w:noWrap w:val="0"/>
            <w:vAlign w:val="center"/>
          </w:tcPr>
          <w:p>
            <w:pPr>
              <w:tabs>
                <w:tab w:val="left" w:pos="720"/>
              </w:tabs>
              <w:snapToGrid w:val="0"/>
              <w:spacing w:line="276" w:lineRule="auto"/>
              <w:jc w:val="center"/>
              <w:rPr>
                <w:rFonts w:ascii="宋体" w:hAnsi="宋体"/>
                <w:color w:val="auto"/>
                <w:sz w:val="21"/>
                <w:szCs w:val="21"/>
                <w:highlight w:val="none"/>
              </w:rPr>
            </w:pPr>
          </w:p>
        </w:tc>
        <w:tc>
          <w:tcPr>
            <w:tcW w:w="553" w:type="dxa"/>
            <w:noWrap w:val="0"/>
            <w:vAlign w:val="center"/>
          </w:tcPr>
          <w:p>
            <w:pPr>
              <w:tabs>
                <w:tab w:val="left" w:pos="720"/>
              </w:tabs>
              <w:snapToGrid w:val="0"/>
              <w:spacing w:line="276" w:lineRule="auto"/>
              <w:jc w:val="center"/>
              <w:rPr>
                <w:rFonts w:ascii="宋体" w:hAnsi="宋体"/>
                <w:color w:val="auto"/>
                <w:sz w:val="21"/>
                <w:szCs w:val="21"/>
                <w:highlight w:val="none"/>
              </w:rPr>
            </w:pPr>
          </w:p>
        </w:tc>
        <w:tc>
          <w:tcPr>
            <w:tcW w:w="554" w:type="dxa"/>
            <w:noWrap w:val="0"/>
            <w:vAlign w:val="center"/>
          </w:tcPr>
          <w:p>
            <w:pPr>
              <w:tabs>
                <w:tab w:val="left" w:pos="720"/>
              </w:tabs>
              <w:snapToGrid w:val="0"/>
              <w:spacing w:line="276" w:lineRule="auto"/>
              <w:jc w:val="cente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636" w:type="dxa"/>
            <w:noWrap w:val="0"/>
            <w:vAlign w:val="center"/>
          </w:tcPr>
          <w:p>
            <w:pPr>
              <w:tabs>
                <w:tab w:val="left" w:pos="720"/>
              </w:tabs>
              <w:snapToGrid w:val="0"/>
              <w:spacing w:line="276" w:lineRule="auto"/>
              <w:jc w:val="center"/>
              <w:rPr>
                <w:rFonts w:ascii="宋体" w:hAnsi="宋体"/>
                <w:color w:val="auto"/>
                <w:sz w:val="21"/>
                <w:szCs w:val="21"/>
                <w:highlight w:val="none"/>
              </w:rPr>
            </w:pPr>
            <w:r>
              <w:rPr>
                <w:rFonts w:hint="eastAsia" w:ascii="宋体" w:hAnsi="宋体"/>
                <w:color w:val="auto"/>
                <w:sz w:val="21"/>
                <w:szCs w:val="21"/>
                <w:highlight w:val="none"/>
              </w:rPr>
              <w:t>2</w:t>
            </w:r>
          </w:p>
        </w:tc>
        <w:tc>
          <w:tcPr>
            <w:tcW w:w="7163" w:type="dxa"/>
            <w:noWrap w:val="0"/>
            <w:vAlign w:val="center"/>
          </w:tcPr>
          <w:p>
            <w:pPr>
              <w:tabs>
                <w:tab w:val="left" w:pos="720"/>
              </w:tabs>
              <w:snapToGrid w:val="0"/>
              <w:spacing w:line="276" w:lineRule="auto"/>
              <w:rPr>
                <w:rFonts w:ascii="宋体" w:hAnsi="宋体"/>
                <w:color w:val="auto"/>
                <w:sz w:val="21"/>
                <w:szCs w:val="21"/>
                <w:highlight w:val="none"/>
              </w:rPr>
            </w:pPr>
            <w:r>
              <w:rPr>
                <w:rFonts w:hint="eastAsia" w:ascii="宋体" w:hAnsi="宋体"/>
                <w:color w:val="auto"/>
                <w:sz w:val="21"/>
                <w:szCs w:val="21"/>
                <w:highlight w:val="none"/>
              </w:rPr>
              <w:t>资质要求：符合第二章“投标人须知”第1.4.1项规定</w:t>
            </w:r>
            <w:r>
              <w:rPr>
                <w:rFonts w:hint="eastAsia" w:ascii="宋体" w:hAnsi="宋体"/>
                <w:color w:val="auto"/>
                <w:sz w:val="21"/>
                <w:szCs w:val="21"/>
                <w:highlight w:val="none"/>
                <w:lang w:eastAsia="zh-CN"/>
              </w:rPr>
              <w:t>。</w:t>
            </w:r>
          </w:p>
        </w:tc>
        <w:tc>
          <w:tcPr>
            <w:tcW w:w="553" w:type="dxa"/>
            <w:noWrap w:val="0"/>
            <w:vAlign w:val="center"/>
          </w:tcPr>
          <w:p>
            <w:pPr>
              <w:tabs>
                <w:tab w:val="left" w:pos="720"/>
              </w:tabs>
              <w:snapToGrid w:val="0"/>
              <w:spacing w:line="276" w:lineRule="auto"/>
              <w:jc w:val="center"/>
              <w:rPr>
                <w:rFonts w:ascii="宋体" w:hAnsi="宋体"/>
                <w:color w:val="auto"/>
                <w:sz w:val="21"/>
                <w:szCs w:val="21"/>
                <w:highlight w:val="none"/>
              </w:rPr>
            </w:pPr>
          </w:p>
        </w:tc>
        <w:tc>
          <w:tcPr>
            <w:tcW w:w="553" w:type="dxa"/>
            <w:noWrap w:val="0"/>
            <w:vAlign w:val="center"/>
          </w:tcPr>
          <w:p>
            <w:pPr>
              <w:tabs>
                <w:tab w:val="left" w:pos="720"/>
              </w:tabs>
              <w:snapToGrid w:val="0"/>
              <w:spacing w:line="276" w:lineRule="auto"/>
              <w:jc w:val="center"/>
              <w:rPr>
                <w:rFonts w:ascii="宋体" w:hAnsi="宋体"/>
                <w:color w:val="auto"/>
                <w:sz w:val="21"/>
                <w:szCs w:val="21"/>
                <w:highlight w:val="none"/>
              </w:rPr>
            </w:pPr>
          </w:p>
        </w:tc>
        <w:tc>
          <w:tcPr>
            <w:tcW w:w="554" w:type="dxa"/>
            <w:noWrap w:val="0"/>
            <w:vAlign w:val="center"/>
          </w:tcPr>
          <w:p>
            <w:pPr>
              <w:tabs>
                <w:tab w:val="left" w:pos="720"/>
              </w:tabs>
              <w:snapToGrid w:val="0"/>
              <w:spacing w:line="276" w:lineRule="auto"/>
              <w:jc w:val="cente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636" w:type="dxa"/>
            <w:noWrap w:val="0"/>
            <w:vAlign w:val="center"/>
          </w:tcPr>
          <w:p>
            <w:pPr>
              <w:tabs>
                <w:tab w:val="left" w:pos="720"/>
              </w:tabs>
              <w:snapToGrid w:val="0"/>
              <w:spacing w:line="276" w:lineRule="auto"/>
              <w:jc w:val="center"/>
              <w:rPr>
                <w:rFonts w:ascii="宋体" w:hAnsi="宋体"/>
                <w:color w:val="auto"/>
                <w:sz w:val="21"/>
                <w:szCs w:val="21"/>
                <w:highlight w:val="none"/>
              </w:rPr>
            </w:pPr>
            <w:r>
              <w:rPr>
                <w:rFonts w:hint="eastAsia" w:ascii="宋体" w:hAnsi="宋体"/>
                <w:color w:val="auto"/>
                <w:sz w:val="21"/>
                <w:szCs w:val="21"/>
                <w:highlight w:val="none"/>
              </w:rPr>
              <w:t>3</w:t>
            </w:r>
          </w:p>
        </w:tc>
        <w:tc>
          <w:tcPr>
            <w:tcW w:w="7163" w:type="dxa"/>
            <w:noWrap w:val="0"/>
            <w:vAlign w:val="center"/>
          </w:tcPr>
          <w:p>
            <w:pPr>
              <w:tabs>
                <w:tab w:val="left" w:pos="720"/>
              </w:tabs>
              <w:snapToGrid w:val="0"/>
              <w:spacing w:line="276" w:lineRule="auto"/>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项目负责人：符合第二章“投标人须知”第1.4.1项规定。</w:t>
            </w:r>
          </w:p>
        </w:tc>
        <w:tc>
          <w:tcPr>
            <w:tcW w:w="553" w:type="dxa"/>
            <w:noWrap w:val="0"/>
            <w:vAlign w:val="center"/>
          </w:tcPr>
          <w:p>
            <w:pPr>
              <w:tabs>
                <w:tab w:val="left" w:pos="720"/>
              </w:tabs>
              <w:snapToGrid w:val="0"/>
              <w:spacing w:line="276" w:lineRule="auto"/>
              <w:jc w:val="center"/>
              <w:rPr>
                <w:rFonts w:ascii="宋体" w:hAnsi="宋体"/>
                <w:color w:val="auto"/>
                <w:sz w:val="21"/>
                <w:szCs w:val="21"/>
                <w:highlight w:val="none"/>
              </w:rPr>
            </w:pPr>
          </w:p>
        </w:tc>
        <w:tc>
          <w:tcPr>
            <w:tcW w:w="553" w:type="dxa"/>
            <w:noWrap w:val="0"/>
            <w:vAlign w:val="center"/>
          </w:tcPr>
          <w:p>
            <w:pPr>
              <w:tabs>
                <w:tab w:val="left" w:pos="720"/>
              </w:tabs>
              <w:snapToGrid w:val="0"/>
              <w:spacing w:line="276" w:lineRule="auto"/>
              <w:jc w:val="center"/>
              <w:rPr>
                <w:rFonts w:ascii="宋体" w:hAnsi="宋体"/>
                <w:color w:val="auto"/>
                <w:sz w:val="21"/>
                <w:szCs w:val="21"/>
                <w:highlight w:val="none"/>
              </w:rPr>
            </w:pPr>
          </w:p>
        </w:tc>
        <w:tc>
          <w:tcPr>
            <w:tcW w:w="554" w:type="dxa"/>
            <w:noWrap w:val="0"/>
            <w:vAlign w:val="center"/>
          </w:tcPr>
          <w:p>
            <w:pPr>
              <w:tabs>
                <w:tab w:val="left" w:pos="720"/>
              </w:tabs>
              <w:snapToGrid w:val="0"/>
              <w:spacing w:line="276" w:lineRule="auto"/>
              <w:jc w:val="cente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636" w:type="dxa"/>
            <w:noWrap w:val="0"/>
            <w:vAlign w:val="center"/>
          </w:tcPr>
          <w:p>
            <w:pPr>
              <w:tabs>
                <w:tab w:val="left" w:pos="720"/>
              </w:tabs>
              <w:snapToGrid w:val="0"/>
              <w:spacing w:line="276" w:lineRule="auto"/>
              <w:jc w:val="center"/>
              <w:rPr>
                <w:rFonts w:ascii="宋体" w:hAnsi="宋体"/>
                <w:color w:val="auto"/>
                <w:sz w:val="21"/>
                <w:szCs w:val="21"/>
                <w:highlight w:val="none"/>
              </w:rPr>
            </w:pPr>
            <w:r>
              <w:rPr>
                <w:rFonts w:hint="eastAsia" w:ascii="宋体" w:hAnsi="宋体"/>
                <w:color w:val="auto"/>
                <w:sz w:val="21"/>
                <w:szCs w:val="21"/>
                <w:highlight w:val="none"/>
              </w:rPr>
              <w:t>4</w:t>
            </w:r>
          </w:p>
        </w:tc>
        <w:tc>
          <w:tcPr>
            <w:tcW w:w="7163" w:type="dxa"/>
            <w:noWrap w:val="0"/>
            <w:vAlign w:val="center"/>
          </w:tcPr>
          <w:p>
            <w:pPr>
              <w:tabs>
                <w:tab w:val="left" w:pos="720"/>
              </w:tabs>
              <w:snapToGrid w:val="0"/>
              <w:spacing w:line="276" w:lineRule="auto"/>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其他要求：符合第二章“投标人须知”第1.4.1项规</w:t>
            </w:r>
            <w:r>
              <w:rPr>
                <w:rFonts w:hint="eastAsia" w:ascii="宋体" w:hAnsi="宋体"/>
                <w:color w:val="auto"/>
                <w:sz w:val="21"/>
                <w:szCs w:val="21"/>
                <w:highlight w:val="none"/>
                <w:lang w:val="en-US" w:eastAsia="zh-CN"/>
              </w:rPr>
              <w:t>定</w:t>
            </w:r>
            <w:r>
              <w:rPr>
                <w:rFonts w:hint="eastAsia" w:ascii="宋体" w:hAnsi="宋体"/>
                <w:color w:val="auto"/>
                <w:sz w:val="21"/>
                <w:szCs w:val="21"/>
                <w:highlight w:val="none"/>
                <w:lang w:eastAsia="zh-CN"/>
              </w:rPr>
              <w:t>。</w:t>
            </w:r>
          </w:p>
        </w:tc>
        <w:tc>
          <w:tcPr>
            <w:tcW w:w="553" w:type="dxa"/>
            <w:noWrap w:val="0"/>
            <w:vAlign w:val="center"/>
          </w:tcPr>
          <w:p>
            <w:pPr>
              <w:tabs>
                <w:tab w:val="left" w:pos="720"/>
              </w:tabs>
              <w:snapToGrid w:val="0"/>
              <w:spacing w:line="276" w:lineRule="auto"/>
              <w:jc w:val="center"/>
              <w:rPr>
                <w:rFonts w:ascii="宋体" w:hAnsi="宋体"/>
                <w:color w:val="auto"/>
                <w:sz w:val="21"/>
                <w:szCs w:val="21"/>
                <w:highlight w:val="none"/>
              </w:rPr>
            </w:pPr>
          </w:p>
        </w:tc>
        <w:tc>
          <w:tcPr>
            <w:tcW w:w="553" w:type="dxa"/>
            <w:noWrap w:val="0"/>
            <w:vAlign w:val="center"/>
          </w:tcPr>
          <w:p>
            <w:pPr>
              <w:tabs>
                <w:tab w:val="left" w:pos="720"/>
              </w:tabs>
              <w:snapToGrid w:val="0"/>
              <w:spacing w:line="276" w:lineRule="auto"/>
              <w:jc w:val="center"/>
              <w:rPr>
                <w:rFonts w:ascii="宋体" w:hAnsi="宋体"/>
                <w:color w:val="auto"/>
                <w:sz w:val="21"/>
                <w:szCs w:val="21"/>
                <w:highlight w:val="none"/>
              </w:rPr>
            </w:pPr>
          </w:p>
        </w:tc>
        <w:tc>
          <w:tcPr>
            <w:tcW w:w="554" w:type="dxa"/>
            <w:noWrap w:val="0"/>
            <w:vAlign w:val="center"/>
          </w:tcPr>
          <w:p>
            <w:pPr>
              <w:tabs>
                <w:tab w:val="left" w:pos="720"/>
              </w:tabs>
              <w:snapToGrid w:val="0"/>
              <w:spacing w:line="276" w:lineRule="auto"/>
              <w:jc w:val="cente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636" w:type="dxa"/>
            <w:noWrap w:val="0"/>
            <w:vAlign w:val="center"/>
          </w:tcPr>
          <w:p>
            <w:pPr>
              <w:tabs>
                <w:tab w:val="left" w:pos="720"/>
              </w:tabs>
              <w:snapToGrid w:val="0"/>
              <w:spacing w:line="276" w:lineRule="auto"/>
              <w:jc w:val="center"/>
              <w:rPr>
                <w:rFonts w:ascii="宋体" w:hAnsi="宋体"/>
                <w:color w:val="auto"/>
                <w:sz w:val="21"/>
                <w:szCs w:val="21"/>
                <w:highlight w:val="none"/>
              </w:rPr>
            </w:pPr>
            <w:r>
              <w:rPr>
                <w:rFonts w:hint="eastAsia" w:ascii="宋体" w:hAnsi="宋体"/>
                <w:color w:val="auto"/>
                <w:sz w:val="21"/>
                <w:szCs w:val="21"/>
                <w:highlight w:val="none"/>
              </w:rPr>
              <w:t>5</w:t>
            </w:r>
          </w:p>
        </w:tc>
        <w:tc>
          <w:tcPr>
            <w:tcW w:w="7163" w:type="dxa"/>
            <w:noWrap w:val="0"/>
            <w:vAlign w:val="center"/>
          </w:tcPr>
          <w:p>
            <w:pPr>
              <w:tabs>
                <w:tab w:val="left" w:pos="720"/>
              </w:tabs>
              <w:snapToGrid w:val="0"/>
              <w:spacing w:line="276" w:lineRule="auto"/>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联合体投标人：符合第二章“投标人须知”第1.4.2项规定</w:t>
            </w:r>
            <w:r>
              <w:rPr>
                <w:rFonts w:hint="eastAsia" w:ascii="宋体" w:hAnsi="宋体"/>
                <w:color w:val="auto"/>
                <w:sz w:val="21"/>
                <w:szCs w:val="21"/>
                <w:highlight w:val="none"/>
                <w:lang w:eastAsia="zh-CN"/>
              </w:rPr>
              <w:t>。</w:t>
            </w:r>
          </w:p>
        </w:tc>
        <w:tc>
          <w:tcPr>
            <w:tcW w:w="553" w:type="dxa"/>
            <w:noWrap w:val="0"/>
            <w:vAlign w:val="center"/>
          </w:tcPr>
          <w:p>
            <w:pPr>
              <w:tabs>
                <w:tab w:val="left" w:pos="720"/>
              </w:tabs>
              <w:snapToGrid w:val="0"/>
              <w:spacing w:line="276" w:lineRule="auto"/>
              <w:jc w:val="center"/>
              <w:rPr>
                <w:rFonts w:ascii="宋体" w:hAnsi="宋体"/>
                <w:color w:val="auto"/>
                <w:sz w:val="21"/>
                <w:szCs w:val="21"/>
                <w:highlight w:val="none"/>
              </w:rPr>
            </w:pPr>
          </w:p>
        </w:tc>
        <w:tc>
          <w:tcPr>
            <w:tcW w:w="553" w:type="dxa"/>
            <w:noWrap w:val="0"/>
            <w:vAlign w:val="center"/>
          </w:tcPr>
          <w:p>
            <w:pPr>
              <w:tabs>
                <w:tab w:val="left" w:pos="720"/>
              </w:tabs>
              <w:snapToGrid w:val="0"/>
              <w:spacing w:line="276" w:lineRule="auto"/>
              <w:jc w:val="center"/>
              <w:rPr>
                <w:rFonts w:ascii="宋体" w:hAnsi="宋体"/>
                <w:color w:val="auto"/>
                <w:sz w:val="21"/>
                <w:szCs w:val="21"/>
                <w:highlight w:val="none"/>
              </w:rPr>
            </w:pPr>
          </w:p>
        </w:tc>
        <w:tc>
          <w:tcPr>
            <w:tcW w:w="554" w:type="dxa"/>
            <w:noWrap w:val="0"/>
            <w:vAlign w:val="center"/>
          </w:tcPr>
          <w:p>
            <w:pPr>
              <w:tabs>
                <w:tab w:val="left" w:pos="720"/>
              </w:tabs>
              <w:snapToGrid w:val="0"/>
              <w:spacing w:line="276" w:lineRule="auto"/>
              <w:jc w:val="cente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36" w:type="dxa"/>
            <w:noWrap w:val="0"/>
            <w:vAlign w:val="center"/>
          </w:tcPr>
          <w:p>
            <w:pPr>
              <w:tabs>
                <w:tab w:val="left" w:pos="720"/>
              </w:tabs>
              <w:snapToGrid w:val="0"/>
              <w:spacing w:line="276" w:lineRule="auto"/>
              <w:jc w:val="center"/>
              <w:rPr>
                <w:rFonts w:ascii="宋体" w:hAnsi="宋体"/>
                <w:color w:val="auto"/>
                <w:sz w:val="21"/>
                <w:szCs w:val="21"/>
                <w:highlight w:val="none"/>
              </w:rPr>
            </w:pPr>
            <w:r>
              <w:rPr>
                <w:rFonts w:hint="eastAsia" w:ascii="宋体" w:hAnsi="宋体"/>
                <w:color w:val="auto"/>
                <w:sz w:val="21"/>
                <w:szCs w:val="21"/>
                <w:highlight w:val="none"/>
              </w:rPr>
              <w:t>6</w:t>
            </w:r>
          </w:p>
        </w:tc>
        <w:tc>
          <w:tcPr>
            <w:tcW w:w="7163" w:type="dxa"/>
            <w:noWrap w:val="0"/>
            <w:vAlign w:val="center"/>
          </w:tcPr>
          <w:p>
            <w:pPr>
              <w:tabs>
                <w:tab w:val="left" w:pos="720"/>
              </w:tabs>
              <w:snapToGrid w:val="0"/>
              <w:spacing w:line="276" w:lineRule="auto"/>
              <w:rPr>
                <w:rFonts w:ascii="宋体" w:hAnsi="宋体"/>
                <w:color w:val="auto"/>
                <w:sz w:val="21"/>
                <w:szCs w:val="21"/>
                <w:highlight w:val="none"/>
              </w:rPr>
            </w:pPr>
            <w:r>
              <w:rPr>
                <w:rFonts w:hint="eastAsia" w:ascii="宋体" w:hAnsi="宋体"/>
                <w:color w:val="auto"/>
                <w:sz w:val="21"/>
                <w:szCs w:val="21"/>
                <w:highlight w:val="none"/>
              </w:rPr>
              <w:t>不存在禁止投标的情形：不存在第二章“投标人须知”第 1.4.3 项规定的任何一种情形（以《投标申请人声明》为准</w:t>
            </w:r>
            <w:r>
              <w:rPr>
                <w:rFonts w:hint="eastAsia" w:ascii="宋体" w:hAnsi="宋体"/>
                <w:color w:val="auto"/>
                <w:sz w:val="21"/>
                <w:szCs w:val="21"/>
                <w:highlight w:val="none"/>
                <w:lang w:eastAsia="zh-CN"/>
              </w:rPr>
              <w:t>）。</w:t>
            </w:r>
          </w:p>
        </w:tc>
        <w:tc>
          <w:tcPr>
            <w:tcW w:w="553" w:type="dxa"/>
            <w:noWrap w:val="0"/>
            <w:vAlign w:val="center"/>
          </w:tcPr>
          <w:p>
            <w:pPr>
              <w:tabs>
                <w:tab w:val="left" w:pos="720"/>
              </w:tabs>
              <w:snapToGrid w:val="0"/>
              <w:spacing w:line="276" w:lineRule="auto"/>
              <w:jc w:val="center"/>
              <w:rPr>
                <w:rFonts w:ascii="宋体" w:hAnsi="宋体"/>
                <w:color w:val="auto"/>
                <w:sz w:val="21"/>
                <w:szCs w:val="21"/>
                <w:highlight w:val="none"/>
              </w:rPr>
            </w:pPr>
          </w:p>
        </w:tc>
        <w:tc>
          <w:tcPr>
            <w:tcW w:w="553" w:type="dxa"/>
            <w:noWrap w:val="0"/>
            <w:vAlign w:val="center"/>
          </w:tcPr>
          <w:p>
            <w:pPr>
              <w:tabs>
                <w:tab w:val="left" w:pos="720"/>
              </w:tabs>
              <w:snapToGrid w:val="0"/>
              <w:spacing w:line="276" w:lineRule="auto"/>
              <w:jc w:val="center"/>
              <w:rPr>
                <w:rFonts w:ascii="宋体" w:hAnsi="宋体"/>
                <w:color w:val="auto"/>
                <w:sz w:val="21"/>
                <w:szCs w:val="21"/>
                <w:highlight w:val="none"/>
              </w:rPr>
            </w:pPr>
          </w:p>
        </w:tc>
        <w:tc>
          <w:tcPr>
            <w:tcW w:w="554" w:type="dxa"/>
            <w:noWrap w:val="0"/>
            <w:vAlign w:val="center"/>
          </w:tcPr>
          <w:p>
            <w:pPr>
              <w:tabs>
                <w:tab w:val="left" w:pos="720"/>
              </w:tabs>
              <w:snapToGrid w:val="0"/>
              <w:spacing w:line="276" w:lineRule="auto"/>
              <w:jc w:val="cente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636" w:type="dxa"/>
            <w:noWrap w:val="0"/>
            <w:vAlign w:val="center"/>
          </w:tcPr>
          <w:p>
            <w:pPr>
              <w:tabs>
                <w:tab w:val="left" w:pos="720"/>
              </w:tabs>
              <w:snapToGrid w:val="0"/>
              <w:spacing w:line="276" w:lineRule="auto"/>
              <w:jc w:val="center"/>
              <w:rPr>
                <w:rFonts w:ascii="宋体" w:hAnsi="宋体"/>
                <w:color w:val="auto"/>
                <w:sz w:val="21"/>
                <w:szCs w:val="21"/>
                <w:highlight w:val="none"/>
              </w:rPr>
            </w:pPr>
            <w:r>
              <w:rPr>
                <w:rFonts w:hint="eastAsia" w:ascii="宋体" w:hAnsi="宋体"/>
                <w:color w:val="auto"/>
                <w:sz w:val="21"/>
                <w:szCs w:val="21"/>
                <w:highlight w:val="none"/>
              </w:rPr>
              <w:t>结论</w:t>
            </w:r>
          </w:p>
        </w:tc>
        <w:tc>
          <w:tcPr>
            <w:tcW w:w="7163" w:type="dxa"/>
            <w:noWrap w:val="0"/>
            <w:vAlign w:val="center"/>
          </w:tcPr>
          <w:p>
            <w:pPr>
              <w:tabs>
                <w:tab w:val="left" w:pos="720"/>
              </w:tabs>
              <w:snapToGrid w:val="0"/>
              <w:spacing w:line="276" w:lineRule="auto"/>
              <w:rPr>
                <w:rFonts w:ascii="宋体" w:hAnsi="宋体"/>
                <w:color w:val="auto"/>
                <w:sz w:val="21"/>
                <w:szCs w:val="21"/>
                <w:highlight w:val="none"/>
              </w:rPr>
            </w:pPr>
            <w:r>
              <w:rPr>
                <w:rFonts w:hint="eastAsia" w:ascii="宋体" w:hAnsi="宋体"/>
                <w:color w:val="auto"/>
                <w:sz w:val="21"/>
                <w:szCs w:val="21"/>
                <w:highlight w:val="none"/>
              </w:rPr>
              <w:t>是否通过并进入下一阶段评审</w:t>
            </w:r>
          </w:p>
        </w:tc>
        <w:tc>
          <w:tcPr>
            <w:tcW w:w="553" w:type="dxa"/>
            <w:noWrap w:val="0"/>
            <w:vAlign w:val="center"/>
          </w:tcPr>
          <w:p>
            <w:pPr>
              <w:tabs>
                <w:tab w:val="left" w:pos="720"/>
              </w:tabs>
              <w:snapToGrid w:val="0"/>
              <w:spacing w:line="276" w:lineRule="auto"/>
              <w:jc w:val="center"/>
              <w:rPr>
                <w:rFonts w:ascii="宋体" w:hAnsi="宋体"/>
                <w:color w:val="auto"/>
                <w:sz w:val="21"/>
                <w:szCs w:val="21"/>
                <w:highlight w:val="none"/>
              </w:rPr>
            </w:pPr>
          </w:p>
        </w:tc>
        <w:tc>
          <w:tcPr>
            <w:tcW w:w="553" w:type="dxa"/>
            <w:noWrap w:val="0"/>
            <w:vAlign w:val="center"/>
          </w:tcPr>
          <w:p>
            <w:pPr>
              <w:tabs>
                <w:tab w:val="left" w:pos="720"/>
              </w:tabs>
              <w:snapToGrid w:val="0"/>
              <w:spacing w:line="276" w:lineRule="auto"/>
              <w:jc w:val="center"/>
              <w:rPr>
                <w:rFonts w:ascii="宋体" w:hAnsi="宋体"/>
                <w:color w:val="auto"/>
                <w:sz w:val="21"/>
                <w:szCs w:val="21"/>
                <w:highlight w:val="none"/>
              </w:rPr>
            </w:pPr>
          </w:p>
        </w:tc>
        <w:tc>
          <w:tcPr>
            <w:tcW w:w="554" w:type="dxa"/>
            <w:noWrap w:val="0"/>
            <w:vAlign w:val="center"/>
          </w:tcPr>
          <w:p>
            <w:pPr>
              <w:tabs>
                <w:tab w:val="left" w:pos="720"/>
              </w:tabs>
              <w:snapToGrid w:val="0"/>
              <w:spacing w:line="276" w:lineRule="auto"/>
              <w:jc w:val="center"/>
              <w:rPr>
                <w:rFonts w:ascii="宋体" w:hAnsi="宋体"/>
                <w:color w:val="auto"/>
                <w:sz w:val="21"/>
                <w:szCs w:val="21"/>
                <w:highlight w:val="none"/>
              </w:rPr>
            </w:pPr>
          </w:p>
        </w:tc>
      </w:tr>
    </w:tbl>
    <w:p>
      <w:pPr>
        <w:rPr>
          <w:color w:val="auto"/>
          <w:highlight w:val="none"/>
        </w:rPr>
      </w:pPr>
    </w:p>
    <w:p>
      <w:pPr>
        <w:pStyle w:val="5"/>
        <w:rPr>
          <w:rFonts w:cs="宋体"/>
          <w:color w:val="auto"/>
          <w:szCs w:val="21"/>
          <w:highlight w:val="none"/>
        </w:rPr>
      </w:pPr>
      <w:r>
        <w:rPr>
          <w:color w:val="auto"/>
          <w:highlight w:val="none"/>
        </w:rPr>
        <w:br w:type="page"/>
      </w:r>
      <w:bookmarkStart w:id="108" w:name="_Toc926"/>
      <w:r>
        <w:rPr>
          <w:rFonts w:hint="eastAsia"/>
          <w:color w:val="auto"/>
          <w:highlight w:val="none"/>
        </w:rPr>
        <w:t>附表三：响应性评审表</w:t>
      </w:r>
      <w:bookmarkEnd w:id="108"/>
    </w:p>
    <w:p>
      <w:pPr>
        <w:spacing w:line="360" w:lineRule="auto"/>
        <w:jc w:val="center"/>
        <w:rPr>
          <w:rFonts w:ascii="宋体" w:hAnsi="宋体" w:cs="宋体"/>
          <w:color w:val="auto"/>
          <w:sz w:val="28"/>
          <w:szCs w:val="28"/>
          <w:highlight w:val="none"/>
        </w:rPr>
      </w:pPr>
      <w:r>
        <w:rPr>
          <w:rFonts w:hint="eastAsia" w:ascii="宋体" w:hAnsi="宋体" w:cs="宋体"/>
          <w:color w:val="auto"/>
          <w:sz w:val="28"/>
          <w:szCs w:val="28"/>
          <w:highlight w:val="none"/>
        </w:rPr>
        <w:t>响应性评审表</w:t>
      </w:r>
    </w:p>
    <w:p>
      <w:pPr>
        <w:rPr>
          <w:rFonts w:ascii="宋体" w:hAnsi="宋体"/>
          <w:color w:val="auto"/>
          <w:sz w:val="18"/>
          <w:szCs w:val="18"/>
          <w:highlight w:val="none"/>
        </w:rPr>
      </w:pPr>
    </w:p>
    <w:tbl>
      <w:tblPr>
        <w:tblStyle w:val="29"/>
        <w:tblpPr w:leftFromText="180" w:rightFromText="180" w:vertAnchor="text" w:horzAnchor="margin"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4927"/>
        <w:gridCol w:w="761"/>
        <w:gridCol w:w="762"/>
        <w:gridCol w:w="762"/>
        <w:gridCol w:w="762"/>
        <w:gridCol w:w="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426" w:type="dxa"/>
            <w:noWrap w:val="0"/>
            <w:vAlign w:val="center"/>
          </w:tcPr>
          <w:p>
            <w:pPr>
              <w:tabs>
                <w:tab w:val="left" w:pos="720"/>
              </w:tabs>
              <w:snapToGrid w:val="0"/>
              <w:spacing w:line="276" w:lineRule="auto"/>
              <w:jc w:val="center"/>
              <w:rPr>
                <w:rFonts w:ascii="宋体" w:hAnsi="宋体"/>
                <w:color w:val="auto"/>
                <w:sz w:val="20"/>
                <w:szCs w:val="20"/>
                <w:highlight w:val="none"/>
              </w:rPr>
            </w:pPr>
            <w:r>
              <w:rPr>
                <w:rFonts w:hint="eastAsia" w:ascii="宋体" w:hAnsi="宋体"/>
                <w:color w:val="auto"/>
                <w:sz w:val="20"/>
                <w:szCs w:val="20"/>
                <w:highlight w:val="none"/>
              </w:rPr>
              <w:t>编号</w:t>
            </w:r>
          </w:p>
        </w:tc>
        <w:tc>
          <w:tcPr>
            <w:tcW w:w="4927" w:type="dxa"/>
            <w:tcBorders>
              <w:tl2br w:val="single" w:color="auto" w:sz="4" w:space="0"/>
            </w:tcBorders>
            <w:noWrap w:val="0"/>
            <w:vAlign w:val="center"/>
          </w:tcPr>
          <w:p>
            <w:pPr>
              <w:tabs>
                <w:tab w:val="left" w:pos="720"/>
              </w:tabs>
              <w:snapToGrid w:val="0"/>
              <w:spacing w:line="276" w:lineRule="auto"/>
              <w:ind w:firstLine="3600" w:firstLineChars="1800"/>
              <w:rPr>
                <w:rFonts w:ascii="宋体" w:hAnsi="宋体"/>
                <w:color w:val="auto"/>
                <w:sz w:val="20"/>
                <w:szCs w:val="20"/>
                <w:highlight w:val="none"/>
              </w:rPr>
            </w:pPr>
            <w:r>
              <w:rPr>
                <w:rFonts w:hint="eastAsia" w:ascii="宋体" w:hAnsi="宋体"/>
                <w:color w:val="auto"/>
                <w:sz w:val="20"/>
                <w:szCs w:val="20"/>
                <w:highlight w:val="none"/>
              </w:rPr>
              <w:t>投标人名称</w:t>
            </w:r>
          </w:p>
          <w:p>
            <w:pPr>
              <w:tabs>
                <w:tab w:val="left" w:pos="720"/>
              </w:tabs>
              <w:snapToGrid w:val="0"/>
              <w:spacing w:line="276" w:lineRule="auto"/>
              <w:rPr>
                <w:rFonts w:ascii="宋体" w:hAnsi="宋体"/>
                <w:color w:val="auto"/>
                <w:sz w:val="20"/>
                <w:szCs w:val="20"/>
                <w:highlight w:val="none"/>
              </w:rPr>
            </w:pPr>
          </w:p>
          <w:p>
            <w:pPr>
              <w:tabs>
                <w:tab w:val="left" w:pos="720"/>
              </w:tabs>
              <w:snapToGrid w:val="0"/>
              <w:spacing w:line="276" w:lineRule="auto"/>
              <w:rPr>
                <w:rFonts w:ascii="宋体" w:hAnsi="宋体"/>
                <w:color w:val="auto"/>
                <w:sz w:val="20"/>
                <w:szCs w:val="20"/>
                <w:highlight w:val="none"/>
              </w:rPr>
            </w:pPr>
            <w:r>
              <w:rPr>
                <w:rFonts w:hint="eastAsia" w:ascii="宋体" w:hAnsi="宋体"/>
                <w:color w:val="auto"/>
                <w:sz w:val="20"/>
                <w:szCs w:val="20"/>
                <w:highlight w:val="none"/>
              </w:rPr>
              <w:t>评审项目</w:t>
            </w:r>
          </w:p>
        </w:tc>
        <w:tc>
          <w:tcPr>
            <w:tcW w:w="761" w:type="dxa"/>
            <w:noWrap w:val="0"/>
            <w:vAlign w:val="center"/>
          </w:tcPr>
          <w:p>
            <w:pPr>
              <w:tabs>
                <w:tab w:val="left" w:pos="720"/>
              </w:tabs>
              <w:snapToGrid w:val="0"/>
              <w:spacing w:line="276" w:lineRule="auto"/>
              <w:rPr>
                <w:rFonts w:ascii="宋体" w:hAnsi="宋体"/>
                <w:color w:val="auto"/>
                <w:sz w:val="18"/>
                <w:szCs w:val="18"/>
                <w:highlight w:val="none"/>
              </w:rPr>
            </w:pPr>
          </w:p>
        </w:tc>
        <w:tc>
          <w:tcPr>
            <w:tcW w:w="762" w:type="dxa"/>
            <w:noWrap w:val="0"/>
            <w:vAlign w:val="center"/>
          </w:tcPr>
          <w:p>
            <w:pPr>
              <w:tabs>
                <w:tab w:val="left" w:pos="720"/>
              </w:tabs>
              <w:snapToGrid w:val="0"/>
              <w:spacing w:line="276" w:lineRule="auto"/>
              <w:jc w:val="center"/>
              <w:rPr>
                <w:rFonts w:ascii="宋体" w:hAnsi="宋体"/>
                <w:color w:val="auto"/>
                <w:sz w:val="18"/>
                <w:szCs w:val="18"/>
                <w:highlight w:val="none"/>
              </w:rPr>
            </w:pPr>
          </w:p>
        </w:tc>
        <w:tc>
          <w:tcPr>
            <w:tcW w:w="762" w:type="dxa"/>
            <w:noWrap w:val="0"/>
            <w:vAlign w:val="center"/>
          </w:tcPr>
          <w:p>
            <w:pPr>
              <w:tabs>
                <w:tab w:val="left" w:pos="720"/>
              </w:tabs>
              <w:snapToGrid w:val="0"/>
              <w:spacing w:line="276" w:lineRule="auto"/>
              <w:jc w:val="center"/>
              <w:rPr>
                <w:rFonts w:ascii="宋体" w:hAnsi="宋体"/>
                <w:color w:val="auto"/>
                <w:sz w:val="18"/>
                <w:szCs w:val="18"/>
                <w:highlight w:val="none"/>
              </w:rPr>
            </w:pPr>
          </w:p>
        </w:tc>
        <w:tc>
          <w:tcPr>
            <w:tcW w:w="762" w:type="dxa"/>
            <w:noWrap w:val="0"/>
            <w:vAlign w:val="center"/>
          </w:tcPr>
          <w:p>
            <w:pPr>
              <w:tabs>
                <w:tab w:val="left" w:pos="720"/>
              </w:tabs>
              <w:snapToGrid w:val="0"/>
              <w:spacing w:line="276" w:lineRule="auto"/>
              <w:jc w:val="center"/>
              <w:rPr>
                <w:rFonts w:ascii="宋体" w:hAnsi="宋体"/>
                <w:color w:val="auto"/>
                <w:sz w:val="18"/>
                <w:szCs w:val="18"/>
                <w:highlight w:val="none"/>
              </w:rPr>
            </w:pPr>
          </w:p>
        </w:tc>
        <w:tc>
          <w:tcPr>
            <w:tcW w:w="762" w:type="dxa"/>
            <w:noWrap w:val="0"/>
            <w:vAlign w:val="center"/>
          </w:tcPr>
          <w:p>
            <w:pPr>
              <w:tabs>
                <w:tab w:val="left" w:pos="720"/>
              </w:tabs>
              <w:snapToGrid w:val="0"/>
              <w:spacing w:line="276" w:lineRule="auto"/>
              <w:jc w:val="center"/>
              <w:rPr>
                <w:rFonts w:ascii="宋体" w:hAnsi="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426" w:type="dxa"/>
            <w:noWrap w:val="0"/>
            <w:vAlign w:val="center"/>
          </w:tcPr>
          <w:p>
            <w:pPr>
              <w:tabs>
                <w:tab w:val="left" w:pos="720"/>
              </w:tabs>
              <w:snapToGrid w:val="0"/>
              <w:spacing w:line="276" w:lineRule="auto"/>
              <w:jc w:val="center"/>
              <w:rPr>
                <w:rFonts w:ascii="宋体" w:hAnsi="宋体"/>
                <w:color w:val="auto"/>
                <w:sz w:val="20"/>
                <w:szCs w:val="20"/>
                <w:highlight w:val="none"/>
              </w:rPr>
            </w:pPr>
            <w:r>
              <w:rPr>
                <w:rFonts w:hint="eastAsia" w:ascii="宋体" w:hAnsi="宋体"/>
                <w:color w:val="auto"/>
                <w:sz w:val="20"/>
                <w:szCs w:val="20"/>
                <w:highlight w:val="none"/>
              </w:rPr>
              <w:t>1</w:t>
            </w:r>
          </w:p>
        </w:tc>
        <w:tc>
          <w:tcPr>
            <w:tcW w:w="4927" w:type="dxa"/>
            <w:noWrap w:val="0"/>
            <w:vAlign w:val="center"/>
          </w:tcPr>
          <w:p>
            <w:pPr>
              <w:tabs>
                <w:tab w:val="left" w:pos="720"/>
              </w:tabs>
              <w:snapToGrid w:val="0"/>
              <w:spacing w:line="276" w:lineRule="auto"/>
              <w:rPr>
                <w:rFonts w:ascii="宋体" w:hAnsi="宋体" w:cs="宋体"/>
                <w:color w:val="auto"/>
                <w:sz w:val="20"/>
                <w:szCs w:val="20"/>
                <w:highlight w:val="none"/>
              </w:rPr>
            </w:pPr>
            <w:r>
              <w:rPr>
                <w:rFonts w:hint="eastAsia" w:ascii="宋体" w:hAnsi="宋体" w:cs="宋体"/>
                <w:color w:val="auto"/>
                <w:sz w:val="20"/>
                <w:szCs w:val="20"/>
                <w:highlight w:val="none"/>
              </w:rPr>
              <w:t>投标报价：符合第二章“投标人须知”第3.2规定；</w:t>
            </w:r>
          </w:p>
        </w:tc>
        <w:tc>
          <w:tcPr>
            <w:tcW w:w="761" w:type="dxa"/>
            <w:noWrap w:val="0"/>
            <w:vAlign w:val="center"/>
          </w:tcPr>
          <w:p>
            <w:pPr>
              <w:tabs>
                <w:tab w:val="left" w:pos="720"/>
              </w:tabs>
              <w:snapToGrid w:val="0"/>
              <w:spacing w:line="276" w:lineRule="auto"/>
              <w:jc w:val="center"/>
              <w:rPr>
                <w:rFonts w:ascii="宋体" w:hAnsi="宋体"/>
                <w:color w:val="auto"/>
                <w:sz w:val="18"/>
                <w:szCs w:val="18"/>
                <w:highlight w:val="none"/>
              </w:rPr>
            </w:pPr>
          </w:p>
        </w:tc>
        <w:tc>
          <w:tcPr>
            <w:tcW w:w="762" w:type="dxa"/>
            <w:noWrap w:val="0"/>
            <w:vAlign w:val="center"/>
          </w:tcPr>
          <w:p>
            <w:pPr>
              <w:tabs>
                <w:tab w:val="left" w:pos="720"/>
              </w:tabs>
              <w:snapToGrid w:val="0"/>
              <w:spacing w:line="276" w:lineRule="auto"/>
              <w:jc w:val="center"/>
              <w:rPr>
                <w:rFonts w:ascii="宋体" w:hAnsi="宋体"/>
                <w:color w:val="auto"/>
                <w:sz w:val="18"/>
                <w:szCs w:val="18"/>
                <w:highlight w:val="none"/>
              </w:rPr>
            </w:pPr>
          </w:p>
        </w:tc>
        <w:tc>
          <w:tcPr>
            <w:tcW w:w="762" w:type="dxa"/>
            <w:noWrap w:val="0"/>
            <w:vAlign w:val="center"/>
          </w:tcPr>
          <w:p>
            <w:pPr>
              <w:tabs>
                <w:tab w:val="left" w:pos="720"/>
              </w:tabs>
              <w:snapToGrid w:val="0"/>
              <w:spacing w:line="276" w:lineRule="auto"/>
              <w:jc w:val="center"/>
              <w:rPr>
                <w:rFonts w:ascii="宋体" w:hAnsi="宋体"/>
                <w:color w:val="auto"/>
                <w:sz w:val="18"/>
                <w:szCs w:val="18"/>
                <w:highlight w:val="none"/>
              </w:rPr>
            </w:pPr>
          </w:p>
        </w:tc>
        <w:tc>
          <w:tcPr>
            <w:tcW w:w="762" w:type="dxa"/>
            <w:noWrap w:val="0"/>
            <w:vAlign w:val="center"/>
          </w:tcPr>
          <w:p>
            <w:pPr>
              <w:tabs>
                <w:tab w:val="left" w:pos="720"/>
              </w:tabs>
              <w:snapToGrid w:val="0"/>
              <w:spacing w:line="276" w:lineRule="auto"/>
              <w:jc w:val="center"/>
              <w:rPr>
                <w:rFonts w:ascii="宋体" w:hAnsi="宋体"/>
                <w:color w:val="auto"/>
                <w:sz w:val="18"/>
                <w:szCs w:val="18"/>
                <w:highlight w:val="none"/>
              </w:rPr>
            </w:pPr>
          </w:p>
        </w:tc>
        <w:tc>
          <w:tcPr>
            <w:tcW w:w="762" w:type="dxa"/>
            <w:noWrap w:val="0"/>
            <w:vAlign w:val="center"/>
          </w:tcPr>
          <w:p>
            <w:pPr>
              <w:tabs>
                <w:tab w:val="left" w:pos="720"/>
              </w:tabs>
              <w:snapToGrid w:val="0"/>
              <w:spacing w:line="276" w:lineRule="auto"/>
              <w:jc w:val="center"/>
              <w:rPr>
                <w:rFonts w:ascii="宋体" w:hAnsi="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426" w:type="dxa"/>
            <w:noWrap w:val="0"/>
            <w:vAlign w:val="center"/>
          </w:tcPr>
          <w:p>
            <w:pPr>
              <w:tabs>
                <w:tab w:val="left" w:pos="720"/>
              </w:tabs>
              <w:snapToGrid w:val="0"/>
              <w:spacing w:line="276" w:lineRule="auto"/>
              <w:jc w:val="center"/>
              <w:rPr>
                <w:rFonts w:ascii="宋体" w:hAnsi="宋体"/>
                <w:color w:val="auto"/>
                <w:sz w:val="20"/>
                <w:szCs w:val="20"/>
                <w:highlight w:val="none"/>
              </w:rPr>
            </w:pPr>
            <w:r>
              <w:rPr>
                <w:rFonts w:hint="eastAsia" w:ascii="宋体" w:hAnsi="宋体"/>
                <w:color w:val="auto"/>
                <w:sz w:val="20"/>
                <w:szCs w:val="20"/>
                <w:highlight w:val="none"/>
              </w:rPr>
              <w:t>2</w:t>
            </w:r>
          </w:p>
        </w:tc>
        <w:tc>
          <w:tcPr>
            <w:tcW w:w="4927" w:type="dxa"/>
            <w:noWrap w:val="0"/>
            <w:vAlign w:val="center"/>
          </w:tcPr>
          <w:p>
            <w:pPr>
              <w:tabs>
                <w:tab w:val="left" w:pos="720"/>
              </w:tabs>
              <w:snapToGrid w:val="0"/>
              <w:spacing w:line="276" w:lineRule="auto"/>
              <w:rPr>
                <w:rFonts w:ascii="宋体" w:hAnsi="宋体" w:cs="宋体"/>
                <w:color w:val="auto"/>
                <w:sz w:val="20"/>
                <w:szCs w:val="20"/>
                <w:highlight w:val="none"/>
              </w:rPr>
            </w:pPr>
            <w:r>
              <w:rPr>
                <w:rFonts w:hint="eastAsia" w:ascii="宋体" w:hAnsi="宋体" w:cs="宋体"/>
                <w:color w:val="auto"/>
                <w:sz w:val="20"/>
                <w:szCs w:val="20"/>
                <w:highlight w:val="none"/>
              </w:rPr>
              <w:t>投标内容：符合第二章“投标人须知”第1.3.1规定；</w:t>
            </w:r>
          </w:p>
        </w:tc>
        <w:tc>
          <w:tcPr>
            <w:tcW w:w="761" w:type="dxa"/>
            <w:noWrap w:val="0"/>
            <w:vAlign w:val="center"/>
          </w:tcPr>
          <w:p>
            <w:pPr>
              <w:tabs>
                <w:tab w:val="left" w:pos="720"/>
              </w:tabs>
              <w:snapToGrid w:val="0"/>
              <w:spacing w:line="276" w:lineRule="auto"/>
              <w:jc w:val="center"/>
              <w:rPr>
                <w:rFonts w:ascii="宋体" w:hAnsi="宋体"/>
                <w:color w:val="auto"/>
                <w:sz w:val="18"/>
                <w:szCs w:val="18"/>
                <w:highlight w:val="none"/>
              </w:rPr>
            </w:pPr>
          </w:p>
        </w:tc>
        <w:tc>
          <w:tcPr>
            <w:tcW w:w="762" w:type="dxa"/>
            <w:noWrap w:val="0"/>
            <w:vAlign w:val="center"/>
          </w:tcPr>
          <w:p>
            <w:pPr>
              <w:tabs>
                <w:tab w:val="left" w:pos="720"/>
              </w:tabs>
              <w:snapToGrid w:val="0"/>
              <w:spacing w:line="276" w:lineRule="auto"/>
              <w:jc w:val="center"/>
              <w:rPr>
                <w:rFonts w:ascii="宋体" w:hAnsi="宋体"/>
                <w:color w:val="auto"/>
                <w:sz w:val="18"/>
                <w:szCs w:val="18"/>
                <w:highlight w:val="none"/>
              </w:rPr>
            </w:pPr>
          </w:p>
        </w:tc>
        <w:tc>
          <w:tcPr>
            <w:tcW w:w="762" w:type="dxa"/>
            <w:noWrap w:val="0"/>
            <w:vAlign w:val="center"/>
          </w:tcPr>
          <w:p>
            <w:pPr>
              <w:tabs>
                <w:tab w:val="left" w:pos="720"/>
              </w:tabs>
              <w:snapToGrid w:val="0"/>
              <w:spacing w:line="276" w:lineRule="auto"/>
              <w:jc w:val="center"/>
              <w:rPr>
                <w:rFonts w:ascii="宋体" w:hAnsi="宋体"/>
                <w:color w:val="auto"/>
                <w:sz w:val="18"/>
                <w:szCs w:val="18"/>
                <w:highlight w:val="none"/>
              </w:rPr>
            </w:pPr>
          </w:p>
        </w:tc>
        <w:tc>
          <w:tcPr>
            <w:tcW w:w="762" w:type="dxa"/>
            <w:noWrap w:val="0"/>
            <w:vAlign w:val="center"/>
          </w:tcPr>
          <w:p>
            <w:pPr>
              <w:tabs>
                <w:tab w:val="left" w:pos="720"/>
              </w:tabs>
              <w:snapToGrid w:val="0"/>
              <w:spacing w:line="276" w:lineRule="auto"/>
              <w:jc w:val="center"/>
              <w:rPr>
                <w:rFonts w:ascii="宋体" w:hAnsi="宋体"/>
                <w:color w:val="auto"/>
                <w:sz w:val="18"/>
                <w:szCs w:val="18"/>
                <w:highlight w:val="none"/>
              </w:rPr>
            </w:pPr>
          </w:p>
        </w:tc>
        <w:tc>
          <w:tcPr>
            <w:tcW w:w="762" w:type="dxa"/>
            <w:noWrap w:val="0"/>
            <w:vAlign w:val="center"/>
          </w:tcPr>
          <w:p>
            <w:pPr>
              <w:tabs>
                <w:tab w:val="left" w:pos="720"/>
              </w:tabs>
              <w:snapToGrid w:val="0"/>
              <w:spacing w:line="276" w:lineRule="auto"/>
              <w:jc w:val="center"/>
              <w:rPr>
                <w:rFonts w:ascii="宋体" w:hAnsi="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426" w:type="dxa"/>
            <w:noWrap w:val="0"/>
            <w:vAlign w:val="center"/>
          </w:tcPr>
          <w:p>
            <w:pPr>
              <w:tabs>
                <w:tab w:val="left" w:pos="720"/>
              </w:tabs>
              <w:snapToGrid w:val="0"/>
              <w:spacing w:line="276" w:lineRule="auto"/>
              <w:jc w:val="center"/>
              <w:rPr>
                <w:rFonts w:ascii="宋体" w:hAnsi="宋体"/>
                <w:color w:val="auto"/>
                <w:sz w:val="20"/>
                <w:szCs w:val="20"/>
                <w:highlight w:val="none"/>
              </w:rPr>
            </w:pPr>
            <w:r>
              <w:rPr>
                <w:rFonts w:hint="eastAsia" w:ascii="宋体" w:hAnsi="宋体"/>
                <w:color w:val="auto"/>
                <w:sz w:val="20"/>
                <w:szCs w:val="20"/>
                <w:highlight w:val="none"/>
              </w:rPr>
              <w:t>3</w:t>
            </w:r>
          </w:p>
        </w:tc>
        <w:tc>
          <w:tcPr>
            <w:tcW w:w="4927" w:type="dxa"/>
            <w:noWrap w:val="0"/>
            <w:vAlign w:val="center"/>
          </w:tcPr>
          <w:p>
            <w:pPr>
              <w:tabs>
                <w:tab w:val="left" w:pos="720"/>
              </w:tabs>
              <w:snapToGrid w:val="0"/>
              <w:spacing w:line="276" w:lineRule="auto"/>
              <w:rPr>
                <w:rFonts w:ascii="宋体" w:hAnsi="宋体" w:cs="宋体"/>
                <w:color w:val="auto"/>
                <w:sz w:val="20"/>
                <w:szCs w:val="20"/>
                <w:highlight w:val="none"/>
              </w:rPr>
            </w:pPr>
            <w:r>
              <w:rPr>
                <w:rFonts w:hint="eastAsia" w:ascii="宋体" w:hAnsi="宋体" w:cs="宋体"/>
                <w:color w:val="auto"/>
                <w:sz w:val="20"/>
                <w:szCs w:val="20"/>
                <w:highlight w:val="none"/>
              </w:rPr>
              <w:t>服务期限：符合第二章“投标人须知”第1.3.2规定；</w:t>
            </w:r>
          </w:p>
        </w:tc>
        <w:tc>
          <w:tcPr>
            <w:tcW w:w="761" w:type="dxa"/>
            <w:noWrap w:val="0"/>
            <w:vAlign w:val="center"/>
          </w:tcPr>
          <w:p>
            <w:pPr>
              <w:tabs>
                <w:tab w:val="left" w:pos="720"/>
              </w:tabs>
              <w:snapToGrid w:val="0"/>
              <w:spacing w:line="276" w:lineRule="auto"/>
              <w:jc w:val="center"/>
              <w:rPr>
                <w:rFonts w:ascii="宋体" w:hAnsi="宋体"/>
                <w:color w:val="auto"/>
                <w:sz w:val="18"/>
                <w:szCs w:val="18"/>
                <w:highlight w:val="none"/>
              </w:rPr>
            </w:pPr>
          </w:p>
        </w:tc>
        <w:tc>
          <w:tcPr>
            <w:tcW w:w="762" w:type="dxa"/>
            <w:noWrap w:val="0"/>
            <w:vAlign w:val="center"/>
          </w:tcPr>
          <w:p>
            <w:pPr>
              <w:tabs>
                <w:tab w:val="left" w:pos="720"/>
              </w:tabs>
              <w:snapToGrid w:val="0"/>
              <w:spacing w:line="276" w:lineRule="auto"/>
              <w:jc w:val="center"/>
              <w:rPr>
                <w:rFonts w:ascii="宋体" w:hAnsi="宋体"/>
                <w:color w:val="auto"/>
                <w:sz w:val="18"/>
                <w:szCs w:val="18"/>
                <w:highlight w:val="none"/>
              </w:rPr>
            </w:pPr>
          </w:p>
        </w:tc>
        <w:tc>
          <w:tcPr>
            <w:tcW w:w="762" w:type="dxa"/>
            <w:noWrap w:val="0"/>
            <w:vAlign w:val="center"/>
          </w:tcPr>
          <w:p>
            <w:pPr>
              <w:tabs>
                <w:tab w:val="left" w:pos="720"/>
              </w:tabs>
              <w:snapToGrid w:val="0"/>
              <w:spacing w:line="276" w:lineRule="auto"/>
              <w:jc w:val="center"/>
              <w:rPr>
                <w:rFonts w:ascii="宋体" w:hAnsi="宋体"/>
                <w:color w:val="auto"/>
                <w:sz w:val="18"/>
                <w:szCs w:val="18"/>
                <w:highlight w:val="none"/>
              </w:rPr>
            </w:pPr>
          </w:p>
        </w:tc>
        <w:tc>
          <w:tcPr>
            <w:tcW w:w="762" w:type="dxa"/>
            <w:noWrap w:val="0"/>
            <w:vAlign w:val="center"/>
          </w:tcPr>
          <w:p>
            <w:pPr>
              <w:tabs>
                <w:tab w:val="left" w:pos="720"/>
              </w:tabs>
              <w:snapToGrid w:val="0"/>
              <w:spacing w:line="276" w:lineRule="auto"/>
              <w:jc w:val="center"/>
              <w:rPr>
                <w:rFonts w:ascii="宋体" w:hAnsi="宋体"/>
                <w:color w:val="auto"/>
                <w:sz w:val="18"/>
                <w:szCs w:val="18"/>
                <w:highlight w:val="none"/>
              </w:rPr>
            </w:pPr>
          </w:p>
        </w:tc>
        <w:tc>
          <w:tcPr>
            <w:tcW w:w="762" w:type="dxa"/>
            <w:noWrap w:val="0"/>
            <w:vAlign w:val="center"/>
          </w:tcPr>
          <w:p>
            <w:pPr>
              <w:tabs>
                <w:tab w:val="left" w:pos="720"/>
              </w:tabs>
              <w:snapToGrid w:val="0"/>
              <w:spacing w:line="276" w:lineRule="auto"/>
              <w:jc w:val="center"/>
              <w:rPr>
                <w:rFonts w:ascii="宋体" w:hAnsi="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426" w:type="dxa"/>
            <w:noWrap w:val="0"/>
            <w:vAlign w:val="center"/>
          </w:tcPr>
          <w:p>
            <w:pPr>
              <w:tabs>
                <w:tab w:val="left" w:pos="720"/>
              </w:tabs>
              <w:snapToGrid w:val="0"/>
              <w:spacing w:line="276" w:lineRule="auto"/>
              <w:jc w:val="center"/>
              <w:rPr>
                <w:rFonts w:ascii="宋体" w:hAnsi="宋体"/>
                <w:color w:val="auto"/>
                <w:sz w:val="20"/>
                <w:szCs w:val="20"/>
                <w:highlight w:val="none"/>
              </w:rPr>
            </w:pPr>
            <w:r>
              <w:rPr>
                <w:rFonts w:hint="eastAsia" w:ascii="宋体" w:hAnsi="宋体"/>
                <w:color w:val="auto"/>
                <w:sz w:val="20"/>
                <w:szCs w:val="20"/>
                <w:highlight w:val="none"/>
              </w:rPr>
              <w:t>4</w:t>
            </w:r>
          </w:p>
        </w:tc>
        <w:tc>
          <w:tcPr>
            <w:tcW w:w="4927" w:type="dxa"/>
            <w:noWrap w:val="0"/>
            <w:vAlign w:val="center"/>
          </w:tcPr>
          <w:p>
            <w:pPr>
              <w:tabs>
                <w:tab w:val="left" w:pos="720"/>
              </w:tabs>
              <w:snapToGrid w:val="0"/>
              <w:spacing w:line="276" w:lineRule="auto"/>
              <w:rPr>
                <w:rFonts w:ascii="宋体" w:hAnsi="宋体" w:cs="宋体"/>
                <w:color w:val="auto"/>
                <w:sz w:val="20"/>
                <w:szCs w:val="20"/>
                <w:highlight w:val="none"/>
              </w:rPr>
            </w:pPr>
            <w:r>
              <w:rPr>
                <w:rFonts w:hint="eastAsia" w:ascii="宋体" w:hAnsi="宋体" w:cs="宋体"/>
                <w:color w:val="auto"/>
                <w:sz w:val="20"/>
                <w:szCs w:val="20"/>
                <w:highlight w:val="none"/>
              </w:rPr>
              <w:t>质量标准：符合第二章“投标人须知”第1.3.3规定；</w:t>
            </w:r>
          </w:p>
        </w:tc>
        <w:tc>
          <w:tcPr>
            <w:tcW w:w="761" w:type="dxa"/>
            <w:noWrap w:val="0"/>
            <w:vAlign w:val="center"/>
          </w:tcPr>
          <w:p>
            <w:pPr>
              <w:tabs>
                <w:tab w:val="left" w:pos="720"/>
              </w:tabs>
              <w:snapToGrid w:val="0"/>
              <w:spacing w:line="276" w:lineRule="auto"/>
              <w:jc w:val="center"/>
              <w:rPr>
                <w:rFonts w:ascii="宋体" w:hAnsi="宋体"/>
                <w:color w:val="auto"/>
                <w:sz w:val="18"/>
                <w:szCs w:val="18"/>
                <w:highlight w:val="none"/>
              </w:rPr>
            </w:pPr>
          </w:p>
        </w:tc>
        <w:tc>
          <w:tcPr>
            <w:tcW w:w="762" w:type="dxa"/>
            <w:noWrap w:val="0"/>
            <w:vAlign w:val="center"/>
          </w:tcPr>
          <w:p>
            <w:pPr>
              <w:tabs>
                <w:tab w:val="left" w:pos="720"/>
              </w:tabs>
              <w:snapToGrid w:val="0"/>
              <w:spacing w:line="276" w:lineRule="auto"/>
              <w:jc w:val="center"/>
              <w:rPr>
                <w:rFonts w:ascii="宋体" w:hAnsi="宋体"/>
                <w:color w:val="auto"/>
                <w:sz w:val="18"/>
                <w:szCs w:val="18"/>
                <w:highlight w:val="none"/>
              </w:rPr>
            </w:pPr>
          </w:p>
        </w:tc>
        <w:tc>
          <w:tcPr>
            <w:tcW w:w="762" w:type="dxa"/>
            <w:noWrap w:val="0"/>
            <w:vAlign w:val="center"/>
          </w:tcPr>
          <w:p>
            <w:pPr>
              <w:tabs>
                <w:tab w:val="left" w:pos="720"/>
              </w:tabs>
              <w:snapToGrid w:val="0"/>
              <w:spacing w:line="276" w:lineRule="auto"/>
              <w:jc w:val="center"/>
              <w:rPr>
                <w:rFonts w:ascii="宋体" w:hAnsi="宋体"/>
                <w:color w:val="auto"/>
                <w:sz w:val="18"/>
                <w:szCs w:val="18"/>
                <w:highlight w:val="none"/>
              </w:rPr>
            </w:pPr>
          </w:p>
        </w:tc>
        <w:tc>
          <w:tcPr>
            <w:tcW w:w="762" w:type="dxa"/>
            <w:noWrap w:val="0"/>
            <w:vAlign w:val="center"/>
          </w:tcPr>
          <w:p>
            <w:pPr>
              <w:tabs>
                <w:tab w:val="left" w:pos="720"/>
              </w:tabs>
              <w:snapToGrid w:val="0"/>
              <w:spacing w:line="276" w:lineRule="auto"/>
              <w:jc w:val="center"/>
              <w:rPr>
                <w:rFonts w:ascii="宋体" w:hAnsi="宋体"/>
                <w:color w:val="auto"/>
                <w:sz w:val="18"/>
                <w:szCs w:val="18"/>
                <w:highlight w:val="none"/>
              </w:rPr>
            </w:pPr>
          </w:p>
        </w:tc>
        <w:tc>
          <w:tcPr>
            <w:tcW w:w="762" w:type="dxa"/>
            <w:noWrap w:val="0"/>
            <w:vAlign w:val="center"/>
          </w:tcPr>
          <w:p>
            <w:pPr>
              <w:tabs>
                <w:tab w:val="left" w:pos="720"/>
              </w:tabs>
              <w:snapToGrid w:val="0"/>
              <w:spacing w:line="276" w:lineRule="auto"/>
              <w:jc w:val="center"/>
              <w:rPr>
                <w:rFonts w:ascii="宋体" w:hAnsi="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426" w:type="dxa"/>
            <w:noWrap w:val="0"/>
            <w:vAlign w:val="center"/>
          </w:tcPr>
          <w:p>
            <w:pPr>
              <w:tabs>
                <w:tab w:val="left" w:pos="720"/>
              </w:tabs>
              <w:snapToGrid w:val="0"/>
              <w:spacing w:line="276" w:lineRule="auto"/>
              <w:jc w:val="center"/>
              <w:rPr>
                <w:rFonts w:ascii="宋体" w:hAnsi="宋体"/>
                <w:color w:val="auto"/>
                <w:sz w:val="20"/>
                <w:szCs w:val="20"/>
                <w:highlight w:val="none"/>
              </w:rPr>
            </w:pPr>
            <w:r>
              <w:rPr>
                <w:rFonts w:hint="eastAsia" w:ascii="宋体" w:hAnsi="宋体"/>
                <w:color w:val="auto"/>
                <w:sz w:val="20"/>
                <w:szCs w:val="20"/>
                <w:highlight w:val="none"/>
              </w:rPr>
              <w:t>5</w:t>
            </w:r>
          </w:p>
        </w:tc>
        <w:tc>
          <w:tcPr>
            <w:tcW w:w="4927" w:type="dxa"/>
            <w:noWrap w:val="0"/>
            <w:vAlign w:val="center"/>
          </w:tcPr>
          <w:p>
            <w:pPr>
              <w:tabs>
                <w:tab w:val="left" w:pos="720"/>
              </w:tabs>
              <w:snapToGrid w:val="0"/>
              <w:spacing w:line="276" w:lineRule="auto"/>
              <w:rPr>
                <w:rFonts w:ascii="宋体" w:hAnsi="宋体" w:cs="宋体"/>
                <w:color w:val="auto"/>
                <w:sz w:val="20"/>
                <w:szCs w:val="20"/>
                <w:highlight w:val="none"/>
              </w:rPr>
            </w:pPr>
            <w:r>
              <w:rPr>
                <w:rFonts w:hint="eastAsia" w:ascii="宋体" w:hAnsi="宋体" w:cs="宋体"/>
                <w:color w:val="auto"/>
                <w:sz w:val="20"/>
                <w:szCs w:val="20"/>
                <w:highlight w:val="none"/>
              </w:rPr>
              <w:t>投标有效期：符合第二章“投标人须知”第3.3.1规定；</w:t>
            </w:r>
          </w:p>
        </w:tc>
        <w:tc>
          <w:tcPr>
            <w:tcW w:w="761" w:type="dxa"/>
            <w:noWrap w:val="0"/>
            <w:vAlign w:val="center"/>
          </w:tcPr>
          <w:p>
            <w:pPr>
              <w:tabs>
                <w:tab w:val="left" w:pos="720"/>
              </w:tabs>
              <w:snapToGrid w:val="0"/>
              <w:spacing w:line="276" w:lineRule="auto"/>
              <w:jc w:val="center"/>
              <w:rPr>
                <w:rFonts w:ascii="宋体" w:hAnsi="宋体"/>
                <w:color w:val="auto"/>
                <w:sz w:val="18"/>
                <w:szCs w:val="18"/>
                <w:highlight w:val="none"/>
              </w:rPr>
            </w:pPr>
          </w:p>
        </w:tc>
        <w:tc>
          <w:tcPr>
            <w:tcW w:w="762" w:type="dxa"/>
            <w:noWrap w:val="0"/>
            <w:vAlign w:val="center"/>
          </w:tcPr>
          <w:p>
            <w:pPr>
              <w:tabs>
                <w:tab w:val="left" w:pos="720"/>
              </w:tabs>
              <w:snapToGrid w:val="0"/>
              <w:spacing w:line="276" w:lineRule="auto"/>
              <w:jc w:val="center"/>
              <w:rPr>
                <w:rFonts w:ascii="宋体" w:hAnsi="宋体"/>
                <w:color w:val="auto"/>
                <w:sz w:val="18"/>
                <w:szCs w:val="18"/>
                <w:highlight w:val="none"/>
              </w:rPr>
            </w:pPr>
          </w:p>
        </w:tc>
        <w:tc>
          <w:tcPr>
            <w:tcW w:w="762" w:type="dxa"/>
            <w:noWrap w:val="0"/>
            <w:vAlign w:val="center"/>
          </w:tcPr>
          <w:p>
            <w:pPr>
              <w:tabs>
                <w:tab w:val="left" w:pos="720"/>
              </w:tabs>
              <w:snapToGrid w:val="0"/>
              <w:spacing w:line="276" w:lineRule="auto"/>
              <w:jc w:val="center"/>
              <w:rPr>
                <w:rFonts w:ascii="宋体" w:hAnsi="宋体"/>
                <w:color w:val="auto"/>
                <w:sz w:val="18"/>
                <w:szCs w:val="18"/>
                <w:highlight w:val="none"/>
              </w:rPr>
            </w:pPr>
          </w:p>
        </w:tc>
        <w:tc>
          <w:tcPr>
            <w:tcW w:w="762" w:type="dxa"/>
            <w:noWrap w:val="0"/>
            <w:vAlign w:val="center"/>
          </w:tcPr>
          <w:p>
            <w:pPr>
              <w:tabs>
                <w:tab w:val="left" w:pos="720"/>
              </w:tabs>
              <w:snapToGrid w:val="0"/>
              <w:spacing w:line="276" w:lineRule="auto"/>
              <w:jc w:val="center"/>
              <w:rPr>
                <w:rFonts w:ascii="宋体" w:hAnsi="宋体"/>
                <w:color w:val="auto"/>
                <w:sz w:val="18"/>
                <w:szCs w:val="18"/>
                <w:highlight w:val="none"/>
              </w:rPr>
            </w:pPr>
          </w:p>
        </w:tc>
        <w:tc>
          <w:tcPr>
            <w:tcW w:w="762" w:type="dxa"/>
            <w:noWrap w:val="0"/>
            <w:vAlign w:val="center"/>
          </w:tcPr>
          <w:p>
            <w:pPr>
              <w:tabs>
                <w:tab w:val="left" w:pos="720"/>
              </w:tabs>
              <w:snapToGrid w:val="0"/>
              <w:spacing w:line="276" w:lineRule="auto"/>
              <w:jc w:val="center"/>
              <w:rPr>
                <w:rFonts w:ascii="宋体" w:hAnsi="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426" w:type="dxa"/>
            <w:noWrap w:val="0"/>
            <w:vAlign w:val="center"/>
          </w:tcPr>
          <w:p>
            <w:pPr>
              <w:tabs>
                <w:tab w:val="left" w:pos="720"/>
              </w:tabs>
              <w:snapToGrid w:val="0"/>
              <w:spacing w:line="276" w:lineRule="auto"/>
              <w:jc w:val="center"/>
              <w:rPr>
                <w:rFonts w:ascii="宋体" w:hAnsi="宋体"/>
                <w:color w:val="auto"/>
                <w:sz w:val="20"/>
                <w:szCs w:val="20"/>
                <w:highlight w:val="none"/>
              </w:rPr>
            </w:pPr>
            <w:r>
              <w:rPr>
                <w:rFonts w:hint="eastAsia" w:ascii="宋体" w:hAnsi="宋体"/>
                <w:color w:val="auto"/>
                <w:sz w:val="20"/>
                <w:szCs w:val="20"/>
                <w:highlight w:val="none"/>
              </w:rPr>
              <w:t>6</w:t>
            </w:r>
          </w:p>
        </w:tc>
        <w:tc>
          <w:tcPr>
            <w:tcW w:w="4927" w:type="dxa"/>
            <w:noWrap w:val="0"/>
            <w:vAlign w:val="center"/>
          </w:tcPr>
          <w:p>
            <w:pPr>
              <w:tabs>
                <w:tab w:val="left" w:pos="720"/>
              </w:tabs>
              <w:snapToGrid w:val="0"/>
              <w:spacing w:line="276" w:lineRule="auto"/>
              <w:rPr>
                <w:rFonts w:ascii="宋体" w:hAnsi="宋体" w:cs="宋体"/>
                <w:color w:val="auto"/>
                <w:sz w:val="20"/>
                <w:szCs w:val="20"/>
                <w:highlight w:val="none"/>
              </w:rPr>
            </w:pPr>
            <w:r>
              <w:rPr>
                <w:rFonts w:hint="eastAsia" w:ascii="宋体" w:hAnsi="宋体" w:cs="宋体"/>
                <w:color w:val="auto"/>
                <w:sz w:val="20"/>
                <w:szCs w:val="20"/>
                <w:highlight w:val="none"/>
              </w:rPr>
              <w:t>投标保证金：符合第二章“投标人须知”第3.4.1规定；</w:t>
            </w:r>
          </w:p>
        </w:tc>
        <w:tc>
          <w:tcPr>
            <w:tcW w:w="761" w:type="dxa"/>
            <w:noWrap w:val="0"/>
            <w:vAlign w:val="center"/>
          </w:tcPr>
          <w:p>
            <w:pPr>
              <w:tabs>
                <w:tab w:val="left" w:pos="720"/>
              </w:tabs>
              <w:snapToGrid w:val="0"/>
              <w:spacing w:line="276" w:lineRule="auto"/>
              <w:jc w:val="center"/>
              <w:rPr>
                <w:rFonts w:ascii="宋体" w:hAnsi="宋体"/>
                <w:color w:val="auto"/>
                <w:sz w:val="18"/>
                <w:szCs w:val="18"/>
                <w:highlight w:val="none"/>
              </w:rPr>
            </w:pPr>
          </w:p>
        </w:tc>
        <w:tc>
          <w:tcPr>
            <w:tcW w:w="762" w:type="dxa"/>
            <w:noWrap w:val="0"/>
            <w:vAlign w:val="center"/>
          </w:tcPr>
          <w:p>
            <w:pPr>
              <w:tabs>
                <w:tab w:val="left" w:pos="720"/>
              </w:tabs>
              <w:snapToGrid w:val="0"/>
              <w:spacing w:line="276" w:lineRule="auto"/>
              <w:jc w:val="center"/>
              <w:rPr>
                <w:rFonts w:ascii="宋体" w:hAnsi="宋体"/>
                <w:color w:val="auto"/>
                <w:sz w:val="18"/>
                <w:szCs w:val="18"/>
                <w:highlight w:val="none"/>
              </w:rPr>
            </w:pPr>
          </w:p>
        </w:tc>
        <w:tc>
          <w:tcPr>
            <w:tcW w:w="762" w:type="dxa"/>
            <w:noWrap w:val="0"/>
            <w:vAlign w:val="center"/>
          </w:tcPr>
          <w:p>
            <w:pPr>
              <w:tabs>
                <w:tab w:val="left" w:pos="720"/>
              </w:tabs>
              <w:snapToGrid w:val="0"/>
              <w:spacing w:line="276" w:lineRule="auto"/>
              <w:jc w:val="center"/>
              <w:rPr>
                <w:rFonts w:ascii="宋体" w:hAnsi="宋体"/>
                <w:color w:val="auto"/>
                <w:sz w:val="18"/>
                <w:szCs w:val="18"/>
                <w:highlight w:val="none"/>
              </w:rPr>
            </w:pPr>
          </w:p>
        </w:tc>
        <w:tc>
          <w:tcPr>
            <w:tcW w:w="762" w:type="dxa"/>
            <w:noWrap w:val="0"/>
            <w:vAlign w:val="center"/>
          </w:tcPr>
          <w:p>
            <w:pPr>
              <w:tabs>
                <w:tab w:val="left" w:pos="720"/>
              </w:tabs>
              <w:snapToGrid w:val="0"/>
              <w:spacing w:line="276" w:lineRule="auto"/>
              <w:jc w:val="center"/>
              <w:rPr>
                <w:rFonts w:ascii="宋体" w:hAnsi="宋体"/>
                <w:color w:val="auto"/>
                <w:sz w:val="18"/>
                <w:szCs w:val="18"/>
                <w:highlight w:val="none"/>
              </w:rPr>
            </w:pPr>
          </w:p>
        </w:tc>
        <w:tc>
          <w:tcPr>
            <w:tcW w:w="762" w:type="dxa"/>
            <w:noWrap w:val="0"/>
            <w:vAlign w:val="center"/>
          </w:tcPr>
          <w:p>
            <w:pPr>
              <w:tabs>
                <w:tab w:val="left" w:pos="720"/>
              </w:tabs>
              <w:snapToGrid w:val="0"/>
              <w:spacing w:line="276" w:lineRule="auto"/>
              <w:jc w:val="center"/>
              <w:rPr>
                <w:rFonts w:ascii="宋体" w:hAnsi="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26" w:type="dxa"/>
            <w:noWrap w:val="0"/>
            <w:vAlign w:val="center"/>
          </w:tcPr>
          <w:p>
            <w:pPr>
              <w:tabs>
                <w:tab w:val="left" w:pos="720"/>
              </w:tabs>
              <w:snapToGrid w:val="0"/>
              <w:spacing w:line="276" w:lineRule="auto"/>
              <w:jc w:val="center"/>
              <w:rPr>
                <w:rFonts w:ascii="宋体" w:hAnsi="宋体"/>
                <w:color w:val="auto"/>
                <w:sz w:val="20"/>
                <w:szCs w:val="20"/>
                <w:highlight w:val="none"/>
              </w:rPr>
            </w:pPr>
            <w:r>
              <w:rPr>
                <w:rFonts w:hint="eastAsia" w:ascii="宋体" w:hAnsi="宋体"/>
                <w:color w:val="auto"/>
                <w:sz w:val="20"/>
                <w:szCs w:val="20"/>
                <w:highlight w:val="none"/>
              </w:rPr>
              <w:t>7</w:t>
            </w:r>
          </w:p>
        </w:tc>
        <w:tc>
          <w:tcPr>
            <w:tcW w:w="4927" w:type="dxa"/>
            <w:noWrap w:val="0"/>
            <w:vAlign w:val="center"/>
          </w:tcPr>
          <w:p>
            <w:pPr>
              <w:tabs>
                <w:tab w:val="left" w:pos="720"/>
              </w:tabs>
              <w:snapToGrid w:val="0"/>
              <w:spacing w:line="276" w:lineRule="auto"/>
              <w:rPr>
                <w:rFonts w:ascii="宋体" w:hAnsi="宋体" w:cs="宋体"/>
                <w:color w:val="auto"/>
                <w:sz w:val="20"/>
                <w:szCs w:val="20"/>
                <w:highlight w:val="none"/>
              </w:rPr>
            </w:pPr>
            <w:r>
              <w:rPr>
                <w:rFonts w:hint="eastAsia" w:ascii="宋体" w:hAnsi="宋体" w:cs="宋体"/>
                <w:color w:val="auto"/>
                <w:sz w:val="20"/>
                <w:szCs w:val="20"/>
                <w:highlight w:val="none"/>
              </w:rPr>
              <w:t>串通投标情形：不存在串通投标情形（串通投标情形以《中华人民共和国招标投标法实施条例》的规定为准）；</w:t>
            </w:r>
          </w:p>
        </w:tc>
        <w:tc>
          <w:tcPr>
            <w:tcW w:w="761" w:type="dxa"/>
            <w:noWrap w:val="0"/>
            <w:vAlign w:val="center"/>
          </w:tcPr>
          <w:p>
            <w:pPr>
              <w:tabs>
                <w:tab w:val="left" w:pos="720"/>
              </w:tabs>
              <w:snapToGrid w:val="0"/>
              <w:spacing w:line="276" w:lineRule="auto"/>
              <w:jc w:val="center"/>
              <w:rPr>
                <w:rFonts w:ascii="宋体" w:hAnsi="宋体"/>
                <w:color w:val="auto"/>
                <w:sz w:val="18"/>
                <w:szCs w:val="18"/>
                <w:highlight w:val="none"/>
              </w:rPr>
            </w:pPr>
          </w:p>
        </w:tc>
        <w:tc>
          <w:tcPr>
            <w:tcW w:w="762" w:type="dxa"/>
            <w:noWrap w:val="0"/>
            <w:vAlign w:val="center"/>
          </w:tcPr>
          <w:p>
            <w:pPr>
              <w:tabs>
                <w:tab w:val="left" w:pos="720"/>
              </w:tabs>
              <w:snapToGrid w:val="0"/>
              <w:spacing w:line="276" w:lineRule="auto"/>
              <w:jc w:val="center"/>
              <w:rPr>
                <w:rFonts w:ascii="宋体" w:hAnsi="宋体"/>
                <w:color w:val="auto"/>
                <w:sz w:val="18"/>
                <w:szCs w:val="18"/>
                <w:highlight w:val="none"/>
              </w:rPr>
            </w:pPr>
          </w:p>
        </w:tc>
        <w:tc>
          <w:tcPr>
            <w:tcW w:w="762" w:type="dxa"/>
            <w:noWrap w:val="0"/>
            <w:vAlign w:val="center"/>
          </w:tcPr>
          <w:p>
            <w:pPr>
              <w:tabs>
                <w:tab w:val="left" w:pos="720"/>
              </w:tabs>
              <w:snapToGrid w:val="0"/>
              <w:spacing w:line="276" w:lineRule="auto"/>
              <w:jc w:val="center"/>
              <w:rPr>
                <w:rFonts w:ascii="宋体" w:hAnsi="宋体"/>
                <w:color w:val="auto"/>
                <w:sz w:val="18"/>
                <w:szCs w:val="18"/>
                <w:highlight w:val="none"/>
              </w:rPr>
            </w:pPr>
          </w:p>
        </w:tc>
        <w:tc>
          <w:tcPr>
            <w:tcW w:w="762" w:type="dxa"/>
            <w:noWrap w:val="0"/>
            <w:vAlign w:val="center"/>
          </w:tcPr>
          <w:p>
            <w:pPr>
              <w:tabs>
                <w:tab w:val="left" w:pos="720"/>
              </w:tabs>
              <w:snapToGrid w:val="0"/>
              <w:spacing w:line="276" w:lineRule="auto"/>
              <w:jc w:val="center"/>
              <w:rPr>
                <w:rFonts w:ascii="宋体" w:hAnsi="宋体"/>
                <w:color w:val="auto"/>
                <w:sz w:val="18"/>
                <w:szCs w:val="18"/>
                <w:highlight w:val="none"/>
              </w:rPr>
            </w:pPr>
          </w:p>
        </w:tc>
        <w:tc>
          <w:tcPr>
            <w:tcW w:w="762" w:type="dxa"/>
            <w:noWrap w:val="0"/>
            <w:vAlign w:val="center"/>
          </w:tcPr>
          <w:p>
            <w:pPr>
              <w:tabs>
                <w:tab w:val="left" w:pos="720"/>
              </w:tabs>
              <w:snapToGrid w:val="0"/>
              <w:spacing w:line="276" w:lineRule="auto"/>
              <w:jc w:val="center"/>
              <w:rPr>
                <w:rFonts w:ascii="宋体" w:hAnsi="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426" w:type="dxa"/>
            <w:noWrap w:val="0"/>
            <w:vAlign w:val="center"/>
          </w:tcPr>
          <w:p>
            <w:pPr>
              <w:tabs>
                <w:tab w:val="left" w:pos="720"/>
              </w:tabs>
              <w:snapToGrid w:val="0"/>
              <w:spacing w:line="276" w:lineRule="auto"/>
              <w:jc w:val="center"/>
              <w:rPr>
                <w:rFonts w:ascii="宋体" w:hAnsi="宋体"/>
                <w:color w:val="auto"/>
                <w:sz w:val="20"/>
                <w:szCs w:val="20"/>
                <w:highlight w:val="none"/>
              </w:rPr>
            </w:pPr>
            <w:r>
              <w:rPr>
                <w:rFonts w:hint="eastAsia" w:ascii="宋体" w:hAnsi="宋体"/>
                <w:color w:val="auto"/>
                <w:sz w:val="20"/>
                <w:szCs w:val="20"/>
                <w:highlight w:val="none"/>
              </w:rPr>
              <w:t>结论</w:t>
            </w:r>
          </w:p>
        </w:tc>
        <w:tc>
          <w:tcPr>
            <w:tcW w:w="4927" w:type="dxa"/>
            <w:noWrap w:val="0"/>
            <w:vAlign w:val="center"/>
          </w:tcPr>
          <w:p>
            <w:pPr>
              <w:tabs>
                <w:tab w:val="left" w:pos="720"/>
              </w:tabs>
              <w:snapToGrid w:val="0"/>
              <w:spacing w:line="276" w:lineRule="auto"/>
              <w:rPr>
                <w:rFonts w:ascii="宋体" w:hAnsi="宋体"/>
                <w:color w:val="auto"/>
                <w:sz w:val="20"/>
                <w:szCs w:val="20"/>
                <w:highlight w:val="none"/>
              </w:rPr>
            </w:pPr>
            <w:r>
              <w:rPr>
                <w:rFonts w:hint="eastAsia" w:ascii="宋体" w:hAnsi="宋体"/>
                <w:color w:val="auto"/>
                <w:sz w:val="20"/>
                <w:szCs w:val="20"/>
                <w:highlight w:val="none"/>
              </w:rPr>
              <w:t>是否通过并进入下一阶段评审</w:t>
            </w:r>
          </w:p>
        </w:tc>
        <w:tc>
          <w:tcPr>
            <w:tcW w:w="761" w:type="dxa"/>
            <w:noWrap w:val="0"/>
            <w:vAlign w:val="center"/>
          </w:tcPr>
          <w:p>
            <w:pPr>
              <w:tabs>
                <w:tab w:val="left" w:pos="720"/>
              </w:tabs>
              <w:snapToGrid w:val="0"/>
              <w:spacing w:line="276" w:lineRule="auto"/>
              <w:jc w:val="center"/>
              <w:rPr>
                <w:rFonts w:ascii="宋体" w:hAnsi="宋体"/>
                <w:color w:val="auto"/>
                <w:sz w:val="18"/>
                <w:szCs w:val="18"/>
                <w:highlight w:val="none"/>
              </w:rPr>
            </w:pPr>
          </w:p>
        </w:tc>
        <w:tc>
          <w:tcPr>
            <w:tcW w:w="762" w:type="dxa"/>
            <w:noWrap w:val="0"/>
            <w:vAlign w:val="center"/>
          </w:tcPr>
          <w:p>
            <w:pPr>
              <w:tabs>
                <w:tab w:val="left" w:pos="720"/>
              </w:tabs>
              <w:snapToGrid w:val="0"/>
              <w:spacing w:line="276" w:lineRule="auto"/>
              <w:jc w:val="center"/>
              <w:rPr>
                <w:rFonts w:ascii="宋体" w:hAnsi="宋体"/>
                <w:color w:val="auto"/>
                <w:sz w:val="18"/>
                <w:szCs w:val="18"/>
                <w:highlight w:val="none"/>
              </w:rPr>
            </w:pPr>
          </w:p>
        </w:tc>
        <w:tc>
          <w:tcPr>
            <w:tcW w:w="762" w:type="dxa"/>
            <w:noWrap w:val="0"/>
            <w:vAlign w:val="center"/>
          </w:tcPr>
          <w:p>
            <w:pPr>
              <w:tabs>
                <w:tab w:val="left" w:pos="720"/>
              </w:tabs>
              <w:snapToGrid w:val="0"/>
              <w:spacing w:line="276" w:lineRule="auto"/>
              <w:jc w:val="center"/>
              <w:rPr>
                <w:rFonts w:ascii="宋体" w:hAnsi="宋体"/>
                <w:color w:val="auto"/>
                <w:sz w:val="18"/>
                <w:szCs w:val="18"/>
                <w:highlight w:val="none"/>
              </w:rPr>
            </w:pPr>
          </w:p>
        </w:tc>
        <w:tc>
          <w:tcPr>
            <w:tcW w:w="762" w:type="dxa"/>
            <w:noWrap w:val="0"/>
            <w:vAlign w:val="center"/>
          </w:tcPr>
          <w:p>
            <w:pPr>
              <w:tabs>
                <w:tab w:val="left" w:pos="720"/>
              </w:tabs>
              <w:snapToGrid w:val="0"/>
              <w:spacing w:line="276" w:lineRule="auto"/>
              <w:jc w:val="center"/>
              <w:rPr>
                <w:rFonts w:ascii="宋体" w:hAnsi="宋体"/>
                <w:color w:val="auto"/>
                <w:sz w:val="18"/>
                <w:szCs w:val="18"/>
                <w:highlight w:val="none"/>
              </w:rPr>
            </w:pPr>
          </w:p>
        </w:tc>
        <w:tc>
          <w:tcPr>
            <w:tcW w:w="762" w:type="dxa"/>
            <w:noWrap w:val="0"/>
            <w:vAlign w:val="center"/>
          </w:tcPr>
          <w:p>
            <w:pPr>
              <w:tabs>
                <w:tab w:val="left" w:pos="720"/>
              </w:tabs>
              <w:snapToGrid w:val="0"/>
              <w:spacing w:line="276" w:lineRule="auto"/>
              <w:jc w:val="center"/>
              <w:rPr>
                <w:rFonts w:ascii="宋体" w:hAnsi="宋体"/>
                <w:color w:val="auto"/>
                <w:sz w:val="18"/>
                <w:szCs w:val="18"/>
                <w:highlight w:val="none"/>
              </w:rPr>
            </w:pPr>
          </w:p>
        </w:tc>
      </w:tr>
    </w:tbl>
    <w:p>
      <w:pPr>
        <w:pStyle w:val="5"/>
        <w:ind w:firstLine="281" w:firstLineChars="100"/>
        <w:rPr>
          <w:color w:val="auto"/>
          <w:highlight w:val="none"/>
        </w:rPr>
      </w:pPr>
      <w:r>
        <w:rPr>
          <w:rFonts w:hint="eastAsia"/>
          <w:color w:val="auto"/>
          <w:highlight w:val="none"/>
        </w:rPr>
        <w:br w:type="page"/>
      </w:r>
      <w:bookmarkStart w:id="109" w:name="_Toc103592024"/>
      <w:bookmarkStart w:id="110" w:name="_Toc9017"/>
      <w:bookmarkStart w:id="111" w:name="_Toc2105"/>
      <w:bookmarkStart w:id="112" w:name="_Toc27817"/>
      <w:bookmarkStart w:id="113" w:name="_Toc19098"/>
      <w:bookmarkStart w:id="114" w:name="_Toc25168"/>
      <w:r>
        <w:rPr>
          <w:rFonts w:hint="eastAsia"/>
          <w:color w:val="auto"/>
          <w:highlight w:val="none"/>
        </w:rPr>
        <w:t>附表四：综合评分表</w:t>
      </w:r>
      <w:bookmarkEnd w:id="109"/>
      <w:bookmarkEnd w:id="110"/>
      <w:bookmarkEnd w:id="111"/>
      <w:bookmarkEnd w:id="112"/>
      <w:bookmarkEnd w:id="113"/>
      <w:bookmarkEnd w:id="114"/>
    </w:p>
    <w:p>
      <w:pPr>
        <w:spacing w:line="360" w:lineRule="auto"/>
        <w:jc w:val="center"/>
        <w:rPr>
          <w:rFonts w:ascii="宋体" w:cs="宋体"/>
          <w:b/>
          <w:bCs/>
          <w:color w:val="auto"/>
          <w:sz w:val="28"/>
          <w:szCs w:val="28"/>
        </w:rPr>
      </w:pPr>
      <w:r>
        <w:rPr>
          <w:rFonts w:hint="eastAsia" w:ascii="宋体" w:cs="宋体"/>
          <w:b/>
          <w:bCs/>
          <w:color w:val="auto"/>
          <w:sz w:val="28"/>
          <w:szCs w:val="28"/>
        </w:rPr>
        <w:t>综合评分表</w:t>
      </w:r>
    </w:p>
    <w:tbl>
      <w:tblPr>
        <w:tblStyle w:val="29"/>
        <w:tblW w:w="9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8"/>
        <w:gridCol w:w="1018"/>
        <w:gridCol w:w="1334"/>
        <w:gridCol w:w="5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jc w:val="center"/>
        </w:trPr>
        <w:tc>
          <w:tcPr>
            <w:tcW w:w="1348" w:type="dxa"/>
            <w:vMerge w:val="restart"/>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jc w:val="center"/>
              <w:rPr>
                <w:rFonts w:ascii="宋体"/>
                <w:color w:val="auto"/>
                <w:szCs w:val="21"/>
              </w:rPr>
            </w:pPr>
          </w:p>
          <w:p>
            <w:pPr>
              <w:jc w:val="center"/>
              <w:rPr>
                <w:rFonts w:ascii="宋体"/>
                <w:color w:val="auto"/>
                <w:szCs w:val="21"/>
              </w:rPr>
            </w:pPr>
          </w:p>
          <w:p>
            <w:pPr>
              <w:jc w:val="center"/>
              <w:rPr>
                <w:rFonts w:ascii="宋体"/>
                <w:color w:val="auto"/>
                <w:szCs w:val="21"/>
              </w:rPr>
            </w:pPr>
          </w:p>
          <w:p>
            <w:pPr>
              <w:jc w:val="center"/>
              <w:rPr>
                <w:rFonts w:ascii="宋体"/>
                <w:color w:val="auto"/>
                <w:szCs w:val="21"/>
              </w:rPr>
            </w:pPr>
          </w:p>
          <w:p>
            <w:pPr>
              <w:jc w:val="center"/>
              <w:rPr>
                <w:rFonts w:ascii="宋体"/>
                <w:color w:val="auto"/>
                <w:szCs w:val="21"/>
              </w:rPr>
            </w:pPr>
          </w:p>
          <w:p>
            <w:pPr>
              <w:jc w:val="center"/>
              <w:rPr>
                <w:rFonts w:ascii="宋体"/>
                <w:color w:val="auto"/>
                <w:szCs w:val="21"/>
              </w:rPr>
            </w:pPr>
          </w:p>
          <w:p>
            <w:pPr>
              <w:ind w:left="181" w:right="-20"/>
              <w:jc w:val="center"/>
              <w:rPr>
                <w:rFonts w:ascii="宋体" w:cs="宋体"/>
                <w:color w:val="auto"/>
                <w:szCs w:val="21"/>
              </w:rPr>
            </w:pPr>
          </w:p>
          <w:p>
            <w:pPr>
              <w:jc w:val="center"/>
              <w:rPr>
                <w:rFonts w:ascii="宋体"/>
                <w:color w:val="auto"/>
                <w:szCs w:val="21"/>
              </w:rPr>
            </w:pPr>
          </w:p>
          <w:p>
            <w:pPr>
              <w:jc w:val="center"/>
              <w:rPr>
                <w:rFonts w:ascii="宋体"/>
                <w:color w:val="auto"/>
                <w:szCs w:val="21"/>
              </w:rPr>
            </w:pPr>
          </w:p>
          <w:p>
            <w:pPr>
              <w:jc w:val="center"/>
              <w:rPr>
                <w:rFonts w:ascii="宋体"/>
                <w:color w:val="auto"/>
                <w:szCs w:val="21"/>
              </w:rPr>
            </w:pPr>
          </w:p>
          <w:p>
            <w:pPr>
              <w:jc w:val="center"/>
              <w:rPr>
                <w:rFonts w:ascii="宋体"/>
                <w:color w:val="auto"/>
                <w:szCs w:val="21"/>
              </w:rPr>
            </w:pPr>
          </w:p>
          <w:p>
            <w:pPr>
              <w:jc w:val="center"/>
              <w:rPr>
                <w:rFonts w:ascii="宋体"/>
                <w:color w:val="auto"/>
                <w:szCs w:val="21"/>
              </w:rPr>
            </w:pPr>
          </w:p>
          <w:p>
            <w:pPr>
              <w:jc w:val="center"/>
              <w:rPr>
                <w:rFonts w:ascii="宋体"/>
                <w:color w:val="auto"/>
                <w:szCs w:val="21"/>
              </w:rPr>
            </w:pPr>
          </w:p>
          <w:p>
            <w:pPr>
              <w:ind w:left="136" w:right="59"/>
              <w:jc w:val="center"/>
              <w:rPr>
                <w:rFonts w:ascii="宋体" w:cs="宋体"/>
                <w:color w:val="auto"/>
                <w:szCs w:val="21"/>
              </w:rPr>
            </w:pPr>
            <w:r>
              <w:rPr>
                <w:rFonts w:hint="eastAsia" w:ascii="宋体"/>
                <w:b/>
                <w:color w:val="auto"/>
                <w:szCs w:val="21"/>
              </w:rPr>
              <w:t>企业综合实力部分</w:t>
            </w:r>
            <w:r>
              <w:rPr>
                <w:rFonts w:hint="eastAsia" w:ascii="宋体" w:hAnsi="宋体" w:eastAsia="Calibri"/>
                <w:b/>
                <w:color w:val="auto"/>
                <w:szCs w:val="21"/>
              </w:rPr>
              <w:t>评分标准</w:t>
            </w:r>
            <w:r>
              <w:rPr>
                <w:rFonts w:hint="eastAsia" w:ascii="宋体"/>
                <w:b/>
                <w:bCs/>
                <w:color w:val="auto"/>
                <w:szCs w:val="21"/>
              </w:rPr>
              <w:t>（6</w:t>
            </w:r>
            <w:r>
              <w:rPr>
                <w:rFonts w:hint="eastAsia" w:ascii="宋体"/>
                <w:b/>
                <w:bCs/>
                <w:color w:val="auto"/>
                <w:szCs w:val="21"/>
                <w:lang w:val="en-US" w:eastAsia="zh-CN"/>
              </w:rPr>
              <w:t>5</w:t>
            </w:r>
            <w:r>
              <w:rPr>
                <w:rFonts w:hint="eastAsia" w:ascii="宋体"/>
                <w:b/>
                <w:bCs/>
                <w:color w:val="auto"/>
                <w:szCs w:val="21"/>
              </w:rPr>
              <w:t>分）</w:t>
            </w:r>
          </w:p>
        </w:tc>
        <w:tc>
          <w:tcPr>
            <w:tcW w:w="2352" w:type="dxa"/>
            <w:gridSpan w:val="2"/>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jc w:val="center"/>
              <w:rPr>
                <w:rFonts w:ascii="宋体"/>
                <w:color w:val="auto"/>
                <w:szCs w:val="21"/>
              </w:rPr>
            </w:pPr>
            <w:r>
              <w:rPr>
                <w:rFonts w:hint="eastAsia" w:ascii="宋体"/>
                <w:color w:val="auto"/>
                <w:szCs w:val="21"/>
              </w:rPr>
              <w:t>类似</w:t>
            </w:r>
            <w:r>
              <w:rPr>
                <w:rFonts w:hint="eastAsia" w:ascii="宋体"/>
                <w:color w:val="auto"/>
                <w:szCs w:val="21"/>
                <w:lang w:val="en-US" w:eastAsia="zh-CN"/>
              </w:rPr>
              <w:t>项目</w:t>
            </w:r>
            <w:r>
              <w:rPr>
                <w:rFonts w:hint="eastAsia" w:ascii="宋体"/>
                <w:color w:val="auto"/>
                <w:szCs w:val="21"/>
              </w:rPr>
              <w:t>业绩</w:t>
            </w:r>
          </w:p>
          <w:p>
            <w:pPr>
              <w:jc w:val="center"/>
              <w:rPr>
                <w:rFonts w:ascii="宋体" w:cs="宋体"/>
                <w:color w:val="auto"/>
                <w:szCs w:val="21"/>
              </w:rPr>
            </w:pPr>
            <w:r>
              <w:rPr>
                <w:rFonts w:hint="eastAsia" w:ascii="宋体"/>
                <w:color w:val="auto"/>
                <w:szCs w:val="21"/>
              </w:rPr>
              <w:t>（</w:t>
            </w:r>
            <w:r>
              <w:rPr>
                <w:rFonts w:hint="eastAsia" w:ascii="宋体"/>
                <w:color w:val="auto"/>
                <w:szCs w:val="21"/>
                <w:lang w:val="en-US" w:eastAsia="zh-CN"/>
              </w:rPr>
              <w:t>10</w:t>
            </w:r>
            <w:r>
              <w:rPr>
                <w:rFonts w:hint="eastAsia" w:ascii="宋体"/>
                <w:color w:val="auto"/>
                <w:szCs w:val="21"/>
              </w:rPr>
              <w:t>分）</w:t>
            </w:r>
          </w:p>
        </w:tc>
        <w:tc>
          <w:tcPr>
            <w:tcW w:w="580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宋体" w:cs="宋体"/>
                <w:iCs/>
                <w:color w:val="auto"/>
                <w:szCs w:val="21"/>
              </w:rPr>
            </w:pPr>
            <w:r>
              <w:rPr>
                <w:rFonts w:hint="eastAsia" w:ascii="宋体" w:cs="宋体"/>
                <w:iCs/>
                <w:color w:val="auto"/>
                <w:szCs w:val="21"/>
              </w:rPr>
              <w:t>投标人自2020年1月1日至今承接过单个合同</w:t>
            </w:r>
            <w:r>
              <w:rPr>
                <w:rFonts w:hint="eastAsia" w:ascii="宋体" w:cs="宋体"/>
                <w:iCs/>
                <w:color w:val="auto"/>
                <w:szCs w:val="21"/>
                <w:highlight w:val="none"/>
              </w:rPr>
              <w:t>金额</w:t>
            </w:r>
            <w:r>
              <w:rPr>
                <w:rFonts w:hint="eastAsia" w:ascii="宋体" w:cs="宋体"/>
                <w:iCs/>
                <w:color w:val="auto"/>
                <w:szCs w:val="21"/>
                <w:highlight w:val="none"/>
                <w:lang w:val="en-US" w:eastAsia="zh-CN"/>
              </w:rPr>
              <w:t>230</w:t>
            </w:r>
            <w:r>
              <w:rPr>
                <w:rFonts w:hint="eastAsia" w:ascii="宋体" w:cs="宋体"/>
                <w:iCs/>
                <w:color w:val="auto"/>
                <w:szCs w:val="21"/>
                <w:highlight w:val="none"/>
              </w:rPr>
              <w:t>万</w:t>
            </w:r>
            <w:r>
              <w:rPr>
                <w:rFonts w:hint="eastAsia" w:ascii="宋体" w:cs="宋体"/>
                <w:iCs/>
                <w:color w:val="auto"/>
                <w:szCs w:val="21"/>
              </w:rPr>
              <w:t>元或以上的类似检测</w:t>
            </w:r>
            <w:r>
              <w:rPr>
                <w:rFonts w:hint="eastAsia" w:ascii="宋体" w:cs="宋体"/>
                <w:iCs/>
                <w:color w:val="auto"/>
                <w:szCs w:val="21"/>
                <w:lang w:val="en-US" w:eastAsia="zh-CN"/>
              </w:rPr>
              <w:t>或</w:t>
            </w:r>
            <w:r>
              <w:rPr>
                <w:rFonts w:hint="eastAsia" w:ascii="宋体" w:cs="宋体"/>
                <w:iCs/>
                <w:color w:val="auto"/>
                <w:szCs w:val="21"/>
              </w:rPr>
              <w:t>监测业绩。每项2分，本项最多</w:t>
            </w:r>
            <w:r>
              <w:rPr>
                <w:rFonts w:hint="eastAsia" w:ascii="宋体" w:cs="宋体"/>
                <w:iCs/>
                <w:color w:val="auto"/>
                <w:szCs w:val="21"/>
                <w:lang w:val="en-US" w:eastAsia="zh-CN"/>
              </w:rPr>
              <w:t>10</w:t>
            </w:r>
            <w:r>
              <w:rPr>
                <w:rFonts w:hint="eastAsia" w:ascii="宋体" w:cs="宋体"/>
                <w:iCs/>
                <w:color w:val="auto"/>
                <w:szCs w:val="21"/>
              </w:rPr>
              <w:t>分。</w:t>
            </w:r>
          </w:p>
          <w:p>
            <w:pPr>
              <w:spacing w:line="360" w:lineRule="exact"/>
              <w:rPr>
                <w:rFonts w:ascii="宋体"/>
                <w:b/>
                <w:color w:val="auto"/>
              </w:rPr>
            </w:pPr>
            <w:r>
              <w:rPr>
                <w:rFonts w:hint="eastAsia" w:ascii="宋体" w:hAnsi="宋体" w:cs="宋体"/>
                <w:iCs/>
                <w:szCs w:val="21"/>
              </w:rPr>
              <w:t>注：类似检测或监测业绩是指包含本次招标内容中的一项或多项的建设工程质量检测或监测业绩。需提供中标通知书（或免招标证明）、服务合同关键页、检测报告(最少提供一份检测报告）等清晰的证明材料扫描件。业绩时间以合同签订时间为准、金额以中标通知书为准（免招标的项目以合同金额为准）。上述证明材料均需加盖投标人公章，不提供或不齐全均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348"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tc>
        <w:tc>
          <w:tcPr>
            <w:tcW w:w="2352" w:type="dxa"/>
            <w:gridSpan w:val="2"/>
            <w:vMerge w:val="restart"/>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jc w:val="center"/>
              <w:rPr>
                <w:rFonts w:ascii="宋体"/>
                <w:color w:val="auto"/>
                <w:szCs w:val="21"/>
              </w:rPr>
            </w:pPr>
            <w:r>
              <w:rPr>
                <w:rFonts w:hint="eastAsia" w:ascii="宋体"/>
                <w:color w:val="auto"/>
                <w:szCs w:val="21"/>
              </w:rPr>
              <w:t>投标人信誉及综合实力</w:t>
            </w:r>
          </w:p>
          <w:p>
            <w:pPr>
              <w:jc w:val="center"/>
              <w:rPr>
                <w:rFonts w:ascii="宋体"/>
                <w:color w:val="auto"/>
                <w:szCs w:val="21"/>
              </w:rPr>
            </w:pPr>
            <w:r>
              <w:rPr>
                <w:rFonts w:hint="eastAsia" w:ascii="宋体"/>
                <w:color w:val="auto"/>
                <w:szCs w:val="21"/>
              </w:rPr>
              <w:t>（17分）</w:t>
            </w:r>
          </w:p>
        </w:tc>
        <w:tc>
          <w:tcPr>
            <w:tcW w:w="580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snapToGrid w:val="0"/>
              <w:spacing w:line="276"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投标人自20</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年1月1日至今承担的类似</w:t>
            </w:r>
            <w:r>
              <w:rPr>
                <w:rFonts w:hint="eastAsia" w:ascii="宋体" w:hAnsi="宋体" w:eastAsia="宋体" w:cs="宋体"/>
                <w:color w:val="auto"/>
                <w:sz w:val="21"/>
                <w:szCs w:val="21"/>
                <w:highlight w:val="none"/>
                <w:lang w:val="en-US" w:eastAsia="zh-CN"/>
              </w:rPr>
              <w:t>检测或</w:t>
            </w:r>
            <w:r>
              <w:rPr>
                <w:rFonts w:hint="eastAsia" w:ascii="宋体" w:hAnsi="宋体" w:eastAsia="宋体" w:cs="宋体"/>
                <w:color w:val="auto"/>
                <w:sz w:val="21"/>
                <w:szCs w:val="21"/>
                <w:highlight w:val="none"/>
              </w:rPr>
              <w:t>监测项目获得国家级奖项的，每项得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分；获得省级奖项的，每项得1分；获得市级奖项的，每项得0.5分。</w:t>
            </w:r>
            <w:r>
              <w:rPr>
                <w:rFonts w:hint="eastAsia" w:ascii="宋体" w:hAnsi="宋体" w:eastAsia="宋体" w:cs="宋体"/>
                <w:color w:val="auto"/>
                <w:sz w:val="21"/>
                <w:szCs w:val="21"/>
                <w:highlight w:val="none"/>
                <w:lang w:val="en-US" w:eastAsia="zh-CN"/>
              </w:rPr>
              <w:t>以上奖项最多计2项，</w:t>
            </w:r>
            <w:r>
              <w:rPr>
                <w:rFonts w:hint="eastAsia" w:ascii="宋体" w:hAnsi="宋体" w:eastAsia="宋体" w:cs="宋体"/>
                <w:color w:val="auto"/>
                <w:sz w:val="21"/>
                <w:szCs w:val="21"/>
                <w:highlight w:val="none"/>
              </w:rPr>
              <w:t>最</w:t>
            </w:r>
            <w:r>
              <w:rPr>
                <w:rFonts w:hint="eastAsia" w:ascii="宋体" w:hAnsi="宋体" w:eastAsia="宋体" w:cs="宋体"/>
                <w:color w:val="auto"/>
                <w:sz w:val="21"/>
                <w:szCs w:val="21"/>
                <w:highlight w:val="none"/>
                <w:lang w:val="en-US" w:eastAsia="zh-CN"/>
              </w:rPr>
              <w:t>多</w:t>
            </w:r>
            <w:r>
              <w:rPr>
                <w:rFonts w:hint="eastAsia" w:ascii="宋体" w:hAnsi="宋体" w:eastAsia="宋体" w:cs="宋体"/>
                <w:color w:val="auto"/>
                <w:sz w:val="21"/>
                <w:szCs w:val="21"/>
                <w:highlight w:val="none"/>
              </w:rPr>
              <w:t>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pPr>
              <w:pStyle w:val="27"/>
              <w:pageBreakBefore w:val="0"/>
              <w:kinsoku/>
              <w:wordWrap/>
              <w:overflowPunct/>
              <w:bidi w:val="0"/>
              <w:snapToGrid w:val="0"/>
              <w:spacing w:line="276" w:lineRule="auto"/>
              <w:ind w:firstLine="0" w:firstLineChars="0"/>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rPr>
              <w:t>注：需提供证明材料扫描件并加盖公章，</w:t>
            </w:r>
            <w:r>
              <w:rPr>
                <w:rFonts w:hint="eastAsia" w:ascii="宋体" w:hAnsi="宋体" w:eastAsia="宋体" w:cs="宋体"/>
                <w:color w:val="auto"/>
                <w:sz w:val="21"/>
                <w:szCs w:val="21"/>
                <w:highlight w:val="none"/>
                <w:lang w:val="en-US" w:eastAsia="zh-CN"/>
              </w:rPr>
              <w:t>时间以获奖证书为准，</w:t>
            </w:r>
            <w:r>
              <w:rPr>
                <w:rFonts w:hint="eastAsia" w:ascii="宋体" w:hAnsi="宋体" w:eastAsia="宋体" w:cs="宋体"/>
                <w:color w:val="auto"/>
                <w:sz w:val="21"/>
                <w:szCs w:val="21"/>
                <w:highlight w:val="none"/>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348"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tc>
        <w:tc>
          <w:tcPr>
            <w:tcW w:w="2352" w:type="dxa"/>
            <w:gridSpan w:val="2"/>
            <w:vMerge w:val="continue"/>
            <w:tcBorders>
              <w:left w:val="single" w:color="auto" w:sz="4" w:space="0"/>
              <w:right w:val="single" w:color="auto" w:sz="4" w:space="0"/>
            </w:tcBorders>
            <w:noWrap w:val="0"/>
            <w:tcMar>
              <w:left w:w="57" w:type="dxa"/>
              <w:right w:w="57" w:type="dxa"/>
            </w:tcMar>
            <w:vAlign w:val="center"/>
          </w:tcPr>
          <w:p>
            <w:pPr>
              <w:jc w:val="center"/>
              <w:rPr>
                <w:rFonts w:hint="eastAsia" w:ascii="宋体"/>
                <w:color w:val="auto"/>
                <w:szCs w:val="21"/>
              </w:rPr>
            </w:pPr>
          </w:p>
        </w:tc>
        <w:tc>
          <w:tcPr>
            <w:tcW w:w="5805" w:type="dxa"/>
            <w:tcBorders>
              <w:top w:val="single" w:color="auto" w:sz="4" w:space="0"/>
              <w:left w:val="single" w:color="auto" w:sz="4" w:space="0"/>
              <w:bottom w:val="single" w:color="auto" w:sz="4" w:space="0"/>
              <w:right w:val="single" w:color="auto" w:sz="4" w:space="0"/>
            </w:tcBorders>
            <w:noWrap w:val="0"/>
            <w:vAlign w:val="center"/>
          </w:tcPr>
          <w:p>
            <w:pPr>
              <w:pStyle w:val="27"/>
              <w:pageBreakBefore w:val="0"/>
              <w:kinsoku/>
              <w:wordWrap/>
              <w:overflowPunct/>
              <w:bidi w:val="0"/>
              <w:snapToGrid w:val="0"/>
              <w:spacing w:line="276"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投标人参与过编写</w:t>
            </w:r>
            <w:r>
              <w:rPr>
                <w:rFonts w:hint="eastAsia" w:ascii="宋体" w:hAnsi="宋体" w:cs="宋体"/>
                <w:color w:val="auto"/>
                <w:sz w:val="21"/>
                <w:szCs w:val="21"/>
                <w:highlight w:val="none"/>
                <w:lang w:val="en-US" w:eastAsia="zh-CN"/>
              </w:rPr>
              <w:t>检测或</w:t>
            </w:r>
            <w:r>
              <w:rPr>
                <w:rFonts w:hint="eastAsia" w:ascii="宋体" w:hAnsi="宋体" w:eastAsia="宋体" w:cs="宋体"/>
                <w:color w:val="auto"/>
                <w:sz w:val="21"/>
                <w:szCs w:val="21"/>
                <w:highlight w:val="none"/>
              </w:rPr>
              <w:t>监测测量相关的国标或者行业标准的情况，参编或主持一项得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分，最</w:t>
            </w:r>
            <w:r>
              <w:rPr>
                <w:rFonts w:hint="eastAsia" w:ascii="宋体" w:hAnsi="宋体" w:eastAsia="宋体" w:cs="宋体"/>
                <w:color w:val="auto"/>
                <w:sz w:val="21"/>
                <w:szCs w:val="21"/>
                <w:highlight w:val="none"/>
                <w:lang w:val="en-US" w:eastAsia="zh-CN"/>
              </w:rPr>
              <w:t>多</w:t>
            </w:r>
            <w:r>
              <w:rPr>
                <w:rFonts w:hint="eastAsia" w:ascii="宋体" w:hAnsi="宋体" w:eastAsia="宋体" w:cs="宋体"/>
                <w:color w:val="auto"/>
                <w:sz w:val="21"/>
                <w:szCs w:val="21"/>
                <w:highlight w:val="none"/>
              </w:rPr>
              <w:t>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pPr>
              <w:pStyle w:val="27"/>
              <w:pageBreakBefore w:val="0"/>
              <w:kinsoku/>
              <w:wordWrap/>
              <w:overflowPunct/>
              <w:bidi w:val="0"/>
              <w:snapToGrid w:val="0"/>
              <w:spacing w:line="276" w:lineRule="auto"/>
              <w:ind w:firstLine="0" w:firstLineChars="0"/>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rPr>
              <w:t>注：投标人须提供规范中能够体现投标人作为主编单位或参编单位的关键页（时间以公告日为准）扫描件并加盖公章，不提供不得分。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348"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tc>
        <w:tc>
          <w:tcPr>
            <w:tcW w:w="2352" w:type="dxa"/>
            <w:gridSpan w:val="2"/>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tc>
        <w:tc>
          <w:tcPr>
            <w:tcW w:w="580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snapToGrid w:val="0"/>
              <w:spacing w:line="276"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投标人具有质量管理体系、环境管理体系、职业健康安全管理体系、信息安全管理体系、知识产权管理体系认证且在有效期内的，</w:t>
            </w:r>
            <w:r>
              <w:rPr>
                <w:rFonts w:hint="eastAsia" w:ascii="宋体" w:hAnsi="宋体" w:cs="宋体"/>
                <w:color w:val="auto"/>
                <w:sz w:val="21"/>
                <w:szCs w:val="21"/>
                <w:highlight w:val="none"/>
                <w:lang w:val="en-US" w:eastAsia="zh-CN"/>
              </w:rPr>
              <w:t>全部齐全</w:t>
            </w:r>
            <w:r>
              <w:rPr>
                <w:rFonts w:hint="eastAsia" w:ascii="宋体" w:hAnsi="宋体" w:eastAsia="宋体" w:cs="宋体"/>
                <w:color w:val="auto"/>
                <w:sz w:val="21"/>
                <w:szCs w:val="21"/>
                <w:highlight w:val="none"/>
              </w:rPr>
              <w:t>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每缺少一项减1分，扣完为止</w:t>
            </w:r>
            <w:r>
              <w:rPr>
                <w:rFonts w:hint="eastAsia" w:ascii="宋体" w:hAnsi="宋体" w:eastAsia="宋体" w:cs="宋体"/>
                <w:color w:val="auto"/>
                <w:sz w:val="21"/>
                <w:szCs w:val="21"/>
                <w:highlight w:val="none"/>
                <w:lang w:eastAsia="zh-CN"/>
              </w:rPr>
              <w:t>。</w:t>
            </w:r>
          </w:p>
          <w:p>
            <w:pPr>
              <w:pageBreakBefore w:val="0"/>
              <w:kinsoku/>
              <w:wordWrap/>
              <w:overflowPunct/>
              <w:bidi w:val="0"/>
              <w:snapToGrid w:val="0"/>
              <w:spacing w:line="276"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注：需提供证明材料</w:t>
            </w:r>
            <w:r>
              <w:rPr>
                <w:rFonts w:hint="eastAsia" w:ascii="宋体" w:hAnsi="宋体" w:eastAsia="宋体" w:cs="宋体"/>
                <w:color w:val="auto"/>
                <w:sz w:val="21"/>
                <w:szCs w:val="21"/>
                <w:highlight w:val="none"/>
                <w:lang w:eastAsia="zh-CN"/>
              </w:rPr>
              <w:t>扫描件</w:t>
            </w:r>
            <w:r>
              <w:rPr>
                <w:rFonts w:hint="eastAsia" w:ascii="宋体" w:hAnsi="宋体" w:eastAsia="宋体" w:cs="宋体"/>
                <w:color w:val="auto"/>
                <w:sz w:val="21"/>
                <w:szCs w:val="21"/>
                <w:highlight w:val="none"/>
              </w:rPr>
              <w:t>并加盖公章，不提供不得分。本项最多得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48"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tc>
        <w:tc>
          <w:tcPr>
            <w:tcW w:w="2352" w:type="dxa"/>
            <w:gridSpan w:val="2"/>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tc>
        <w:tc>
          <w:tcPr>
            <w:tcW w:w="5805"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宋体" w:cs="宋体"/>
                <w:iCs/>
                <w:color w:val="auto"/>
                <w:szCs w:val="21"/>
              </w:rPr>
            </w:pPr>
            <w:r>
              <w:rPr>
                <w:rFonts w:hint="eastAsia" w:ascii="宋体" w:cs="宋体"/>
                <w:iCs/>
                <w:color w:val="auto"/>
                <w:szCs w:val="21"/>
                <w:highlight w:val="none"/>
              </w:rPr>
              <w:t>投标人获得</w:t>
            </w:r>
            <w:r>
              <w:rPr>
                <w:rFonts w:hint="eastAsia" w:ascii="宋体" w:cs="宋体"/>
                <w:iCs/>
                <w:color w:val="auto"/>
                <w:szCs w:val="21"/>
                <w:highlight w:val="none"/>
                <w:lang w:val="en-US" w:eastAsia="zh-CN"/>
              </w:rPr>
              <w:t>省级或以上工程勘察设计行业协会</w:t>
            </w:r>
            <w:r>
              <w:rPr>
                <w:rFonts w:hint="eastAsia" w:ascii="宋体" w:cs="宋体"/>
                <w:iCs/>
                <w:color w:val="auto"/>
                <w:szCs w:val="21"/>
                <w:highlight w:val="none"/>
              </w:rPr>
              <w:t>颁发的</w:t>
            </w:r>
            <w:r>
              <w:rPr>
                <w:rFonts w:hint="eastAsia" w:ascii="宋体" w:cs="宋体"/>
                <w:iCs/>
                <w:color w:val="auto"/>
                <w:szCs w:val="21"/>
                <w:highlight w:val="none"/>
                <w:lang w:val="en-US" w:eastAsia="zh-CN"/>
              </w:rPr>
              <w:t>AAA</w:t>
            </w:r>
            <w:r>
              <w:rPr>
                <w:rFonts w:hint="eastAsia" w:ascii="宋体" w:cs="宋体"/>
                <w:iCs/>
                <w:color w:val="auto"/>
                <w:szCs w:val="21"/>
                <w:highlight w:val="none"/>
                <w:lang w:val="en-US" w:eastAsia="zh-Hans"/>
              </w:rPr>
              <w:t>等</w:t>
            </w:r>
            <w:r>
              <w:rPr>
                <w:rFonts w:hint="eastAsia" w:ascii="宋体" w:cs="宋体"/>
                <w:iCs/>
                <w:color w:val="auto"/>
                <w:szCs w:val="21"/>
                <w:lang w:val="en-US" w:eastAsia="zh-Hans"/>
              </w:rPr>
              <w:t>级</w:t>
            </w:r>
            <w:r>
              <w:rPr>
                <w:rFonts w:ascii="宋体" w:cs="宋体"/>
                <w:iCs/>
                <w:color w:val="auto"/>
                <w:szCs w:val="21"/>
              </w:rPr>
              <w:t>级信用机构证书且在有效期内，得</w:t>
            </w:r>
            <w:r>
              <w:rPr>
                <w:rFonts w:hint="eastAsia" w:ascii="宋体" w:cs="宋体"/>
                <w:iCs/>
                <w:color w:val="auto"/>
                <w:szCs w:val="21"/>
                <w:lang w:val="en-US" w:eastAsia="zh-CN"/>
              </w:rPr>
              <w:t>3</w:t>
            </w:r>
            <w:r>
              <w:rPr>
                <w:rFonts w:hint="eastAsia" w:ascii="宋体" w:cs="宋体"/>
                <w:iCs/>
                <w:color w:val="auto"/>
                <w:szCs w:val="21"/>
              </w:rPr>
              <w:t>分。</w:t>
            </w:r>
          </w:p>
          <w:p>
            <w:pPr>
              <w:spacing w:line="360" w:lineRule="exact"/>
              <w:rPr>
                <w:rFonts w:ascii="宋体"/>
                <w:color w:val="auto"/>
                <w:szCs w:val="21"/>
              </w:rPr>
            </w:pPr>
            <w:r>
              <w:rPr>
                <w:rFonts w:hint="eastAsia" w:ascii="宋体" w:hAnsi="宋体" w:eastAsia="宋体" w:cs="宋体"/>
                <w:color w:val="auto"/>
                <w:sz w:val="21"/>
                <w:szCs w:val="21"/>
                <w:highlight w:val="none"/>
              </w:rPr>
              <w:t>注：需提供证明材料</w:t>
            </w:r>
            <w:r>
              <w:rPr>
                <w:rFonts w:hint="eastAsia" w:ascii="宋体" w:hAnsi="宋体" w:eastAsia="宋体" w:cs="宋体"/>
                <w:color w:val="auto"/>
                <w:sz w:val="21"/>
                <w:szCs w:val="21"/>
                <w:highlight w:val="none"/>
                <w:lang w:eastAsia="zh-CN"/>
              </w:rPr>
              <w:t>扫描件</w:t>
            </w:r>
            <w:r>
              <w:rPr>
                <w:rFonts w:hint="eastAsia" w:ascii="宋体" w:hAnsi="宋体" w:eastAsia="宋体" w:cs="宋体"/>
                <w:color w:val="auto"/>
                <w:sz w:val="21"/>
                <w:szCs w:val="21"/>
                <w:highlight w:val="none"/>
              </w:rPr>
              <w:t>并加盖公章，不提供不得分。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348"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tc>
        <w:tc>
          <w:tcPr>
            <w:tcW w:w="2352" w:type="dxa"/>
            <w:gridSpan w:val="2"/>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tc>
        <w:tc>
          <w:tcPr>
            <w:tcW w:w="580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pPr>
            <w:r>
              <w:rPr>
                <w:rFonts w:hint="eastAsia"/>
              </w:rPr>
              <w:t>投标人获得“高新技术企业”认证且在有效期内，得</w:t>
            </w:r>
            <w:r>
              <w:rPr>
                <w:rFonts w:hint="eastAsia"/>
                <w:lang w:val="en-US" w:eastAsia="zh-CN"/>
              </w:rPr>
              <w:t>3</w:t>
            </w:r>
            <w:r>
              <w:t>分。</w:t>
            </w:r>
          </w:p>
          <w:p>
            <w:pPr>
              <w:pStyle w:val="68"/>
              <w:jc w:val="left"/>
            </w:pPr>
            <w:r>
              <w:rPr>
                <w:rFonts w:hint="eastAsia" w:ascii="宋体" w:hAnsi="宋体" w:eastAsia="宋体" w:cs="宋体"/>
                <w:b w:val="0"/>
                <w:color w:val="auto"/>
                <w:kern w:val="2"/>
                <w:sz w:val="21"/>
                <w:szCs w:val="21"/>
                <w:highlight w:val="none"/>
                <w:lang w:val="en-US" w:eastAsia="zh-CN" w:bidi="ar-SA"/>
              </w:rPr>
              <w:t>注：需提供证明材料扫描件并加盖公章，不提供不得分。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348"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18" w:type="dxa"/>
            <w:vMerge w:val="restart"/>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ind w:right="126"/>
              <w:jc w:val="center"/>
              <w:rPr>
                <w:rFonts w:ascii="宋体" w:cs="宋体"/>
                <w:color w:val="auto"/>
                <w:szCs w:val="21"/>
              </w:rPr>
            </w:pPr>
            <w:r>
              <w:rPr>
                <w:rFonts w:hint="eastAsia" w:ascii="宋体" w:cs="宋体"/>
                <w:color w:val="auto"/>
                <w:szCs w:val="21"/>
              </w:rPr>
              <w:t>拟投入本项目的人员及设备</w:t>
            </w:r>
          </w:p>
          <w:p>
            <w:pPr>
              <w:ind w:right="126"/>
              <w:jc w:val="center"/>
              <w:rPr>
                <w:rFonts w:ascii="宋体" w:cs="宋体"/>
                <w:color w:val="auto"/>
                <w:szCs w:val="21"/>
              </w:rPr>
            </w:pPr>
            <w:r>
              <w:rPr>
                <w:rFonts w:hint="eastAsia" w:ascii="宋体" w:cs="宋体"/>
                <w:color w:val="auto"/>
                <w:szCs w:val="21"/>
              </w:rPr>
              <w:t>（3</w:t>
            </w:r>
            <w:r>
              <w:rPr>
                <w:rFonts w:hint="eastAsia" w:ascii="宋体" w:cs="宋体"/>
                <w:color w:val="auto"/>
                <w:szCs w:val="21"/>
                <w:lang w:val="en-US" w:eastAsia="zh-CN"/>
              </w:rPr>
              <w:t>8</w:t>
            </w:r>
            <w:r>
              <w:rPr>
                <w:rFonts w:hint="eastAsia" w:ascii="宋体" w:cs="宋体"/>
                <w:color w:val="auto"/>
                <w:szCs w:val="21"/>
              </w:rPr>
              <w:t>分）</w:t>
            </w:r>
          </w:p>
        </w:tc>
        <w:tc>
          <w:tcPr>
            <w:tcW w:w="133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ind w:right="126"/>
              <w:jc w:val="center"/>
              <w:rPr>
                <w:rFonts w:ascii="宋体" w:cs="宋体"/>
                <w:color w:val="auto"/>
                <w:szCs w:val="21"/>
                <w:lang w:val="zh-CN"/>
              </w:rPr>
            </w:pPr>
            <w:r>
              <w:rPr>
                <w:rFonts w:hint="eastAsia" w:ascii="宋体" w:cs="宋体"/>
                <w:color w:val="auto"/>
                <w:szCs w:val="21"/>
                <w:lang w:val="zh-CN"/>
              </w:rPr>
              <w:t>项目负责人</w:t>
            </w:r>
          </w:p>
          <w:p>
            <w:pPr>
              <w:ind w:right="126"/>
              <w:jc w:val="center"/>
              <w:rPr>
                <w:rFonts w:ascii="宋体" w:cs="宋体"/>
                <w:color w:val="auto"/>
                <w:szCs w:val="21"/>
              </w:rPr>
            </w:pPr>
            <w:r>
              <w:rPr>
                <w:rFonts w:hint="eastAsia" w:ascii="宋体" w:cs="宋体"/>
                <w:color w:val="auto"/>
                <w:szCs w:val="21"/>
                <w:lang w:val="zh-CN"/>
              </w:rPr>
              <w:t>（</w:t>
            </w:r>
            <w:r>
              <w:rPr>
                <w:rFonts w:hint="eastAsia" w:ascii="宋体" w:cs="宋体"/>
                <w:color w:val="auto"/>
                <w:szCs w:val="21"/>
                <w:lang w:val="en-US" w:eastAsia="zh-CN"/>
              </w:rPr>
              <w:t>8</w:t>
            </w:r>
            <w:r>
              <w:rPr>
                <w:rFonts w:hint="eastAsia" w:ascii="宋体" w:cs="宋体"/>
                <w:color w:val="auto"/>
                <w:szCs w:val="21"/>
                <w:lang w:val="zh-CN"/>
              </w:rPr>
              <w:t>分）</w:t>
            </w:r>
          </w:p>
        </w:tc>
        <w:tc>
          <w:tcPr>
            <w:tcW w:w="5805"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color w:val="auto"/>
              </w:rPr>
            </w:pPr>
            <w:r>
              <w:rPr>
                <w:rFonts w:hint="eastAsia"/>
                <w:color w:val="auto"/>
                <w:lang w:val="en-US" w:eastAsia="zh-CN"/>
              </w:rPr>
              <w:t>1、</w:t>
            </w:r>
            <w:r>
              <w:rPr>
                <w:rFonts w:hint="eastAsia"/>
                <w:color w:val="auto"/>
              </w:rPr>
              <w:t>具有注册土木工程师(岩土) 执业资格证书</w:t>
            </w:r>
            <w:r>
              <w:rPr>
                <w:rFonts w:hint="eastAsia"/>
                <w:color w:val="auto"/>
                <w:lang w:eastAsia="zh-CN"/>
              </w:rPr>
              <w:t>，</w:t>
            </w:r>
            <w:r>
              <w:rPr>
                <w:rFonts w:hint="eastAsia"/>
                <w:color w:val="auto"/>
              </w:rPr>
              <w:t>得</w:t>
            </w:r>
            <w:r>
              <w:rPr>
                <w:rFonts w:hint="default"/>
                <w:color w:val="auto"/>
              </w:rPr>
              <w:t>2</w:t>
            </w:r>
            <w:r>
              <w:rPr>
                <w:rFonts w:hint="eastAsia"/>
                <w:color w:val="auto"/>
              </w:rPr>
              <w:t xml:space="preserve">分。            </w:t>
            </w:r>
            <w:r>
              <w:rPr>
                <w:rFonts w:hint="eastAsia"/>
                <w:color w:val="auto"/>
                <w:lang w:val="en-US" w:eastAsia="zh-CN"/>
              </w:rPr>
              <w:t>2、</w:t>
            </w:r>
            <w:r>
              <w:rPr>
                <w:rFonts w:hint="eastAsia"/>
                <w:color w:val="auto"/>
              </w:rPr>
              <w:t>具有一级注册结构工程师执业资格证书</w:t>
            </w:r>
            <w:r>
              <w:rPr>
                <w:rFonts w:hint="eastAsia"/>
                <w:color w:val="auto"/>
                <w:lang w:eastAsia="zh-CN"/>
              </w:rPr>
              <w:t>，</w:t>
            </w:r>
            <w:r>
              <w:rPr>
                <w:rFonts w:hint="eastAsia"/>
                <w:color w:val="auto"/>
              </w:rPr>
              <w:t xml:space="preserve">得 </w:t>
            </w:r>
            <w:r>
              <w:rPr>
                <w:rFonts w:hint="default"/>
                <w:color w:val="auto"/>
              </w:rPr>
              <w:t>2</w:t>
            </w:r>
            <w:r>
              <w:rPr>
                <w:rFonts w:hint="eastAsia"/>
                <w:color w:val="auto"/>
              </w:rPr>
              <w:t xml:space="preserve">分。    </w:t>
            </w:r>
          </w:p>
          <w:p>
            <w:pPr>
              <w:spacing w:line="360" w:lineRule="exact"/>
              <w:rPr>
                <w:color w:val="auto"/>
              </w:rPr>
            </w:pPr>
            <w:r>
              <w:rPr>
                <w:rFonts w:hint="eastAsia" w:cs="Times New Roman"/>
                <w:color w:val="auto"/>
                <w:lang w:val="en-US" w:eastAsia="zh-CN"/>
              </w:rPr>
              <w:t>3、</w:t>
            </w:r>
            <w:r>
              <w:rPr>
                <w:rFonts w:hint="eastAsia"/>
                <w:color w:val="auto"/>
              </w:rPr>
              <w:t>具备</w:t>
            </w:r>
            <w:r>
              <w:rPr>
                <w:rFonts w:hint="eastAsia"/>
                <w:color w:val="auto"/>
                <w:lang w:val="en-US" w:eastAsia="zh-CN"/>
              </w:rPr>
              <w:t>省</w:t>
            </w:r>
            <w:r>
              <w:rPr>
                <w:rFonts w:hint="eastAsia"/>
                <w:color w:val="auto"/>
                <w:lang w:eastAsia="zh-CN"/>
              </w:rPr>
              <w:t>建设工程质量安全检测和鉴定协会颁发的与本项目相关</w:t>
            </w:r>
            <w:r>
              <w:rPr>
                <w:rFonts w:hint="eastAsia"/>
                <w:color w:val="auto"/>
                <w:lang w:val="en-US" w:eastAsia="zh-CN"/>
              </w:rPr>
              <w:t>证书，</w:t>
            </w:r>
            <w:r>
              <w:rPr>
                <w:rFonts w:hint="eastAsia"/>
                <w:color w:val="auto"/>
                <w:lang w:eastAsia="zh-CN"/>
              </w:rPr>
              <w:t>每</w:t>
            </w:r>
            <w:r>
              <w:rPr>
                <w:rFonts w:hint="eastAsia"/>
                <w:color w:val="auto"/>
                <w:lang w:val="en-US" w:eastAsia="zh-CN"/>
              </w:rPr>
              <w:t>提供一</w:t>
            </w:r>
            <w:r>
              <w:rPr>
                <w:rFonts w:hint="eastAsia"/>
                <w:color w:val="auto"/>
                <w:lang w:eastAsia="zh-CN"/>
              </w:rPr>
              <w:t>项得</w:t>
            </w:r>
            <w:r>
              <w:rPr>
                <w:rFonts w:hint="eastAsia"/>
                <w:color w:val="auto"/>
                <w:lang w:val="en-US" w:eastAsia="zh-CN"/>
              </w:rPr>
              <w:t>0.5分，最高</w:t>
            </w:r>
            <w:r>
              <w:rPr>
                <w:rFonts w:hint="eastAsia"/>
                <w:color w:val="auto"/>
              </w:rPr>
              <w:t>得</w:t>
            </w:r>
            <w:r>
              <w:rPr>
                <w:rFonts w:hint="default"/>
                <w:color w:val="auto"/>
                <w:lang w:eastAsia="zh-CN"/>
              </w:rPr>
              <w:t>4</w:t>
            </w:r>
            <w:r>
              <w:rPr>
                <w:rFonts w:hint="eastAsia"/>
                <w:color w:val="auto"/>
              </w:rPr>
              <w:t>分。</w:t>
            </w:r>
          </w:p>
          <w:p>
            <w:pPr>
              <w:spacing w:line="360" w:lineRule="exact"/>
              <w:rPr>
                <w:color w:val="auto"/>
              </w:rPr>
            </w:pPr>
            <w:r>
              <w:rPr>
                <w:rFonts w:hint="eastAsia" w:ascii="Times New Roman" w:hAnsi="Times New Roman"/>
                <w:color w:val="auto"/>
                <w:kern w:val="2"/>
                <w:sz w:val="21"/>
              </w:rPr>
              <w:t>注：</w:t>
            </w:r>
            <w:r>
              <w:rPr>
                <w:rFonts w:hint="eastAsia"/>
                <w:color w:val="auto"/>
              </w:rPr>
              <w:t>本项最</w:t>
            </w:r>
            <w:r>
              <w:rPr>
                <w:rFonts w:hint="eastAsia"/>
                <w:color w:val="auto"/>
                <w:lang w:val="en-US" w:eastAsia="zh-CN"/>
              </w:rPr>
              <w:t>高</w:t>
            </w:r>
            <w:r>
              <w:rPr>
                <w:rFonts w:hint="eastAsia"/>
                <w:color w:val="auto"/>
              </w:rPr>
              <w:t>得</w:t>
            </w:r>
            <w:r>
              <w:rPr>
                <w:rFonts w:hint="eastAsia"/>
                <w:color w:val="auto"/>
                <w:lang w:val="en-US" w:eastAsia="zh-CN"/>
              </w:rPr>
              <w:t>8</w:t>
            </w:r>
            <w:r>
              <w:rPr>
                <w:rFonts w:hint="eastAsia"/>
                <w:color w:val="auto"/>
              </w:rPr>
              <w:t>分。</w:t>
            </w:r>
            <w:r>
              <w:rPr>
                <w:rFonts w:hint="eastAsia"/>
                <w:color w:val="auto"/>
                <w:lang w:val="en-US" w:eastAsia="zh-CN"/>
              </w:rPr>
              <w:t>须</w:t>
            </w:r>
            <w:r>
              <w:rPr>
                <w:rFonts w:hint="eastAsia" w:ascii="Times New Roman" w:hAnsi="Times New Roman"/>
                <w:color w:val="auto"/>
                <w:kern w:val="2"/>
                <w:sz w:val="21"/>
              </w:rPr>
              <w:t>提供人员身份证、</w:t>
            </w:r>
            <w:r>
              <w:rPr>
                <w:rFonts w:hint="eastAsia"/>
                <w:color w:val="auto"/>
                <w:kern w:val="2"/>
                <w:sz w:val="21"/>
                <w:lang w:val="en-US" w:eastAsia="zh-CN"/>
              </w:rPr>
              <w:t>资格证、注册证、</w:t>
            </w:r>
            <w:r>
              <w:rPr>
                <w:rFonts w:hint="eastAsia" w:ascii="Times New Roman" w:hAnsi="Times New Roman"/>
                <w:color w:val="auto"/>
                <w:kern w:val="2"/>
                <w:sz w:val="21"/>
                <w:highlight w:val="none"/>
              </w:rPr>
              <w:t>职称证等相关证明复印件及</w:t>
            </w:r>
            <w:r>
              <w:rPr>
                <w:rFonts w:hint="eastAsia" w:ascii="Times New Roman" w:hAnsi="Times New Roman"/>
                <w:color w:val="auto"/>
                <w:kern w:val="2"/>
                <w:sz w:val="21"/>
                <w:highlight w:val="none"/>
                <w:lang w:val="en-US"/>
              </w:rPr>
              <w:t>近半年以上（包含</w:t>
            </w:r>
            <w:r>
              <w:rPr>
                <w:rFonts w:hint="eastAsia" w:ascii="Times New Roman" w:hAnsi="Times New Roman"/>
                <w:color w:val="auto"/>
                <w:kern w:val="2"/>
                <w:sz w:val="21"/>
                <w:highlight w:val="none"/>
                <w:lang w:val="en-US" w:eastAsia="zh-CN"/>
              </w:rPr>
              <w:t>2023年2月至</w:t>
            </w:r>
            <w:r>
              <w:rPr>
                <w:rFonts w:hint="eastAsia" w:ascii="Times New Roman" w:hAnsi="Times New Roman"/>
                <w:color w:val="auto"/>
                <w:kern w:val="2"/>
                <w:sz w:val="21"/>
                <w:highlight w:val="none"/>
                <w:lang w:val="en-US"/>
              </w:rPr>
              <w:t>2023年</w:t>
            </w:r>
            <w:r>
              <w:rPr>
                <w:rFonts w:hint="eastAsia" w:ascii="Times New Roman"/>
                <w:color w:val="auto"/>
                <w:kern w:val="2"/>
                <w:sz w:val="21"/>
                <w:highlight w:val="none"/>
                <w:lang w:val="en-US" w:eastAsia="zh-CN"/>
              </w:rPr>
              <w:t>7</w:t>
            </w:r>
            <w:r>
              <w:rPr>
                <w:rFonts w:hint="eastAsia" w:ascii="Times New Roman" w:hAnsi="Times New Roman"/>
                <w:color w:val="auto"/>
                <w:kern w:val="2"/>
                <w:sz w:val="21"/>
                <w:highlight w:val="none"/>
                <w:lang w:val="en-US"/>
              </w:rPr>
              <w:t>月）的</w:t>
            </w:r>
            <w:r>
              <w:rPr>
                <w:rFonts w:hint="eastAsia" w:ascii="Times New Roman" w:hAnsi="Times New Roman"/>
                <w:color w:val="auto"/>
                <w:kern w:val="2"/>
                <w:sz w:val="21"/>
              </w:rPr>
              <w:t>社保证明。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348"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18"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tc>
        <w:tc>
          <w:tcPr>
            <w:tcW w:w="133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ind w:right="126"/>
              <w:jc w:val="center"/>
              <w:rPr>
                <w:rFonts w:ascii="宋体" w:cs="宋体"/>
                <w:color w:val="auto"/>
                <w:szCs w:val="21"/>
                <w:lang w:val="zh-CN"/>
              </w:rPr>
            </w:pPr>
            <w:r>
              <w:rPr>
                <w:rFonts w:hint="eastAsia" w:ascii="宋体" w:cs="宋体"/>
                <w:color w:val="auto"/>
                <w:szCs w:val="21"/>
                <w:lang w:val="zh-CN"/>
              </w:rPr>
              <w:t>技术负责人（除项目负责人以外）</w:t>
            </w:r>
          </w:p>
          <w:p>
            <w:pPr>
              <w:ind w:right="126"/>
              <w:jc w:val="center"/>
              <w:rPr>
                <w:rFonts w:ascii="宋体" w:cs="宋体"/>
                <w:color w:val="auto"/>
                <w:szCs w:val="21"/>
                <w:lang w:val="zh-CN"/>
              </w:rPr>
            </w:pPr>
            <w:r>
              <w:rPr>
                <w:rFonts w:hint="eastAsia" w:ascii="宋体" w:cs="宋体"/>
                <w:color w:val="auto"/>
                <w:szCs w:val="21"/>
                <w:lang w:val="zh-CN"/>
              </w:rPr>
              <w:t>（</w:t>
            </w:r>
            <w:r>
              <w:rPr>
                <w:rFonts w:hint="eastAsia" w:ascii="宋体" w:cs="宋体"/>
                <w:color w:val="auto"/>
                <w:szCs w:val="21"/>
                <w:lang w:val="en-US" w:eastAsia="zh-CN"/>
              </w:rPr>
              <w:t>8</w:t>
            </w:r>
            <w:r>
              <w:rPr>
                <w:rFonts w:hint="eastAsia" w:ascii="宋体" w:cs="宋体"/>
                <w:color w:val="auto"/>
                <w:szCs w:val="21"/>
                <w:lang w:val="zh-CN"/>
              </w:rPr>
              <w:t>分）</w:t>
            </w:r>
          </w:p>
        </w:tc>
        <w:tc>
          <w:tcPr>
            <w:tcW w:w="5805"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color w:val="auto"/>
              </w:rPr>
            </w:pPr>
            <w:r>
              <w:rPr>
                <w:rFonts w:hint="eastAsia"/>
                <w:color w:val="auto"/>
                <w:lang w:val="en-US" w:eastAsia="zh-CN"/>
              </w:rPr>
              <w:t>1、</w:t>
            </w:r>
            <w:r>
              <w:rPr>
                <w:rFonts w:hint="eastAsia"/>
                <w:color w:val="auto"/>
              </w:rPr>
              <w:t>具有测绘或岩土地质类正高级工程师（或教授级）的</w:t>
            </w:r>
            <w:r>
              <w:rPr>
                <w:rFonts w:hint="eastAsia"/>
                <w:color w:val="auto"/>
                <w:lang w:eastAsia="zh-CN"/>
              </w:rPr>
              <w:t>，</w:t>
            </w:r>
            <w:r>
              <w:rPr>
                <w:rFonts w:hint="eastAsia"/>
                <w:color w:val="auto"/>
              </w:rPr>
              <w:t>得</w:t>
            </w:r>
            <w:r>
              <w:rPr>
                <w:color w:val="auto"/>
              </w:rPr>
              <w:t>2</w:t>
            </w:r>
            <w:r>
              <w:rPr>
                <w:rFonts w:hint="eastAsia"/>
                <w:color w:val="auto"/>
              </w:rPr>
              <w:t>分；具有测绘或岩土地质类高级工程师（或副教授级）</w:t>
            </w:r>
            <w:r>
              <w:rPr>
                <w:rFonts w:hint="eastAsia"/>
                <w:color w:val="auto"/>
                <w:lang w:val="en-US" w:eastAsia="zh-CN"/>
              </w:rPr>
              <w:t>的，</w:t>
            </w:r>
            <w:r>
              <w:rPr>
                <w:rFonts w:hint="eastAsia"/>
                <w:color w:val="auto"/>
              </w:rPr>
              <w:t>得</w:t>
            </w:r>
            <w:r>
              <w:rPr>
                <w:color w:val="auto"/>
              </w:rPr>
              <w:t>1</w:t>
            </w:r>
            <w:r>
              <w:rPr>
                <w:rFonts w:hint="eastAsia"/>
                <w:color w:val="auto"/>
              </w:rPr>
              <w:t>分；具有测绘或岩土地质类工程师</w:t>
            </w:r>
            <w:r>
              <w:rPr>
                <w:rFonts w:hint="eastAsia"/>
                <w:color w:val="auto"/>
                <w:lang w:val="en-US" w:eastAsia="zh-CN"/>
              </w:rPr>
              <w:t>的，</w:t>
            </w:r>
            <w:r>
              <w:rPr>
                <w:rFonts w:hint="eastAsia"/>
                <w:color w:val="auto"/>
              </w:rPr>
              <w:t>得</w:t>
            </w:r>
            <w:r>
              <w:rPr>
                <w:color w:val="auto"/>
              </w:rPr>
              <w:t>0.5</w:t>
            </w:r>
            <w:r>
              <w:rPr>
                <w:rFonts w:hint="eastAsia"/>
                <w:color w:val="auto"/>
              </w:rPr>
              <w:t>分；其余不得分。</w:t>
            </w:r>
          </w:p>
          <w:p>
            <w:pPr>
              <w:spacing w:line="360" w:lineRule="exact"/>
              <w:rPr>
                <w:color w:val="auto"/>
              </w:rPr>
            </w:pPr>
            <w:r>
              <w:rPr>
                <w:rFonts w:hint="eastAsia"/>
                <w:color w:val="auto"/>
                <w:lang w:val="en-US" w:eastAsia="zh-CN"/>
              </w:rPr>
              <w:t>2、</w:t>
            </w:r>
            <w:r>
              <w:rPr>
                <w:rFonts w:hint="eastAsia"/>
                <w:color w:val="auto"/>
              </w:rPr>
              <w:t>具备注册岩土或注册测绘师资格，得</w:t>
            </w:r>
            <w:r>
              <w:rPr>
                <w:color w:val="auto"/>
              </w:rPr>
              <w:t>2</w:t>
            </w:r>
            <w:r>
              <w:rPr>
                <w:rFonts w:hint="eastAsia"/>
                <w:color w:val="auto"/>
              </w:rPr>
              <w:t>分。</w:t>
            </w:r>
          </w:p>
          <w:p>
            <w:pPr>
              <w:spacing w:line="360" w:lineRule="exact"/>
              <w:rPr>
                <w:color w:val="auto"/>
              </w:rPr>
            </w:pPr>
            <w:r>
              <w:rPr>
                <w:rFonts w:hint="eastAsia"/>
                <w:color w:val="auto"/>
                <w:lang w:val="en-US" w:eastAsia="zh-CN"/>
              </w:rPr>
              <w:t>3、</w:t>
            </w:r>
            <w:r>
              <w:rPr>
                <w:rFonts w:hint="eastAsia"/>
                <w:color w:val="auto"/>
              </w:rPr>
              <w:t>获得省级或以上行业行政主管部门颁发的“勘察大师”，得</w:t>
            </w:r>
            <w:r>
              <w:rPr>
                <w:color w:val="auto"/>
              </w:rPr>
              <w:t>2</w:t>
            </w:r>
            <w:r>
              <w:rPr>
                <w:rFonts w:hint="eastAsia"/>
                <w:color w:val="auto"/>
              </w:rPr>
              <w:t>分。</w:t>
            </w:r>
          </w:p>
          <w:p>
            <w:pPr>
              <w:spacing w:line="360" w:lineRule="exact"/>
              <w:rPr>
                <w:color w:val="auto"/>
              </w:rPr>
            </w:pPr>
            <w:r>
              <w:rPr>
                <w:rFonts w:hint="eastAsia"/>
                <w:color w:val="auto"/>
                <w:lang w:val="en-US" w:eastAsia="zh-CN"/>
              </w:rPr>
              <w:t>4、</w:t>
            </w:r>
            <w:r>
              <w:rPr>
                <w:rFonts w:hint="eastAsia"/>
                <w:color w:val="auto"/>
              </w:rPr>
              <w:t>勘测工作经历</w:t>
            </w:r>
            <w:r>
              <w:rPr>
                <w:rFonts w:hint="eastAsia"/>
                <w:color w:val="auto"/>
                <w:lang w:eastAsia="zh-CN"/>
              </w:rPr>
              <w:t>：</w:t>
            </w:r>
            <w:r>
              <w:rPr>
                <w:rFonts w:hint="eastAsia"/>
                <w:color w:val="auto"/>
              </w:rPr>
              <w:t>具有</w:t>
            </w:r>
            <w:r>
              <w:rPr>
                <w:color w:val="auto"/>
              </w:rPr>
              <w:t>20</w:t>
            </w:r>
            <w:r>
              <w:rPr>
                <w:rFonts w:hint="eastAsia"/>
                <w:color w:val="auto"/>
              </w:rPr>
              <w:t>年或以上，得</w:t>
            </w:r>
            <w:r>
              <w:rPr>
                <w:color w:val="auto"/>
              </w:rPr>
              <w:t>2</w:t>
            </w:r>
            <w:r>
              <w:rPr>
                <w:rFonts w:hint="eastAsia"/>
                <w:color w:val="auto"/>
              </w:rPr>
              <w:t>分；具有</w:t>
            </w:r>
            <w:r>
              <w:rPr>
                <w:color w:val="auto"/>
              </w:rPr>
              <w:t>10</w:t>
            </w:r>
            <w:r>
              <w:rPr>
                <w:rFonts w:hint="eastAsia"/>
                <w:color w:val="auto"/>
              </w:rPr>
              <w:t>年以上</w:t>
            </w:r>
            <w:r>
              <w:rPr>
                <w:color w:val="auto"/>
              </w:rPr>
              <w:t>20</w:t>
            </w:r>
            <w:r>
              <w:rPr>
                <w:rFonts w:hint="eastAsia"/>
                <w:color w:val="auto"/>
              </w:rPr>
              <w:t>年以下的，得</w:t>
            </w:r>
            <w:r>
              <w:rPr>
                <w:color w:val="auto"/>
              </w:rPr>
              <w:t>1</w:t>
            </w:r>
            <w:r>
              <w:rPr>
                <w:rFonts w:hint="eastAsia"/>
                <w:color w:val="auto"/>
              </w:rPr>
              <w:t>分；具有</w:t>
            </w:r>
            <w:r>
              <w:rPr>
                <w:color w:val="auto"/>
              </w:rPr>
              <w:t>10</w:t>
            </w:r>
            <w:r>
              <w:rPr>
                <w:rFonts w:hint="eastAsia"/>
                <w:color w:val="auto"/>
              </w:rPr>
              <w:t>年或以下的，得</w:t>
            </w:r>
            <w:r>
              <w:rPr>
                <w:color w:val="auto"/>
              </w:rPr>
              <w:t>0.5</w:t>
            </w:r>
            <w:r>
              <w:rPr>
                <w:rFonts w:hint="eastAsia"/>
                <w:color w:val="auto"/>
              </w:rPr>
              <w:t>分；其他不得分。（注：勘测经历以毕业证时间为准。）</w:t>
            </w:r>
          </w:p>
          <w:p>
            <w:pPr>
              <w:spacing w:line="360" w:lineRule="exact"/>
              <w:ind w:right="0"/>
              <w:rPr>
                <w:color w:val="auto"/>
                <w:lang w:val="zh-CN"/>
              </w:rPr>
            </w:pPr>
            <w:r>
              <w:rPr>
                <w:rFonts w:hint="eastAsia"/>
                <w:color w:val="auto"/>
                <w:lang w:val="zh-CN"/>
              </w:rPr>
              <w:t>注：</w:t>
            </w:r>
            <w:r>
              <w:rPr>
                <w:rFonts w:hint="eastAsia"/>
                <w:color w:val="auto"/>
              </w:rPr>
              <w:t>本项最多得</w:t>
            </w:r>
            <w:r>
              <w:rPr>
                <w:color w:val="auto"/>
              </w:rPr>
              <w:t>8</w:t>
            </w:r>
            <w:r>
              <w:rPr>
                <w:rFonts w:hint="eastAsia"/>
                <w:color w:val="auto"/>
              </w:rPr>
              <w:t>分。</w:t>
            </w:r>
            <w:r>
              <w:rPr>
                <w:rFonts w:hint="eastAsia"/>
                <w:color w:val="auto"/>
                <w:lang w:val="en-US" w:eastAsia="zh-CN"/>
              </w:rPr>
              <w:t>须</w:t>
            </w:r>
            <w:r>
              <w:rPr>
                <w:rFonts w:hint="eastAsia"/>
                <w:color w:val="auto"/>
                <w:lang w:val="zh-CN"/>
              </w:rPr>
              <w:t>提供人员身份证、</w:t>
            </w:r>
            <w:r>
              <w:rPr>
                <w:rFonts w:hint="eastAsia"/>
                <w:color w:val="auto"/>
                <w:lang w:val="en-US" w:eastAsia="zh-CN"/>
              </w:rPr>
              <w:t>毕业证、</w:t>
            </w:r>
            <w:r>
              <w:rPr>
                <w:rFonts w:hint="eastAsia"/>
                <w:color w:val="auto"/>
                <w:kern w:val="2"/>
                <w:sz w:val="21"/>
                <w:lang w:val="en-US" w:eastAsia="zh-CN"/>
              </w:rPr>
              <w:t>资格证、注册证、</w:t>
            </w:r>
            <w:r>
              <w:rPr>
                <w:rFonts w:hint="eastAsia"/>
                <w:color w:val="auto"/>
                <w:lang w:val="zh-CN"/>
              </w:rPr>
              <w:t>职称证</w:t>
            </w:r>
            <w:r>
              <w:rPr>
                <w:rFonts w:hint="eastAsia"/>
                <w:color w:val="auto"/>
                <w:lang w:val="en-US" w:eastAsia="zh-CN"/>
              </w:rPr>
              <w:t>及获奖证书</w:t>
            </w:r>
            <w:r>
              <w:rPr>
                <w:rFonts w:hint="eastAsia"/>
                <w:color w:val="auto"/>
                <w:lang w:val="zh-CN"/>
              </w:rPr>
              <w:t>等相关证明复印件及</w:t>
            </w:r>
            <w:r>
              <w:rPr>
                <w:rFonts w:hint="eastAsia"/>
                <w:color w:val="auto"/>
              </w:rPr>
              <w:t>近半年以上</w:t>
            </w:r>
            <w:r>
              <w:rPr>
                <w:rFonts w:hint="eastAsia" w:ascii="宋体" w:cs="宋体"/>
                <w:color w:val="auto"/>
                <w:szCs w:val="21"/>
                <w:lang w:val="zh-CN"/>
              </w:rPr>
              <w:t>（包含</w:t>
            </w:r>
            <w:r>
              <w:rPr>
                <w:rFonts w:hint="eastAsia" w:ascii="Times New Roman" w:hAnsi="Times New Roman"/>
                <w:color w:val="auto"/>
                <w:kern w:val="2"/>
                <w:sz w:val="21"/>
                <w:lang w:val="en-US" w:eastAsia="zh-CN"/>
              </w:rPr>
              <w:t>2023年2月至</w:t>
            </w:r>
            <w:r>
              <w:rPr>
                <w:rFonts w:ascii="宋体" w:cs="宋体"/>
                <w:color w:val="auto"/>
                <w:szCs w:val="21"/>
                <w:lang w:val="zh-CN"/>
              </w:rPr>
              <w:t>2023年</w:t>
            </w:r>
            <w:r>
              <w:rPr>
                <w:rFonts w:hint="eastAsia" w:ascii="宋体" w:cs="宋体"/>
                <w:color w:val="auto"/>
                <w:szCs w:val="21"/>
                <w:lang w:val="en-US" w:eastAsia="zh-CN"/>
              </w:rPr>
              <w:t>7</w:t>
            </w:r>
            <w:r>
              <w:rPr>
                <w:rFonts w:hint="eastAsia" w:ascii="宋体" w:cs="宋体"/>
                <w:color w:val="auto"/>
                <w:szCs w:val="21"/>
                <w:lang w:val="zh-CN"/>
              </w:rPr>
              <w:t>月）</w:t>
            </w:r>
            <w:r>
              <w:rPr>
                <w:rFonts w:hint="eastAsia"/>
                <w:color w:val="auto"/>
              </w:rPr>
              <w:t>的</w:t>
            </w:r>
            <w:r>
              <w:rPr>
                <w:rFonts w:hint="eastAsia"/>
                <w:color w:val="auto"/>
                <w:lang w:val="zh-CN"/>
              </w:rPr>
              <w:t>社保证明。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348"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18"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tc>
        <w:tc>
          <w:tcPr>
            <w:tcW w:w="133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ind w:right="0" w:firstLine="0"/>
              <w:jc w:val="center"/>
              <w:textAlignment w:val="auto"/>
              <w:rPr>
                <w:rFonts w:hint="eastAsia"/>
              </w:rPr>
            </w:pPr>
            <w:r>
              <w:rPr>
                <w:rFonts w:hint="eastAsia"/>
              </w:rPr>
              <w:t>安全质量负责人</w:t>
            </w:r>
            <w:r>
              <w:rPr>
                <w:rFonts w:hint="eastAsia" w:ascii="宋体" w:cs="宋体"/>
                <w:color w:val="auto"/>
                <w:szCs w:val="21"/>
                <w:lang w:val="zh-CN"/>
              </w:rPr>
              <w:t>（除项目负责人</w:t>
            </w:r>
            <w:r>
              <w:rPr>
                <w:rFonts w:hint="eastAsia" w:ascii="宋体" w:cs="宋体"/>
                <w:color w:val="auto"/>
                <w:szCs w:val="21"/>
                <w:lang w:val="en-US" w:eastAsia="zh-CN"/>
              </w:rPr>
              <w:t>及</w:t>
            </w:r>
            <w:r>
              <w:rPr>
                <w:rFonts w:hint="eastAsia" w:ascii="宋体" w:cs="宋体"/>
                <w:color w:val="auto"/>
                <w:szCs w:val="21"/>
                <w:lang w:val="zh-CN"/>
              </w:rPr>
              <w:t>技术负责人以外）</w:t>
            </w:r>
          </w:p>
          <w:p>
            <w:pPr>
              <w:pStyle w:val="2"/>
              <w:keepNext w:val="0"/>
              <w:keepLines w:val="0"/>
              <w:pageBreakBefore w:val="0"/>
              <w:widowControl w:val="0"/>
              <w:kinsoku/>
              <w:wordWrap/>
              <w:overflowPunct/>
              <w:topLinePunct w:val="0"/>
              <w:autoSpaceDE/>
              <w:autoSpaceDN/>
              <w:bidi w:val="0"/>
              <w:adjustRightInd/>
              <w:snapToGrid/>
              <w:ind w:right="0" w:firstLine="0"/>
              <w:jc w:val="center"/>
              <w:textAlignment w:val="auto"/>
              <w:rPr>
                <w:rFonts w:hint="eastAsia"/>
                <w:lang w:val="zh-CN"/>
              </w:rPr>
            </w:pPr>
            <w:r>
              <w:rPr>
                <w:rFonts w:hint="eastAsia" w:ascii="宋体" w:cs="宋体"/>
                <w:color w:val="auto"/>
                <w:szCs w:val="21"/>
                <w:lang w:val="zh-CN"/>
              </w:rPr>
              <w:t>（</w:t>
            </w:r>
            <w:r>
              <w:rPr>
                <w:rFonts w:hint="eastAsia" w:ascii="宋体" w:cs="宋体"/>
                <w:color w:val="auto"/>
                <w:szCs w:val="21"/>
                <w:lang w:val="en-US" w:eastAsia="zh-CN"/>
              </w:rPr>
              <w:t>6</w:t>
            </w:r>
            <w:r>
              <w:rPr>
                <w:rFonts w:hint="eastAsia" w:ascii="宋体" w:cs="宋体"/>
                <w:color w:val="auto"/>
                <w:szCs w:val="21"/>
                <w:lang w:val="zh-CN"/>
              </w:rPr>
              <w:t>分）</w:t>
            </w:r>
          </w:p>
        </w:tc>
        <w:tc>
          <w:tcPr>
            <w:tcW w:w="5805" w:type="dxa"/>
            <w:tcBorders>
              <w:top w:val="single" w:color="auto" w:sz="4" w:space="0"/>
              <w:left w:val="single" w:color="auto" w:sz="4" w:space="0"/>
              <w:bottom w:val="single" w:color="auto" w:sz="4" w:space="0"/>
              <w:right w:val="single" w:color="auto" w:sz="4" w:space="0"/>
            </w:tcBorders>
            <w:noWrap w:val="0"/>
            <w:vAlign w:val="center"/>
          </w:tcPr>
          <w:p>
            <w:pPr>
              <w:pageBreakBefore w:val="0"/>
              <w:numPr>
                <w:ilvl w:val="-1"/>
                <w:numId w:val="0"/>
              </w:numPr>
              <w:kinsoku/>
              <w:wordWrap/>
              <w:overflowPunct/>
              <w:bidi w:val="0"/>
              <w:snapToGrid w:val="0"/>
              <w:spacing w:line="360" w:lineRule="exact"/>
              <w:ind w:right="125"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具</w:t>
            </w:r>
            <w:r>
              <w:rPr>
                <w:rFonts w:hint="eastAsia" w:ascii="宋体" w:hAnsi="宋体" w:cs="宋体"/>
                <w:color w:val="auto"/>
                <w:sz w:val="21"/>
                <w:szCs w:val="21"/>
                <w:highlight w:val="none"/>
                <w:lang w:val="en-US" w:eastAsia="zh-CN"/>
              </w:rPr>
              <w:t>有</w:t>
            </w:r>
            <w:r>
              <w:rPr>
                <w:rFonts w:hint="eastAsia"/>
                <w:color w:val="auto"/>
              </w:rPr>
              <w:t>测绘或岩土地质类高级工程师（或副教授级）</w:t>
            </w:r>
            <w:r>
              <w:rPr>
                <w:rFonts w:hint="eastAsia"/>
                <w:color w:val="auto"/>
                <w:lang w:val="en-US" w:eastAsia="zh-CN"/>
              </w:rPr>
              <w:t>或以上职称证书的</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r>
              <w:rPr>
                <w:rFonts w:hint="eastAsia"/>
                <w:color w:val="auto"/>
              </w:rPr>
              <w:t>具有测绘或岩土地质类工程师</w:t>
            </w:r>
            <w:r>
              <w:rPr>
                <w:rFonts w:hint="eastAsia" w:ascii="宋体" w:hAnsi="宋体" w:eastAsia="宋体" w:cs="宋体"/>
                <w:color w:val="auto"/>
                <w:kern w:val="0"/>
                <w:sz w:val="21"/>
                <w:szCs w:val="21"/>
                <w:highlight w:val="none"/>
                <w:lang w:val="en-US" w:eastAsia="zh-CN"/>
              </w:rPr>
              <w:t>的</w:t>
            </w:r>
            <w:r>
              <w:rPr>
                <w:rFonts w:hint="eastAsia"/>
                <w:color w:val="auto"/>
              </w:rPr>
              <w:t>得</w:t>
            </w:r>
            <w:r>
              <w:rPr>
                <w:rFonts w:hint="eastAsia"/>
                <w:color w:val="auto"/>
                <w:lang w:val="en-US" w:eastAsia="zh-CN"/>
              </w:rPr>
              <w:t>1</w:t>
            </w:r>
            <w:r>
              <w:rPr>
                <w:rFonts w:hint="eastAsia"/>
                <w:color w:val="auto"/>
              </w:rPr>
              <w:t>分；其余不得分。</w:t>
            </w:r>
          </w:p>
          <w:p>
            <w:pPr>
              <w:pageBreakBefore w:val="0"/>
              <w:numPr>
                <w:ilvl w:val="0"/>
                <w:numId w:val="0"/>
              </w:numPr>
              <w:kinsoku/>
              <w:wordWrap/>
              <w:overflowPunct/>
              <w:bidi w:val="0"/>
              <w:snapToGrid/>
              <w:spacing w:line="360" w:lineRule="exact"/>
              <w:ind w:left="0" w:leftChars="0" w:right="125" w:firstLine="0" w:firstLineChars="0"/>
              <w:rPr>
                <w:rFonts w:hint="eastAsia"/>
                <w:color w:val="auto"/>
              </w:rPr>
            </w:pPr>
            <w:r>
              <w:rPr>
                <w:rFonts w:hint="eastAsia" w:ascii="宋体" w:hAnsi="宋体" w:cs="宋体"/>
                <w:color w:val="auto"/>
                <w:sz w:val="21"/>
                <w:szCs w:val="21"/>
                <w:highlight w:val="none"/>
                <w:lang w:val="en-US" w:eastAsia="zh-CN"/>
              </w:rPr>
              <w:t>2、</w:t>
            </w:r>
            <w:r>
              <w:rPr>
                <w:rFonts w:hint="eastAsia"/>
                <w:color w:val="auto"/>
              </w:rPr>
              <w:t>具备注册岩土或注册测绘师资格</w:t>
            </w:r>
            <w:r>
              <w:rPr>
                <w:rFonts w:hint="eastAsia"/>
                <w:color w:val="auto"/>
                <w:lang w:val="en-US" w:eastAsia="zh-CN"/>
              </w:rPr>
              <w:t>证书的</w:t>
            </w:r>
            <w:r>
              <w:rPr>
                <w:rFonts w:hint="eastAsia"/>
                <w:color w:val="auto"/>
              </w:rPr>
              <w:t>，得</w:t>
            </w:r>
            <w:r>
              <w:rPr>
                <w:color w:val="auto"/>
              </w:rPr>
              <w:t>2</w:t>
            </w:r>
            <w:r>
              <w:rPr>
                <w:rFonts w:hint="eastAsia"/>
                <w:color w:val="auto"/>
              </w:rPr>
              <w:t>分。</w:t>
            </w:r>
          </w:p>
          <w:p>
            <w:pPr>
              <w:pageBreakBefore w:val="0"/>
              <w:numPr>
                <w:ilvl w:val="-1"/>
                <w:numId w:val="0"/>
              </w:numPr>
              <w:kinsoku/>
              <w:wordWrap/>
              <w:overflowPunct/>
              <w:bidi w:val="0"/>
              <w:snapToGrid/>
              <w:spacing w:line="240" w:lineRule="auto"/>
              <w:ind w:left="0" w:leftChars="0" w:right="0" w:firstLine="0" w:firstLineChars="0"/>
              <w:rPr>
                <w:rFonts w:hint="eastAsia" w:ascii="宋体" w:hAnsi="宋体" w:eastAsia="宋体" w:cs="宋体"/>
                <w:color w:val="auto"/>
                <w:sz w:val="21"/>
                <w:szCs w:val="21"/>
                <w:highlight w:val="none"/>
                <w:lang w:eastAsia="zh-CN"/>
              </w:rPr>
            </w:pPr>
            <w:r>
              <w:rPr>
                <w:rFonts w:hint="eastAsia"/>
                <w:color w:val="auto"/>
                <w:lang w:val="en-US" w:eastAsia="zh-CN"/>
              </w:rPr>
              <w:t>3、</w:t>
            </w:r>
            <w:r>
              <w:rPr>
                <w:rFonts w:hint="eastAsia" w:ascii="宋体" w:hAnsi="宋体" w:cs="宋体"/>
                <w:color w:val="auto"/>
                <w:sz w:val="21"/>
                <w:szCs w:val="21"/>
                <w:highlight w:val="none"/>
                <w:lang w:val="en-US" w:eastAsia="zh-CN"/>
              </w:rPr>
              <w:t>具备</w:t>
            </w:r>
            <w:r>
              <w:rPr>
                <w:rFonts w:hint="eastAsia" w:ascii="宋体" w:hAnsi="宋体" w:eastAsia="宋体" w:cs="宋体"/>
                <w:color w:val="auto"/>
                <w:sz w:val="21"/>
                <w:szCs w:val="21"/>
                <w:highlight w:val="none"/>
              </w:rPr>
              <w:t>注册安全工程师证</w:t>
            </w:r>
            <w:bookmarkStart w:id="210" w:name="_GoBack"/>
            <w:bookmarkEnd w:id="210"/>
            <w:r>
              <w:rPr>
                <w:rFonts w:hint="eastAsia" w:ascii="宋体" w:hAnsi="宋体" w:eastAsia="宋体" w:cs="宋体"/>
                <w:color w:val="auto"/>
                <w:sz w:val="21"/>
                <w:szCs w:val="21"/>
                <w:highlight w:val="none"/>
              </w:rPr>
              <w:t>书</w:t>
            </w:r>
            <w:r>
              <w:rPr>
                <w:rFonts w:hint="eastAsia" w:ascii="宋体" w:hAnsi="宋体" w:cs="宋体"/>
                <w:color w:val="auto"/>
                <w:sz w:val="21"/>
                <w:szCs w:val="21"/>
                <w:highlight w:val="none"/>
                <w:lang w:val="en-US" w:eastAsia="zh-CN"/>
              </w:rPr>
              <w:t>的</w:t>
            </w:r>
            <w:r>
              <w:rPr>
                <w:rFonts w:hint="eastAsia" w:ascii="宋体" w:hAnsi="宋体" w:eastAsia="宋体" w:cs="宋体"/>
                <w:color w:val="auto"/>
                <w:sz w:val="21"/>
                <w:szCs w:val="21"/>
                <w:highlight w:val="none"/>
              </w:rPr>
              <w:t>，得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eastAsia="zh-CN"/>
              </w:rPr>
              <w:t>。</w:t>
            </w:r>
          </w:p>
          <w:p>
            <w:pPr>
              <w:pageBreakBefore w:val="0"/>
              <w:kinsoku/>
              <w:wordWrap/>
              <w:overflowPunct/>
              <w:bidi w:val="0"/>
              <w:snapToGrid w:val="0"/>
              <w:spacing w:line="360" w:lineRule="exact"/>
              <w:ind w:right="125" w:firstLine="0" w:firstLineChars="0"/>
              <w:rPr>
                <w:rFonts w:hint="eastAsia" w:ascii="宋体" w:hAnsi="宋体" w:eastAsia="宋体" w:cs="宋体"/>
                <w:color w:val="auto"/>
                <w:kern w:val="2"/>
                <w:sz w:val="21"/>
                <w:szCs w:val="21"/>
                <w:highlight w:val="none"/>
                <w:lang w:val="zh-CN" w:eastAsia="zh-CN" w:bidi="ar-SA"/>
              </w:rPr>
            </w:pPr>
            <w:r>
              <w:rPr>
                <w:rFonts w:hint="eastAsia"/>
                <w:color w:val="auto"/>
                <w:lang w:val="zh-CN"/>
              </w:rPr>
              <w:t>注：</w:t>
            </w:r>
            <w:r>
              <w:rPr>
                <w:rFonts w:hint="eastAsia"/>
                <w:color w:val="auto"/>
              </w:rPr>
              <w:t>本项最多得</w:t>
            </w:r>
            <w:r>
              <w:rPr>
                <w:rFonts w:hint="eastAsia"/>
                <w:color w:val="auto"/>
                <w:lang w:val="en-US" w:eastAsia="zh-CN"/>
              </w:rPr>
              <w:t>6</w:t>
            </w:r>
            <w:r>
              <w:rPr>
                <w:rFonts w:hint="eastAsia"/>
                <w:color w:val="auto"/>
              </w:rPr>
              <w:t>分。</w:t>
            </w:r>
            <w:r>
              <w:rPr>
                <w:rFonts w:hint="eastAsia"/>
                <w:color w:val="auto"/>
                <w:lang w:val="en-US" w:eastAsia="zh-CN"/>
              </w:rPr>
              <w:t>须</w:t>
            </w:r>
            <w:r>
              <w:rPr>
                <w:rFonts w:hint="eastAsia"/>
                <w:color w:val="auto"/>
                <w:lang w:val="zh-CN"/>
              </w:rPr>
              <w:t>提供人员身份证、</w:t>
            </w:r>
            <w:r>
              <w:rPr>
                <w:rFonts w:hint="eastAsia"/>
                <w:color w:val="auto"/>
                <w:kern w:val="2"/>
                <w:sz w:val="21"/>
                <w:lang w:val="en-US" w:eastAsia="zh-CN"/>
              </w:rPr>
              <w:t>资格证、注册证、</w:t>
            </w:r>
            <w:r>
              <w:rPr>
                <w:rFonts w:hint="eastAsia"/>
                <w:color w:val="auto"/>
                <w:lang w:val="zh-CN"/>
              </w:rPr>
              <w:t>职称证等相关证明复印件及</w:t>
            </w:r>
            <w:r>
              <w:rPr>
                <w:rFonts w:hint="eastAsia"/>
                <w:color w:val="auto"/>
              </w:rPr>
              <w:t>近半年以上</w:t>
            </w:r>
            <w:r>
              <w:rPr>
                <w:rFonts w:hint="eastAsia" w:ascii="宋体" w:cs="宋体"/>
                <w:color w:val="auto"/>
                <w:szCs w:val="21"/>
                <w:lang w:val="zh-CN"/>
              </w:rPr>
              <w:t>（包含</w:t>
            </w:r>
            <w:r>
              <w:rPr>
                <w:rFonts w:hint="eastAsia" w:ascii="Times New Roman" w:hAnsi="Times New Roman"/>
                <w:color w:val="auto"/>
                <w:kern w:val="2"/>
                <w:sz w:val="21"/>
                <w:lang w:val="en-US" w:eastAsia="zh-CN"/>
              </w:rPr>
              <w:t>2023年2月至</w:t>
            </w:r>
            <w:r>
              <w:rPr>
                <w:rFonts w:ascii="宋体" w:cs="宋体"/>
                <w:color w:val="auto"/>
                <w:szCs w:val="21"/>
                <w:lang w:val="zh-CN"/>
              </w:rPr>
              <w:t>2023年</w:t>
            </w:r>
            <w:r>
              <w:rPr>
                <w:rFonts w:hint="eastAsia" w:ascii="宋体" w:cs="宋体"/>
                <w:color w:val="auto"/>
                <w:szCs w:val="21"/>
                <w:lang w:val="en-US" w:eastAsia="zh-CN"/>
              </w:rPr>
              <w:t>7</w:t>
            </w:r>
            <w:r>
              <w:rPr>
                <w:rFonts w:hint="eastAsia" w:ascii="宋体" w:cs="宋体"/>
                <w:color w:val="auto"/>
                <w:szCs w:val="21"/>
                <w:lang w:val="zh-CN"/>
              </w:rPr>
              <w:t>月）</w:t>
            </w:r>
            <w:r>
              <w:rPr>
                <w:rFonts w:hint="eastAsia"/>
                <w:color w:val="auto"/>
              </w:rPr>
              <w:t>的</w:t>
            </w:r>
            <w:r>
              <w:rPr>
                <w:rFonts w:hint="eastAsia"/>
                <w:color w:val="auto"/>
                <w:lang w:val="zh-CN"/>
              </w:rPr>
              <w:t>社保证明。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8" w:type="dxa"/>
            <w:vMerge w:val="continue"/>
            <w:tcBorders>
              <w:top w:val="single" w:color="auto" w:sz="4" w:space="0"/>
              <w:left w:val="single" w:color="auto" w:sz="4" w:space="0"/>
              <w:bottom w:val="nil"/>
              <w:right w:val="single" w:color="auto" w:sz="4" w:space="0"/>
            </w:tcBorders>
            <w:noWrap w:val="0"/>
            <w:vAlign w:val="center"/>
          </w:tcPr>
          <w:p/>
        </w:tc>
        <w:tc>
          <w:tcPr>
            <w:tcW w:w="1018"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tc>
        <w:tc>
          <w:tcPr>
            <w:tcW w:w="133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ind w:right="126"/>
              <w:jc w:val="center"/>
              <w:rPr>
                <w:rFonts w:ascii="宋体" w:cs="宋体"/>
                <w:color w:val="auto"/>
                <w:szCs w:val="21"/>
                <w:lang w:val="zh-CN"/>
              </w:rPr>
            </w:pPr>
            <w:r>
              <w:rPr>
                <w:rFonts w:hint="eastAsia" w:ascii="宋体" w:cs="宋体"/>
                <w:color w:val="auto"/>
                <w:szCs w:val="21"/>
                <w:lang w:val="zh-CN"/>
              </w:rPr>
              <w:t>主要技术人员（除项目负责人、技术负责人</w:t>
            </w:r>
            <w:r>
              <w:rPr>
                <w:rFonts w:hint="eastAsia" w:ascii="宋体" w:cs="宋体"/>
                <w:color w:val="auto"/>
                <w:szCs w:val="21"/>
                <w:lang w:val="en-US" w:eastAsia="zh-CN"/>
              </w:rPr>
              <w:t>及安全质量负责人</w:t>
            </w:r>
            <w:r>
              <w:rPr>
                <w:rFonts w:hint="eastAsia" w:ascii="宋体" w:cs="宋体"/>
                <w:color w:val="auto"/>
                <w:szCs w:val="21"/>
                <w:lang w:val="zh-CN"/>
              </w:rPr>
              <w:t>以外）（</w:t>
            </w:r>
            <w:r>
              <w:rPr>
                <w:rFonts w:hint="eastAsia" w:ascii="宋体" w:cs="宋体"/>
                <w:color w:val="auto"/>
                <w:szCs w:val="21"/>
                <w:lang w:val="en-US" w:eastAsia="zh-CN"/>
              </w:rPr>
              <w:t>6</w:t>
            </w:r>
            <w:r>
              <w:rPr>
                <w:rFonts w:hint="eastAsia" w:ascii="宋体" w:cs="宋体"/>
                <w:color w:val="auto"/>
                <w:szCs w:val="21"/>
                <w:lang w:val="zh-CN"/>
              </w:rPr>
              <w:t>分）</w:t>
            </w:r>
          </w:p>
        </w:tc>
        <w:tc>
          <w:tcPr>
            <w:tcW w:w="5805" w:type="dxa"/>
            <w:tcBorders>
              <w:top w:val="single" w:color="auto" w:sz="4" w:space="0"/>
              <w:left w:val="single" w:color="auto" w:sz="4" w:space="0"/>
              <w:bottom w:val="single" w:color="auto" w:sz="4" w:space="0"/>
              <w:right w:val="single" w:color="auto" w:sz="4" w:space="0"/>
            </w:tcBorders>
            <w:noWrap w:val="0"/>
            <w:vAlign w:val="center"/>
          </w:tcPr>
          <w:p>
            <w:pPr>
              <w:snapToGrid/>
              <w:spacing w:line="360" w:lineRule="exact"/>
              <w:ind w:right="126"/>
              <w:rPr>
                <w:color w:val="auto"/>
                <w:lang w:val="zh-CN"/>
              </w:rPr>
            </w:pP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rPr>
              <w:t>拟配备本项目的主要专业技术人员具有工程类相关专业工程师或以上职称的</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每人得</w:t>
            </w:r>
            <w:r>
              <w:rPr>
                <w:rFonts w:hint="eastAsia" w:ascii="宋体" w:hAnsi="宋体" w:cs="宋体"/>
                <w:color w:val="auto"/>
                <w:kern w:val="0"/>
                <w:szCs w:val="21"/>
                <w:highlight w:val="none"/>
                <w:lang w:val="en-US" w:eastAsia="zh-CN"/>
              </w:rPr>
              <w:t>0.5</w:t>
            </w:r>
            <w:r>
              <w:rPr>
                <w:rFonts w:hint="eastAsia" w:ascii="宋体" w:hAnsi="宋体" w:eastAsia="宋体" w:cs="宋体"/>
                <w:color w:val="auto"/>
                <w:kern w:val="0"/>
                <w:szCs w:val="21"/>
                <w:highlight w:val="none"/>
              </w:rPr>
              <w:t>分，</w:t>
            </w:r>
            <w:r>
              <w:rPr>
                <w:rFonts w:hint="eastAsia"/>
                <w:color w:val="auto"/>
                <w:lang w:val="zh-CN"/>
              </w:rPr>
              <w:t>本</w:t>
            </w:r>
            <w:r>
              <w:rPr>
                <w:rFonts w:hint="eastAsia"/>
                <w:color w:val="auto"/>
              </w:rPr>
              <w:t>小</w:t>
            </w:r>
            <w:r>
              <w:rPr>
                <w:rFonts w:hint="eastAsia"/>
                <w:color w:val="auto"/>
                <w:lang w:val="zh-CN"/>
              </w:rPr>
              <w:t>项最多得</w:t>
            </w:r>
            <w:r>
              <w:rPr>
                <w:rFonts w:hint="eastAsia"/>
                <w:color w:val="auto"/>
                <w:lang w:val="en-US" w:eastAsia="zh-CN"/>
              </w:rPr>
              <w:t>4</w:t>
            </w:r>
            <w:r>
              <w:rPr>
                <w:rFonts w:hint="eastAsia"/>
                <w:color w:val="auto"/>
                <w:lang w:val="zh-CN"/>
              </w:rPr>
              <w:t>分。</w:t>
            </w:r>
          </w:p>
          <w:p>
            <w:pPr>
              <w:spacing w:line="360" w:lineRule="exact"/>
              <w:ind w:right="126"/>
              <w:rPr>
                <w:color w:val="auto"/>
                <w:lang w:val="zh-CN"/>
              </w:rPr>
            </w:pPr>
            <w:r>
              <w:rPr>
                <w:rFonts w:hint="eastAsia"/>
                <w:color w:val="auto"/>
              </w:rPr>
              <w:t>2、</w:t>
            </w:r>
            <w:r>
              <w:rPr>
                <w:rFonts w:hint="eastAsia" w:ascii="宋体" w:hAnsi="宋体" w:eastAsia="宋体" w:cs="宋体"/>
                <w:color w:val="auto"/>
                <w:kern w:val="0"/>
                <w:szCs w:val="21"/>
                <w:highlight w:val="none"/>
              </w:rPr>
              <w:t>拟配备本项目的主要专业技术人员</w:t>
            </w:r>
            <w:r>
              <w:rPr>
                <w:rFonts w:hint="eastAsia"/>
                <w:color w:val="auto"/>
                <w:highlight w:val="none"/>
                <w:lang w:val="zh-CN"/>
              </w:rPr>
              <w:t>，</w:t>
            </w:r>
            <w:r>
              <w:rPr>
                <w:rFonts w:hint="eastAsia"/>
                <w:color w:val="auto"/>
                <w:highlight w:val="none"/>
                <w:lang w:val="en-US" w:eastAsia="zh-CN"/>
              </w:rPr>
              <w:t>在满足第“1”点的基础上，</w:t>
            </w:r>
            <w:r>
              <w:rPr>
                <w:rFonts w:hint="eastAsia"/>
                <w:color w:val="auto"/>
                <w:highlight w:val="none"/>
                <w:u w:val="single"/>
                <w:lang w:val="zh-CN"/>
              </w:rPr>
              <w:t>每增加</w:t>
            </w:r>
            <w:r>
              <w:rPr>
                <w:rFonts w:hint="eastAsia"/>
                <w:color w:val="auto"/>
                <w:highlight w:val="none"/>
                <w:lang w:val="zh-CN"/>
              </w:rPr>
              <w:t>一名具有注册岩土或注册测绘师资格</w:t>
            </w:r>
            <w:r>
              <w:rPr>
                <w:rFonts w:hint="eastAsia" w:ascii="宋体" w:hAnsi="宋体" w:eastAsia="宋体" w:cs="宋体"/>
                <w:color w:val="auto"/>
                <w:kern w:val="0"/>
                <w:szCs w:val="21"/>
                <w:highlight w:val="none"/>
              </w:rPr>
              <w:t>且</w:t>
            </w:r>
            <w:r>
              <w:rPr>
                <w:rFonts w:hint="eastAsia" w:ascii="宋体" w:hAnsi="宋体" w:eastAsia="宋体" w:cs="宋体"/>
                <w:color w:val="auto"/>
                <w:kern w:val="0"/>
                <w:szCs w:val="21"/>
                <w:highlight w:val="none"/>
                <w:lang w:val="en-US" w:eastAsia="zh-CN"/>
              </w:rPr>
              <w:t>具有</w:t>
            </w:r>
            <w:r>
              <w:rPr>
                <w:rFonts w:hint="eastAsia" w:ascii="宋体" w:hAnsi="宋体" w:eastAsia="宋体" w:cs="宋体"/>
                <w:color w:val="auto"/>
                <w:kern w:val="0"/>
                <w:szCs w:val="21"/>
                <w:highlight w:val="none"/>
              </w:rPr>
              <w:t>建筑变形测量或基坑监测检测员证的</w:t>
            </w:r>
            <w:r>
              <w:rPr>
                <w:rFonts w:hint="eastAsia"/>
                <w:color w:val="auto"/>
                <w:highlight w:val="none"/>
                <w:lang w:val="zh-CN"/>
              </w:rPr>
              <w:t>，每人得</w:t>
            </w:r>
            <w:r>
              <w:rPr>
                <w:rFonts w:hint="eastAsia"/>
                <w:color w:val="auto"/>
                <w:highlight w:val="none"/>
                <w:lang w:val="en-US" w:eastAsia="zh-CN"/>
              </w:rPr>
              <w:t>1</w:t>
            </w:r>
            <w:r>
              <w:rPr>
                <w:rFonts w:hint="eastAsia"/>
                <w:color w:val="auto"/>
                <w:highlight w:val="none"/>
                <w:lang w:val="zh-CN"/>
              </w:rPr>
              <w:t>分</w:t>
            </w:r>
            <w:r>
              <w:rPr>
                <w:rFonts w:hint="eastAsia" w:ascii="宋体" w:hAnsi="宋体" w:eastAsia="宋体" w:cs="宋体"/>
                <w:color w:val="auto"/>
                <w:kern w:val="0"/>
                <w:szCs w:val="21"/>
                <w:highlight w:val="none"/>
              </w:rPr>
              <w:t>，</w:t>
            </w:r>
            <w:r>
              <w:rPr>
                <w:rFonts w:hint="eastAsia"/>
                <w:color w:val="auto"/>
                <w:lang w:val="zh-CN"/>
              </w:rPr>
              <w:t>本</w:t>
            </w:r>
            <w:r>
              <w:rPr>
                <w:rFonts w:hint="eastAsia"/>
                <w:color w:val="auto"/>
              </w:rPr>
              <w:t>小</w:t>
            </w:r>
            <w:r>
              <w:rPr>
                <w:rFonts w:hint="eastAsia"/>
                <w:color w:val="auto"/>
                <w:lang w:val="zh-CN"/>
              </w:rPr>
              <w:t>项最多得</w:t>
            </w:r>
            <w:r>
              <w:rPr>
                <w:rFonts w:hint="eastAsia"/>
                <w:color w:val="auto"/>
                <w:lang w:val="en-US" w:eastAsia="zh-CN"/>
              </w:rPr>
              <w:t>2</w:t>
            </w:r>
            <w:r>
              <w:rPr>
                <w:rFonts w:hint="eastAsia"/>
                <w:color w:val="auto"/>
                <w:lang w:val="zh-CN"/>
              </w:rPr>
              <w:t>分。</w:t>
            </w:r>
          </w:p>
          <w:p>
            <w:pPr>
              <w:spacing w:line="360" w:lineRule="exact"/>
              <w:ind w:right="126"/>
              <w:rPr>
                <w:color w:val="auto"/>
                <w:lang w:val="zh-CN"/>
              </w:rPr>
            </w:pPr>
            <w:r>
              <w:rPr>
                <w:rFonts w:hint="eastAsia"/>
                <w:color w:val="auto"/>
                <w:lang w:val="zh-CN"/>
              </w:rPr>
              <w:t>注：本项最多得</w:t>
            </w:r>
            <w:r>
              <w:rPr>
                <w:rFonts w:hint="eastAsia"/>
                <w:color w:val="auto"/>
                <w:lang w:val="en-US" w:eastAsia="zh-CN"/>
              </w:rPr>
              <w:t>6</w:t>
            </w:r>
            <w:r>
              <w:rPr>
                <w:rFonts w:hint="eastAsia"/>
                <w:color w:val="auto"/>
                <w:lang w:val="zh-CN"/>
              </w:rPr>
              <w:t>分。</w:t>
            </w:r>
            <w:r>
              <w:rPr>
                <w:rFonts w:hint="eastAsia"/>
                <w:color w:val="auto"/>
                <w:lang w:val="en-US" w:eastAsia="zh-CN"/>
              </w:rPr>
              <w:t>须</w:t>
            </w:r>
            <w:r>
              <w:rPr>
                <w:rFonts w:hint="eastAsia"/>
                <w:color w:val="auto"/>
                <w:lang w:val="zh-CN"/>
              </w:rPr>
              <w:t>提供上述人员身份证、</w:t>
            </w:r>
            <w:r>
              <w:rPr>
                <w:rFonts w:hint="eastAsia"/>
                <w:color w:val="auto"/>
                <w:kern w:val="2"/>
                <w:sz w:val="21"/>
                <w:lang w:val="en-US" w:eastAsia="zh-CN"/>
              </w:rPr>
              <w:t>资格证、注册证、</w:t>
            </w:r>
            <w:r>
              <w:rPr>
                <w:rFonts w:hint="eastAsia"/>
                <w:color w:val="auto"/>
                <w:lang w:val="zh-CN"/>
              </w:rPr>
              <w:t>职称证</w:t>
            </w:r>
            <w:r>
              <w:rPr>
                <w:rFonts w:hint="eastAsia" w:ascii="宋体" w:cs="宋体"/>
                <w:color w:val="auto"/>
                <w:szCs w:val="21"/>
                <w:lang w:val="zh-CN"/>
              </w:rPr>
              <w:t>等相关证明复印件及</w:t>
            </w:r>
            <w:r>
              <w:rPr>
                <w:rFonts w:hint="eastAsia"/>
                <w:color w:val="auto"/>
              </w:rPr>
              <w:t>近半年以上</w:t>
            </w:r>
            <w:r>
              <w:rPr>
                <w:rFonts w:hint="eastAsia" w:ascii="宋体" w:cs="宋体"/>
                <w:color w:val="auto"/>
                <w:szCs w:val="21"/>
                <w:lang w:val="zh-CN"/>
              </w:rPr>
              <w:t>（包含</w:t>
            </w:r>
            <w:r>
              <w:rPr>
                <w:rFonts w:hint="eastAsia" w:ascii="Times New Roman" w:hAnsi="Times New Roman"/>
                <w:color w:val="auto"/>
                <w:kern w:val="2"/>
                <w:sz w:val="21"/>
                <w:lang w:val="en-US" w:eastAsia="zh-CN"/>
              </w:rPr>
              <w:t>2023年2月至</w:t>
            </w:r>
            <w:r>
              <w:rPr>
                <w:rFonts w:ascii="宋体" w:cs="宋体"/>
                <w:color w:val="auto"/>
                <w:szCs w:val="21"/>
                <w:lang w:val="zh-CN"/>
              </w:rPr>
              <w:t>2023年</w:t>
            </w:r>
            <w:r>
              <w:rPr>
                <w:rFonts w:hint="eastAsia" w:ascii="宋体" w:cs="宋体"/>
                <w:color w:val="auto"/>
                <w:szCs w:val="21"/>
                <w:lang w:val="en-US" w:eastAsia="zh-CN"/>
              </w:rPr>
              <w:t>7</w:t>
            </w:r>
            <w:r>
              <w:rPr>
                <w:rFonts w:hint="eastAsia" w:ascii="宋体" w:cs="宋体"/>
                <w:color w:val="auto"/>
                <w:szCs w:val="21"/>
                <w:lang w:val="zh-CN"/>
              </w:rPr>
              <w:t>月）</w:t>
            </w:r>
            <w:r>
              <w:rPr>
                <w:rFonts w:hint="eastAsia"/>
                <w:color w:val="auto"/>
              </w:rPr>
              <w:t>的</w:t>
            </w:r>
            <w:r>
              <w:rPr>
                <w:rFonts w:hint="eastAsia"/>
                <w:color w:val="auto"/>
                <w:lang w:val="zh-CN"/>
              </w:rPr>
              <w:t>社保证明</w:t>
            </w:r>
            <w:r>
              <w:rPr>
                <w:rFonts w:hint="eastAsia" w:ascii="宋体" w:cs="宋体"/>
                <w:color w:val="auto"/>
                <w:szCs w:val="21"/>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0" w:hRule="atLeast"/>
          <w:jc w:val="center"/>
        </w:trPr>
        <w:tc>
          <w:tcPr>
            <w:tcW w:w="1348" w:type="dxa"/>
            <w:tcBorders>
              <w:top w:val="nil"/>
              <w:left w:val="single" w:color="auto" w:sz="4" w:space="0"/>
              <w:bottom w:val="single" w:color="auto" w:sz="4" w:space="0"/>
              <w:right w:val="single" w:color="auto" w:sz="4" w:space="0"/>
            </w:tcBorders>
            <w:noWrap w:val="0"/>
            <w:tcMar>
              <w:left w:w="57" w:type="dxa"/>
              <w:right w:w="57" w:type="dxa"/>
            </w:tcMar>
            <w:vAlign w:val="top"/>
          </w:tcPr>
          <w:p>
            <w:pPr>
              <w:jc w:val="center"/>
              <w:rPr>
                <w:rFonts w:ascii="宋体"/>
                <w:color w:val="auto"/>
                <w:szCs w:val="21"/>
              </w:rPr>
            </w:pPr>
          </w:p>
          <w:p>
            <w:pPr>
              <w:jc w:val="center"/>
              <w:rPr>
                <w:rFonts w:ascii="宋体"/>
                <w:color w:val="auto"/>
                <w:szCs w:val="21"/>
              </w:rPr>
            </w:pPr>
          </w:p>
          <w:p>
            <w:pPr>
              <w:jc w:val="center"/>
              <w:rPr>
                <w:rFonts w:ascii="宋体"/>
                <w:color w:val="auto"/>
                <w:szCs w:val="21"/>
              </w:rPr>
            </w:pPr>
          </w:p>
          <w:p>
            <w:pPr>
              <w:jc w:val="center"/>
              <w:rPr>
                <w:rFonts w:ascii="宋体"/>
                <w:color w:val="auto"/>
                <w:szCs w:val="21"/>
              </w:rPr>
            </w:pPr>
          </w:p>
          <w:p>
            <w:pPr>
              <w:jc w:val="center"/>
              <w:rPr>
                <w:rFonts w:ascii="宋体"/>
                <w:color w:val="auto"/>
                <w:szCs w:val="21"/>
              </w:rPr>
            </w:pPr>
          </w:p>
          <w:p>
            <w:pPr>
              <w:jc w:val="center"/>
              <w:rPr>
                <w:rFonts w:ascii="宋体"/>
                <w:color w:val="auto"/>
                <w:szCs w:val="21"/>
              </w:rPr>
            </w:pPr>
          </w:p>
          <w:p>
            <w:pPr>
              <w:ind w:left="181" w:right="-20"/>
              <w:jc w:val="center"/>
              <w:rPr>
                <w:rFonts w:ascii="宋体"/>
                <w:color w:val="auto"/>
                <w:szCs w:val="21"/>
              </w:rPr>
            </w:pPr>
          </w:p>
          <w:p>
            <w:pPr>
              <w:jc w:val="center"/>
              <w:rPr>
                <w:rFonts w:ascii="宋体"/>
                <w:color w:val="auto"/>
                <w:szCs w:val="21"/>
              </w:rPr>
            </w:pPr>
          </w:p>
          <w:p>
            <w:pPr>
              <w:ind w:left="136" w:right="59"/>
              <w:jc w:val="center"/>
              <w:rPr>
                <w:rFonts w:ascii="宋体"/>
                <w:color w:val="auto"/>
                <w:szCs w:val="21"/>
              </w:rPr>
            </w:pPr>
          </w:p>
        </w:tc>
        <w:tc>
          <w:tcPr>
            <w:tcW w:w="101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ind w:right="-20"/>
              <w:jc w:val="center"/>
              <w:rPr>
                <w:rFonts w:ascii="宋体"/>
                <w:color w:val="auto"/>
                <w:szCs w:val="21"/>
              </w:rPr>
            </w:pPr>
          </w:p>
        </w:tc>
        <w:tc>
          <w:tcPr>
            <w:tcW w:w="133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ind w:right="-20"/>
              <w:jc w:val="center"/>
              <w:rPr>
                <w:rFonts w:ascii="宋体"/>
                <w:color w:val="auto"/>
                <w:szCs w:val="21"/>
              </w:rPr>
            </w:pPr>
            <w:r>
              <w:rPr>
                <w:rFonts w:hint="eastAsia" w:ascii="宋体"/>
                <w:color w:val="auto"/>
                <w:szCs w:val="21"/>
              </w:rPr>
              <w:t>拟投入本项</w:t>
            </w:r>
          </w:p>
          <w:p>
            <w:pPr>
              <w:ind w:right="-20"/>
              <w:jc w:val="center"/>
              <w:rPr>
                <w:rFonts w:ascii="宋体"/>
                <w:color w:val="auto"/>
                <w:szCs w:val="21"/>
              </w:rPr>
            </w:pPr>
            <w:r>
              <w:rPr>
                <w:rFonts w:hint="eastAsia" w:ascii="宋体"/>
                <w:color w:val="auto"/>
                <w:szCs w:val="21"/>
              </w:rPr>
              <w:t>的设备</w:t>
            </w:r>
          </w:p>
          <w:p>
            <w:pPr>
              <w:ind w:right="-20"/>
              <w:jc w:val="center"/>
              <w:rPr>
                <w:rFonts w:ascii="宋体"/>
                <w:color w:val="auto"/>
                <w:szCs w:val="21"/>
              </w:rPr>
            </w:pPr>
            <w:r>
              <w:rPr>
                <w:rFonts w:hint="eastAsia" w:ascii="宋体"/>
                <w:color w:val="auto"/>
                <w:szCs w:val="21"/>
              </w:rPr>
              <w:t>（</w:t>
            </w:r>
            <w:r>
              <w:rPr>
                <w:rFonts w:hint="eastAsia" w:ascii="宋体"/>
                <w:color w:val="auto"/>
                <w:szCs w:val="21"/>
                <w:lang w:val="en-US" w:eastAsia="zh-CN"/>
              </w:rPr>
              <w:t>10</w:t>
            </w:r>
            <w:r>
              <w:rPr>
                <w:rFonts w:hint="eastAsia" w:ascii="宋体"/>
                <w:color w:val="auto"/>
                <w:szCs w:val="21"/>
              </w:rPr>
              <w:t>分）</w:t>
            </w:r>
          </w:p>
        </w:tc>
        <w:tc>
          <w:tcPr>
            <w:tcW w:w="5805" w:type="dxa"/>
            <w:tcBorders>
              <w:top w:val="single" w:color="auto" w:sz="4" w:space="0"/>
              <w:left w:val="single" w:color="auto" w:sz="4" w:space="0"/>
              <w:bottom w:val="single" w:color="auto" w:sz="4" w:space="0"/>
              <w:right w:val="single" w:color="auto" w:sz="4" w:space="0"/>
            </w:tcBorders>
            <w:noWrap w:val="0"/>
            <w:vAlign w:val="center"/>
          </w:tcPr>
          <w:p>
            <w:pPr>
              <w:snapToGrid/>
              <w:spacing w:line="240" w:lineRule="auto"/>
              <w:ind w:right="0"/>
              <w:rPr>
                <w:rFonts w:hint="eastAsia" w:ascii="宋体" w:hAnsi="宋体" w:cs="宋体"/>
                <w:color w:val="auto"/>
                <w:kern w:val="0"/>
                <w:szCs w:val="21"/>
                <w:highlight w:val="none"/>
                <w:lang w:val="zh-CN"/>
              </w:rPr>
            </w:pPr>
            <w:r>
              <w:rPr>
                <w:rFonts w:hint="eastAsia" w:ascii="宋体" w:cs="宋体"/>
                <w:color w:val="auto"/>
                <w:szCs w:val="21"/>
                <w:highlight w:val="none"/>
                <w:lang w:val="zh-CN"/>
              </w:rPr>
              <w:t>优</w:t>
            </w:r>
            <w:r>
              <w:rPr>
                <w:rFonts w:hint="eastAsia" w:ascii="宋体" w:hAnsi="宋体" w:cs="宋体"/>
                <w:color w:val="auto"/>
                <w:kern w:val="0"/>
                <w:szCs w:val="21"/>
                <w:highlight w:val="none"/>
                <w:lang w:val="zh-CN"/>
              </w:rPr>
              <w:t>：设备齐全、先进、现代化，满足</w:t>
            </w:r>
            <w:r>
              <w:rPr>
                <w:rFonts w:hint="eastAsia" w:ascii="宋体" w:hAnsi="宋体" w:cs="宋体"/>
                <w:color w:val="auto"/>
                <w:kern w:val="0"/>
                <w:szCs w:val="21"/>
                <w:highlight w:val="none"/>
                <w:lang w:val="zh-CN" w:eastAsia="zh-CN"/>
              </w:rPr>
              <w:t>监</w:t>
            </w:r>
            <w:r>
              <w:rPr>
                <w:rFonts w:hint="eastAsia" w:ascii="宋体" w:hAnsi="宋体" w:cs="宋体"/>
                <w:color w:val="auto"/>
                <w:kern w:val="0"/>
                <w:szCs w:val="21"/>
                <w:highlight w:val="none"/>
                <w:lang w:val="zh-CN"/>
              </w:rPr>
              <w:t>测和工期需要，年检合格，得</w:t>
            </w:r>
            <w:r>
              <w:rPr>
                <w:rFonts w:hint="eastAsia" w:ascii="宋体" w:hAnsi="宋体" w:cs="宋体"/>
                <w:color w:val="auto"/>
                <w:kern w:val="0"/>
                <w:szCs w:val="21"/>
                <w:highlight w:val="none"/>
                <w:lang w:val="zh-CN" w:eastAsia="zh-CN"/>
              </w:rPr>
              <w:t>7-10</w:t>
            </w:r>
            <w:r>
              <w:rPr>
                <w:rFonts w:hint="eastAsia" w:ascii="宋体" w:hAnsi="宋体" w:cs="宋体"/>
                <w:color w:val="auto"/>
                <w:kern w:val="0"/>
                <w:szCs w:val="21"/>
                <w:highlight w:val="none"/>
                <w:lang w:val="zh-CN"/>
              </w:rPr>
              <w:t>分；</w:t>
            </w:r>
          </w:p>
          <w:p>
            <w:pPr>
              <w:snapToGrid/>
              <w:spacing w:line="240" w:lineRule="auto"/>
              <w:ind w:right="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良：设备齐全，满足</w:t>
            </w:r>
            <w:r>
              <w:rPr>
                <w:rFonts w:hint="eastAsia" w:ascii="宋体" w:hAnsi="宋体" w:cs="宋体"/>
                <w:color w:val="auto"/>
                <w:kern w:val="0"/>
                <w:szCs w:val="21"/>
                <w:highlight w:val="none"/>
                <w:lang w:val="zh-CN" w:eastAsia="zh-CN"/>
              </w:rPr>
              <w:t>监</w:t>
            </w:r>
            <w:r>
              <w:rPr>
                <w:rFonts w:hint="eastAsia" w:ascii="宋体" w:hAnsi="宋体" w:cs="宋体"/>
                <w:color w:val="auto"/>
                <w:kern w:val="0"/>
                <w:szCs w:val="21"/>
                <w:highlight w:val="none"/>
                <w:lang w:val="zh-CN"/>
              </w:rPr>
              <w:t>测和工期需要，设备年检合格，得</w:t>
            </w:r>
            <w:r>
              <w:rPr>
                <w:rFonts w:hint="eastAsia" w:ascii="宋体" w:hAnsi="宋体" w:cs="宋体"/>
                <w:color w:val="auto"/>
                <w:kern w:val="0"/>
                <w:szCs w:val="21"/>
                <w:highlight w:val="none"/>
                <w:lang w:val="zh-CN" w:eastAsia="zh-CN"/>
              </w:rPr>
              <w:t>4-6</w:t>
            </w:r>
            <w:r>
              <w:rPr>
                <w:rFonts w:hint="eastAsia" w:ascii="宋体" w:hAnsi="宋体" w:cs="宋体"/>
                <w:color w:val="auto"/>
                <w:kern w:val="0"/>
                <w:szCs w:val="21"/>
                <w:highlight w:val="none"/>
                <w:lang w:val="zh-CN"/>
              </w:rPr>
              <w:t>分；</w:t>
            </w:r>
          </w:p>
          <w:p>
            <w:pPr>
              <w:snapToGrid/>
              <w:spacing w:line="240" w:lineRule="auto"/>
              <w:ind w:right="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中：设备齐全，设备年检合格，基本满足</w:t>
            </w:r>
            <w:r>
              <w:rPr>
                <w:rFonts w:hint="eastAsia" w:ascii="宋体" w:hAnsi="宋体" w:cs="宋体"/>
                <w:color w:val="auto"/>
                <w:kern w:val="0"/>
                <w:szCs w:val="21"/>
                <w:highlight w:val="none"/>
                <w:lang w:val="zh-CN" w:eastAsia="zh-CN"/>
              </w:rPr>
              <w:t>监</w:t>
            </w:r>
            <w:r>
              <w:rPr>
                <w:rFonts w:hint="eastAsia" w:ascii="宋体" w:hAnsi="宋体" w:cs="宋体"/>
                <w:color w:val="auto"/>
                <w:kern w:val="0"/>
                <w:szCs w:val="21"/>
                <w:highlight w:val="none"/>
                <w:lang w:val="zh-CN"/>
              </w:rPr>
              <w:t>测和工期要求，得1-3分；</w:t>
            </w:r>
          </w:p>
          <w:p>
            <w:pPr>
              <w:snapToGrid/>
              <w:spacing w:line="240" w:lineRule="auto"/>
              <w:ind w:right="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差：设备不能满足</w:t>
            </w:r>
            <w:r>
              <w:rPr>
                <w:rFonts w:hint="eastAsia" w:ascii="宋体" w:hAnsi="宋体" w:cs="宋体"/>
                <w:color w:val="auto"/>
                <w:kern w:val="0"/>
                <w:szCs w:val="21"/>
                <w:highlight w:val="none"/>
                <w:lang w:val="zh-CN" w:eastAsia="zh-CN"/>
              </w:rPr>
              <w:t>监</w:t>
            </w:r>
            <w:r>
              <w:rPr>
                <w:rFonts w:hint="eastAsia" w:ascii="宋体" w:hAnsi="宋体" w:cs="宋体"/>
                <w:color w:val="auto"/>
                <w:kern w:val="0"/>
                <w:szCs w:val="21"/>
                <w:highlight w:val="none"/>
                <w:lang w:val="zh-CN"/>
              </w:rPr>
              <w:t>测和工期需要不得分。</w:t>
            </w:r>
          </w:p>
          <w:p>
            <w:pPr>
              <w:spacing w:line="240" w:lineRule="auto"/>
              <w:ind w:right="0"/>
              <w:rPr>
                <w:rFonts w:ascii="宋体"/>
                <w:b/>
                <w:color w:val="auto"/>
                <w:szCs w:val="21"/>
              </w:rPr>
            </w:pPr>
            <w:r>
              <w:rPr>
                <w:rFonts w:hint="eastAsia" w:ascii="宋体" w:hAnsi="宋体" w:cs="宋体"/>
                <w:color w:val="auto"/>
                <w:kern w:val="0"/>
                <w:szCs w:val="21"/>
                <w:highlight w:val="none"/>
                <w:lang w:val="zh-CN"/>
              </w:rPr>
              <w:t>注：以上按最高级别得分，不重复计算。投标人须同时提供发票（或租赁合同）和检定校准证书扫描件，并加盖投标人电子印</w:t>
            </w:r>
            <w:r>
              <w:rPr>
                <w:rFonts w:hint="eastAsia" w:ascii="宋体" w:cs="宋体"/>
                <w:color w:val="auto"/>
                <w:szCs w:val="21"/>
                <w:highlight w:val="none"/>
                <w:lang w:val="zh-CN"/>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atLeast"/>
          <w:jc w:val="center"/>
        </w:trPr>
        <w:tc>
          <w:tcPr>
            <w:tcW w:w="1348" w:type="dxa"/>
            <w:vMerge w:val="restart"/>
            <w:tcBorders>
              <w:top w:val="single" w:color="auto" w:sz="4" w:space="0"/>
              <w:left w:val="single" w:color="auto" w:sz="4" w:space="0"/>
              <w:right w:val="single" w:color="auto" w:sz="4" w:space="0"/>
            </w:tcBorders>
            <w:noWrap w:val="0"/>
            <w:vAlign w:val="center"/>
          </w:tcPr>
          <w:p>
            <w:pPr>
              <w:jc w:val="center"/>
              <w:rPr>
                <w:rFonts w:ascii="宋体"/>
                <w:color w:val="auto"/>
                <w:szCs w:val="21"/>
              </w:rPr>
            </w:pPr>
            <w:r>
              <w:rPr>
                <w:rFonts w:hint="eastAsia" w:ascii="宋体"/>
                <w:b/>
                <w:color w:val="auto"/>
                <w:szCs w:val="21"/>
              </w:rPr>
              <w:t>技术方案部分</w:t>
            </w:r>
            <w:r>
              <w:rPr>
                <w:rFonts w:hint="eastAsia" w:ascii="宋体" w:hAnsi="宋体" w:eastAsia="Calibri"/>
                <w:b/>
                <w:color w:val="auto"/>
                <w:szCs w:val="21"/>
              </w:rPr>
              <w:t>评分标准（</w:t>
            </w:r>
            <w:r>
              <w:rPr>
                <w:rFonts w:hint="eastAsia" w:ascii="宋体" w:eastAsia="宋体"/>
                <w:b/>
                <w:color w:val="auto"/>
                <w:szCs w:val="21"/>
                <w:lang w:val="en-US" w:eastAsia="zh-CN"/>
              </w:rPr>
              <w:t>25</w:t>
            </w:r>
            <w:r>
              <w:rPr>
                <w:rFonts w:hint="eastAsia" w:ascii="宋体" w:hAnsi="宋体" w:eastAsia="Calibri"/>
                <w:b/>
                <w:color w:val="auto"/>
                <w:szCs w:val="21"/>
              </w:rPr>
              <w:t>分）</w:t>
            </w:r>
          </w:p>
        </w:tc>
        <w:tc>
          <w:tcPr>
            <w:tcW w:w="2352" w:type="dxa"/>
            <w:gridSpan w:val="2"/>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jc w:val="center"/>
              <w:rPr>
                <w:rFonts w:ascii="宋体" w:hAnsi="宋体"/>
                <w:szCs w:val="21"/>
              </w:rPr>
            </w:pPr>
            <w:r>
              <w:rPr>
                <w:rFonts w:hint="eastAsia" w:ascii="宋体" w:hAnsi="宋体"/>
                <w:szCs w:val="21"/>
              </w:rPr>
              <w:t>项目检测方案</w:t>
            </w:r>
          </w:p>
          <w:p>
            <w:pPr>
              <w:jc w:val="center"/>
              <w:rPr>
                <w:rFonts w:ascii="宋体"/>
                <w:color w:val="auto"/>
                <w:szCs w:val="21"/>
              </w:rPr>
            </w:pPr>
            <w:r>
              <w:rPr>
                <w:rFonts w:hint="eastAsia" w:ascii="宋体" w:hAnsi="宋体"/>
                <w:szCs w:val="21"/>
              </w:rPr>
              <w:t>（</w:t>
            </w:r>
            <w:r>
              <w:rPr>
                <w:rFonts w:hint="eastAsia" w:ascii="宋体" w:hAnsi="宋体"/>
                <w:szCs w:val="21"/>
                <w:lang w:val="en-US" w:eastAsia="zh-CN"/>
              </w:rPr>
              <w:t>15</w:t>
            </w:r>
            <w:r>
              <w:rPr>
                <w:rFonts w:hint="eastAsia" w:ascii="宋体" w:hAnsi="宋体"/>
                <w:szCs w:val="21"/>
              </w:rPr>
              <w:t>分）</w:t>
            </w:r>
          </w:p>
        </w:tc>
        <w:tc>
          <w:tcPr>
            <w:tcW w:w="5805" w:type="dxa"/>
            <w:tcBorders>
              <w:top w:val="single" w:color="auto" w:sz="4" w:space="0"/>
              <w:left w:val="single" w:color="auto" w:sz="4" w:space="0"/>
              <w:bottom w:val="single" w:color="auto" w:sz="4" w:space="0"/>
              <w:right w:val="single" w:color="auto" w:sz="4" w:space="0"/>
            </w:tcBorders>
            <w:noWrap w:val="0"/>
            <w:vAlign w:val="top"/>
          </w:tcPr>
          <w:p>
            <w:pPr>
              <w:spacing w:line="360" w:lineRule="exact"/>
              <w:ind w:right="125"/>
              <w:rPr>
                <w:rFonts w:ascii="宋体" w:hAnsi="宋体" w:cs="宋体"/>
                <w:szCs w:val="21"/>
                <w:lang w:val="zh-CN"/>
              </w:rPr>
            </w:pPr>
            <w:r>
              <w:rPr>
                <w:rFonts w:hint="eastAsia" w:ascii="宋体" w:hAnsi="宋体" w:cs="宋体"/>
                <w:szCs w:val="21"/>
                <w:lang w:val="zh-CN"/>
              </w:rPr>
              <w:t>优：检测方案详细、具体，内容齐全，能满足本工程提出的所有项目，有合理可行的保证通过相关验收、满足工程进度确保措施，得</w:t>
            </w:r>
            <w:r>
              <w:rPr>
                <w:rFonts w:hint="eastAsia" w:ascii="宋体" w:hAnsi="宋体" w:cs="宋体"/>
                <w:szCs w:val="21"/>
                <w:lang w:val="en-US" w:eastAsia="zh-CN"/>
              </w:rPr>
              <w:t>11-15</w:t>
            </w:r>
            <w:r>
              <w:rPr>
                <w:rFonts w:hint="eastAsia" w:ascii="宋体" w:hAnsi="宋体" w:cs="宋体"/>
                <w:szCs w:val="21"/>
                <w:lang w:val="zh-CN"/>
              </w:rPr>
              <w:t>分；</w:t>
            </w:r>
          </w:p>
          <w:p>
            <w:pPr>
              <w:spacing w:line="360" w:lineRule="exact"/>
              <w:ind w:right="125"/>
              <w:rPr>
                <w:rFonts w:ascii="宋体" w:hAnsi="宋体" w:cs="宋体"/>
                <w:szCs w:val="21"/>
                <w:lang w:val="zh-CN"/>
              </w:rPr>
            </w:pPr>
            <w:r>
              <w:rPr>
                <w:rFonts w:hint="eastAsia" w:ascii="宋体" w:hAnsi="宋体" w:cs="宋体"/>
                <w:szCs w:val="21"/>
                <w:lang w:val="zh-CN"/>
              </w:rPr>
              <w:t>良：检测方案较详细、较具体，内容较齐全，有比较可行的保证通过相关验收、满足工程进度确保措施，得</w:t>
            </w:r>
            <w:r>
              <w:rPr>
                <w:rFonts w:hint="eastAsia" w:ascii="宋体" w:hAnsi="宋体" w:cs="宋体"/>
                <w:szCs w:val="21"/>
                <w:lang w:val="en-US" w:eastAsia="zh-CN"/>
              </w:rPr>
              <w:t>6-10</w:t>
            </w:r>
            <w:r>
              <w:rPr>
                <w:rFonts w:hint="eastAsia" w:ascii="宋体" w:hAnsi="宋体" w:cs="宋体"/>
                <w:szCs w:val="21"/>
                <w:lang w:val="zh-CN"/>
              </w:rPr>
              <w:t>分；</w:t>
            </w:r>
          </w:p>
          <w:p>
            <w:pPr>
              <w:spacing w:line="360" w:lineRule="exact"/>
              <w:ind w:right="125"/>
              <w:rPr>
                <w:rFonts w:ascii="宋体" w:hAnsi="宋体" w:cs="宋体"/>
                <w:szCs w:val="21"/>
                <w:lang w:val="zh-CN"/>
              </w:rPr>
            </w:pPr>
            <w:r>
              <w:rPr>
                <w:rFonts w:hint="eastAsia" w:ascii="宋体" w:hAnsi="宋体" w:cs="宋体"/>
                <w:szCs w:val="21"/>
                <w:lang w:val="zh-CN"/>
              </w:rPr>
              <w:t>中：检测方案基本内容满足要求，方法符合规范要求，有能通过相关验收、满足工程进度的确保措施，得</w:t>
            </w:r>
            <w:r>
              <w:rPr>
                <w:rFonts w:hint="eastAsia" w:ascii="宋体" w:hAnsi="宋体" w:cs="宋体"/>
                <w:szCs w:val="21"/>
              </w:rPr>
              <w:t>1</w:t>
            </w:r>
            <w:r>
              <w:rPr>
                <w:rFonts w:hint="eastAsia" w:ascii="宋体" w:hAnsi="宋体" w:cs="宋体"/>
                <w:szCs w:val="21"/>
                <w:lang w:val="zh-CN"/>
              </w:rPr>
              <w:t>-</w:t>
            </w:r>
            <w:r>
              <w:rPr>
                <w:rFonts w:hint="eastAsia" w:ascii="宋体" w:hAnsi="宋体" w:cs="宋体"/>
                <w:szCs w:val="21"/>
                <w:lang w:val="en-US" w:eastAsia="zh-CN"/>
              </w:rPr>
              <w:t>5</w:t>
            </w:r>
            <w:r>
              <w:rPr>
                <w:rFonts w:hint="eastAsia" w:ascii="宋体" w:hAnsi="宋体" w:cs="宋体"/>
                <w:szCs w:val="21"/>
                <w:lang w:val="zh-CN"/>
              </w:rPr>
              <w:t>分；</w:t>
            </w:r>
          </w:p>
          <w:p>
            <w:pPr>
              <w:spacing w:line="360" w:lineRule="exact"/>
              <w:ind w:right="125" w:rightChars="0"/>
              <w:rPr>
                <w:rFonts w:ascii="宋体"/>
                <w:color w:val="auto"/>
                <w:szCs w:val="21"/>
              </w:rPr>
            </w:pPr>
            <w:r>
              <w:rPr>
                <w:rFonts w:hint="eastAsia" w:ascii="宋体" w:hAnsi="宋体" w:cs="宋体"/>
                <w:szCs w:val="21"/>
                <w:lang w:val="zh-CN"/>
              </w:rPr>
              <w:t>差：方案基本内容阐述缺项，方法基本不能满足检测要求，不得分。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atLeast"/>
          <w:jc w:val="center"/>
        </w:trPr>
        <w:tc>
          <w:tcPr>
            <w:tcW w:w="1348" w:type="dxa"/>
            <w:vMerge w:val="continue"/>
            <w:tcBorders>
              <w:left w:val="single" w:color="auto" w:sz="4" w:space="0"/>
              <w:bottom w:val="single" w:color="auto" w:sz="4" w:space="0"/>
              <w:right w:val="single" w:color="auto" w:sz="4" w:space="0"/>
            </w:tcBorders>
            <w:noWrap w:val="0"/>
            <w:vAlign w:val="center"/>
          </w:tcPr>
          <w:p>
            <w:pPr>
              <w:jc w:val="center"/>
              <w:rPr>
                <w:rFonts w:hint="eastAsia" w:ascii="宋体"/>
                <w:b/>
                <w:color w:val="auto"/>
                <w:szCs w:val="21"/>
              </w:rPr>
            </w:pPr>
          </w:p>
        </w:tc>
        <w:tc>
          <w:tcPr>
            <w:tcW w:w="2352" w:type="dxa"/>
            <w:gridSpan w:val="2"/>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jc w:val="center"/>
              <w:rPr>
                <w:rFonts w:ascii="宋体"/>
                <w:color w:val="auto"/>
                <w:szCs w:val="21"/>
              </w:rPr>
            </w:pPr>
            <w:r>
              <w:rPr>
                <w:rFonts w:hint="eastAsia" w:ascii="宋体"/>
                <w:color w:val="auto"/>
                <w:szCs w:val="21"/>
              </w:rPr>
              <w:t>项目监测方案</w:t>
            </w:r>
          </w:p>
          <w:p>
            <w:pPr>
              <w:jc w:val="center"/>
              <w:rPr>
                <w:rFonts w:hint="eastAsia" w:ascii="宋体"/>
                <w:color w:val="auto"/>
                <w:szCs w:val="21"/>
              </w:rPr>
            </w:pPr>
            <w:r>
              <w:rPr>
                <w:rFonts w:hint="eastAsia" w:ascii="宋体"/>
                <w:color w:val="auto"/>
                <w:szCs w:val="21"/>
              </w:rPr>
              <w:t>（</w:t>
            </w:r>
            <w:r>
              <w:rPr>
                <w:rFonts w:hint="eastAsia" w:ascii="宋体"/>
                <w:color w:val="auto"/>
                <w:szCs w:val="21"/>
                <w:lang w:val="en-US" w:eastAsia="zh-CN"/>
              </w:rPr>
              <w:t>10</w:t>
            </w:r>
            <w:r>
              <w:rPr>
                <w:rFonts w:hint="eastAsia" w:ascii="宋体"/>
                <w:color w:val="auto"/>
                <w:szCs w:val="21"/>
              </w:rPr>
              <w:t>分）</w:t>
            </w:r>
          </w:p>
        </w:tc>
        <w:tc>
          <w:tcPr>
            <w:tcW w:w="5805" w:type="dxa"/>
            <w:tcBorders>
              <w:top w:val="single" w:color="auto" w:sz="4" w:space="0"/>
              <w:left w:val="single" w:color="auto" w:sz="4" w:space="0"/>
              <w:bottom w:val="single" w:color="auto" w:sz="4" w:space="0"/>
              <w:right w:val="single" w:color="auto" w:sz="4" w:space="0"/>
            </w:tcBorders>
            <w:noWrap w:val="0"/>
            <w:vAlign w:val="top"/>
          </w:tcPr>
          <w:p>
            <w:pPr>
              <w:spacing w:line="360" w:lineRule="exact"/>
              <w:ind w:right="125"/>
              <w:rPr>
                <w:rFonts w:ascii="宋体" w:cs="宋体"/>
                <w:color w:val="auto"/>
                <w:szCs w:val="21"/>
                <w:lang w:val="zh-CN"/>
              </w:rPr>
            </w:pPr>
            <w:r>
              <w:rPr>
                <w:rFonts w:hint="eastAsia" w:ascii="宋体" w:cs="宋体"/>
                <w:color w:val="auto"/>
                <w:szCs w:val="21"/>
                <w:lang w:val="zh-CN"/>
              </w:rPr>
              <w:t>优：</w:t>
            </w:r>
            <w:r>
              <w:rPr>
                <w:rFonts w:hint="eastAsia" w:ascii="宋体" w:cs="宋体"/>
                <w:color w:val="auto"/>
                <w:szCs w:val="21"/>
                <w:lang w:val="en-US" w:eastAsia="zh-CN"/>
              </w:rPr>
              <w:t>监</w:t>
            </w:r>
            <w:r>
              <w:rPr>
                <w:rFonts w:hint="eastAsia" w:ascii="宋体" w:cs="宋体"/>
                <w:color w:val="auto"/>
                <w:szCs w:val="21"/>
                <w:lang w:val="zh-CN"/>
              </w:rPr>
              <w:t>测方案详细、具体，内容齐全，能满足本工程提出的所有项目，有合理可行的保证通过相关验收、满足工程进度确保措施，得</w:t>
            </w:r>
            <w:r>
              <w:rPr>
                <w:rFonts w:hint="eastAsia" w:ascii="宋体" w:cs="宋体"/>
                <w:color w:val="auto"/>
                <w:szCs w:val="21"/>
                <w:lang w:val="en-US" w:eastAsia="zh-CN"/>
              </w:rPr>
              <w:t>7-10</w:t>
            </w:r>
            <w:r>
              <w:rPr>
                <w:rFonts w:hint="eastAsia" w:ascii="宋体" w:cs="宋体"/>
                <w:color w:val="auto"/>
                <w:szCs w:val="21"/>
                <w:lang w:val="zh-CN"/>
              </w:rPr>
              <w:t>分；</w:t>
            </w:r>
          </w:p>
          <w:p>
            <w:pPr>
              <w:spacing w:line="360" w:lineRule="exact"/>
              <w:ind w:right="125"/>
              <w:rPr>
                <w:rFonts w:ascii="宋体" w:cs="宋体"/>
                <w:color w:val="auto"/>
                <w:szCs w:val="21"/>
                <w:lang w:val="zh-CN"/>
              </w:rPr>
            </w:pPr>
            <w:r>
              <w:rPr>
                <w:rFonts w:hint="eastAsia" w:ascii="宋体" w:cs="宋体"/>
                <w:color w:val="auto"/>
                <w:szCs w:val="21"/>
                <w:lang w:val="zh-CN"/>
              </w:rPr>
              <w:t>良：</w:t>
            </w:r>
            <w:r>
              <w:rPr>
                <w:rFonts w:hint="eastAsia" w:ascii="宋体" w:cs="宋体"/>
                <w:color w:val="auto"/>
                <w:szCs w:val="21"/>
                <w:lang w:val="en-US" w:eastAsia="zh-CN"/>
              </w:rPr>
              <w:t>监</w:t>
            </w:r>
            <w:r>
              <w:rPr>
                <w:rFonts w:hint="eastAsia" w:ascii="宋体" w:cs="宋体"/>
                <w:color w:val="auto"/>
                <w:szCs w:val="21"/>
                <w:lang w:val="zh-CN"/>
              </w:rPr>
              <w:t>测方案较详细、较具体，内容较齐全，有比较可行的保证通过相关验收、满足工程进度确保措施，得</w:t>
            </w:r>
            <w:r>
              <w:rPr>
                <w:rFonts w:hint="eastAsia" w:ascii="宋体" w:cs="宋体"/>
                <w:color w:val="auto"/>
                <w:szCs w:val="21"/>
                <w:lang w:val="en-US" w:eastAsia="zh-CN"/>
              </w:rPr>
              <w:t>4-6</w:t>
            </w:r>
            <w:r>
              <w:rPr>
                <w:rFonts w:hint="eastAsia" w:ascii="宋体" w:cs="宋体"/>
                <w:color w:val="auto"/>
                <w:szCs w:val="21"/>
                <w:lang w:val="zh-CN"/>
              </w:rPr>
              <w:t>分；</w:t>
            </w:r>
          </w:p>
          <w:p>
            <w:pPr>
              <w:spacing w:line="360" w:lineRule="exact"/>
              <w:ind w:right="125"/>
              <w:rPr>
                <w:rFonts w:ascii="宋体" w:cs="宋体"/>
                <w:color w:val="auto"/>
                <w:szCs w:val="21"/>
                <w:lang w:val="zh-CN"/>
              </w:rPr>
            </w:pPr>
            <w:r>
              <w:rPr>
                <w:rFonts w:hint="eastAsia" w:ascii="宋体" w:cs="宋体"/>
                <w:color w:val="auto"/>
                <w:szCs w:val="21"/>
                <w:lang w:val="zh-CN"/>
              </w:rPr>
              <w:t>中：</w:t>
            </w:r>
            <w:r>
              <w:rPr>
                <w:rFonts w:hint="eastAsia" w:ascii="宋体" w:cs="宋体"/>
                <w:color w:val="auto"/>
                <w:szCs w:val="21"/>
                <w:lang w:val="en-US" w:eastAsia="zh-CN"/>
              </w:rPr>
              <w:t>监</w:t>
            </w:r>
            <w:r>
              <w:rPr>
                <w:rFonts w:hint="eastAsia" w:ascii="宋体" w:cs="宋体"/>
                <w:color w:val="auto"/>
                <w:szCs w:val="21"/>
                <w:lang w:val="zh-CN"/>
              </w:rPr>
              <w:t>测方案基本内容满足要求，方法符合规范要求，有能通过相关验收、满足工程进度的确保措施，得</w:t>
            </w:r>
            <w:r>
              <w:rPr>
                <w:rFonts w:hint="eastAsia" w:ascii="宋体" w:cs="宋体"/>
                <w:color w:val="auto"/>
                <w:szCs w:val="21"/>
                <w:lang w:val="en-US" w:eastAsia="zh-CN"/>
              </w:rPr>
              <w:t>1-3</w:t>
            </w:r>
            <w:r>
              <w:rPr>
                <w:rFonts w:hint="eastAsia" w:ascii="宋体" w:cs="宋体"/>
                <w:color w:val="auto"/>
                <w:szCs w:val="21"/>
                <w:lang w:val="zh-CN"/>
              </w:rPr>
              <w:t>分；</w:t>
            </w:r>
          </w:p>
          <w:p>
            <w:pPr>
              <w:spacing w:line="360" w:lineRule="exact"/>
              <w:ind w:right="125"/>
              <w:rPr>
                <w:rFonts w:hint="eastAsia" w:ascii="宋体" w:cs="宋体"/>
                <w:color w:val="auto"/>
                <w:szCs w:val="21"/>
                <w:lang w:val="zh-CN"/>
              </w:rPr>
            </w:pPr>
            <w:r>
              <w:rPr>
                <w:rFonts w:hint="eastAsia" w:ascii="宋体" w:cs="宋体"/>
                <w:color w:val="auto"/>
                <w:szCs w:val="21"/>
                <w:lang w:val="zh-CN"/>
              </w:rPr>
              <w:t>差：方案基本内容阐述缺项，方法基本不能满足</w:t>
            </w:r>
            <w:r>
              <w:rPr>
                <w:rFonts w:hint="eastAsia" w:ascii="宋体" w:cs="宋体"/>
                <w:color w:val="auto"/>
                <w:szCs w:val="21"/>
                <w:lang w:val="en-US" w:eastAsia="zh-CN"/>
              </w:rPr>
              <w:t>监</w:t>
            </w:r>
            <w:r>
              <w:rPr>
                <w:rFonts w:hint="eastAsia" w:ascii="宋体" w:cs="宋体"/>
                <w:color w:val="auto"/>
                <w:szCs w:val="21"/>
                <w:lang w:val="zh-CN"/>
              </w:rPr>
              <w:t>测要求，不得分。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34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jc w:val="center"/>
              <w:rPr>
                <w:rFonts w:ascii="宋体" w:hAnsi="宋体" w:eastAsia="Calibri" w:cs="Calibri"/>
                <w:b/>
                <w:color w:val="auto"/>
                <w:szCs w:val="21"/>
              </w:rPr>
            </w:pPr>
            <w:r>
              <w:rPr>
                <w:rFonts w:hint="eastAsia" w:ascii="宋体"/>
                <w:b/>
                <w:color w:val="auto"/>
                <w:szCs w:val="21"/>
              </w:rPr>
              <w:t>投标报价部分</w:t>
            </w:r>
            <w:r>
              <w:rPr>
                <w:rFonts w:hint="eastAsia" w:ascii="宋体" w:hAnsi="宋体" w:eastAsia="Calibri" w:cs="Calibri"/>
                <w:b/>
                <w:color w:val="auto"/>
                <w:szCs w:val="21"/>
              </w:rPr>
              <w:t>评分标准</w:t>
            </w:r>
          </w:p>
          <w:p>
            <w:pPr>
              <w:jc w:val="center"/>
              <w:rPr>
                <w:rFonts w:ascii="宋体" w:cs="宋体"/>
                <w:color w:val="auto"/>
                <w:szCs w:val="21"/>
              </w:rPr>
            </w:pPr>
            <w:r>
              <w:rPr>
                <w:rFonts w:hint="eastAsia" w:ascii="宋体" w:hAnsi="宋体" w:eastAsia="Calibri" w:cs="Calibri"/>
                <w:b/>
                <w:color w:val="auto"/>
                <w:szCs w:val="21"/>
              </w:rPr>
              <w:t>（</w:t>
            </w:r>
            <w:r>
              <w:rPr>
                <w:rFonts w:hint="eastAsia" w:ascii="宋体" w:cs="Calibri"/>
                <w:b/>
                <w:color w:val="auto"/>
                <w:szCs w:val="21"/>
              </w:rPr>
              <w:t>1</w:t>
            </w:r>
            <w:r>
              <w:rPr>
                <w:rFonts w:ascii="宋体" w:hAnsi="宋体" w:eastAsia="Calibri" w:cs="Calibri"/>
                <w:b/>
                <w:color w:val="auto"/>
                <w:szCs w:val="21"/>
              </w:rPr>
              <w:t>0</w:t>
            </w:r>
            <w:r>
              <w:rPr>
                <w:rFonts w:hint="eastAsia" w:ascii="宋体" w:hAnsi="宋体" w:eastAsia="Calibri" w:cs="Calibri"/>
                <w:b/>
                <w:color w:val="auto"/>
                <w:szCs w:val="21"/>
              </w:rPr>
              <w:t>分）</w:t>
            </w:r>
          </w:p>
        </w:tc>
        <w:tc>
          <w:tcPr>
            <w:tcW w:w="2352" w:type="dxa"/>
            <w:gridSpan w:val="2"/>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jc w:val="center"/>
              <w:rPr>
                <w:rFonts w:ascii="宋体" w:cs="宋体"/>
                <w:color w:val="auto"/>
                <w:szCs w:val="21"/>
              </w:rPr>
            </w:pPr>
            <w:r>
              <w:rPr>
                <w:rFonts w:hint="eastAsia" w:ascii="宋体" w:cs="宋体"/>
                <w:color w:val="auto"/>
                <w:szCs w:val="21"/>
              </w:rPr>
              <w:t>投标报价</w:t>
            </w:r>
          </w:p>
          <w:p>
            <w:pPr>
              <w:jc w:val="center"/>
              <w:rPr>
                <w:rFonts w:ascii="宋体" w:cs="宋体"/>
                <w:color w:val="auto"/>
                <w:szCs w:val="21"/>
              </w:rPr>
            </w:pPr>
            <w:r>
              <w:rPr>
                <w:rFonts w:hint="eastAsia" w:ascii="宋体" w:cs="宋体"/>
                <w:color w:val="auto"/>
                <w:szCs w:val="21"/>
              </w:rPr>
              <w:t>（1</w:t>
            </w:r>
            <w:r>
              <w:rPr>
                <w:rFonts w:ascii="宋体" w:cs="宋体"/>
                <w:color w:val="auto"/>
                <w:szCs w:val="21"/>
              </w:rPr>
              <w:t>0</w:t>
            </w:r>
            <w:r>
              <w:rPr>
                <w:rFonts w:hint="eastAsia" w:ascii="宋体" w:cs="宋体"/>
                <w:color w:val="auto"/>
                <w:szCs w:val="21"/>
              </w:rPr>
              <w:t>分）</w:t>
            </w:r>
          </w:p>
        </w:tc>
        <w:tc>
          <w:tcPr>
            <w:tcW w:w="5805" w:type="dxa"/>
            <w:tcBorders>
              <w:top w:val="single" w:color="auto" w:sz="4" w:space="0"/>
              <w:left w:val="single" w:color="auto" w:sz="4" w:space="0"/>
              <w:bottom w:val="single" w:color="auto" w:sz="4" w:space="0"/>
              <w:right w:val="single" w:color="auto" w:sz="4" w:space="0"/>
            </w:tcBorders>
            <w:noWrap w:val="0"/>
            <w:vAlign w:val="center"/>
          </w:tcPr>
          <w:p>
            <w:pPr>
              <w:pStyle w:val="27"/>
              <w:spacing w:line="360" w:lineRule="exact"/>
              <w:ind w:firstLine="0"/>
              <w:rPr>
                <w:rFonts w:ascii="宋体"/>
                <w:b/>
                <w:color w:val="auto"/>
                <w:szCs w:val="21"/>
              </w:rPr>
            </w:pPr>
            <w:r>
              <w:rPr>
                <w:rFonts w:hint="eastAsia" w:ascii="宋体" w:cs="宋体"/>
                <w:color w:val="auto"/>
                <w:szCs w:val="21"/>
              </w:rPr>
              <w:t>以评标基准价作为计算各有效投标报价得分的基础，当有效投标报价等于评标基准价时得10分；投标有效报价与评标基准价相比，每上偏1%扣1.0分，每下偏1%扣0.5分；最多减至0分止。得出投标人的投标报价得分。</w:t>
            </w:r>
          </w:p>
        </w:tc>
      </w:tr>
    </w:tbl>
    <w:p>
      <w:pPr>
        <w:spacing w:line="360" w:lineRule="auto"/>
        <w:jc w:val="center"/>
        <w:rPr>
          <w:rFonts w:ascii="宋体" w:cs="宋体"/>
          <w:b/>
          <w:bCs/>
          <w:color w:val="auto"/>
          <w:sz w:val="28"/>
          <w:szCs w:val="28"/>
        </w:rPr>
      </w:pPr>
    </w:p>
    <w:p>
      <w:pPr>
        <w:numPr>
          <w:ilvl w:val="0"/>
          <w:numId w:val="0"/>
        </w:numPr>
        <w:spacing w:before="0" w:beforeLines="-2147483648" w:line="360" w:lineRule="exact"/>
        <w:ind w:firstLine="420" w:firstLineChars="200"/>
        <w:jc w:val="left"/>
        <w:rPr>
          <w:rFonts w:hint="eastAsia" w:ascii="宋体" w:cs="宋体"/>
          <w:color w:val="auto"/>
          <w:szCs w:val="21"/>
        </w:rPr>
      </w:pPr>
      <w:r>
        <w:rPr>
          <w:rFonts w:hint="eastAsia" w:ascii="宋体" w:cs="宋体"/>
          <w:color w:val="auto"/>
          <w:szCs w:val="21"/>
        </w:rPr>
        <w:t>说明：1、拟投入本项目的设备：若为自有，须提供检测、监测设备的发票；若为租赁，则提交租赁合同。</w:t>
      </w:r>
    </w:p>
    <w:p>
      <w:pPr>
        <w:numPr>
          <w:ilvl w:val="0"/>
          <w:numId w:val="0"/>
        </w:numPr>
        <w:spacing w:before="0" w:beforeLines="-2147483648" w:line="360" w:lineRule="exact"/>
        <w:ind w:firstLine="420" w:firstLineChars="200"/>
        <w:jc w:val="left"/>
        <w:rPr>
          <w:rFonts w:hint="eastAsia" w:ascii="宋体" w:cs="宋体"/>
          <w:color w:val="auto"/>
          <w:szCs w:val="21"/>
        </w:rPr>
      </w:pPr>
      <w:r>
        <w:rPr>
          <w:rFonts w:hint="eastAsia" w:ascii="宋体" w:cs="宋体"/>
          <w:color w:val="auto"/>
          <w:szCs w:val="21"/>
        </w:rPr>
        <w:t>2、如投标人为联合体，项目负责人须为联合主办方的人员。本项目的项目负责人与技术负责人不能为同一人。如委派项目负责人与技术负责人为同一人，以项目负责人评分项计算得分、技术负责人评分项零分。</w:t>
      </w:r>
    </w:p>
    <w:p>
      <w:pPr>
        <w:numPr>
          <w:ilvl w:val="0"/>
          <w:numId w:val="0"/>
        </w:numPr>
        <w:spacing w:before="0" w:beforeLines="-2147483648" w:line="360" w:lineRule="exact"/>
        <w:ind w:firstLine="420" w:firstLineChars="200"/>
        <w:jc w:val="left"/>
        <w:rPr>
          <w:rFonts w:hint="eastAsia" w:ascii="宋体" w:cs="宋体"/>
          <w:color w:val="auto"/>
          <w:szCs w:val="21"/>
        </w:rPr>
      </w:pPr>
      <w:r>
        <w:rPr>
          <w:rFonts w:hint="eastAsia" w:ascii="宋体" w:cs="宋体"/>
          <w:color w:val="auto"/>
          <w:szCs w:val="21"/>
        </w:rPr>
        <w:t>3、省建设工程质量安全检测和鉴定协会颁发的与本项目相关证书，是指：地基与基桩承载力检测（静载荷试验）、桩身完整性检测（低应变）、桩身完整性检测（声波透射）、桩身完整性检测（钻孔取芯[</w:t>
      </w:r>
      <w:r>
        <w:rPr>
          <w:rFonts w:hint="eastAsia" w:ascii="宋体" w:cs="宋体"/>
          <w:color w:val="auto"/>
          <w:szCs w:val="21"/>
          <w:lang w:val="en-US" w:eastAsia="zh-CN"/>
        </w:rPr>
        <w:t>机长</w:t>
      </w:r>
      <w:r>
        <w:rPr>
          <w:rFonts w:hint="eastAsia" w:ascii="宋体" w:cs="宋体"/>
          <w:color w:val="auto"/>
          <w:szCs w:val="21"/>
        </w:rPr>
        <w:t>]）、岩土工程室内试验、岩土工程原位测试、混凝土结构实体检测、混凝土构件结构性能、建筑变形测量、建筑节能工程检测、建筑门窗检测（三性）、常用非金属材料检测、常用金属材料检测的检测员证书。</w:t>
      </w:r>
    </w:p>
    <w:p>
      <w:pPr>
        <w:ind w:firstLine="420" w:firstLineChars="200"/>
        <w:rPr>
          <w:rFonts w:hint="eastAsia" w:ascii="宋体" w:hAnsi="宋体"/>
          <w:color w:val="auto"/>
          <w:highlight w:val="none"/>
        </w:rPr>
      </w:pPr>
      <w:r>
        <w:rPr>
          <w:rFonts w:hint="eastAsia" w:ascii="宋体" w:cs="宋体"/>
          <w:color w:val="auto"/>
          <w:szCs w:val="21"/>
        </w:rPr>
        <w:t>4、以上所附人员证书证明文件均须提供原件扫描件或网页信息截图（含截图打印页）内容等证明材料必须加盖投标人公章且内容清晰可辨。如因原件扫描件或网页信息截图内容模糊或没有加盖投标人电子印章或投标人公章导致评标时无法判断的，后果由投标人自负。上述资料不提供或提供不完整或提供不符合要求的不得分。</w:t>
      </w:r>
    </w:p>
    <w:p>
      <w:pPr>
        <w:ind w:firstLine="420" w:firstLineChars="200"/>
        <w:rPr>
          <w:rFonts w:hint="eastAsia" w:ascii="宋体" w:hAnsi="宋体"/>
          <w:color w:val="auto"/>
          <w:highlight w:val="none"/>
        </w:rPr>
      </w:pPr>
      <w:r>
        <w:rPr>
          <w:rFonts w:hint="eastAsia" w:ascii="宋体" w:hAnsi="宋体"/>
          <w:color w:val="auto"/>
          <w:highlight w:val="none"/>
        </w:rPr>
        <w:br w:type="page"/>
      </w:r>
    </w:p>
    <w:p>
      <w:pPr>
        <w:pStyle w:val="5"/>
        <w:rPr>
          <w:color w:val="auto"/>
          <w:szCs w:val="21"/>
          <w:highlight w:val="none"/>
        </w:rPr>
      </w:pPr>
      <w:bookmarkStart w:id="115" w:name="_Toc30630"/>
      <w:r>
        <w:rPr>
          <w:rFonts w:hint="eastAsia"/>
          <w:color w:val="auto"/>
          <w:highlight w:val="none"/>
        </w:rPr>
        <w:t>附表五：算术复核表</w:t>
      </w:r>
      <w:bookmarkEnd w:id="115"/>
    </w:p>
    <w:p>
      <w:pPr>
        <w:spacing w:line="360" w:lineRule="auto"/>
        <w:jc w:val="center"/>
        <w:rPr>
          <w:rFonts w:ascii="宋体" w:hAnsi="宋体"/>
          <w:b/>
          <w:color w:val="auto"/>
          <w:sz w:val="36"/>
          <w:szCs w:val="36"/>
          <w:highlight w:val="none"/>
        </w:rPr>
      </w:pPr>
      <w:r>
        <w:rPr>
          <w:rFonts w:hint="eastAsia" w:ascii="宋体" w:hAnsi="宋体" w:cs="宋体"/>
          <w:color w:val="auto"/>
          <w:sz w:val="28"/>
          <w:szCs w:val="28"/>
          <w:highlight w:val="none"/>
        </w:rPr>
        <w:t>算术复核表</w:t>
      </w:r>
    </w:p>
    <w:p>
      <w:pPr>
        <w:adjustRightInd w:val="0"/>
        <w:snapToGrid w:val="0"/>
        <w:spacing w:line="360" w:lineRule="auto"/>
        <w:rPr>
          <w:rFonts w:ascii="宋体" w:hAnsi="宋体"/>
          <w:color w:val="auto"/>
          <w:szCs w:val="36"/>
          <w:highlight w:val="none"/>
          <w:u w:val="single"/>
        </w:rPr>
      </w:pPr>
      <w:r>
        <w:rPr>
          <w:rFonts w:hint="eastAsia" w:ascii="宋体" w:hAnsi="宋体"/>
          <w:color w:val="auto"/>
          <w:szCs w:val="21"/>
          <w:highlight w:val="none"/>
        </w:rPr>
        <w:t>项目名称：</w:t>
      </w:r>
      <w:r>
        <w:rPr>
          <w:rFonts w:hint="eastAsia" w:ascii="宋体" w:hAnsi="宋体"/>
          <w:color w:val="auto"/>
          <w:szCs w:val="21"/>
          <w:highlight w:val="none"/>
          <w:u w:val="single"/>
        </w:rPr>
        <w:t xml:space="preserve">                 </w:t>
      </w:r>
    </w:p>
    <w:tbl>
      <w:tblPr>
        <w:tblStyle w:val="29"/>
        <w:tblW w:w="0" w:type="auto"/>
        <w:jc w:val="center"/>
        <w:tblLayout w:type="fixed"/>
        <w:tblCellMar>
          <w:top w:w="0" w:type="dxa"/>
          <w:left w:w="108" w:type="dxa"/>
          <w:bottom w:w="0" w:type="dxa"/>
          <w:right w:w="108" w:type="dxa"/>
        </w:tblCellMar>
      </w:tblPr>
      <w:tblGrid>
        <w:gridCol w:w="727"/>
        <w:gridCol w:w="2057"/>
        <w:gridCol w:w="1701"/>
        <w:gridCol w:w="2410"/>
        <w:gridCol w:w="2866"/>
      </w:tblGrid>
      <w:tr>
        <w:tblPrEx>
          <w:tblCellMar>
            <w:top w:w="0" w:type="dxa"/>
            <w:left w:w="108" w:type="dxa"/>
            <w:bottom w:w="0" w:type="dxa"/>
            <w:right w:w="108" w:type="dxa"/>
          </w:tblCellMar>
        </w:tblPrEx>
        <w:trPr>
          <w:trHeight w:val="381" w:hRule="atLeast"/>
          <w:jc w:val="center"/>
        </w:trPr>
        <w:tc>
          <w:tcPr>
            <w:tcW w:w="727"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编号</w:t>
            </w:r>
          </w:p>
        </w:tc>
        <w:tc>
          <w:tcPr>
            <w:tcW w:w="2057" w:type="dxa"/>
            <w:tcBorders>
              <w:top w:val="single" w:color="auto" w:sz="4" w:space="0"/>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投标人名称</w:t>
            </w:r>
          </w:p>
        </w:tc>
        <w:tc>
          <w:tcPr>
            <w:tcW w:w="1701" w:type="dxa"/>
            <w:tcBorders>
              <w:top w:val="single" w:color="auto" w:sz="4" w:space="0"/>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原投标报价</w:t>
            </w:r>
            <w:r>
              <w:rPr>
                <w:rFonts w:ascii="宋体" w:hAnsi="宋体"/>
                <w:color w:val="auto"/>
                <w:szCs w:val="21"/>
                <w:highlight w:val="none"/>
              </w:rPr>
              <w:t>A</w:t>
            </w:r>
          </w:p>
        </w:tc>
        <w:tc>
          <w:tcPr>
            <w:tcW w:w="2410" w:type="dxa"/>
            <w:tcBorders>
              <w:top w:val="single" w:color="auto" w:sz="4" w:space="0"/>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算术复核后投标报价</w:t>
            </w:r>
            <w:r>
              <w:rPr>
                <w:rFonts w:ascii="宋体" w:hAnsi="宋体"/>
                <w:color w:val="auto"/>
                <w:szCs w:val="21"/>
                <w:highlight w:val="none"/>
              </w:rPr>
              <w:t>B</w:t>
            </w:r>
          </w:p>
        </w:tc>
        <w:tc>
          <w:tcPr>
            <w:tcW w:w="2866" w:type="dxa"/>
            <w:tcBorders>
              <w:top w:val="single" w:color="auto" w:sz="4" w:space="0"/>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误差率</w:t>
            </w:r>
            <w:r>
              <w:rPr>
                <w:rFonts w:ascii="宋体" w:hAnsi="宋体"/>
                <w:color w:val="auto"/>
                <w:szCs w:val="21"/>
                <w:highlight w:val="none"/>
              </w:rPr>
              <w:t>r=</w:t>
            </w:r>
            <w:r>
              <w:rPr>
                <w:rFonts w:hint="eastAsia" w:ascii="宋体" w:hAnsi="宋体"/>
                <w:color w:val="auto"/>
                <w:szCs w:val="21"/>
                <w:highlight w:val="none"/>
              </w:rPr>
              <w:t>︱</w:t>
            </w:r>
            <w:r>
              <w:rPr>
                <w:rFonts w:ascii="宋体" w:hAnsi="宋体"/>
                <w:color w:val="auto"/>
                <w:szCs w:val="21"/>
                <w:highlight w:val="none"/>
              </w:rPr>
              <w:t>A-B</w:t>
            </w:r>
            <w:r>
              <w:rPr>
                <w:rFonts w:hint="eastAsia" w:ascii="宋体" w:hAnsi="宋体"/>
                <w:color w:val="auto"/>
                <w:szCs w:val="21"/>
                <w:highlight w:val="none"/>
              </w:rPr>
              <w:t>︳</w:t>
            </w:r>
            <w:r>
              <w:rPr>
                <w:rFonts w:ascii="宋体" w:hAnsi="宋体"/>
                <w:color w:val="auto"/>
                <w:szCs w:val="21"/>
                <w:highlight w:val="none"/>
              </w:rPr>
              <w:t>/ A *100%</w:t>
            </w:r>
          </w:p>
        </w:tc>
      </w:tr>
      <w:tr>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1</w:t>
            </w:r>
          </w:p>
        </w:tc>
        <w:tc>
          <w:tcPr>
            <w:tcW w:w="2057"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c>
          <w:tcPr>
            <w:tcW w:w="1701"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c>
          <w:tcPr>
            <w:tcW w:w="2410"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c>
          <w:tcPr>
            <w:tcW w:w="2866"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r>
      <w:tr>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2</w:t>
            </w:r>
          </w:p>
        </w:tc>
        <w:tc>
          <w:tcPr>
            <w:tcW w:w="2057"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c>
          <w:tcPr>
            <w:tcW w:w="1701"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c>
          <w:tcPr>
            <w:tcW w:w="2410"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c>
          <w:tcPr>
            <w:tcW w:w="2866"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r>
      <w:tr>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3</w:t>
            </w:r>
          </w:p>
        </w:tc>
        <w:tc>
          <w:tcPr>
            <w:tcW w:w="2057"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c>
          <w:tcPr>
            <w:tcW w:w="1701"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c>
          <w:tcPr>
            <w:tcW w:w="2410"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c>
          <w:tcPr>
            <w:tcW w:w="2866"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r>
      <w:tr>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4</w:t>
            </w:r>
          </w:p>
        </w:tc>
        <w:tc>
          <w:tcPr>
            <w:tcW w:w="2057"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c>
          <w:tcPr>
            <w:tcW w:w="1701"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c>
          <w:tcPr>
            <w:tcW w:w="2410"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c>
          <w:tcPr>
            <w:tcW w:w="2866"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r>
      <w:tr>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5</w:t>
            </w:r>
          </w:p>
        </w:tc>
        <w:tc>
          <w:tcPr>
            <w:tcW w:w="2057"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c>
          <w:tcPr>
            <w:tcW w:w="1701"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c>
          <w:tcPr>
            <w:tcW w:w="2410"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c>
          <w:tcPr>
            <w:tcW w:w="2866"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r>
      <w:tr>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6</w:t>
            </w:r>
          </w:p>
        </w:tc>
        <w:tc>
          <w:tcPr>
            <w:tcW w:w="2057"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c>
          <w:tcPr>
            <w:tcW w:w="1701"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c>
          <w:tcPr>
            <w:tcW w:w="2410"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c>
          <w:tcPr>
            <w:tcW w:w="2866"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r>
      <w:tr>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7</w:t>
            </w:r>
          </w:p>
        </w:tc>
        <w:tc>
          <w:tcPr>
            <w:tcW w:w="2057"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c>
          <w:tcPr>
            <w:tcW w:w="1701"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c>
          <w:tcPr>
            <w:tcW w:w="2410"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c>
          <w:tcPr>
            <w:tcW w:w="2866"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r>
      <w:tr>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8</w:t>
            </w:r>
          </w:p>
        </w:tc>
        <w:tc>
          <w:tcPr>
            <w:tcW w:w="2057"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c>
          <w:tcPr>
            <w:tcW w:w="1701"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c>
          <w:tcPr>
            <w:tcW w:w="2410"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c>
          <w:tcPr>
            <w:tcW w:w="2866"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r>
      <w:tr>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9</w:t>
            </w:r>
          </w:p>
        </w:tc>
        <w:tc>
          <w:tcPr>
            <w:tcW w:w="2057"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c>
          <w:tcPr>
            <w:tcW w:w="1701"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c>
          <w:tcPr>
            <w:tcW w:w="2410"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c>
          <w:tcPr>
            <w:tcW w:w="2866"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r>
      <w:tr>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10</w:t>
            </w:r>
          </w:p>
        </w:tc>
        <w:tc>
          <w:tcPr>
            <w:tcW w:w="2057"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c>
          <w:tcPr>
            <w:tcW w:w="1701"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c>
          <w:tcPr>
            <w:tcW w:w="2410"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c>
          <w:tcPr>
            <w:tcW w:w="2866"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r>
      <w:tr>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w:t>
            </w:r>
          </w:p>
        </w:tc>
        <w:tc>
          <w:tcPr>
            <w:tcW w:w="2057"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c>
          <w:tcPr>
            <w:tcW w:w="1701"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c>
          <w:tcPr>
            <w:tcW w:w="2410"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c>
          <w:tcPr>
            <w:tcW w:w="2866"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r>
    </w:tbl>
    <w:p>
      <w:pPr>
        <w:snapToGrid w:val="0"/>
        <w:spacing w:line="240" w:lineRule="atLeast"/>
        <w:jc w:val="center"/>
        <w:rPr>
          <w:rFonts w:ascii="宋体" w:hAnsi="宋体"/>
          <w:color w:val="auto"/>
          <w:szCs w:val="21"/>
          <w:highlight w:val="none"/>
        </w:rPr>
      </w:pPr>
    </w:p>
    <w:p>
      <w:pPr>
        <w:pStyle w:val="27"/>
        <w:adjustRightInd w:val="0"/>
        <w:snapToGrid w:val="0"/>
        <w:spacing w:line="360" w:lineRule="auto"/>
        <w:ind w:firstLine="0"/>
        <w:rPr>
          <w:rFonts w:ascii="宋体" w:hAnsi="宋体"/>
          <w:color w:val="auto"/>
          <w:highlight w:val="none"/>
        </w:rPr>
      </w:pPr>
    </w:p>
    <w:p>
      <w:pPr>
        <w:pStyle w:val="5"/>
        <w:rPr>
          <w:color w:val="auto"/>
          <w:highlight w:val="none"/>
        </w:rPr>
      </w:pPr>
      <w:r>
        <w:rPr>
          <w:bCs/>
          <w:color w:val="auto"/>
          <w:highlight w:val="none"/>
        </w:rPr>
        <w:br w:type="page"/>
      </w:r>
      <w:bookmarkStart w:id="116" w:name="_Toc12627"/>
      <w:r>
        <w:rPr>
          <w:rFonts w:hint="eastAsia"/>
          <w:bCs/>
          <w:color w:val="auto"/>
          <w:highlight w:val="none"/>
        </w:rPr>
        <w:t>附表六：</w:t>
      </w:r>
      <w:r>
        <w:rPr>
          <w:rFonts w:hint="eastAsia"/>
          <w:color w:val="auto"/>
          <w:highlight w:val="none"/>
        </w:rPr>
        <w:t>报价得分计算表</w:t>
      </w:r>
      <w:bookmarkEnd w:id="116"/>
    </w:p>
    <w:p>
      <w:pPr>
        <w:spacing w:line="360" w:lineRule="auto"/>
        <w:jc w:val="center"/>
        <w:rPr>
          <w:rFonts w:ascii="宋体" w:hAnsi="宋体"/>
          <w:b/>
          <w:color w:val="auto"/>
          <w:sz w:val="36"/>
          <w:szCs w:val="36"/>
          <w:highlight w:val="none"/>
        </w:rPr>
      </w:pPr>
      <w:r>
        <w:rPr>
          <w:rFonts w:hint="eastAsia" w:ascii="宋体" w:hAnsi="宋体" w:cs="宋体"/>
          <w:color w:val="auto"/>
          <w:sz w:val="28"/>
          <w:szCs w:val="28"/>
          <w:highlight w:val="none"/>
        </w:rPr>
        <w:t>报价得分计算表</w:t>
      </w:r>
    </w:p>
    <w:p>
      <w:pPr>
        <w:adjustRightInd w:val="0"/>
        <w:snapToGrid w:val="0"/>
        <w:spacing w:line="360" w:lineRule="auto"/>
        <w:rPr>
          <w:rFonts w:ascii="宋体" w:hAnsi="宋体"/>
          <w:color w:val="auto"/>
          <w:szCs w:val="21"/>
          <w:highlight w:val="none"/>
          <w:u w:val="single"/>
        </w:rPr>
      </w:pPr>
      <w:r>
        <w:rPr>
          <w:rFonts w:hint="eastAsia" w:ascii="宋体" w:hAnsi="宋体"/>
          <w:color w:val="auto"/>
          <w:szCs w:val="21"/>
          <w:highlight w:val="none"/>
        </w:rPr>
        <w:t>项目名称：</w:t>
      </w:r>
      <w:r>
        <w:rPr>
          <w:rFonts w:hint="eastAsia" w:ascii="宋体" w:hAnsi="宋体"/>
          <w:color w:val="auto"/>
          <w:szCs w:val="21"/>
          <w:highlight w:val="none"/>
          <w:u w:val="single"/>
        </w:rPr>
        <w:t xml:space="preserve">             </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7"/>
        <w:gridCol w:w="665"/>
        <w:gridCol w:w="664"/>
        <w:gridCol w:w="664"/>
        <w:gridCol w:w="664"/>
        <w:gridCol w:w="664"/>
        <w:gridCol w:w="664"/>
        <w:gridCol w:w="664"/>
        <w:gridCol w:w="664"/>
        <w:gridCol w:w="664"/>
        <w:gridCol w:w="664"/>
        <w:gridCol w:w="664"/>
        <w:gridCol w:w="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1657" w:type="dxa"/>
            <w:vAlign w:val="center"/>
          </w:tcPr>
          <w:p>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投标人名称</w:t>
            </w:r>
          </w:p>
        </w:tc>
        <w:tc>
          <w:tcPr>
            <w:tcW w:w="665" w:type="dxa"/>
            <w:vAlign w:val="center"/>
          </w:tcPr>
          <w:p>
            <w:pPr>
              <w:snapToGrid w:val="0"/>
              <w:spacing w:line="240" w:lineRule="atLeast"/>
              <w:jc w:val="center"/>
              <w:rPr>
                <w:rFonts w:ascii="宋体" w:hAnsi="宋体"/>
                <w:color w:val="auto"/>
                <w:szCs w:val="21"/>
                <w:highlight w:val="none"/>
              </w:rPr>
            </w:pPr>
          </w:p>
        </w:tc>
        <w:tc>
          <w:tcPr>
            <w:tcW w:w="664" w:type="dxa"/>
            <w:vAlign w:val="center"/>
          </w:tcPr>
          <w:p>
            <w:pPr>
              <w:snapToGrid w:val="0"/>
              <w:spacing w:line="240" w:lineRule="atLeast"/>
              <w:jc w:val="center"/>
              <w:rPr>
                <w:rFonts w:ascii="宋体" w:hAnsi="宋体"/>
                <w:color w:val="auto"/>
                <w:szCs w:val="21"/>
                <w:highlight w:val="none"/>
              </w:rPr>
            </w:pPr>
          </w:p>
        </w:tc>
        <w:tc>
          <w:tcPr>
            <w:tcW w:w="664" w:type="dxa"/>
            <w:vAlign w:val="center"/>
          </w:tcPr>
          <w:p>
            <w:pPr>
              <w:snapToGrid w:val="0"/>
              <w:spacing w:line="240" w:lineRule="atLeast"/>
              <w:jc w:val="center"/>
              <w:rPr>
                <w:rFonts w:ascii="宋体" w:hAnsi="宋体"/>
                <w:color w:val="auto"/>
                <w:szCs w:val="21"/>
                <w:highlight w:val="none"/>
              </w:rPr>
            </w:pPr>
          </w:p>
        </w:tc>
        <w:tc>
          <w:tcPr>
            <w:tcW w:w="664" w:type="dxa"/>
            <w:vAlign w:val="center"/>
          </w:tcPr>
          <w:p>
            <w:pPr>
              <w:snapToGrid w:val="0"/>
              <w:spacing w:line="240" w:lineRule="atLeast"/>
              <w:jc w:val="center"/>
              <w:rPr>
                <w:rFonts w:ascii="宋体" w:hAnsi="宋体"/>
                <w:color w:val="auto"/>
                <w:szCs w:val="21"/>
                <w:highlight w:val="none"/>
              </w:rPr>
            </w:pPr>
          </w:p>
        </w:tc>
        <w:tc>
          <w:tcPr>
            <w:tcW w:w="664" w:type="dxa"/>
            <w:vAlign w:val="center"/>
          </w:tcPr>
          <w:p>
            <w:pPr>
              <w:snapToGrid w:val="0"/>
              <w:spacing w:line="240" w:lineRule="atLeast"/>
              <w:jc w:val="center"/>
              <w:rPr>
                <w:rFonts w:ascii="宋体" w:hAnsi="宋体"/>
                <w:color w:val="auto"/>
                <w:szCs w:val="21"/>
                <w:highlight w:val="none"/>
              </w:rPr>
            </w:pPr>
          </w:p>
        </w:tc>
        <w:tc>
          <w:tcPr>
            <w:tcW w:w="664" w:type="dxa"/>
            <w:vAlign w:val="center"/>
          </w:tcPr>
          <w:p>
            <w:pPr>
              <w:snapToGrid w:val="0"/>
              <w:spacing w:line="240" w:lineRule="atLeast"/>
              <w:jc w:val="center"/>
              <w:rPr>
                <w:rFonts w:ascii="宋体" w:hAnsi="宋体"/>
                <w:color w:val="auto"/>
                <w:szCs w:val="21"/>
                <w:highlight w:val="none"/>
              </w:rPr>
            </w:pPr>
          </w:p>
        </w:tc>
        <w:tc>
          <w:tcPr>
            <w:tcW w:w="664" w:type="dxa"/>
            <w:vAlign w:val="center"/>
          </w:tcPr>
          <w:p>
            <w:pPr>
              <w:snapToGrid w:val="0"/>
              <w:spacing w:line="240" w:lineRule="atLeast"/>
              <w:jc w:val="center"/>
              <w:rPr>
                <w:rFonts w:ascii="宋体" w:hAnsi="宋体"/>
                <w:color w:val="auto"/>
                <w:szCs w:val="21"/>
                <w:highlight w:val="none"/>
              </w:rPr>
            </w:pPr>
          </w:p>
        </w:tc>
        <w:tc>
          <w:tcPr>
            <w:tcW w:w="664" w:type="dxa"/>
            <w:vAlign w:val="center"/>
          </w:tcPr>
          <w:p>
            <w:pPr>
              <w:snapToGrid w:val="0"/>
              <w:spacing w:line="240" w:lineRule="atLeast"/>
              <w:jc w:val="center"/>
              <w:rPr>
                <w:rFonts w:ascii="宋体" w:hAnsi="宋体"/>
                <w:color w:val="auto"/>
                <w:szCs w:val="21"/>
                <w:highlight w:val="none"/>
              </w:rPr>
            </w:pPr>
          </w:p>
        </w:tc>
        <w:tc>
          <w:tcPr>
            <w:tcW w:w="664" w:type="dxa"/>
            <w:vAlign w:val="center"/>
          </w:tcPr>
          <w:p>
            <w:pPr>
              <w:snapToGrid w:val="0"/>
              <w:spacing w:line="240" w:lineRule="atLeast"/>
              <w:jc w:val="center"/>
              <w:rPr>
                <w:rFonts w:ascii="宋体" w:hAnsi="宋体"/>
                <w:color w:val="auto"/>
                <w:szCs w:val="21"/>
                <w:highlight w:val="none"/>
              </w:rPr>
            </w:pPr>
          </w:p>
        </w:tc>
        <w:tc>
          <w:tcPr>
            <w:tcW w:w="664" w:type="dxa"/>
            <w:vAlign w:val="center"/>
          </w:tcPr>
          <w:p>
            <w:pPr>
              <w:snapToGrid w:val="0"/>
              <w:spacing w:line="240" w:lineRule="atLeast"/>
              <w:jc w:val="center"/>
              <w:rPr>
                <w:rFonts w:ascii="宋体" w:hAnsi="宋体"/>
                <w:color w:val="auto"/>
                <w:szCs w:val="21"/>
                <w:highlight w:val="none"/>
              </w:rPr>
            </w:pPr>
          </w:p>
        </w:tc>
        <w:tc>
          <w:tcPr>
            <w:tcW w:w="664" w:type="dxa"/>
            <w:vAlign w:val="center"/>
          </w:tcPr>
          <w:p>
            <w:pPr>
              <w:snapToGrid w:val="0"/>
              <w:spacing w:line="240" w:lineRule="atLeast"/>
              <w:jc w:val="center"/>
              <w:rPr>
                <w:rFonts w:ascii="宋体" w:hAnsi="宋体"/>
                <w:color w:val="auto"/>
                <w:szCs w:val="21"/>
                <w:highlight w:val="none"/>
              </w:rPr>
            </w:pPr>
          </w:p>
        </w:tc>
        <w:tc>
          <w:tcPr>
            <w:tcW w:w="665" w:type="dxa"/>
            <w:vAlign w:val="center"/>
          </w:tcPr>
          <w:p>
            <w:pPr>
              <w:snapToGrid w:val="0"/>
              <w:spacing w:line="240" w:lineRule="atLeas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657" w:type="dxa"/>
            <w:vAlign w:val="center"/>
          </w:tcPr>
          <w:p>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投标报价（元）</w:t>
            </w:r>
          </w:p>
        </w:tc>
        <w:tc>
          <w:tcPr>
            <w:tcW w:w="665" w:type="dxa"/>
            <w:vAlign w:val="center"/>
          </w:tcPr>
          <w:p>
            <w:pPr>
              <w:snapToGrid w:val="0"/>
              <w:spacing w:line="240" w:lineRule="atLeast"/>
              <w:jc w:val="center"/>
              <w:rPr>
                <w:rFonts w:ascii="宋体" w:hAnsi="宋体"/>
                <w:color w:val="auto"/>
                <w:szCs w:val="21"/>
                <w:highlight w:val="none"/>
              </w:rPr>
            </w:pPr>
          </w:p>
        </w:tc>
        <w:tc>
          <w:tcPr>
            <w:tcW w:w="664" w:type="dxa"/>
            <w:vAlign w:val="center"/>
          </w:tcPr>
          <w:p>
            <w:pPr>
              <w:snapToGrid w:val="0"/>
              <w:spacing w:line="240" w:lineRule="atLeast"/>
              <w:jc w:val="center"/>
              <w:rPr>
                <w:rFonts w:ascii="宋体" w:hAnsi="宋体"/>
                <w:color w:val="auto"/>
                <w:szCs w:val="21"/>
                <w:highlight w:val="none"/>
              </w:rPr>
            </w:pPr>
          </w:p>
        </w:tc>
        <w:tc>
          <w:tcPr>
            <w:tcW w:w="664" w:type="dxa"/>
            <w:vAlign w:val="center"/>
          </w:tcPr>
          <w:p>
            <w:pPr>
              <w:snapToGrid w:val="0"/>
              <w:spacing w:line="240" w:lineRule="atLeast"/>
              <w:jc w:val="center"/>
              <w:rPr>
                <w:rFonts w:ascii="宋体" w:hAnsi="宋体"/>
                <w:color w:val="auto"/>
                <w:szCs w:val="21"/>
                <w:highlight w:val="none"/>
              </w:rPr>
            </w:pPr>
          </w:p>
        </w:tc>
        <w:tc>
          <w:tcPr>
            <w:tcW w:w="664" w:type="dxa"/>
            <w:vAlign w:val="center"/>
          </w:tcPr>
          <w:p>
            <w:pPr>
              <w:snapToGrid w:val="0"/>
              <w:spacing w:line="240" w:lineRule="atLeast"/>
              <w:jc w:val="center"/>
              <w:rPr>
                <w:rFonts w:ascii="宋体" w:hAnsi="宋体"/>
                <w:color w:val="auto"/>
                <w:szCs w:val="21"/>
                <w:highlight w:val="none"/>
              </w:rPr>
            </w:pPr>
          </w:p>
        </w:tc>
        <w:tc>
          <w:tcPr>
            <w:tcW w:w="664" w:type="dxa"/>
            <w:vAlign w:val="center"/>
          </w:tcPr>
          <w:p>
            <w:pPr>
              <w:snapToGrid w:val="0"/>
              <w:spacing w:line="240" w:lineRule="atLeast"/>
              <w:jc w:val="center"/>
              <w:rPr>
                <w:rFonts w:ascii="宋体" w:hAnsi="宋体"/>
                <w:color w:val="auto"/>
                <w:szCs w:val="21"/>
                <w:highlight w:val="none"/>
              </w:rPr>
            </w:pPr>
          </w:p>
        </w:tc>
        <w:tc>
          <w:tcPr>
            <w:tcW w:w="664" w:type="dxa"/>
            <w:vAlign w:val="center"/>
          </w:tcPr>
          <w:p>
            <w:pPr>
              <w:snapToGrid w:val="0"/>
              <w:spacing w:line="240" w:lineRule="atLeast"/>
              <w:jc w:val="center"/>
              <w:rPr>
                <w:rFonts w:ascii="宋体" w:hAnsi="宋体"/>
                <w:color w:val="auto"/>
                <w:szCs w:val="21"/>
                <w:highlight w:val="none"/>
              </w:rPr>
            </w:pPr>
          </w:p>
        </w:tc>
        <w:tc>
          <w:tcPr>
            <w:tcW w:w="664" w:type="dxa"/>
            <w:vAlign w:val="center"/>
          </w:tcPr>
          <w:p>
            <w:pPr>
              <w:snapToGrid w:val="0"/>
              <w:spacing w:line="240" w:lineRule="atLeast"/>
              <w:jc w:val="center"/>
              <w:rPr>
                <w:rFonts w:ascii="宋体" w:hAnsi="宋体"/>
                <w:color w:val="auto"/>
                <w:szCs w:val="21"/>
                <w:highlight w:val="none"/>
              </w:rPr>
            </w:pPr>
          </w:p>
        </w:tc>
        <w:tc>
          <w:tcPr>
            <w:tcW w:w="664" w:type="dxa"/>
            <w:vAlign w:val="center"/>
          </w:tcPr>
          <w:p>
            <w:pPr>
              <w:snapToGrid w:val="0"/>
              <w:spacing w:line="240" w:lineRule="atLeast"/>
              <w:jc w:val="center"/>
              <w:rPr>
                <w:rFonts w:ascii="宋体" w:hAnsi="宋体"/>
                <w:color w:val="auto"/>
                <w:szCs w:val="21"/>
                <w:highlight w:val="none"/>
              </w:rPr>
            </w:pPr>
          </w:p>
        </w:tc>
        <w:tc>
          <w:tcPr>
            <w:tcW w:w="664" w:type="dxa"/>
            <w:vAlign w:val="center"/>
          </w:tcPr>
          <w:p>
            <w:pPr>
              <w:snapToGrid w:val="0"/>
              <w:spacing w:line="240" w:lineRule="atLeast"/>
              <w:jc w:val="center"/>
              <w:rPr>
                <w:rFonts w:ascii="宋体" w:hAnsi="宋体"/>
                <w:color w:val="auto"/>
                <w:szCs w:val="21"/>
                <w:highlight w:val="none"/>
              </w:rPr>
            </w:pPr>
          </w:p>
        </w:tc>
        <w:tc>
          <w:tcPr>
            <w:tcW w:w="664" w:type="dxa"/>
            <w:vAlign w:val="center"/>
          </w:tcPr>
          <w:p>
            <w:pPr>
              <w:snapToGrid w:val="0"/>
              <w:spacing w:line="240" w:lineRule="atLeast"/>
              <w:jc w:val="center"/>
              <w:rPr>
                <w:rFonts w:ascii="宋体" w:hAnsi="宋体"/>
                <w:color w:val="auto"/>
                <w:szCs w:val="21"/>
                <w:highlight w:val="none"/>
              </w:rPr>
            </w:pPr>
          </w:p>
        </w:tc>
        <w:tc>
          <w:tcPr>
            <w:tcW w:w="664" w:type="dxa"/>
            <w:vAlign w:val="center"/>
          </w:tcPr>
          <w:p>
            <w:pPr>
              <w:snapToGrid w:val="0"/>
              <w:spacing w:line="240" w:lineRule="atLeast"/>
              <w:jc w:val="center"/>
              <w:rPr>
                <w:rFonts w:ascii="宋体" w:hAnsi="宋体"/>
                <w:color w:val="auto"/>
                <w:szCs w:val="21"/>
                <w:highlight w:val="none"/>
              </w:rPr>
            </w:pPr>
          </w:p>
        </w:tc>
        <w:tc>
          <w:tcPr>
            <w:tcW w:w="665" w:type="dxa"/>
            <w:vAlign w:val="center"/>
          </w:tcPr>
          <w:p>
            <w:pPr>
              <w:snapToGrid w:val="0"/>
              <w:spacing w:line="240" w:lineRule="atLeas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657" w:type="dxa"/>
            <w:vAlign w:val="center"/>
          </w:tcPr>
          <w:p>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评标参考价</w:t>
            </w:r>
          </w:p>
        </w:tc>
        <w:tc>
          <w:tcPr>
            <w:tcW w:w="7970" w:type="dxa"/>
            <w:gridSpan w:val="12"/>
            <w:vAlign w:val="center"/>
          </w:tcPr>
          <w:p>
            <w:pPr>
              <w:snapToGrid w:val="0"/>
              <w:spacing w:line="240" w:lineRule="atLeas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657" w:type="dxa"/>
            <w:vAlign w:val="center"/>
          </w:tcPr>
          <w:p>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偏差（%）</w:t>
            </w:r>
          </w:p>
        </w:tc>
        <w:tc>
          <w:tcPr>
            <w:tcW w:w="665" w:type="dxa"/>
            <w:vAlign w:val="center"/>
          </w:tcPr>
          <w:p>
            <w:pPr>
              <w:snapToGrid w:val="0"/>
              <w:spacing w:line="240" w:lineRule="atLeast"/>
              <w:jc w:val="center"/>
              <w:rPr>
                <w:rFonts w:ascii="宋体" w:hAnsi="宋体"/>
                <w:color w:val="auto"/>
                <w:szCs w:val="21"/>
                <w:highlight w:val="none"/>
              </w:rPr>
            </w:pPr>
          </w:p>
        </w:tc>
        <w:tc>
          <w:tcPr>
            <w:tcW w:w="664" w:type="dxa"/>
            <w:vAlign w:val="center"/>
          </w:tcPr>
          <w:p>
            <w:pPr>
              <w:snapToGrid w:val="0"/>
              <w:spacing w:line="240" w:lineRule="atLeast"/>
              <w:jc w:val="center"/>
              <w:rPr>
                <w:rFonts w:ascii="宋体" w:hAnsi="宋体"/>
                <w:color w:val="auto"/>
                <w:szCs w:val="21"/>
                <w:highlight w:val="none"/>
              </w:rPr>
            </w:pPr>
          </w:p>
        </w:tc>
        <w:tc>
          <w:tcPr>
            <w:tcW w:w="664" w:type="dxa"/>
            <w:vAlign w:val="center"/>
          </w:tcPr>
          <w:p>
            <w:pPr>
              <w:snapToGrid w:val="0"/>
              <w:spacing w:line="240" w:lineRule="atLeast"/>
              <w:jc w:val="center"/>
              <w:rPr>
                <w:rFonts w:ascii="宋体" w:hAnsi="宋体"/>
                <w:color w:val="auto"/>
                <w:szCs w:val="21"/>
                <w:highlight w:val="none"/>
              </w:rPr>
            </w:pPr>
          </w:p>
        </w:tc>
        <w:tc>
          <w:tcPr>
            <w:tcW w:w="664" w:type="dxa"/>
            <w:vAlign w:val="center"/>
          </w:tcPr>
          <w:p>
            <w:pPr>
              <w:snapToGrid w:val="0"/>
              <w:spacing w:line="240" w:lineRule="atLeast"/>
              <w:jc w:val="center"/>
              <w:rPr>
                <w:rFonts w:ascii="宋体" w:hAnsi="宋体"/>
                <w:color w:val="auto"/>
                <w:szCs w:val="21"/>
                <w:highlight w:val="none"/>
              </w:rPr>
            </w:pPr>
          </w:p>
        </w:tc>
        <w:tc>
          <w:tcPr>
            <w:tcW w:w="664" w:type="dxa"/>
            <w:vAlign w:val="center"/>
          </w:tcPr>
          <w:p>
            <w:pPr>
              <w:snapToGrid w:val="0"/>
              <w:spacing w:line="240" w:lineRule="atLeast"/>
              <w:jc w:val="center"/>
              <w:rPr>
                <w:rFonts w:ascii="宋体" w:hAnsi="宋体"/>
                <w:color w:val="auto"/>
                <w:szCs w:val="21"/>
                <w:highlight w:val="none"/>
              </w:rPr>
            </w:pPr>
          </w:p>
        </w:tc>
        <w:tc>
          <w:tcPr>
            <w:tcW w:w="664" w:type="dxa"/>
            <w:vAlign w:val="center"/>
          </w:tcPr>
          <w:p>
            <w:pPr>
              <w:snapToGrid w:val="0"/>
              <w:spacing w:line="240" w:lineRule="atLeast"/>
              <w:jc w:val="center"/>
              <w:rPr>
                <w:rFonts w:ascii="宋体" w:hAnsi="宋体"/>
                <w:color w:val="auto"/>
                <w:szCs w:val="21"/>
                <w:highlight w:val="none"/>
              </w:rPr>
            </w:pPr>
          </w:p>
        </w:tc>
        <w:tc>
          <w:tcPr>
            <w:tcW w:w="664" w:type="dxa"/>
            <w:vAlign w:val="center"/>
          </w:tcPr>
          <w:p>
            <w:pPr>
              <w:snapToGrid w:val="0"/>
              <w:spacing w:line="240" w:lineRule="atLeast"/>
              <w:jc w:val="center"/>
              <w:rPr>
                <w:rFonts w:ascii="宋体" w:hAnsi="宋体"/>
                <w:color w:val="auto"/>
                <w:szCs w:val="21"/>
                <w:highlight w:val="none"/>
              </w:rPr>
            </w:pPr>
          </w:p>
        </w:tc>
        <w:tc>
          <w:tcPr>
            <w:tcW w:w="664" w:type="dxa"/>
            <w:vAlign w:val="center"/>
          </w:tcPr>
          <w:p>
            <w:pPr>
              <w:snapToGrid w:val="0"/>
              <w:spacing w:line="240" w:lineRule="atLeast"/>
              <w:jc w:val="center"/>
              <w:rPr>
                <w:rFonts w:ascii="宋体" w:hAnsi="宋体"/>
                <w:color w:val="auto"/>
                <w:szCs w:val="21"/>
                <w:highlight w:val="none"/>
              </w:rPr>
            </w:pPr>
          </w:p>
        </w:tc>
        <w:tc>
          <w:tcPr>
            <w:tcW w:w="664" w:type="dxa"/>
            <w:vAlign w:val="center"/>
          </w:tcPr>
          <w:p>
            <w:pPr>
              <w:snapToGrid w:val="0"/>
              <w:spacing w:line="240" w:lineRule="atLeast"/>
              <w:jc w:val="center"/>
              <w:rPr>
                <w:rFonts w:ascii="宋体" w:hAnsi="宋体"/>
                <w:color w:val="auto"/>
                <w:szCs w:val="21"/>
                <w:highlight w:val="none"/>
              </w:rPr>
            </w:pPr>
          </w:p>
        </w:tc>
        <w:tc>
          <w:tcPr>
            <w:tcW w:w="664" w:type="dxa"/>
            <w:vAlign w:val="center"/>
          </w:tcPr>
          <w:p>
            <w:pPr>
              <w:snapToGrid w:val="0"/>
              <w:spacing w:line="240" w:lineRule="atLeast"/>
              <w:jc w:val="center"/>
              <w:rPr>
                <w:rFonts w:ascii="宋体" w:hAnsi="宋体"/>
                <w:color w:val="auto"/>
                <w:szCs w:val="21"/>
                <w:highlight w:val="none"/>
              </w:rPr>
            </w:pPr>
          </w:p>
        </w:tc>
        <w:tc>
          <w:tcPr>
            <w:tcW w:w="664" w:type="dxa"/>
            <w:vAlign w:val="center"/>
          </w:tcPr>
          <w:p>
            <w:pPr>
              <w:snapToGrid w:val="0"/>
              <w:spacing w:line="240" w:lineRule="atLeast"/>
              <w:jc w:val="center"/>
              <w:rPr>
                <w:rFonts w:ascii="宋体" w:hAnsi="宋体"/>
                <w:color w:val="auto"/>
                <w:szCs w:val="21"/>
                <w:highlight w:val="none"/>
              </w:rPr>
            </w:pPr>
          </w:p>
        </w:tc>
        <w:tc>
          <w:tcPr>
            <w:tcW w:w="665" w:type="dxa"/>
            <w:vAlign w:val="center"/>
          </w:tcPr>
          <w:p>
            <w:pPr>
              <w:snapToGrid w:val="0"/>
              <w:spacing w:line="240" w:lineRule="atLeas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1657" w:type="dxa"/>
            <w:vAlign w:val="center"/>
          </w:tcPr>
          <w:p>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减分</w:t>
            </w:r>
          </w:p>
        </w:tc>
        <w:tc>
          <w:tcPr>
            <w:tcW w:w="665" w:type="dxa"/>
            <w:vAlign w:val="center"/>
          </w:tcPr>
          <w:p>
            <w:pPr>
              <w:snapToGrid w:val="0"/>
              <w:spacing w:line="240" w:lineRule="atLeast"/>
              <w:jc w:val="center"/>
              <w:rPr>
                <w:rFonts w:ascii="宋体" w:hAnsi="宋体"/>
                <w:color w:val="auto"/>
                <w:szCs w:val="21"/>
                <w:highlight w:val="none"/>
              </w:rPr>
            </w:pPr>
          </w:p>
        </w:tc>
        <w:tc>
          <w:tcPr>
            <w:tcW w:w="664" w:type="dxa"/>
            <w:vAlign w:val="center"/>
          </w:tcPr>
          <w:p>
            <w:pPr>
              <w:snapToGrid w:val="0"/>
              <w:spacing w:line="240" w:lineRule="atLeast"/>
              <w:jc w:val="center"/>
              <w:rPr>
                <w:rFonts w:ascii="宋体" w:hAnsi="宋体"/>
                <w:color w:val="auto"/>
                <w:szCs w:val="21"/>
                <w:highlight w:val="none"/>
              </w:rPr>
            </w:pPr>
          </w:p>
        </w:tc>
        <w:tc>
          <w:tcPr>
            <w:tcW w:w="664" w:type="dxa"/>
            <w:vAlign w:val="center"/>
          </w:tcPr>
          <w:p>
            <w:pPr>
              <w:snapToGrid w:val="0"/>
              <w:spacing w:line="240" w:lineRule="atLeast"/>
              <w:jc w:val="center"/>
              <w:rPr>
                <w:rFonts w:ascii="宋体" w:hAnsi="宋体"/>
                <w:color w:val="auto"/>
                <w:szCs w:val="21"/>
                <w:highlight w:val="none"/>
              </w:rPr>
            </w:pPr>
          </w:p>
        </w:tc>
        <w:tc>
          <w:tcPr>
            <w:tcW w:w="664" w:type="dxa"/>
            <w:vAlign w:val="center"/>
          </w:tcPr>
          <w:p>
            <w:pPr>
              <w:snapToGrid w:val="0"/>
              <w:spacing w:line="240" w:lineRule="atLeast"/>
              <w:jc w:val="center"/>
              <w:rPr>
                <w:rFonts w:ascii="宋体" w:hAnsi="宋体"/>
                <w:color w:val="auto"/>
                <w:szCs w:val="21"/>
                <w:highlight w:val="none"/>
              </w:rPr>
            </w:pPr>
          </w:p>
        </w:tc>
        <w:tc>
          <w:tcPr>
            <w:tcW w:w="664" w:type="dxa"/>
            <w:vAlign w:val="center"/>
          </w:tcPr>
          <w:p>
            <w:pPr>
              <w:snapToGrid w:val="0"/>
              <w:spacing w:line="240" w:lineRule="atLeast"/>
              <w:jc w:val="center"/>
              <w:rPr>
                <w:rFonts w:ascii="宋体" w:hAnsi="宋体"/>
                <w:color w:val="auto"/>
                <w:szCs w:val="21"/>
                <w:highlight w:val="none"/>
              </w:rPr>
            </w:pPr>
          </w:p>
        </w:tc>
        <w:tc>
          <w:tcPr>
            <w:tcW w:w="664" w:type="dxa"/>
            <w:vAlign w:val="center"/>
          </w:tcPr>
          <w:p>
            <w:pPr>
              <w:snapToGrid w:val="0"/>
              <w:spacing w:line="240" w:lineRule="atLeast"/>
              <w:jc w:val="center"/>
              <w:rPr>
                <w:rFonts w:ascii="宋体" w:hAnsi="宋体"/>
                <w:color w:val="auto"/>
                <w:szCs w:val="21"/>
                <w:highlight w:val="none"/>
              </w:rPr>
            </w:pPr>
          </w:p>
        </w:tc>
        <w:tc>
          <w:tcPr>
            <w:tcW w:w="664" w:type="dxa"/>
            <w:vAlign w:val="center"/>
          </w:tcPr>
          <w:p>
            <w:pPr>
              <w:snapToGrid w:val="0"/>
              <w:spacing w:line="240" w:lineRule="atLeast"/>
              <w:jc w:val="center"/>
              <w:rPr>
                <w:rFonts w:ascii="宋体" w:hAnsi="宋体"/>
                <w:color w:val="auto"/>
                <w:szCs w:val="21"/>
                <w:highlight w:val="none"/>
              </w:rPr>
            </w:pPr>
          </w:p>
        </w:tc>
        <w:tc>
          <w:tcPr>
            <w:tcW w:w="664" w:type="dxa"/>
            <w:vAlign w:val="center"/>
          </w:tcPr>
          <w:p>
            <w:pPr>
              <w:snapToGrid w:val="0"/>
              <w:spacing w:line="240" w:lineRule="atLeast"/>
              <w:jc w:val="center"/>
              <w:rPr>
                <w:rFonts w:ascii="宋体" w:hAnsi="宋体"/>
                <w:color w:val="auto"/>
                <w:szCs w:val="21"/>
                <w:highlight w:val="none"/>
              </w:rPr>
            </w:pPr>
          </w:p>
        </w:tc>
        <w:tc>
          <w:tcPr>
            <w:tcW w:w="664" w:type="dxa"/>
            <w:vAlign w:val="center"/>
          </w:tcPr>
          <w:p>
            <w:pPr>
              <w:snapToGrid w:val="0"/>
              <w:spacing w:line="240" w:lineRule="atLeast"/>
              <w:jc w:val="center"/>
              <w:rPr>
                <w:rFonts w:ascii="宋体" w:hAnsi="宋体"/>
                <w:color w:val="auto"/>
                <w:szCs w:val="21"/>
                <w:highlight w:val="none"/>
              </w:rPr>
            </w:pPr>
          </w:p>
        </w:tc>
        <w:tc>
          <w:tcPr>
            <w:tcW w:w="664" w:type="dxa"/>
            <w:vAlign w:val="center"/>
          </w:tcPr>
          <w:p>
            <w:pPr>
              <w:snapToGrid w:val="0"/>
              <w:spacing w:line="240" w:lineRule="atLeast"/>
              <w:jc w:val="center"/>
              <w:rPr>
                <w:rFonts w:ascii="宋体" w:hAnsi="宋体"/>
                <w:color w:val="auto"/>
                <w:szCs w:val="21"/>
                <w:highlight w:val="none"/>
              </w:rPr>
            </w:pPr>
          </w:p>
        </w:tc>
        <w:tc>
          <w:tcPr>
            <w:tcW w:w="664" w:type="dxa"/>
            <w:vAlign w:val="center"/>
          </w:tcPr>
          <w:p>
            <w:pPr>
              <w:snapToGrid w:val="0"/>
              <w:spacing w:line="240" w:lineRule="atLeast"/>
              <w:jc w:val="center"/>
              <w:rPr>
                <w:rFonts w:ascii="宋体" w:hAnsi="宋体"/>
                <w:color w:val="auto"/>
                <w:szCs w:val="21"/>
                <w:highlight w:val="none"/>
              </w:rPr>
            </w:pPr>
          </w:p>
        </w:tc>
        <w:tc>
          <w:tcPr>
            <w:tcW w:w="665" w:type="dxa"/>
            <w:vAlign w:val="center"/>
          </w:tcPr>
          <w:p>
            <w:pPr>
              <w:snapToGrid w:val="0"/>
              <w:spacing w:line="240" w:lineRule="atLeas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657" w:type="dxa"/>
            <w:vAlign w:val="center"/>
          </w:tcPr>
          <w:p>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得分</w:t>
            </w:r>
          </w:p>
        </w:tc>
        <w:tc>
          <w:tcPr>
            <w:tcW w:w="665" w:type="dxa"/>
            <w:vAlign w:val="center"/>
          </w:tcPr>
          <w:p>
            <w:pPr>
              <w:snapToGrid w:val="0"/>
              <w:spacing w:line="240" w:lineRule="atLeast"/>
              <w:jc w:val="center"/>
              <w:rPr>
                <w:rFonts w:ascii="宋体" w:hAnsi="宋体"/>
                <w:color w:val="auto"/>
                <w:szCs w:val="21"/>
                <w:highlight w:val="none"/>
              </w:rPr>
            </w:pPr>
          </w:p>
        </w:tc>
        <w:tc>
          <w:tcPr>
            <w:tcW w:w="664" w:type="dxa"/>
            <w:vAlign w:val="center"/>
          </w:tcPr>
          <w:p>
            <w:pPr>
              <w:snapToGrid w:val="0"/>
              <w:spacing w:line="240" w:lineRule="atLeast"/>
              <w:jc w:val="center"/>
              <w:rPr>
                <w:rFonts w:ascii="宋体" w:hAnsi="宋体"/>
                <w:color w:val="auto"/>
                <w:szCs w:val="21"/>
                <w:highlight w:val="none"/>
              </w:rPr>
            </w:pPr>
          </w:p>
        </w:tc>
        <w:tc>
          <w:tcPr>
            <w:tcW w:w="664" w:type="dxa"/>
            <w:vAlign w:val="center"/>
          </w:tcPr>
          <w:p>
            <w:pPr>
              <w:snapToGrid w:val="0"/>
              <w:spacing w:line="240" w:lineRule="atLeast"/>
              <w:jc w:val="center"/>
              <w:rPr>
                <w:rFonts w:ascii="宋体" w:hAnsi="宋体"/>
                <w:color w:val="auto"/>
                <w:szCs w:val="21"/>
                <w:highlight w:val="none"/>
              </w:rPr>
            </w:pPr>
          </w:p>
        </w:tc>
        <w:tc>
          <w:tcPr>
            <w:tcW w:w="664" w:type="dxa"/>
            <w:vAlign w:val="center"/>
          </w:tcPr>
          <w:p>
            <w:pPr>
              <w:snapToGrid w:val="0"/>
              <w:spacing w:line="240" w:lineRule="atLeast"/>
              <w:jc w:val="center"/>
              <w:rPr>
                <w:rFonts w:ascii="宋体" w:hAnsi="宋体"/>
                <w:color w:val="auto"/>
                <w:szCs w:val="21"/>
                <w:highlight w:val="none"/>
              </w:rPr>
            </w:pPr>
          </w:p>
        </w:tc>
        <w:tc>
          <w:tcPr>
            <w:tcW w:w="664" w:type="dxa"/>
            <w:vAlign w:val="center"/>
          </w:tcPr>
          <w:p>
            <w:pPr>
              <w:snapToGrid w:val="0"/>
              <w:spacing w:line="240" w:lineRule="atLeast"/>
              <w:jc w:val="center"/>
              <w:rPr>
                <w:rFonts w:ascii="宋体" w:hAnsi="宋体"/>
                <w:color w:val="auto"/>
                <w:szCs w:val="21"/>
                <w:highlight w:val="none"/>
              </w:rPr>
            </w:pPr>
          </w:p>
        </w:tc>
        <w:tc>
          <w:tcPr>
            <w:tcW w:w="664" w:type="dxa"/>
            <w:vAlign w:val="center"/>
          </w:tcPr>
          <w:p>
            <w:pPr>
              <w:snapToGrid w:val="0"/>
              <w:spacing w:line="240" w:lineRule="atLeast"/>
              <w:jc w:val="center"/>
              <w:rPr>
                <w:rFonts w:ascii="宋体" w:hAnsi="宋体"/>
                <w:color w:val="auto"/>
                <w:szCs w:val="21"/>
                <w:highlight w:val="none"/>
              </w:rPr>
            </w:pPr>
          </w:p>
        </w:tc>
        <w:tc>
          <w:tcPr>
            <w:tcW w:w="664" w:type="dxa"/>
            <w:vAlign w:val="center"/>
          </w:tcPr>
          <w:p>
            <w:pPr>
              <w:snapToGrid w:val="0"/>
              <w:spacing w:line="240" w:lineRule="atLeast"/>
              <w:jc w:val="center"/>
              <w:rPr>
                <w:rFonts w:ascii="宋体" w:hAnsi="宋体"/>
                <w:color w:val="auto"/>
                <w:szCs w:val="21"/>
                <w:highlight w:val="none"/>
              </w:rPr>
            </w:pPr>
          </w:p>
        </w:tc>
        <w:tc>
          <w:tcPr>
            <w:tcW w:w="664" w:type="dxa"/>
            <w:vAlign w:val="center"/>
          </w:tcPr>
          <w:p>
            <w:pPr>
              <w:snapToGrid w:val="0"/>
              <w:spacing w:line="240" w:lineRule="atLeast"/>
              <w:jc w:val="center"/>
              <w:rPr>
                <w:rFonts w:ascii="宋体" w:hAnsi="宋体"/>
                <w:color w:val="auto"/>
                <w:szCs w:val="21"/>
                <w:highlight w:val="none"/>
              </w:rPr>
            </w:pPr>
          </w:p>
        </w:tc>
        <w:tc>
          <w:tcPr>
            <w:tcW w:w="664" w:type="dxa"/>
            <w:vAlign w:val="center"/>
          </w:tcPr>
          <w:p>
            <w:pPr>
              <w:snapToGrid w:val="0"/>
              <w:spacing w:line="240" w:lineRule="atLeast"/>
              <w:jc w:val="center"/>
              <w:rPr>
                <w:rFonts w:ascii="宋体" w:hAnsi="宋体"/>
                <w:color w:val="auto"/>
                <w:szCs w:val="21"/>
                <w:highlight w:val="none"/>
              </w:rPr>
            </w:pPr>
          </w:p>
        </w:tc>
        <w:tc>
          <w:tcPr>
            <w:tcW w:w="664" w:type="dxa"/>
            <w:vAlign w:val="center"/>
          </w:tcPr>
          <w:p>
            <w:pPr>
              <w:snapToGrid w:val="0"/>
              <w:spacing w:line="240" w:lineRule="atLeast"/>
              <w:jc w:val="center"/>
              <w:rPr>
                <w:rFonts w:ascii="宋体" w:hAnsi="宋体"/>
                <w:color w:val="auto"/>
                <w:szCs w:val="21"/>
                <w:highlight w:val="none"/>
              </w:rPr>
            </w:pPr>
          </w:p>
        </w:tc>
        <w:tc>
          <w:tcPr>
            <w:tcW w:w="664" w:type="dxa"/>
            <w:vAlign w:val="center"/>
          </w:tcPr>
          <w:p>
            <w:pPr>
              <w:snapToGrid w:val="0"/>
              <w:spacing w:line="240" w:lineRule="atLeast"/>
              <w:jc w:val="center"/>
              <w:rPr>
                <w:rFonts w:ascii="宋体" w:hAnsi="宋体"/>
                <w:color w:val="auto"/>
                <w:szCs w:val="21"/>
                <w:highlight w:val="none"/>
              </w:rPr>
            </w:pPr>
          </w:p>
        </w:tc>
        <w:tc>
          <w:tcPr>
            <w:tcW w:w="665" w:type="dxa"/>
            <w:vAlign w:val="center"/>
          </w:tcPr>
          <w:p>
            <w:pPr>
              <w:snapToGrid w:val="0"/>
              <w:spacing w:line="240" w:lineRule="atLeast"/>
              <w:jc w:val="center"/>
              <w:rPr>
                <w:rFonts w:ascii="宋体" w:hAnsi="宋体"/>
                <w:color w:val="auto"/>
                <w:szCs w:val="21"/>
                <w:highlight w:val="none"/>
              </w:rPr>
            </w:pPr>
          </w:p>
        </w:tc>
      </w:tr>
    </w:tbl>
    <w:p>
      <w:pPr>
        <w:pStyle w:val="2"/>
        <w:adjustRightInd w:val="0"/>
        <w:snapToGrid w:val="0"/>
        <w:rPr>
          <w:rFonts w:ascii="宋体" w:hAnsi="宋体" w:cs="宋体"/>
          <w:color w:val="auto"/>
          <w:kern w:val="0"/>
          <w:szCs w:val="21"/>
          <w:highlight w:val="none"/>
        </w:rPr>
      </w:pPr>
    </w:p>
    <w:p>
      <w:pPr>
        <w:pStyle w:val="2"/>
        <w:adjustRightInd w:val="0"/>
        <w:snapToGrid w:val="0"/>
        <w:spacing w:line="360" w:lineRule="auto"/>
        <w:ind w:firstLine="0"/>
        <w:rPr>
          <w:rFonts w:ascii="宋体" w:hAnsi="宋体"/>
          <w:color w:val="auto"/>
          <w:szCs w:val="36"/>
          <w:highlight w:val="none"/>
        </w:rPr>
      </w:pPr>
      <w:r>
        <w:rPr>
          <w:rFonts w:hint="eastAsia" w:ascii="宋体" w:hAnsi="宋体"/>
          <w:color w:val="auto"/>
          <w:szCs w:val="36"/>
          <w:highlight w:val="none"/>
        </w:rPr>
        <w:t>注：</w:t>
      </w:r>
      <w:r>
        <w:rPr>
          <w:rFonts w:hint="eastAsia" w:ascii="宋体" w:hAnsi="宋体"/>
          <w:color w:val="auto"/>
          <w:szCs w:val="21"/>
          <w:highlight w:val="none"/>
        </w:rPr>
        <w:t>当通过初步评审的有效投标人大于5名时，去掉一个最高价和一个最低价，取余下有效投标人的投标报价的算术平均值作为评标参考价；当通过初步评审的有效投标人小于或等于5名时取所有入围的有效投标人的投标报价的算术平均值作为评标参考价。</w:t>
      </w:r>
    </w:p>
    <w:p>
      <w:pPr>
        <w:pStyle w:val="2"/>
        <w:adjustRightInd w:val="0"/>
        <w:snapToGrid w:val="0"/>
        <w:spacing w:line="360" w:lineRule="auto"/>
        <w:ind w:firstLine="0"/>
        <w:rPr>
          <w:rFonts w:hint="eastAsia" w:ascii="宋体" w:hAnsi="宋体"/>
          <w:color w:val="auto"/>
          <w:szCs w:val="21"/>
          <w:highlight w:val="none"/>
        </w:rPr>
      </w:pPr>
      <w:r>
        <w:rPr>
          <w:rFonts w:hint="eastAsia" w:ascii="宋体" w:hAnsi="宋体"/>
          <w:color w:val="auto"/>
          <w:szCs w:val="21"/>
          <w:highlight w:val="none"/>
        </w:rPr>
        <w:t xml:space="preserve"> </w:t>
      </w:r>
    </w:p>
    <w:p>
      <w:pPr>
        <w:pStyle w:val="2"/>
        <w:adjustRightInd w:val="0"/>
        <w:snapToGrid w:val="0"/>
        <w:spacing w:line="360" w:lineRule="auto"/>
        <w:ind w:firstLine="0"/>
        <w:rPr>
          <w:rFonts w:ascii="宋体" w:hAnsi="宋体"/>
          <w:color w:val="auto"/>
          <w:szCs w:val="21"/>
          <w:highlight w:val="none"/>
        </w:rPr>
      </w:pPr>
      <w:r>
        <w:rPr>
          <w:rFonts w:hint="eastAsia" w:ascii="宋体" w:hAnsi="宋体"/>
          <w:color w:val="auto"/>
          <w:szCs w:val="21"/>
          <w:highlight w:val="none"/>
        </w:rPr>
        <w:t>评委签名：                                                 日期：</w:t>
      </w:r>
    </w:p>
    <w:p>
      <w:pPr>
        <w:pStyle w:val="5"/>
        <w:numPr>
          <w:ilvl w:val="0"/>
          <w:numId w:val="1"/>
        </w:numPr>
        <w:rPr>
          <w:color w:val="auto"/>
          <w:highlight w:val="none"/>
        </w:rPr>
      </w:pPr>
      <w:r>
        <w:rPr>
          <w:b w:val="0"/>
          <w:color w:val="auto"/>
          <w:spacing w:val="20"/>
          <w:highlight w:val="none"/>
        </w:rPr>
        <w:br w:type="page"/>
      </w:r>
      <w:bookmarkStart w:id="117" w:name="_Toc533357319"/>
      <w:bookmarkStart w:id="118" w:name="_Toc11628"/>
      <w:r>
        <w:rPr>
          <w:rFonts w:hint="eastAsia"/>
          <w:color w:val="auto"/>
          <w:highlight w:val="none"/>
        </w:rPr>
        <w:t>评标方法</w:t>
      </w:r>
      <w:bookmarkEnd w:id="117"/>
      <w:bookmarkEnd w:id="118"/>
    </w:p>
    <w:p>
      <w:pPr>
        <w:rPr>
          <w:rFonts w:ascii="宋体" w:hAnsi="宋体"/>
          <w:color w:val="auto"/>
          <w:highlight w:val="none"/>
        </w:rPr>
      </w:pP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本次评标采用综合评估法。评标委员会对满足招标文件实质性要求的投标文件，按照本章第2.2款规定的评分标准进行打分，并按得分由高到低顺序推荐中标候选人，排序的前一~三名为第一中标候选人、第二中标候选人和第三中标候选人。总得分相等时，以投标报价低的优先；报价也相等的，以检测方案得分高的优先；如果检测方案得分也相等，由评标委员会采用记名投票方式，以得票多的优先。</w:t>
      </w:r>
    </w:p>
    <w:p>
      <w:pPr>
        <w:rPr>
          <w:rFonts w:ascii="宋体" w:hAnsi="宋体"/>
          <w:color w:val="auto"/>
          <w:highlight w:val="none"/>
        </w:rPr>
      </w:pPr>
    </w:p>
    <w:p>
      <w:pPr>
        <w:pStyle w:val="5"/>
        <w:rPr>
          <w:color w:val="auto"/>
          <w:highlight w:val="none"/>
        </w:rPr>
      </w:pPr>
      <w:bookmarkStart w:id="119" w:name="bookmark85"/>
      <w:bookmarkEnd w:id="119"/>
      <w:bookmarkStart w:id="120" w:name="_Toc15152"/>
      <w:bookmarkStart w:id="121" w:name="_Toc533357320"/>
      <w:r>
        <w:rPr>
          <w:color w:val="auto"/>
          <w:highlight w:val="none"/>
        </w:rPr>
        <w:t xml:space="preserve">2. </w:t>
      </w:r>
      <w:r>
        <w:rPr>
          <w:rFonts w:hint="eastAsia"/>
          <w:color w:val="auto"/>
          <w:highlight w:val="none"/>
        </w:rPr>
        <w:t>评审标准</w:t>
      </w:r>
      <w:bookmarkEnd w:id="120"/>
      <w:bookmarkEnd w:id="121"/>
    </w:p>
    <w:p>
      <w:pPr>
        <w:rPr>
          <w:rFonts w:ascii="宋体" w:hAnsi="宋体"/>
          <w:color w:val="auto"/>
          <w:highlight w:val="none"/>
        </w:rPr>
      </w:pPr>
    </w:p>
    <w:p>
      <w:pPr>
        <w:pStyle w:val="7"/>
        <w:ind w:firstLine="420"/>
        <w:rPr>
          <w:color w:val="auto"/>
          <w:highlight w:val="none"/>
        </w:rPr>
      </w:pPr>
      <w:bookmarkStart w:id="122" w:name="bookmark86"/>
      <w:bookmarkEnd w:id="122"/>
      <w:r>
        <w:rPr>
          <w:color w:val="auto"/>
          <w:highlight w:val="none"/>
        </w:rPr>
        <w:t xml:space="preserve">2.1 </w:t>
      </w:r>
      <w:r>
        <w:rPr>
          <w:rFonts w:hint="eastAsia"/>
          <w:color w:val="auto"/>
          <w:highlight w:val="none"/>
        </w:rPr>
        <w:t>初步评审标准</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2.1.1</w:t>
      </w:r>
      <w:r>
        <w:rPr>
          <w:rFonts w:hint="eastAsia" w:ascii="宋体" w:hAnsi="宋体"/>
          <w:color w:val="auto"/>
          <w:sz w:val="24"/>
          <w:szCs w:val="24"/>
          <w:highlight w:val="none"/>
        </w:rPr>
        <w:t>形式评审标准：见评标办法前附表。</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2.1.2</w:t>
      </w:r>
      <w:r>
        <w:rPr>
          <w:rFonts w:hint="eastAsia" w:ascii="宋体" w:hAnsi="宋体"/>
          <w:color w:val="auto"/>
          <w:sz w:val="24"/>
          <w:szCs w:val="24"/>
          <w:highlight w:val="none"/>
        </w:rPr>
        <w:t>资格评审标准：见评标办法前附表。</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2.1.3</w:t>
      </w:r>
      <w:r>
        <w:rPr>
          <w:rFonts w:hint="eastAsia" w:ascii="宋体" w:hAnsi="宋体"/>
          <w:color w:val="auto"/>
          <w:sz w:val="24"/>
          <w:szCs w:val="24"/>
          <w:highlight w:val="none"/>
        </w:rPr>
        <w:t>响应性评审标准：见评标办法前附表。</w:t>
      </w:r>
    </w:p>
    <w:p>
      <w:pPr>
        <w:rPr>
          <w:rFonts w:ascii="宋体" w:hAnsi="宋体"/>
          <w:color w:val="auto"/>
          <w:highlight w:val="none"/>
        </w:rPr>
      </w:pPr>
    </w:p>
    <w:p>
      <w:pPr>
        <w:pStyle w:val="7"/>
        <w:rPr>
          <w:color w:val="auto"/>
          <w:highlight w:val="none"/>
        </w:rPr>
      </w:pPr>
      <w:bookmarkStart w:id="123" w:name="bookmark87"/>
      <w:bookmarkEnd w:id="123"/>
      <w:r>
        <w:rPr>
          <w:color w:val="auto"/>
          <w:highlight w:val="none"/>
        </w:rPr>
        <w:t xml:space="preserve">2.2 </w:t>
      </w:r>
      <w:r>
        <w:rPr>
          <w:rFonts w:hint="eastAsia"/>
          <w:color w:val="auto"/>
          <w:highlight w:val="none"/>
        </w:rPr>
        <w:t>分值构成与评分标准</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2.2.1</w:t>
      </w:r>
      <w:r>
        <w:rPr>
          <w:rFonts w:hint="eastAsia" w:ascii="宋体" w:hAnsi="宋体"/>
          <w:color w:val="auto"/>
          <w:sz w:val="24"/>
          <w:szCs w:val="24"/>
          <w:highlight w:val="none"/>
        </w:rPr>
        <w:t>分值构成</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rPr>
        <w:t>）企业综合实力部分：见评标办法前附表；</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2</w:t>
      </w:r>
      <w:r>
        <w:rPr>
          <w:rFonts w:hint="eastAsia" w:ascii="宋体" w:hAnsi="宋体"/>
          <w:color w:val="auto"/>
          <w:sz w:val="24"/>
          <w:szCs w:val="24"/>
          <w:highlight w:val="none"/>
        </w:rPr>
        <w:t>）技术方案部分：见评标办法前附表；</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3</w:t>
      </w:r>
      <w:r>
        <w:rPr>
          <w:rFonts w:hint="eastAsia" w:ascii="宋体" w:hAnsi="宋体"/>
          <w:color w:val="auto"/>
          <w:sz w:val="24"/>
          <w:szCs w:val="24"/>
          <w:highlight w:val="none"/>
        </w:rPr>
        <w:t>）投标报价部分：见评标办法前附表；</w:t>
      </w:r>
    </w:p>
    <w:p>
      <w:pPr>
        <w:spacing w:line="360" w:lineRule="auto"/>
        <w:ind w:firstLine="480" w:firstLineChars="200"/>
        <w:rPr>
          <w:rFonts w:ascii="宋体" w:hAnsi="宋体"/>
          <w:strike w:val="0"/>
          <w:dstrike w:val="0"/>
          <w:color w:val="auto"/>
          <w:sz w:val="24"/>
          <w:szCs w:val="24"/>
          <w:highlight w:val="none"/>
        </w:rPr>
      </w:pPr>
      <w:r>
        <w:rPr>
          <w:rFonts w:hint="eastAsia" w:ascii="宋体" w:hAnsi="宋体"/>
          <w:strike w:val="0"/>
          <w:dstrike w:val="0"/>
          <w:color w:val="auto"/>
          <w:sz w:val="24"/>
          <w:szCs w:val="24"/>
          <w:highlight w:val="none"/>
        </w:rPr>
        <w:t>（</w:t>
      </w:r>
      <w:r>
        <w:rPr>
          <w:rFonts w:ascii="宋体" w:hAnsi="宋体"/>
          <w:strike w:val="0"/>
          <w:dstrike w:val="0"/>
          <w:color w:val="auto"/>
          <w:sz w:val="24"/>
          <w:szCs w:val="24"/>
          <w:highlight w:val="none"/>
        </w:rPr>
        <w:t>4</w:t>
      </w:r>
      <w:r>
        <w:rPr>
          <w:rFonts w:hint="eastAsia" w:ascii="宋体" w:hAnsi="宋体"/>
          <w:strike w:val="0"/>
          <w:dstrike w:val="0"/>
          <w:color w:val="auto"/>
          <w:sz w:val="24"/>
          <w:szCs w:val="24"/>
          <w:highlight w:val="none"/>
        </w:rPr>
        <w:t>）其他因素部分：见评标办法前附表。</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2.2.2</w:t>
      </w:r>
      <w:r>
        <w:rPr>
          <w:rFonts w:hint="eastAsia" w:ascii="宋体" w:hAnsi="宋体"/>
          <w:color w:val="auto"/>
          <w:sz w:val="24"/>
          <w:szCs w:val="24"/>
          <w:highlight w:val="none"/>
        </w:rPr>
        <w:t>评标参考价计算</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评标参考价计算方法：见评标办法前附表。</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2.2.3</w:t>
      </w:r>
      <w:r>
        <w:rPr>
          <w:rFonts w:hint="eastAsia" w:ascii="宋体" w:hAnsi="宋体"/>
          <w:color w:val="auto"/>
          <w:sz w:val="24"/>
          <w:szCs w:val="24"/>
          <w:highlight w:val="none"/>
        </w:rPr>
        <w:t>投标报价的计算</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投标报价的偏差率计算公式：见评标办法前附表。</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2.2.4</w:t>
      </w:r>
      <w:r>
        <w:rPr>
          <w:rFonts w:hint="eastAsia" w:ascii="宋体" w:hAnsi="宋体"/>
          <w:color w:val="auto"/>
          <w:sz w:val="24"/>
          <w:szCs w:val="24"/>
          <w:highlight w:val="none"/>
        </w:rPr>
        <w:t>评分标准</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rPr>
        <w:t>）企业综合实力评分标准：见评标办法前附表；</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2</w:t>
      </w:r>
      <w:r>
        <w:rPr>
          <w:rFonts w:hint="eastAsia" w:ascii="宋体" w:hAnsi="宋体"/>
          <w:color w:val="auto"/>
          <w:sz w:val="24"/>
          <w:szCs w:val="24"/>
          <w:highlight w:val="none"/>
        </w:rPr>
        <w:t>）技术方案评分标准：见评标办法前附表；</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3</w:t>
      </w:r>
      <w:r>
        <w:rPr>
          <w:rFonts w:hint="eastAsia" w:ascii="宋体" w:hAnsi="宋体"/>
          <w:color w:val="auto"/>
          <w:sz w:val="24"/>
          <w:szCs w:val="24"/>
          <w:highlight w:val="none"/>
        </w:rPr>
        <w:t>）投标报价评分标准：见评标办法前附表；</w:t>
      </w:r>
    </w:p>
    <w:p>
      <w:pPr>
        <w:spacing w:line="360" w:lineRule="auto"/>
        <w:ind w:firstLine="480" w:firstLineChars="200"/>
        <w:rPr>
          <w:rFonts w:ascii="宋体" w:hAnsi="宋体"/>
          <w:strike w:val="0"/>
          <w:dstrike w:val="0"/>
          <w:color w:val="auto"/>
          <w:sz w:val="24"/>
          <w:szCs w:val="24"/>
          <w:highlight w:val="none"/>
        </w:rPr>
      </w:pPr>
      <w:r>
        <w:rPr>
          <w:rFonts w:hint="eastAsia" w:ascii="宋体" w:hAnsi="宋体"/>
          <w:strike w:val="0"/>
          <w:dstrike w:val="0"/>
          <w:color w:val="auto"/>
          <w:sz w:val="24"/>
          <w:szCs w:val="24"/>
          <w:highlight w:val="none"/>
        </w:rPr>
        <w:t>（</w:t>
      </w:r>
      <w:r>
        <w:rPr>
          <w:rFonts w:ascii="宋体" w:hAnsi="宋体"/>
          <w:strike w:val="0"/>
          <w:dstrike w:val="0"/>
          <w:color w:val="auto"/>
          <w:sz w:val="24"/>
          <w:szCs w:val="24"/>
          <w:highlight w:val="none"/>
        </w:rPr>
        <w:t>4</w:t>
      </w:r>
      <w:r>
        <w:rPr>
          <w:rFonts w:hint="eastAsia" w:ascii="宋体" w:hAnsi="宋体"/>
          <w:strike w:val="0"/>
          <w:dstrike w:val="0"/>
          <w:color w:val="auto"/>
          <w:sz w:val="24"/>
          <w:szCs w:val="24"/>
          <w:highlight w:val="none"/>
        </w:rPr>
        <w:t>）其他因素评分标准：见评标办法前附表。</w:t>
      </w:r>
    </w:p>
    <w:p>
      <w:pPr>
        <w:pStyle w:val="5"/>
        <w:rPr>
          <w:color w:val="auto"/>
          <w:highlight w:val="none"/>
        </w:rPr>
      </w:pPr>
      <w:bookmarkStart w:id="124" w:name="bookmark88"/>
      <w:bookmarkEnd w:id="124"/>
      <w:bookmarkStart w:id="125" w:name="_Toc533357321"/>
      <w:bookmarkStart w:id="126" w:name="_Toc21355"/>
      <w:r>
        <w:rPr>
          <w:color w:val="auto"/>
          <w:highlight w:val="none"/>
        </w:rPr>
        <w:t xml:space="preserve">3. </w:t>
      </w:r>
      <w:r>
        <w:rPr>
          <w:rFonts w:hint="eastAsia"/>
          <w:color w:val="auto"/>
          <w:highlight w:val="none"/>
        </w:rPr>
        <w:t>评标程序</w:t>
      </w:r>
      <w:bookmarkEnd w:id="125"/>
      <w:bookmarkEnd w:id="126"/>
    </w:p>
    <w:p>
      <w:pPr>
        <w:rPr>
          <w:rFonts w:ascii="宋体" w:hAnsi="宋体"/>
          <w:color w:val="auto"/>
          <w:highlight w:val="none"/>
        </w:rPr>
      </w:pPr>
    </w:p>
    <w:p>
      <w:pPr>
        <w:pStyle w:val="7"/>
        <w:rPr>
          <w:color w:val="auto"/>
          <w:highlight w:val="none"/>
        </w:rPr>
      </w:pPr>
      <w:bookmarkStart w:id="127" w:name="bookmark89"/>
      <w:bookmarkEnd w:id="127"/>
      <w:r>
        <w:rPr>
          <w:color w:val="auto"/>
          <w:highlight w:val="none"/>
        </w:rPr>
        <w:t xml:space="preserve">3.1 </w:t>
      </w:r>
      <w:r>
        <w:rPr>
          <w:rFonts w:hint="eastAsia"/>
          <w:color w:val="auto"/>
          <w:highlight w:val="none"/>
        </w:rPr>
        <w:t>初步评审</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3.1.1</w:t>
      </w:r>
      <w:r>
        <w:rPr>
          <w:rFonts w:hint="eastAsia" w:ascii="宋体" w:hAnsi="宋体"/>
          <w:color w:val="auto"/>
          <w:sz w:val="24"/>
          <w:szCs w:val="24"/>
          <w:highlight w:val="none"/>
        </w:rPr>
        <w:t>评标委员会可以要求投标人提交第二章“投标人须知”规定的有关证明和证件的原件，以便核验。评标委员会依据本章第</w:t>
      </w:r>
      <w:r>
        <w:rPr>
          <w:rFonts w:ascii="宋体" w:hAnsi="宋体"/>
          <w:color w:val="auto"/>
          <w:sz w:val="24"/>
          <w:szCs w:val="24"/>
          <w:highlight w:val="none"/>
        </w:rPr>
        <w:t>2.1</w:t>
      </w:r>
      <w:r>
        <w:rPr>
          <w:rFonts w:hint="eastAsia" w:ascii="宋体" w:hAnsi="宋体"/>
          <w:color w:val="auto"/>
          <w:sz w:val="24"/>
          <w:szCs w:val="24"/>
          <w:highlight w:val="none"/>
        </w:rPr>
        <w:t>款规定的标准对投标文件进行初步评审。有一项不符合评审标准的，评标委员会应当否决其投标。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3.1.2</w:t>
      </w:r>
      <w:r>
        <w:rPr>
          <w:rFonts w:hint="eastAsia" w:ascii="宋体" w:hAnsi="宋体"/>
          <w:color w:val="auto"/>
          <w:sz w:val="24"/>
          <w:szCs w:val="24"/>
          <w:highlight w:val="none"/>
        </w:rPr>
        <w:t>投标人有以下情形之一的，评标委员会应当否决其投标：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rPr>
        <w:t>）投标文件没有对招标文件的实质性要求和条件作出响应，或者对招标文件的偏差超出招标文件规定的偏差范围或最高项数；</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2</w:t>
      </w:r>
      <w:r>
        <w:rPr>
          <w:rFonts w:hint="eastAsia" w:ascii="宋体" w:hAnsi="宋体"/>
          <w:color w:val="auto"/>
          <w:sz w:val="24"/>
          <w:szCs w:val="24"/>
          <w:highlight w:val="none"/>
        </w:rPr>
        <w:t>）有串通投标、弄虚作假、行贿等违法行为。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3.1.3</w:t>
      </w:r>
      <w:r>
        <w:rPr>
          <w:rFonts w:hint="eastAsia" w:ascii="宋体" w:hAnsi="宋体"/>
          <w:color w:val="auto"/>
          <w:sz w:val="24"/>
          <w:szCs w:val="24"/>
          <w:highlight w:val="none"/>
        </w:rPr>
        <w:t>投标报价有算术错误及其他错误的，评标委员会按以下原则要求投标人对投标报价进行修正，并要求投标人书面澄清确认。投标人拒不澄清确认的，评标委员会应当否决其投标：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rPr>
        <w:t>）投标文件中的大写金额与小写金额不一致的，以大写金额为准；</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2</w:t>
      </w:r>
      <w:r>
        <w:rPr>
          <w:rFonts w:hint="eastAsia" w:ascii="宋体" w:hAnsi="宋体"/>
          <w:color w:val="auto"/>
          <w:sz w:val="24"/>
          <w:szCs w:val="24"/>
          <w:highlight w:val="none"/>
        </w:rPr>
        <w:t>）总价金额与单价金额不一致的，以单价金额为准，但单价金额小数点有明显错误的除外。</w:t>
      </w:r>
    </w:p>
    <w:p>
      <w:pPr>
        <w:rPr>
          <w:rFonts w:ascii="宋体" w:hAnsi="宋体"/>
          <w:color w:val="auto"/>
          <w:highlight w:val="none"/>
        </w:rPr>
      </w:pPr>
    </w:p>
    <w:p>
      <w:pPr>
        <w:pStyle w:val="7"/>
        <w:rPr>
          <w:color w:val="auto"/>
          <w:highlight w:val="none"/>
        </w:rPr>
      </w:pPr>
      <w:bookmarkStart w:id="128" w:name="bookmark90"/>
      <w:bookmarkEnd w:id="128"/>
      <w:r>
        <w:rPr>
          <w:color w:val="auto"/>
          <w:highlight w:val="none"/>
        </w:rPr>
        <w:t xml:space="preserve">3.2 </w:t>
      </w:r>
      <w:r>
        <w:rPr>
          <w:rFonts w:hint="eastAsia"/>
          <w:color w:val="auto"/>
          <w:highlight w:val="none"/>
        </w:rPr>
        <w:t>详细评审</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3.2.1</w:t>
      </w:r>
      <w:r>
        <w:rPr>
          <w:rFonts w:hint="eastAsia" w:ascii="宋体" w:hAnsi="宋体"/>
          <w:color w:val="auto"/>
          <w:sz w:val="24"/>
          <w:szCs w:val="24"/>
          <w:highlight w:val="none"/>
        </w:rPr>
        <w:t>评标委员会按本章第</w:t>
      </w:r>
      <w:r>
        <w:rPr>
          <w:rFonts w:ascii="宋体" w:hAnsi="宋体"/>
          <w:color w:val="auto"/>
          <w:sz w:val="24"/>
          <w:szCs w:val="24"/>
          <w:highlight w:val="none"/>
        </w:rPr>
        <w:t>2.2</w:t>
      </w:r>
      <w:r>
        <w:rPr>
          <w:rFonts w:hint="eastAsia" w:ascii="宋体" w:hAnsi="宋体"/>
          <w:color w:val="auto"/>
          <w:sz w:val="24"/>
          <w:szCs w:val="24"/>
          <w:highlight w:val="none"/>
        </w:rPr>
        <w:t>款规定的量化因素和分值进行打分，并计算出综合评估得分。</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rPr>
        <w:t>）按本章第</w:t>
      </w:r>
      <w:r>
        <w:rPr>
          <w:rFonts w:ascii="宋体" w:hAnsi="宋体"/>
          <w:color w:val="auto"/>
          <w:sz w:val="24"/>
          <w:szCs w:val="24"/>
          <w:highlight w:val="none"/>
        </w:rPr>
        <w:t>2.2.4</w:t>
      </w: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rPr>
        <w:t>）目规定的评审因素和分值对企业综合实力部分计算出得分</w:t>
      </w:r>
      <w:r>
        <w:rPr>
          <w:rFonts w:hint="eastAsia" w:ascii="宋体" w:hAnsi="宋体"/>
          <w:b/>
          <w:color w:val="auto"/>
          <w:szCs w:val="21"/>
          <w:highlight w:val="none"/>
        </w:rPr>
        <w:t>A</w:t>
      </w:r>
      <w:r>
        <w:rPr>
          <w:rFonts w:hint="eastAsia" w:ascii="宋体" w:hAnsi="宋体"/>
          <w:color w:val="auto"/>
          <w:sz w:val="24"/>
          <w:szCs w:val="24"/>
          <w:highlight w:val="none"/>
        </w:rPr>
        <w:t>；</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2</w:t>
      </w:r>
      <w:r>
        <w:rPr>
          <w:rFonts w:hint="eastAsia" w:ascii="宋体" w:hAnsi="宋体"/>
          <w:color w:val="auto"/>
          <w:sz w:val="24"/>
          <w:szCs w:val="24"/>
          <w:highlight w:val="none"/>
        </w:rPr>
        <w:t>）按本章第</w:t>
      </w:r>
      <w:r>
        <w:rPr>
          <w:rFonts w:ascii="宋体" w:hAnsi="宋体"/>
          <w:color w:val="auto"/>
          <w:sz w:val="24"/>
          <w:szCs w:val="24"/>
          <w:highlight w:val="none"/>
        </w:rPr>
        <w:t>2.2.4</w:t>
      </w:r>
      <w:r>
        <w:rPr>
          <w:rFonts w:hint="eastAsia" w:ascii="宋体" w:hAnsi="宋体"/>
          <w:color w:val="auto"/>
          <w:sz w:val="24"/>
          <w:szCs w:val="24"/>
          <w:highlight w:val="none"/>
        </w:rPr>
        <w:t>（</w:t>
      </w:r>
      <w:r>
        <w:rPr>
          <w:rFonts w:ascii="宋体" w:hAnsi="宋体"/>
          <w:color w:val="auto"/>
          <w:sz w:val="24"/>
          <w:szCs w:val="24"/>
          <w:highlight w:val="none"/>
        </w:rPr>
        <w:t>2</w:t>
      </w:r>
      <w:r>
        <w:rPr>
          <w:rFonts w:hint="eastAsia" w:ascii="宋体" w:hAnsi="宋体"/>
          <w:color w:val="auto"/>
          <w:sz w:val="24"/>
          <w:szCs w:val="24"/>
          <w:highlight w:val="none"/>
        </w:rPr>
        <w:t>）目规定的评审因素和分值对技术方案部分计算出得分</w:t>
      </w:r>
      <w:r>
        <w:rPr>
          <w:rFonts w:hint="eastAsia" w:ascii="宋体" w:hAnsi="宋体"/>
          <w:b/>
          <w:color w:val="auto"/>
          <w:szCs w:val="21"/>
          <w:highlight w:val="none"/>
        </w:rPr>
        <w:t>B</w:t>
      </w:r>
      <w:r>
        <w:rPr>
          <w:rFonts w:hint="eastAsia" w:ascii="宋体" w:hAnsi="宋体"/>
          <w:color w:val="auto"/>
          <w:sz w:val="24"/>
          <w:szCs w:val="24"/>
          <w:highlight w:val="none"/>
        </w:rPr>
        <w:t>；</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3</w:t>
      </w:r>
      <w:r>
        <w:rPr>
          <w:rFonts w:hint="eastAsia" w:ascii="宋体" w:hAnsi="宋体"/>
          <w:color w:val="auto"/>
          <w:sz w:val="24"/>
          <w:szCs w:val="24"/>
          <w:highlight w:val="none"/>
        </w:rPr>
        <w:t>）按本章第</w:t>
      </w:r>
      <w:r>
        <w:rPr>
          <w:rFonts w:ascii="宋体" w:hAnsi="宋体"/>
          <w:color w:val="auto"/>
          <w:sz w:val="24"/>
          <w:szCs w:val="24"/>
          <w:highlight w:val="none"/>
        </w:rPr>
        <w:t>2.2.4</w:t>
      </w:r>
      <w:r>
        <w:rPr>
          <w:rFonts w:hint="eastAsia" w:ascii="宋体" w:hAnsi="宋体"/>
          <w:color w:val="auto"/>
          <w:sz w:val="24"/>
          <w:szCs w:val="24"/>
          <w:highlight w:val="none"/>
        </w:rPr>
        <w:t>（</w:t>
      </w:r>
      <w:r>
        <w:rPr>
          <w:rFonts w:ascii="宋体" w:hAnsi="宋体"/>
          <w:color w:val="auto"/>
          <w:sz w:val="24"/>
          <w:szCs w:val="24"/>
          <w:highlight w:val="none"/>
        </w:rPr>
        <w:t>3</w:t>
      </w:r>
      <w:r>
        <w:rPr>
          <w:rFonts w:hint="eastAsia" w:ascii="宋体" w:hAnsi="宋体"/>
          <w:color w:val="auto"/>
          <w:sz w:val="24"/>
          <w:szCs w:val="24"/>
          <w:highlight w:val="none"/>
        </w:rPr>
        <w:t>）目规定的评审因素和分值对投标报价部分计算出得分</w:t>
      </w:r>
      <w:r>
        <w:rPr>
          <w:rFonts w:hint="eastAsia" w:ascii="宋体" w:hAnsi="宋体"/>
          <w:b/>
          <w:color w:val="auto"/>
          <w:szCs w:val="21"/>
          <w:highlight w:val="none"/>
        </w:rPr>
        <w:t>C</w:t>
      </w:r>
      <w:r>
        <w:rPr>
          <w:rFonts w:hint="eastAsia" w:ascii="宋体" w:hAnsi="宋体"/>
          <w:color w:val="auto"/>
          <w:sz w:val="24"/>
          <w:szCs w:val="24"/>
          <w:highlight w:val="none"/>
        </w:rPr>
        <w:t>；</w:t>
      </w:r>
    </w:p>
    <w:p>
      <w:pPr>
        <w:spacing w:line="360" w:lineRule="auto"/>
        <w:ind w:firstLine="480" w:firstLineChars="200"/>
        <w:rPr>
          <w:rFonts w:ascii="宋体" w:hAnsi="宋体"/>
          <w:strike w:val="0"/>
          <w:dstrike w:val="0"/>
          <w:color w:val="auto"/>
          <w:sz w:val="24"/>
          <w:szCs w:val="24"/>
          <w:highlight w:val="none"/>
        </w:rPr>
      </w:pPr>
      <w:r>
        <w:rPr>
          <w:rFonts w:hint="eastAsia" w:ascii="宋体" w:hAnsi="宋体"/>
          <w:strike w:val="0"/>
          <w:dstrike w:val="0"/>
          <w:color w:val="auto"/>
          <w:sz w:val="24"/>
          <w:szCs w:val="24"/>
          <w:highlight w:val="none"/>
        </w:rPr>
        <w:t>（</w:t>
      </w:r>
      <w:r>
        <w:rPr>
          <w:rFonts w:ascii="宋体" w:hAnsi="宋体"/>
          <w:strike w:val="0"/>
          <w:dstrike w:val="0"/>
          <w:color w:val="auto"/>
          <w:sz w:val="24"/>
          <w:szCs w:val="24"/>
          <w:highlight w:val="none"/>
        </w:rPr>
        <w:t>4</w:t>
      </w:r>
      <w:r>
        <w:rPr>
          <w:rFonts w:hint="eastAsia" w:ascii="宋体" w:hAnsi="宋体"/>
          <w:strike w:val="0"/>
          <w:dstrike w:val="0"/>
          <w:color w:val="auto"/>
          <w:sz w:val="24"/>
          <w:szCs w:val="24"/>
          <w:highlight w:val="none"/>
        </w:rPr>
        <w:t>）按本章第</w:t>
      </w:r>
      <w:r>
        <w:rPr>
          <w:rFonts w:ascii="宋体" w:hAnsi="宋体"/>
          <w:strike w:val="0"/>
          <w:dstrike w:val="0"/>
          <w:color w:val="auto"/>
          <w:sz w:val="24"/>
          <w:szCs w:val="24"/>
          <w:highlight w:val="none"/>
        </w:rPr>
        <w:t>2.2.4</w:t>
      </w:r>
      <w:r>
        <w:rPr>
          <w:rFonts w:hint="eastAsia" w:ascii="宋体" w:hAnsi="宋体"/>
          <w:strike w:val="0"/>
          <w:dstrike w:val="0"/>
          <w:color w:val="auto"/>
          <w:sz w:val="24"/>
          <w:szCs w:val="24"/>
          <w:highlight w:val="none"/>
        </w:rPr>
        <w:t>（</w:t>
      </w:r>
      <w:r>
        <w:rPr>
          <w:rFonts w:ascii="宋体" w:hAnsi="宋体"/>
          <w:strike w:val="0"/>
          <w:dstrike w:val="0"/>
          <w:color w:val="auto"/>
          <w:sz w:val="24"/>
          <w:szCs w:val="24"/>
          <w:highlight w:val="none"/>
        </w:rPr>
        <w:t>4</w:t>
      </w:r>
      <w:r>
        <w:rPr>
          <w:rFonts w:hint="eastAsia" w:ascii="宋体" w:hAnsi="宋体"/>
          <w:strike w:val="0"/>
          <w:dstrike w:val="0"/>
          <w:color w:val="auto"/>
          <w:sz w:val="24"/>
          <w:szCs w:val="24"/>
          <w:highlight w:val="none"/>
        </w:rPr>
        <w:t>）目规定的评审因素和分值对其他因素部分计算出得分</w:t>
      </w:r>
      <w:r>
        <w:rPr>
          <w:rFonts w:hint="eastAsia" w:ascii="宋体" w:hAnsi="宋体"/>
          <w:b/>
          <w:strike w:val="0"/>
          <w:dstrike w:val="0"/>
          <w:color w:val="auto"/>
          <w:szCs w:val="21"/>
          <w:highlight w:val="none"/>
        </w:rPr>
        <w:t>D</w:t>
      </w:r>
      <w:r>
        <w:rPr>
          <w:rFonts w:hint="eastAsia" w:ascii="宋体" w:hAnsi="宋体"/>
          <w:strike w:val="0"/>
          <w:dstrike w:val="0"/>
          <w:color w:val="auto"/>
          <w:sz w:val="24"/>
          <w:szCs w:val="24"/>
          <w:highlight w:val="none"/>
        </w:rPr>
        <w:t>。</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3.2.2</w:t>
      </w:r>
      <w:r>
        <w:rPr>
          <w:rFonts w:hint="eastAsia" w:ascii="宋体" w:hAnsi="宋体"/>
          <w:color w:val="auto"/>
          <w:sz w:val="24"/>
          <w:szCs w:val="24"/>
          <w:highlight w:val="none"/>
        </w:rPr>
        <w:t>评分分值计算保留小数点后两位，小数点后第三位“四舍五入”。</w:t>
      </w:r>
    </w:p>
    <w:p>
      <w:pPr>
        <w:spacing w:line="360" w:lineRule="auto"/>
        <w:ind w:firstLine="480" w:firstLineChars="200"/>
        <w:rPr>
          <w:rFonts w:ascii="宋体" w:hAnsi="宋体"/>
          <w:color w:val="auto"/>
          <w:sz w:val="24"/>
          <w:szCs w:val="24"/>
          <w:highlight w:val="none"/>
          <w:u w:val="single"/>
        </w:rPr>
      </w:pPr>
      <w:r>
        <w:rPr>
          <w:rFonts w:ascii="宋体" w:hAnsi="宋体"/>
          <w:color w:val="auto"/>
          <w:sz w:val="24"/>
          <w:szCs w:val="24"/>
          <w:highlight w:val="none"/>
        </w:rPr>
        <w:t>3.2.3</w:t>
      </w:r>
      <w:r>
        <w:rPr>
          <w:rFonts w:hint="eastAsia" w:ascii="宋体" w:hAnsi="宋体"/>
          <w:color w:val="auto"/>
          <w:sz w:val="24"/>
          <w:szCs w:val="24"/>
          <w:highlight w:val="none"/>
        </w:rPr>
        <w:t>投标人总得分：</w:t>
      </w:r>
      <w:r>
        <w:rPr>
          <w:rFonts w:hint="eastAsia" w:ascii="宋体" w:hAnsi="宋体"/>
          <w:color w:val="auto"/>
          <w:sz w:val="24"/>
          <w:szCs w:val="24"/>
          <w:highlight w:val="none"/>
          <w:u w:val="single"/>
        </w:rPr>
        <w:t>评标办法前附表</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3.2.4</w:t>
      </w:r>
      <w:r>
        <w:rPr>
          <w:rFonts w:hint="eastAsia" w:ascii="宋体" w:hAnsi="宋体"/>
          <w:color w:val="auto"/>
          <w:sz w:val="24"/>
          <w:szCs w:val="24"/>
          <w:highlight w:val="none"/>
        </w:rPr>
        <w:t>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pPr>
        <w:rPr>
          <w:rFonts w:ascii="宋体" w:hAnsi="宋体"/>
          <w:color w:val="auto"/>
          <w:highlight w:val="none"/>
        </w:rPr>
      </w:pPr>
    </w:p>
    <w:p>
      <w:pPr>
        <w:pStyle w:val="7"/>
        <w:rPr>
          <w:color w:val="auto"/>
          <w:highlight w:val="none"/>
        </w:rPr>
      </w:pPr>
      <w:bookmarkStart w:id="129" w:name="bookmark91"/>
      <w:bookmarkEnd w:id="129"/>
      <w:r>
        <w:rPr>
          <w:color w:val="auto"/>
          <w:highlight w:val="none"/>
        </w:rPr>
        <w:t xml:space="preserve">3.3 </w:t>
      </w:r>
      <w:r>
        <w:rPr>
          <w:rFonts w:hint="eastAsia"/>
          <w:color w:val="auto"/>
          <w:highlight w:val="none"/>
        </w:rPr>
        <w:t>投标文件的澄清</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3.3.1</w:t>
      </w:r>
      <w:r>
        <w:rPr>
          <w:rFonts w:hint="eastAsia" w:ascii="宋体" w:hAnsi="宋体"/>
          <w:color w:val="auto"/>
          <w:sz w:val="24"/>
          <w:szCs w:val="24"/>
          <w:highlight w:val="none"/>
        </w:rPr>
        <w:t>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3.3.2</w:t>
      </w:r>
      <w:r>
        <w:rPr>
          <w:rFonts w:hint="eastAsia" w:ascii="宋体" w:hAnsi="宋体"/>
          <w:color w:val="auto"/>
          <w:sz w:val="24"/>
          <w:szCs w:val="24"/>
          <w:highlight w:val="none"/>
        </w:rPr>
        <w:t>澄清、说明或补正不得超出投标文件的范围且不得改变投标文件的实质性内容，并构成投标文件的组成部分。</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3.3.3</w:t>
      </w:r>
      <w:r>
        <w:rPr>
          <w:rFonts w:hint="eastAsia" w:ascii="宋体" w:hAnsi="宋体"/>
          <w:color w:val="auto"/>
          <w:sz w:val="24"/>
          <w:szCs w:val="24"/>
          <w:highlight w:val="none"/>
        </w:rPr>
        <w:t>评标委员会对投标人提交的澄清、说明或补正有疑问的，可以要求投标人进一步澄清、说明或补正，直至满足评标委员会的要求。</w:t>
      </w:r>
    </w:p>
    <w:p>
      <w:pPr>
        <w:rPr>
          <w:rFonts w:ascii="宋体" w:hAnsi="宋体"/>
          <w:color w:val="auto"/>
          <w:highlight w:val="none"/>
        </w:rPr>
      </w:pPr>
    </w:p>
    <w:p>
      <w:pPr>
        <w:pStyle w:val="7"/>
        <w:rPr>
          <w:color w:val="auto"/>
          <w:highlight w:val="none"/>
        </w:rPr>
      </w:pPr>
      <w:bookmarkStart w:id="130" w:name="bookmark92"/>
      <w:bookmarkEnd w:id="130"/>
      <w:r>
        <w:rPr>
          <w:color w:val="auto"/>
          <w:highlight w:val="none"/>
        </w:rPr>
        <w:t xml:space="preserve">3.4 </w:t>
      </w:r>
      <w:r>
        <w:rPr>
          <w:rFonts w:hint="eastAsia"/>
          <w:color w:val="auto"/>
          <w:highlight w:val="none"/>
        </w:rPr>
        <w:t>评标结果</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3.4.1</w:t>
      </w:r>
      <w:r>
        <w:rPr>
          <w:rFonts w:hint="eastAsia" w:ascii="宋体" w:hAnsi="宋体"/>
          <w:color w:val="auto"/>
          <w:sz w:val="24"/>
          <w:szCs w:val="24"/>
          <w:highlight w:val="none"/>
        </w:rPr>
        <w:t>除第二章“投标人须知”前附表授权直接确定中标人外，评标委员会按照得分由高到低的顺序推荐中标候选人，并标明排序。</w:t>
      </w:r>
    </w:p>
    <w:p>
      <w:pPr>
        <w:rPr>
          <w:color w:val="auto"/>
          <w:highlight w:val="none"/>
        </w:rPr>
      </w:pPr>
      <w:r>
        <w:rPr>
          <w:rFonts w:ascii="宋体" w:hAnsi="宋体"/>
          <w:color w:val="auto"/>
          <w:sz w:val="24"/>
          <w:szCs w:val="24"/>
          <w:highlight w:val="none"/>
        </w:rPr>
        <w:t>3.4.2</w:t>
      </w:r>
      <w:r>
        <w:rPr>
          <w:rFonts w:hint="eastAsia" w:ascii="宋体" w:hAnsi="宋体"/>
          <w:color w:val="auto"/>
          <w:sz w:val="24"/>
          <w:szCs w:val="24"/>
          <w:highlight w:val="none"/>
        </w:rPr>
        <w:t>评标委员会完成评标后，应当向招标人提交书面评标报告和中标候选人名单。</w:t>
      </w:r>
    </w:p>
    <w:p>
      <w:pPr>
        <w:pStyle w:val="3"/>
        <w:bidi w:val="0"/>
        <w:jc w:val="center"/>
        <w:rPr>
          <w:rFonts w:ascii="仿宋" w:hAnsi="仿宋" w:eastAsia="仿宋"/>
          <w:color w:val="auto"/>
          <w:szCs w:val="21"/>
          <w:highlight w:val="none"/>
        </w:rPr>
      </w:pPr>
      <w:r>
        <w:rPr>
          <w:rFonts w:cs="宋体"/>
          <w:color w:val="auto"/>
          <w:szCs w:val="21"/>
          <w:highlight w:val="none"/>
        </w:rPr>
        <w:br w:type="page"/>
      </w:r>
      <w:bookmarkStart w:id="131" w:name="_Toc533357322"/>
      <w:bookmarkStart w:id="132" w:name="_Toc12056"/>
      <w:r>
        <w:rPr>
          <w:rFonts w:hint="eastAsia" w:ascii="宋体" w:hAnsi="宋体" w:eastAsia="宋体" w:cs="Times New Roman"/>
          <w:b/>
          <w:color w:val="auto"/>
          <w:kern w:val="44"/>
          <w:sz w:val="44"/>
          <w:szCs w:val="20"/>
          <w:highlight w:val="none"/>
          <w:lang w:val="en-US" w:eastAsia="zh-CN" w:bidi="ar-SA"/>
        </w:rPr>
        <w:t>第四章  合同条款及格式</w:t>
      </w:r>
      <w:bookmarkEnd w:id="131"/>
      <w:bookmarkEnd w:id="132"/>
      <w:bookmarkStart w:id="133" w:name="_Toc533357324"/>
    </w:p>
    <w:p>
      <w:pPr>
        <w:jc w:val="center"/>
        <w:rPr>
          <w:rFonts w:hint="eastAsia" w:eastAsia="宋体"/>
          <w:color w:val="auto"/>
          <w:highlight w:val="none"/>
          <w:lang w:eastAsia="zh-CN"/>
        </w:rPr>
      </w:pPr>
      <w:r>
        <w:rPr>
          <w:rFonts w:hint="eastAsia"/>
          <w:color w:val="auto"/>
          <w:highlight w:val="none"/>
          <w:lang w:eastAsia="zh-CN"/>
        </w:rPr>
        <w:t>（</w:t>
      </w:r>
      <w:r>
        <w:rPr>
          <w:rFonts w:hint="eastAsia"/>
          <w:color w:val="auto"/>
          <w:highlight w:val="none"/>
          <w:lang w:val="en-US" w:eastAsia="zh-CN"/>
        </w:rPr>
        <w:t>另册</w:t>
      </w:r>
      <w:r>
        <w:rPr>
          <w:rFonts w:hint="eastAsia"/>
          <w:color w:val="auto"/>
          <w:highlight w:val="none"/>
          <w:lang w:eastAsia="zh-CN"/>
        </w:rPr>
        <w:t>）</w:t>
      </w:r>
    </w:p>
    <w:p>
      <w:pPr>
        <w:pStyle w:val="3"/>
        <w:rPr>
          <w:color w:val="auto"/>
          <w:highlight w:val="none"/>
        </w:rPr>
      </w:pPr>
      <w:r>
        <w:rPr>
          <w:rFonts w:hint="eastAsia"/>
          <w:color w:val="auto"/>
          <w:highlight w:val="none"/>
        </w:rPr>
        <w:br w:type="page"/>
      </w:r>
      <w:bookmarkStart w:id="134" w:name="_Toc13347"/>
      <w:r>
        <w:rPr>
          <w:rFonts w:hint="eastAsia"/>
          <w:color w:val="auto"/>
          <w:highlight w:val="none"/>
        </w:rPr>
        <w:t>第二卷</w:t>
      </w:r>
      <w:bookmarkEnd w:id="134"/>
    </w:p>
    <w:p>
      <w:pPr>
        <w:pStyle w:val="3"/>
        <w:numPr>
          <w:ilvl w:val="0"/>
          <w:numId w:val="2"/>
        </w:numPr>
        <w:rPr>
          <w:color w:val="auto"/>
          <w:highlight w:val="none"/>
        </w:rPr>
      </w:pPr>
      <w:r>
        <w:rPr>
          <w:rFonts w:hint="eastAsia"/>
          <w:color w:val="auto"/>
          <w:highlight w:val="none"/>
        </w:rPr>
        <w:t xml:space="preserve"> </w:t>
      </w:r>
      <w:bookmarkStart w:id="135" w:name="_Toc3390"/>
      <w:r>
        <w:rPr>
          <w:rFonts w:hint="eastAsia"/>
          <w:color w:val="auto"/>
          <w:highlight w:val="none"/>
        </w:rPr>
        <w:t>委托人要求</w:t>
      </w:r>
      <w:bookmarkEnd w:id="135"/>
    </w:p>
    <w:p>
      <w:pPr>
        <w:spacing w:line="360" w:lineRule="auto"/>
        <w:ind w:firstLine="426" w:firstLineChars="177"/>
        <w:rPr>
          <w:rFonts w:ascii="宋体" w:hAnsi="宋体"/>
          <w:b/>
          <w:color w:val="auto"/>
          <w:sz w:val="24"/>
          <w:szCs w:val="24"/>
          <w:highlight w:val="none"/>
        </w:rPr>
      </w:pPr>
      <w:r>
        <w:rPr>
          <w:rFonts w:hint="eastAsia" w:ascii="宋体" w:hAnsi="宋体"/>
          <w:b/>
          <w:color w:val="auto"/>
          <w:sz w:val="24"/>
          <w:szCs w:val="24"/>
          <w:highlight w:val="none"/>
        </w:rPr>
        <w:t>1. 项目概况：</w:t>
      </w:r>
    </w:p>
    <w:p>
      <w:pPr>
        <w:spacing w:line="360" w:lineRule="auto"/>
        <w:ind w:firstLine="424" w:firstLineChars="177"/>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1.1项目名称：</w:t>
      </w:r>
      <w:r>
        <w:rPr>
          <w:rFonts w:hint="eastAsia" w:ascii="宋体" w:hAnsi="宋体"/>
          <w:color w:val="auto"/>
          <w:sz w:val="24"/>
          <w:szCs w:val="24"/>
          <w:highlight w:val="none"/>
          <w:u w:val="single"/>
          <w:lang w:eastAsia="zh-CN"/>
        </w:rPr>
        <w:t>西区智造科创园（高清光学显示芯片项目）第三方检测、监测</w:t>
      </w:r>
    </w:p>
    <w:p>
      <w:pPr>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1.2建设规模：</w:t>
      </w:r>
      <w:r>
        <w:rPr>
          <w:rFonts w:hint="eastAsia" w:ascii="宋体" w:hAnsi="宋体"/>
          <w:color w:val="auto"/>
          <w:sz w:val="24"/>
          <w:szCs w:val="24"/>
          <w:highlight w:val="none"/>
          <w:lang w:val="en-US" w:eastAsia="zh-CN"/>
        </w:rPr>
        <w:t>负责</w:t>
      </w:r>
      <w:r>
        <w:rPr>
          <w:rFonts w:hint="eastAsia" w:ascii="宋体" w:hAnsi="宋体"/>
          <w:color w:val="auto"/>
          <w:sz w:val="24"/>
          <w:szCs w:val="24"/>
          <w:highlight w:val="none"/>
          <w:u w:val="single"/>
          <w:lang w:eastAsia="zh-CN"/>
        </w:rPr>
        <w:t>西区智造科创园（高清光学显示芯片项目）第三方检测、监测</w:t>
      </w:r>
      <w:r>
        <w:rPr>
          <w:rFonts w:hint="eastAsia" w:ascii="宋体" w:hAnsi="宋体"/>
          <w:color w:val="auto"/>
          <w:sz w:val="24"/>
          <w:szCs w:val="24"/>
          <w:highlight w:val="none"/>
          <w:u w:val="single"/>
          <w:lang w:val="en-US" w:eastAsia="zh-CN"/>
        </w:rPr>
        <w:t>工作，</w:t>
      </w:r>
      <w:r>
        <w:rPr>
          <w:rFonts w:hint="eastAsia" w:ascii="宋体" w:hAnsi="宋体"/>
          <w:color w:val="auto"/>
          <w:sz w:val="24"/>
          <w:szCs w:val="24"/>
          <w:highlight w:val="none"/>
          <w:u w:val="single"/>
        </w:rPr>
        <w:t>项目规划可建设用地17129.00㎡，规划总建筑面积51070.00㎡，其中计容面积43780.00㎡（其中厂房38780.00㎡、研发5000.00㎡），不计容建筑面积7290.00㎡（其中架空连廊850.00㎡、地下停车库6440.00㎡），以及室外停车场、广场道路及绿地等，最大单体建筑高度为54m，最终建设规模以有关部门审批通过的方案为准。</w:t>
      </w:r>
    </w:p>
    <w:p>
      <w:pPr>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1.3建设地点：</w:t>
      </w:r>
      <w:r>
        <w:rPr>
          <w:rFonts w:hint="eastAsia" w:ascii="宋体" w:hAnsi="宋体" w:cs="宋体"/>
          <w:color w:val="auto"/>
          <w:sz w:val="24"/>
          <w:szCs w:val="24"/>
          <w:highlight w:val="none"/>
          <w:u w:val="single"/>
        </w:rPr>
        <w:t>项目选址位于广州保税区东涌路21号，属于广保电力地块。选址地块北侧为保环北路，南侧临近的菱跃自动化工程有限公司，东侧为东涌路。</w:t>
      </w:r>
    </w:p>
    <w:p>
      <w:pPr>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1.4工程投资：</w:t>
      </w:r>
      <w:r>
        <w:rPr>
          <w:rFonts w:hint="eastAsia" w:ascii="宋体" w:hAnsi="宋体"/>
          <w:color w:val="auto"/>
          <w:sz w:val="24"/>
          <w:highlight w:val="none"/>
          <w:u w:val="single"/>
        </w:rPr>
        <w:t>项目总投资约为31748.37万元。</w:t>
      </w:r>
    </w:p>
    <w:p>
      <w:pPr>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1.5本次招标服务期：</w:t>
      </w:r>
    </w:p>
    <w:p>
      <w:pPr>
        <w:spacing w:line="360" w:lineRule="auto"/>
        <w:ind w:firstLine="424" w:firstLineChars="177"/>
        <w:rPr>
          <w:rFonts w:hint="eastAsia" w:ascii="宋体" w:hAnsi="宋体" w:eastAsia="宋体"/>
          <w:color w:val="auto"/>
          <w:sz w:val="24"/>
          <w:szCs w:val="24"/>
          <w:highlight w:val="none"/>
          <w:u w:val="single"/>
          <w:lang w:eastAsia="zh-CN"/>
        </w:rPr>
      </w:pPr>
      <w:r>
        <w:rPr>
          <w:rFonts w:hint="eastAsia" w:ascii="宋体" w:hAnsi="宋体"/>
          <w:color w:val="auto"/>
          <w:sz w:val="24"/>
          <w:szCs w:val="24"/>
          <w:highlight w:val="none"/>
          <w:u w:val="single"/>
          <w:lang w:eastAsia="zh-CN"/>
        </w:rPr>
        <w:t>从中标单位进场至所有服务项目完成，服务周期必须满足实际施工及竣工验收要求。进场日期以</w:t>
      </w:r>
      <w:r>
        <w:rPr>
          <w:rFonts w:hint="eastAsia" w:ascii="宋体" w:hAnsi="宋体"/>
          <w:color w:val="auto"/>
          <w:sz w:val="24"/>
          <w:szCs w:val="24"/>
          <w:highlight w:val="none"/>
          <w:u w:val="single"/>
          <w:lang w:val="en-US" w:eastAsia="zh-CN"/>
        </w:rPr>
        <w:t>招标人</w:t>
      </w:r>
      <w:r>
        <w:rPr>
          <w:rFonts w:hint="eastAsia" w:ascii="宋体" w:hAnsi="宋体"/>
          <w:color w:val="auto"/>
          <w:sz w:val="24"/>
          <w:szCs w:val="24"/>
          <w:highlight w:val="none"/>
          <w:u w:val="single"/>
          <w:lang w:eastAsia="zh-CN"/>
        </w:rPr>
        <w:t>人通知时间为准。</w:t>
      </w:r>
    </w:p>
    <w:p>
      <w:pPr>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1.6工程质量标准：</w:t>
      </w:r>
      <w:r>
        <w:rPr>
          <w:rFonts w:hint="eastAsia" w:ascii="宋体" w:hAnsi="宋体" w:eastAsia="宋体"/>
          <w:color w:val="auto"/>
          <w:sz w:val="24"/>
          <w:szCs w:val="24"/>
          <w:highlight w:val="none"/>
          <w:u w:val="single"/>
        </w:rPr>
        <w:t>符合国家及省、市有关检测</w:t>
      </w:r>
      <w:r>
        <w:rPr>
          <w:rFonts w:hint="eastAsia" w:ascii="宋体" w:hAnsi="宋体" w:eastAsia="宋体"/>
          <w:color w:val="auto"/>
          <w:sz w:val="24"/>
          <w:szCs w:val="24"/>
          <w:highlight w:val="none"/>
          <w:u w:val="single"/>
          <w:lang w:val="en-US" w:eastAsia="zh-CN"/>
        </w:rPr>
        <w:t>监测</w:t>
      </w:r>
      <w:r>
        <w:rPr>
          <w:rFonts w:hint="eastAsia" w:ascii="宋体" w:hAnsi="宋体" w:eastAsia="宋体"/>
          <w:color w:val="auto"/>
          <w:sz w:val="24"/>
          <w:szCs w:val="24"/>
          <w:highlight w:val="none"/>
          <w:u w:val="single"/>
        </w:rPr>
        <w:t>标准</w:t>
      </w:r>
      <w:r>
        <w:rPr>
          <w:rFonts w:hint="eastAsia" w:ascii="宋体" w:hAnsi="宋体"/>
          <w:color w:val="auto"/>
          <w:sz w:val="24"/>
          <w:szCs w:val="24"/>
          <w:highlight w:val="none"/>
          <w:u w:val="single"/>
        </w:rPr>
        <w:t>。</w:t>
      </w:r>
    </w:p>
    <w:p>
      <w:pPr>
        <w:spacing w:line="360" w:lineRule="auto"/>
        <w:ind w:firstLine="426" w:firstLineChars="177"/>
        <w:rPr>
          <w:rFonts w:ascii="宋体" w:hAnsi="宋体"/>
          <w:b/>
          <w:color w:val="auto"/>
          <w:sz w:val="24"/>
          <w:szCs w:val="24"/>
          <w:highlight w:val="none"/>
        </w:rPr>
      </w:pPr>
      <w:r>
        <w:rPr>
          <w:rFonts w:hint="eastAsia" w:ascii="宋体" w:hAnsi="宋体"/>
          <w:b/>
          <w:color w:val="auto"/>
          <w:sz w:val="24"/>
          <w:szCs w:val="24"/>
          <w:highlight w:val="none"/>
        </w:rPr>
        <w:t>2.检测</w:t>
      </w:r>
      <w:r>
        <w:rPr>
          <w:rFonts w:hint="eastAsia" w:ascii="宋体" w:hAnsi="宋体"/>
          <w:b/>
          <w:color w:val="auto"/>
          <w:sz w:val="24"/>
          <w:szCs w:val="24"/>
          <w:highlight w:val="none"/>
          <w:lang w:val="en-US" w:eastAsia="zh-CN"/>
        </w:rPr>
        <w:t>监测</w:t>
      </w:r>
      <w:r>
        <w:rPr>
          <w:rFonts w:hint="eastAsia" w:ascii="宋体" w:hAnsi="宋体"/>
          <w:b/>
          <w:color w:val="auto"/>
          <w:sz w:val="24"/>
          <w:szCs w:val="24"/>
          <w:highlight w:val="none"/>
        </w:rPr>
        <w:t>范围及内容：</w:t>
      </w:r>
    </w:p>
    <w:p>
      <w:pPr>
        <w:spacing w:line="360" w:lineRule="auto"/>
        <w:ind w:firstLine="424" w:firstLineChars="177"/>
        <w:rPr>
          <w:rFonts w:hint="eastAsia" w:ascii="宋体" w:hAnsi="宋体"/>
          <w:color w:val="auto"/>
          <w:sz w:val="24"/>
          <w:szCs w:val="24"/>
          <w:highlight w:val="none"/>
          <w:u w:val="single"/>
        </w:rPr>
      </w:pPr>
      <w:r>
        <w:rPr>
          <w:rFonts w:hint="eastAsia" w:ascii="宋体" w:hAnsi="宋体"/>
          <w:color w:val="auto"/>
          <w:sz w:val="24"/>
          <w:szCs w:val="24"/>
          <w:highlight w:val="none"/>
          <w:u w:val="single"/>
        </w:rPr>
        <w:t>依据施工图及相关规范要求，开展工程第三方检测和监测工作，具体以施工图纸、检测和监测规范及主管部门要求为准。</w:t>
      </w:r>
      <w:r>
        <w:rPr>
          <w:rFonts w:hint="eastAsia" w:ascii="宋体" w:hAnsi="宋体" w:cs="宋体"/>
          <w:color w:val="auto"/>
          <w:sz w:val="24"/>
          <w:szCs w:val="24"/>
          <w:highlight w:val="none"/>
          <w:u w:val="single"/>
        </w:rPr>
        <w:t>施工及验收阶段相关的第三方检测</w:t>
      </w:r>
      <w:r>
        <w:rPr>
          <w:rFonts w:hint="eastAsia" w:ascii="宋体" w:hAnsi="宋体" w:cs="宋体"/>
          <w:color w:val="auto"/>
          <w:sz w:val="24"/>
          <w:szCs w:val="24"/>
          <w:highlight w:val="none"/>
          <w:u w:val="single"/>
          <w:lang w:val="en-US" w:eastAsia="zh-CN"/>
        </w:rPr>
        <w:t>监测</w:t>
      </w:r>
      <w:r>
        <w:rPr>
          <w:rFonts w:hint="eastAsia" w:ascii="宋体" w:hAnsi="宋体" w:cs="宋体"/>
          <w:color w:val="auto"/>
          <w:sz w:val="24"/>
          <w:szCs w:val="24"/>
          <w:highlight w:val="none"/>
          <w:u w:val="single"/>
        </w:rPr>
        <w:t>包括但不限于地基基础工程检测、主体结构工程现场检测、</w:t>
      </w:r>
      <w:r>
        <w:rPr>
          <w:rFonts w:hint="eastAsia" w:ascii="宋体" w:hAnsi="宋体" w:cs="宋体"/>
          <w:color w:val="auto"/>
          <w:sz w:val="24"/>
          <w:szCs w:val="24"/>
          <w:highlight w:val="none"/>
          <w:u w:val="single"/>
          <w:lang w:val="en-US" w:eastAsia="zh-CN"/>
        </w:rPr>
        <w:t>钢结构工程检测、</w:t>
      </w:r>
      <w:r>
        <w:rPr>
          <w:rFonts w:hint="eastAsia" w:ascii="宋体" w:hAnsi="宋体" w:cs="宋体"/>
          <w:color w:val="auto"/>
          <w:sz w:val="24"/>
          <w:szCs w:val="24"/>
          <w:highlight w:val="none"/>
          <w:u w:val="single"/>
        </w:rPr>
        <w:t>见证取样材料检测、节能检测、智能化检测、道路检测、环境检测、</w:t>
      </w:r>
      <w:r>
        <w:rPr>
          <w:rFonts w:hint="eastAsia" w:ascii="宋体" w:hAnsi="宋体"/>
          <w:bCs/>
          <w:color w:val="auto"/>
          <w:sz w:val="24"/>
          <w:highlight w:val="none"/>
          <w:u w:val="single"/>
        </w:rPr>
        <w:t>基坑监测、主体沉降监测、高支模监测</w:t>
      </w:r>
      <w:r>
        <w:rPr>
          <w:rFonts w:hint="eastAsia" w:ascii="宋体" w:hAnsi="宋体" w:cs="宋体"/>
          <w:color w:val="auto"/>
          <w:sz w:val="24"/>
          <w:szCs w:val="24"/>
          <w:highlight w:val="none"/>
          <w:u w:val="single"/>
        </w:rPr>
        <w:t>等按规范和验收要求必须检测</w:t>
      </w:r>
      <w:r>
        <w:rPr>
          <w:rFonts w:hint="eastAsia" w:ascii="宋体" w:hAnsi="宋体" w:cs="宋体"/>
          <w:color w:val="auto"/>
          <w:sz w:val="24"/>
          <w:szCs w:val="24"/>
          <w:highlight w:val="none"/>
          <w:u w:val="single"/>
          <w:lang w:val="en-US" w:eastAsia="zh-CN"/>
        </w:rPr>
        <w:t>监测</w:t>
      </w:r>
      <w:r>
        <w:rPr>
          <w:rFonts w:hint="eastAsia" w:ascii="宋体" w:hAnsi="宋体" w:cs="宋体"/>
          <w:color w:val="auto"/>
          <w:sz w:val="24"/>
          <w:szCs w:val="24"/>
          <w:highlight w:val="none"/>
          <w:u w:val="single"/>
        </w:rPr>
        <w:t>的项目。具体根据图纸、工程量清单及项目现场实际情况确定。</w:t>
      </w:r>
    </w:p>
    <w:p>
      <w:pPr>
        <w:spacing w:line="360" w:lineRule="auto"/>
        <w:ind w:firstLine="424" w:firstLineChars="177"/>
        <w:rPr>
          <w:rFonts w:hint="eastAsia" w:ascii="宋体" w:hAnsi="宋体"/>
          <w:color w:val="auto"/>
          <w:sz w:val="24"/>
          <w:szCs w:val="24"/>
          <w:highlight w:val="none"/>
          <w:u w:val="single"/>
        </w:rPr>
      </w:pPr>
      <w:r>
        <w:rPr>
          <w:rFonts w:hint="eastAsia" w:ascii="宋体" w:hAnsi="宋体"/>
          <w:color w:val="auto"/>
          <w:sz w:val="24"/>
          <w:szCs w:val="24"/>
          <w:highlight w:val="none"/>
          <w:u w:val="single"/>
        </w:rPr>
        <w:t>（1）根据《广州市城乡建设委员会关于启用地下工程及深基坑安全监测信息管理系统的通知》要求，中标单位需配合做好信息化管理工作。中标单位需按广州市住房和城乡建设局的规定，开通基坑监测数据管理系统账号，配备能实时上传监测数据的相关仪器设备，并具备将监测数据实时上传至广州市地下工程和深基坑安全监测信息管理系统的能力及经验。</w:t>
      </w:r>
    </w:p>
    <w:p>
      <w:pPr>
        <w:spacing w:line="360" w:lineRule="auto"/>
        <w:ind w:firstLine="424" w:firstLineChars="177"/>
        <w:rPr>
          <w:rFonts w:hint="eastAsia" w:ascii="宋体" w:hAnsi="宋体"/>
          <w:color w:val="auto"/>
          <w:sz w:val="24"/>
          <w:szCs w:val="24"/>
          <w:highlight w:val="none"/>
          <w:u w:val="single"/>
        </w:rPr>
      </w:pPr>
      <w:r>
        <w:rPr>
          <w:rFonts w:hint="eastAsia" w:ascii="宋体" w:hAnsi="宋体"/>
          <w:color w:val="auto"/>
          <w:sz w:val="24"/>
          <w:szCs w:val="24"/>
          <w:highlight w:val="none"/>
          <w:u w:val="single"/>
        </w:rPr>
        <w:t>（2）与工程所在行政区域的相关建设行政主管部门和监督部门进行监测工作的协调，申报监测技术成果的审批。保证技术成果能够通过相关部门认可，确保不因监测和建筑物主体沉降观测工作影响本工程项目的建设进度、项目竣工验收和在城建档案馆备案。</w:t>
      </w:r>
    </w:p>
    <w:p>
      <w:pPr>
        <w:spacing w:line="360" w:lineRule="auto"/>
        <w:ind w:firstLine="424" w:firstLineChars="177"/>
        <w:rPr>
          <w:rFonts w:hint="eastAsia" w:ascii="宋体" w:hAnsi="宋体"/>
          <w:color w:val="auto"/>
          <w:sz w:val="24"/>
          <w:szCs w:val="24"/>
          <w:highlight w:val="none"/>
          <w:u w:val="single"/>
        </w:rPr>
      </w:pPr>
      <w:r>
        <w:rPr>
          <w:rFonts w:hint="eastAsia" w:ascii="宋体" w:hAnsi="宋体"/>
          <w:color w:val="auto"/>
          <w:sz w:val="24"/>
          <w:szCs w:val="24"/>
          <w:highlight w:val="none"/>
          <w:u w:val="single"/>
        </w:rPr>
        <w:t>（3）在进行</w:t>
      </w:r>
      <w:r>
        <w:rPr>
          <w:rFonts w:hint="eastAsia" w:ascii="宋体" w:hAnsi="宋体"/>
          <w:color w:val="auto"/>
          <w:sz w:val="24"/>
          <w:szCs w:val="24"/>
          <w:highlight w:val="none"/>
          <w:u w:val="single"/>
          <w:lang w:val="en-US" w:eastAsia="zh-CN"/>
        </w:rPr>
        <w:t>检测</w:t>
      </w:r>
      <w:r>
        <w:rPr>
          <w:rFonts w:hint="eastAsia" w:ascii="宋体" w:hAnsi="宋体"/>
          <w:color w:val="auto"/>
          <w:sz w:val="24"/>
          <w:szCs w:val="24"/>
          <w:highlight w:val="none"/>
          <w:u w:val="single"/>
        </w:rPr>
        <w:t>和监测任务的过程中与该工程相关的施工单位、监理单位、设计单位、代建单位、建设主管部门等相关单位的协调工作，投标人需在投标报价中综合考虑该项协调工作的费用。</w:t>
      </w:r>
    </w:p>
    <w:p>
      <w:pPr>
        <w:spacing w:line="360" w:lineRule="auto"/>
        <w:ind w:firstLine="424" w:firstLineChars="177"/>
        <w:rPr>
          <w:rFonts w:hint="eastAsia" w:ascii="宋体" w:hAnsi="宋体"/>
          <w:color w:val="auto"/>
          <w:sz w:val="24"/>
          <w:szCs w:val="24"/>
          <w:highlight w:val="none"/>
          <w:u w:val="single"/>
        </w:rPr>
      </w:pPr>
      <w:r>
        <w:rPr>
          <w:rFonts w:hint="eastAsia" w:ascii="宋体" w:hAnsi="宋体"/>
          <w:color w:val="auto"/>
          <w:sz w:val="24"/>
          <w:szCs w:val="24"/>
          <w:highlight w:val="none"/>
          <w:u w:val="single"/>
        </w:rPr>
        <w:t>（4）因按相关规定须与行业、行政监督部门传输报送检测数据信息的工作，且合同价中已经综合考虑了该项协调工作的费用。</w:t>
      </w:r>
    </w:p>
    <w:p>
      <w:pPr>
        <w:spacing w:line="360" w:lineRule="auto"/>
        <w:ind w:firstLine="424" w:firstLineChars="177"/>
        <w:rPr>
          <w:rFonts w:hint="eastAsia" w:ascii="宋体" w:hAnsi="宋体"/>
          <w:color w:val="auto"/>
          <w:sz w:val="24"/>
          <w:szCs w:val="24"/>
          <w:highlight w:val="none"/>
          <w:u w:val="single"/>
        </w:rPr>
      </w:pPr>
      <w:r>
        <w:rPr>
          <w:rFonts w:hint="eastAsia" w:ascii="宋体" w:hAnsi="宋体"/>
          <w:color w:val="auto"/>
          <w:sz w:val="24"/>
          <w:szCs w:val="24"/>
          <w:highlight w:val="none"/>
          <w:u w:val="single"/>
        </w:rPr>
        <w:t>（5）与工程所在行政区域的相关建设行政主管部门和监督部门所进行的协调工作，且合同价中已经综合考虑了该项协调工作的费用。如申报检测</w:t>
      </w:r>
      <w:r>
        <w:rPr>
          <w:rFonts w:hint="eastAsia" w:ascii="宋体" w:hAnsi="宋体"/>
          <w:color w:val="auto"/>
          <w:sz w:val="24"/>
          <w:szCs w:val="24"/>
          <w:highlight w:val="none"/>
          <w:u w:val="single"/>
          <w:lang w:eastAsia="zh-CN"/>
        </w:rPr>
        <w:t>、</w:t>
      </w:r>
      <w:r>
        <w:rPr>
          <w:rFonts w:hint="eastAsia" w:ascii="宋体" w:hAnsi="宋体"/>
          <w:color w:val="auto"/>
          <w:sz w:val="24"/>
          <w:szCs w:val="24"/>
          <w:highlight w:val="none"/>
          <w:u w:val="single"/>
          <w:lang w:val="en-US" w:eastAsia="zh-CN"/>
        </w:rPr>
        <w:t>监测</w:t>
      </w:r>
      <w:r>
        <w:rPr>
          <w:rFonts w:hint="eastAsia" w:ascii="宋体" w:hAnsi="宋体"/>
          <w:color w:val="auto"/>
          <w:sz w:val="24"/>
          <w:szCs w:val="24"/>
          <w:highlight w:val="none"/>
          <w:u w:val="single"/>
        </w:rPr>
        <w:t>技术成果的审批，保证技术成果能够通过相关部门认可，确保不因检测工作影响本工程项目的建设进度和竣工验收。</w:t>
      </w:r>
    </w:p>
    <w:p>
      <w:pPr>
        <w:spacing w:line="360" w:lineRule="auto"/>
        <w:ind w:firstLine="424" w:firstLineChars="177"/>
        <w:rPr>
          <w:rFonts w:hint="eastAsia" w:ascii="宋体" w:hAnsi="宋体"/>
          <w:color w:val="auto"/>
          <w:sz w:val="24"/>
          <w:szCs w:val="24"/>
          <w:highlight w:val="none"/>
          <w:u w:val="single"/>
        </w:rPr>
      </w:pPr>
      <w:r>
        <w:rPr>
          <w:rFonts w:hint="eastAsia" w:ascii="宋体" w:hAnsi="宋体"/>
          <w:color w:val="auto"/>
          <w:sz w:val="24"/>
          <w:szCs w:val="24"/>
          <w:highlight w:val="none"/>
          <w:u w:val="single"/>
        </w:rPr>
        <w:t>（6）根据相关规范和标准、主管部门文件的规定以及设计图纸的有关要求，结合工程实际情况编制相关项目的《检测方案》，并报质监部门备案（如需要）。</w:t>
      </w:r>
    </w:p>
    <w:p>
      <w:pPr>
        <w:spacing w:line="360" w:lineRule="auto"/>
        <w:ind w:firstLine="424" w:firstLineChars="177"/>
        <w:rPr>
          <w:rFonts w:hint="eastAsia" w:ascii="宋体" w:hAnsi="宋体"/>
          <w:color w:val="auto"/>
          <w:sz w:val="24"/>
          <w:szCs w:val="24"/>
          <w:highlight w:val="none"/>
          <w:u w:val="single"/>
        </w:rPr>
      </w:pPr>
      <w:r>
        <w:rPr>
          <w:rFonts w:hint="eastAsia" w:ascii="宋体" w:hAnsi="宋体"/>
          <w:color w:val="auto"/>
          <w:sz w:val="24"/>
          <w:szCs w:val="24"/>
          <w:highlight w:val="none"/>
          <w:u w:val="single"/>
        </w:rPr>
        <w:t>（7）负责检测和监测的工程质量需符合《建设工程质量管理条例》等国家相关管理要求。</w:t>
      </w:r>
    </w:p>
    <w:p>
      <w:pPr>
        <w:spacing w:line="360" w:lineRule="auto"/>
        <w:ind w:firstLine="424" w:firstLineChars="177"/>
        <w:rPr>
          <w:rFonts w:ascii="宋体" w:hAnsi="宋体"/>
          <w:bCs/>
          <w:color w:val="auto"/>
          <w:sz w:val="24"/>
          <w:szCs w:val="24"/>
          <w:highlight w:val="none"/>
        </w:rPr>
      </w:pPr>
      <w:r>
        <w:rPr>
          <w:rFonts w:hint="eastAsia" w:ascii="宋体" w:hAnsi="宋体"/>
          <w:color w:val="auto"/>
          <w:sz w:val="24"/>
          <w:szCs w:val="24"/>
          <w:highlight w:val="none"/>
          <w:u w:val="single"/>
        </w:rPr>
        <w:t>（具体以招标文件、施工图纸、检测方案为准）。</w:t>
      </w:r>
    </w:p>
    <w:p>
      <w:pPr>
        <w:spacing w:line="360" w:lineRule="auto"/>
        <w:ind w:firstLine="426" w:firstLineChars="177"/>
        <w:rPr>
          <w:rFonts w:ascii="宋体" w:hAnsi="宋体"/>
          <w:b/>
          <w:color w:val="auto"/>
          <w:sz w:val="24"/>
          <w:szCs w:val="24"/>
          <w:highlight w:val="none"/>
        </w:rPr>
      </w:pPr>
      <w:r>
        <w:rPr>
          <w:rFonts w:hint="eastAsia" w:ascii="宋体" w:hAnsi="宋体"/>
          <w:b/>
          <w:color w:val="auto"/>
          <w:sz w:val="24"/>
          <w:szCs w:val="24"/>
          <w:highlight w:val="none"/>
        </w:rPr>
        <w:t>3.检测标准：</w:t>
      </w:r>
    </w:p>
    <w:p>
      <w:pPr>
        <w:keepLines w:val="0"/>
        <w:shd w:val="clear" w:color="auto" w:fill="FFFFFF"/>
        <w:bidi w:val="0"/>
        <w:adjustRightInd w:val="0"/>
        <w:spacing w:line="360" w:lineRule="auto"/>
        <w:ind w:firstLine="424" w:firstLineChars="177"/>
        <w:jc w:val="left"/>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u w:val="single"/>
        </w:rPr>
        <w:t>（1）《建筑工程施工质量验收统一标准》（GB50300-2013）；</w:t>
      </w:r>
    </w:p>
    <w:p>
      <w:pPr>
        <w:keepLines w:val="0"/>
        <w:shd w:val="clear" w:color="auto" w:fill="FFFFFF"/>
        <w:bidi w:val="0"/>
        <w:adjustRightInd w:val="0"/>
        <w:spacing w:line="360" w:lineRule="auto"/>
        <w:ind w:firstLine="424" w:firstLineChars="177"/>
        <w:jc w:val="left"/>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u w:val="single"/>
        </w:rPr>
        <w:t>（2）《建筑装饰装修工程质量验收规范》（GB50300-2018）；</w:t>
      </w:r>
    </w:p>
    <w:p>
      <w:pPr>
        <w:keepLines w:val="0"/>
        <w:shd w:val="clear" w:color="auto" w:fill="FFFFFF"/>
        <w:bidi w:val="0"/>
        <w:adjustRightInd w:val="0"/>
        <w:spacing w:line="360" w:lineRule="auto"/>
        <w:ind w:firstLine="424" w:firstLineChars="177"/>
        <w:jc w:val="left"/>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u w:val="single"/>
        </w:rPr>
        <w:t>（3）《广东省建筑节能工程施工质量验收规范》DBJ15-65-2009；</w:t>
      </w:r>
    </w:p>
    <w:p>
      <w:pPr>
        <w:keepLines w:val="0"/>
        <w:shd w:val="clear" w:color="auto" w:fill="FFFFFF"/>
        <w:bidi w:val="0"/>
        <w:adjustRightInd w:val="0"/>
        <w:spacing w:line="360" w:lineRule="auto"/>
        <w:ind w:firstLine="424" w:firstLineChars="177"/>
        <w:jc w:val="left"/>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u w:val="single"/>
        </w:rPr>
        <w:t>（4）《公共建筑节能设计标准》广东省实施细则DBJ15-51-2007；</w:t>
      </w:r>
    </w:p>
    <w:p>
      <w:pPr>
        <w:keepLines w:val="0"/>
        <w:shd w:val="clear" w:color="auto" w:fill="FFFFFF"/>
        <w:bidi w:val="0"/>
        <w:adjustRightInd w:val="0"/>
        <w:spacing w:line="360" w:lineRule="auto"/>
        <w:ind w:firstLine="424" w:firstLineChars="177"/>
        <w:jc w:val="left"/>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u w:val="single"/>
        </w:rPr>
        <w:t>（5）《建筑节能工程施工质量验收规范》GB50411；</w:t>
      </w:r>
    </w:p>
    <w:p>
      <w:pPr>
        <w:keepLines w:val="0"/>
        <w:shd w:val="clear" w:color="auto" w:fill="FFFFFF"/>
        <w:bidi w:val="0"/>
        <w:adjustRightInd w:val="0"/>
        <w:spacing w:line="360" w:lineRule="auto"/>
        <w:ind w:firstLine="424" w:firstLineChars="177"/>
        <w:jc w:val="left"/>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u w:val="single"/>
        </w:rPr>
        <w:t>（6）《民用建筑工程室内环境污染控制规范》GB50325-2010；</w:t>
      </w:r>
    </w:p>
    <w:p>
      <w:pPr>
        <w:keepLines w:val="0"/>
        <w:shd w:val="clear" w:color="auto" w:fill="FFFFFF"/>
        <w:bidi w:val="0"/>
        <w:adjustRightInd w:val="0"/>
        <w:spacing w:line="360" w:lineRule="auto"/>
        <w:ind w:firstLine="424" w:firstLineChars="177"/>
        <w:jc w:val="left"/>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u w:val="single"/>
        </w:rPr>
        <w:t>（7）《通风与空调工程施工质量验收规范》GB50243；</w:t>
      </w:r>
    </w:p>
    <w:p>
      <w:pPr>
        <w:keepLines w:val="0"/>
        <w:shd w:val="clear" w:color="auto" w:fill="FFFFFF"/>
        <w:bidi w:val="0"/>
        <w:adjustRightInd w:val="0"/>
        <w:spacing w:line="360" w:lineRule="auto"/>
        <w:ind w:firstLine="424" w:firstLineChars="177"/>
        <w:jc w:val="left"/>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u w:val="single"/>
        </w:rPr>
        <w:t>（8）《建筑电气工程施工质量验收规范》GB50303；</w:t>
      </w:r>
    </w:p>
    <w:p>
      <w:pPr>
        <w:keepLines w:val="0"/>
        <w:shd w:val="clear" w:color="auto" w:fill="FFFFFF"/>
        <w:bidi w:val="0"/>
        <w:adjustRightInd w:val="0"/>
        <w:spacing w:line="360" w:lineRule="auto"/>
        <w:ind w:firstLine="424" w:firstLineChars="177"/>
        <w:jc w:val="left"/>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u w:val="single"/>
        </w:rPr>
        <w:t>（9）《公共建筑节能检测标准》JGJ/T177；</w:t>
      </w:r>
    </w:p>
    <w:p>
      <w:pPr>
        <w:keepLines w:val="0"/>
        <w:shd w:val="clear" w:color="auto" w:fill="FFFFFF"/>
        <w:bidi w:val="0"/>
        <w:adjustRightInd w:val="0"/>
        <w:spacing w:line="360" w:lineRule="auto"/>
        <w:ind w:firstLine="424" w:firstLineChars="177"/>
        <w:jc w:val="left"/>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u w:val="single"/>
        </w:rPr>
        <w:t>（10）《居住建筑节能检测标准》JGJ/T132；</w:t>
      </w:r>
    </w:p>
    <w:p>
      <w:pPr>
        <w:keepLines w:val="0"/>
        <w:shd w:val="clear" w:color="auto" w:fill="FFFFFF"/>
        <w:bidi w:val="0"/>
        <w:adjustRightInd w:val="0"/>
        <w:spacing w:line="360" w:lineRule="auto"/>
        <w:ind w:firstLine="424" w:firstLineChars="177"/>
        <w:jc w:val="left"/>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u w:val="single"/>
        </w:rPr>
        <w:t>（11）《照明测量方法》GB/T5700；</w:t>
      </w:r>
    </w:p>
    <w:p>
      <w:pPr>
        <w:keepLines w:val="0"/>
        <w:shd w:val="clear" w:color="auto" w:fill="FFFFFF"/>
        <w:bidi w:val="0"/>
        <w:adjustRightInd w:val="0"/>
        <w:spacing w:line="360" w:lineRule="auto"/>
        <w:ind w:firstLine="424" w:firstLineChars="177"/>
        <w:jc w:val="left"/>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u w:val="single"/>
        </w:rPr>
        <w:t>（12）《风机盘管机组》GB/T19232；</w:t>
      </w:r>
    </w:p>
    <w:p>
      <w:pPr>
        <w:keepLines w:val="0"/>
        <w:shd w:val="clear" w:color="auto" w:fill="FFFFFF"/>
        <w:bidi w:val="0"/>
        <w:adjustRightInd w:val="0"/>
        <w:spacing w:line="360" w:lineRule="auto"/>
        <w:ind w:firstLine="424" w:firstLineChars="177"/>
        <w:jc w:val="left"/>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u w:val="single"/>
        </w:rPr>
        <w:t>（13）《建筑玻璃可见光透射比、太阳光直接透射比、太阳能总透射比、紫外线透射比及有关窗玻璃参数的测定》GB/T2680；</w:t>
      </w:r>
    </w:p>
    <w:p>
      <w:pPr>
        <w:keepLines w:val="0"/>
        <w:shd w:val="clear" w:color="auto" w:fill="FFFFFF"/>
        <w:bidi w:val="0"/>
        <w:adjustRightInd w:val="0"/>
        <w:spacing w:line="360" w:lineRule="auto"/>
        <w:ind w:firstLine="424" w:firstLineChars="177"/>
        <w:jc w:val="left"/>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u w:val="single"/>
        </w:rPr>
        <w:t>（14）《建筑门窗玻璃幕墙热工计算规程》JGJ/T151；</w:t>
      </w:r>
    </w:p>
    <w:p>
      <w:pPr>
        <w:keepLines w:val="0"/>
        <w:shd w:val="clear" w:color="auto" w:fill="FFFFFF"/>
        <w:bidi w:val="0"/>
        <w:adjustRightInd w:val="0"/>
        <w:spacing w:line="360" w:lineRule="auto"/>
        <w:ind w:firstLine="424" w:firstLineChars="177"/>
        <w:jc w:val="left"/>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u w:val="single"/>
        </w:rPr>
        <w:t>（15）《中空玻璃》GB/T11944；</w:t>
      </w:r>
    </w:p>
    <w:p>
      <w:pPr>
        <w:keepLines w:val="0"/>
        <w:shd w:val="clear" w:color="auto" w:fill="FFFFFF"/>
        <w:bidi w:val="0"/>
        <w:adjustRightInd w:val="0"/>
        <w:spacing w:line="360" w:lineRule="auto"/>
        <w:ind w:firstLine="424" w:firstLineChars="177"/>
        <w:jc w:val="left"/>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u w:val="single"/>
        </w:rPr>
        <w:t>（16）《绝热材料稳态热阻及有关特性的测定防护热板法》GB/T10294；</w:t>
      </w:r>
    </w:p>
    <w:p>
      <w:pPr>
        <w:keepLines w:val="0"/>
        <w:shd w:val="clear" w:color="auto" w:fill="FFFFFF"/>
        <w:bidi w:val="0"/>
        <w:adjustRightInd w:val="0"/>
        <w:spacing w:line="360" w:lineRule="auto"/>
        <w:ind w:firstLine="424" w:firstLineChars="177"/>
        <w:jc w:val="left"/>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u w:val="single"/>
        </w:rPr>
        <w:t>（17）《绝热稳态传热性质的测定标定和防护热箱法》GB/T13475；</w:t>
      </w:r>
    </w:p>
    <w:p>
      <w:pPr>
        <w:keepLines w:val="0"/>
        <w:shd w:val="clear" w:color="auto" w:fill="FFFFFF"/>
        <w:bidi w:val="0"/>
        <w:adjustRightInd w:val="0"/>
        <w:spacing w:line="360" w:lineRule="auto"/>
        <w:ind w:firstLine="424" w:firstLineChars="177"/>
        <w:jc w:val="left"/>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u w:val="single"/>
        </w:rPr>
        <w:t>（18）《建筑外门窗保温性能分级及其检测方法》GB/T8484；</w:t>
      </w:r>
    </w:p>
    <w:p>
      <w:pPr>
        <w:keepLines w:val="0"/>
        <w:shd w:val="clear" w:color="auto" w:fill="FFFFFF"/>
        <w:bidi w:val="0"/>
        <w:adjustRightInd w:val="0"/>
        <w:spacing w:line="360" w:lineRule="auto"/>
        <w:ind w:firstLine="424" w:firstLineChars="177"/>
        <w:jc w:val="left"/>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u w:val="single"/>
        </w:rPr>
        <w:t>（19）《建筑材料及制品燃烧性能分级》GB8624；</w:t>
      </w:r>
    </w:p>
    <w:p>
      <w:pPr>
        <w:keepLines w:val="0"/>
        <w:shd w:val="clear" w:color="auto" w:fill="FFFFFF"/>
        <w:bidi w:val="0"/>
        <w:adjustRightInd w:val="0"/>
        <w:spacing w:line="360" w:lineRule="auto"/>
        <w:ind w:firstLine="424" w:firstLineChars="177"/>
        <w:jc w:val="left"/>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u w:val="single"/>
        </w:rPr>
        <w:t>（20）《建筑材料可燃性试验方法》GB/T8626；</w:t>
      </w:r>
    </w:p>
    <w:p>
      <w:pPr>
        <w:keepLines w:val="0"/>
        <w:shd w:val="clear" w:color="auto" w:fill="FFFFFF"/>
        <w:bidi w:val="0"/>
        <w:adjustRightInd w:val="0"/>
        <w:spacing w:line="360" w:lineRule="auto"/>
        <w:ind w:firstLine="424" w:firstLineChars="177"/>
        <w:jc w:val="left"/>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u w:val="single"/>
        </w:rPr>
        <w:t>（21）《建筑材料不燃性试验方法》GB/T5646；</w:t>
      </w:r>
    </w:p>
    <w:p>
      <w:pPr>
        <w:keepLines w:val="0"/>
        <w:shd w:val="clear" w:color="auto" w:fill="FFFFFF"/>
        <w:bidi w:val="0"/>
        <w:adjustRightInd w:val="0"/>
        <w:spacing w:line="360" w:lineRule="auto"/>
        <w:ind w:firstLine="424" w:firstLineChars="177"/>
        <w:jc w:val="left"/>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u w:val="single"/>
        </w:rPr>
        <w:t>（22）《建筑外门窗气密、水密、抗风压性能分级及检测方法》GB/T7106；</w:t>
      </w:r>
    </w:p>
    <w:p>
      <w:pPr>
        <w:keepLines w:val="0"/>
        <w:shd w:val="clear" w:color="auto" w:fill="FFFFFF"/>
        <w:bidi w:val="0"/>
        <w:adjustRightInd w:val="0"/>
        <w:spacing w:line="360" w:lineRule="auto"/>
        <w:ind w:firstLine="424" w:firstLineChars="177"/>
        <w:jc w:val="left"/>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u w:val="single"/>
        </w:rPr>
        <w:t>（23）《泡沫塑料和橡胶表观密度的测定》GB/T6343；</w:t>
      </w:r>
    </w:p>
    <w:p>
      <w:pPr>
        <w:keepLines w:val="0"/>
        <w:shd w:val="clear" w:color="auto" w:fill="FFFFFF"/>
        <w:bidi w:val="0"/>
        <w:adjustRightInd w:val="0"/>
        <w:spacing w:line="360" w:lineRule="auto"/>
        <w:ind w:firstLine="424" w:firstLineChars="177"/>
        <w:jc w:val="left"/>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u w:val="single"/>
        </w:rPr>
        <w:t>（24）《硬质泡沫塑料吸水率的测定》GB/T8810；</w:t>
      </w:r>
    </w:p>
    <w:p>
      <w:pPr>
        <w:keepLines w:val="0"/>
        <w:shd w:val="clear" w:color="auto" w:fill="FFFFFF"/>
        <w:bidi w:val="0"/>
        <w:adjustRightInd w:val="0"/>
        <w:spacing w:line="360" w:lineRule="auto"/>
        <w:ind w:firstLine="424" w:firstLineChars="177"/>
        <w:jc w:val="left"/>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u w:val="single"/>
        </w:rPr>
        <w:t>（25）《硬质泡沫塑料压缩性能的测定》GB/T8813；</w:t>
      </w:r>
    </w:p>
    <w:p>
      <w:pPr>
        <w:keepLines w:val="0"/>
        <w:shd w:val="clear" w:color="auto" w:fill="FFFFFF"/>
        <w:bidi w:val="0"/>
        <w:adjustRightInd w:val="0"/>
        <w:spacing w:line="360" w:lineRule="auto"/>
        <w:ind w:firstLine="424" w:firstLineChars="177"/>
        <w:jc w:val="left"/>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u w:val="single"/>
        </w:rPr>
        <w:t>（26）《无机硬质绝热制品试验方法》GB/T5486；</w:t>
      </w:r>
    </w:p>
    <w:p>
      <w:pPr>
        <w:keepLines w:val="0"/>
        <w:shd w:val="clear" w:color="auto" w:fill="FFFFFF"/>
        <w:bidi w:val="0"/>
        <w:adjustRightInd w:val="0"/>
        <w:spacing w:line="360" w:lineRule="auto"/>
        <w:ind w:firstLine="424" w:firstLineChars="177"/>
        <w:jc w:val="left"/>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u w:val="single"/>
        </w:rPr>
        <w:t>（27）《矿物棉及其制品试验方法》GB/T5480；</w:t>
      </w:r>
    </w:p>
    <w:p>
      <w:pPr>
        <w:keepLines w:val="0"/>
        <w:shd w:val="clear" w:color="auto" w:fill="FFFFFF"/>
        <w:bidi w:val="0"/>
        <w:adjustRightInd w:val="0"/>
        <w:spacing w:line="360" w:lineRule="auto"/>
        <w:ind w:firstLine="424" w:firstLineChars="177"/>
        <w:jc w:val="left"/>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u w:val="single"/>
        </w:rPr>
        <w:t>（28）广东省标准《园林绿化用植物材料》DB440100/T105-2006</w:t>
      </w:r>
    </w:p>
    <w:p>
      <w:pPr>
        <w:keepLines w:val="0"/>
        <w:shd w:val="clear" w:color="auto" w:fill="FFFFFF"/>
        <w:bidi w:val="0"/>
        <w:adjustRightInd w:val="0"/>
        <w:spacing w:line="360" w:lineRule="auto"/>
        <w:ind w:firstLine="424" w:firstLineChars="177"/>
        <w:jc w:val="left"/>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u w:val="single"/>
        </w:rPr>
        <w:t>（29）广东省标准《广东城市绿化工程施工和验收规范》DB44/T581-2009</w:t>
      </w:r>
      <w:r>
        <w:rPr>
          <w:rFonts w:hint="eastAsia" w:ascii="宋体" w:hAnsi="宋体" w:eastAsia="宋体" w:cs="宋体"/>
          <w:color w:val="auto"/>
          <w:sz w:val="24"/>
          <w:szCs w:val="24"/>
          <w:highlight w:val="none"/>
          <w:u w:val="single"/>
          <w:lang w:eastAsia="zh-CN"/>
        </w:rPr>
        <w:t>；</w:t>
      </w:r>
    </w:p>
    <w:p>
      <w:pPr>
        <w:keepLines w:val="0"/>
        <w:shd w:val="clear" w:color="auto" w:fill="FFFFFF"/>
        <w:bidi w:val="0"/>
        <w:adjustRightInd w:val="0"/>
        <w:spacing w:line="360" w:lineRule="auto"/>
        <w:ind w:firstLine="424" w:firstLineChars="177"/>
        <w:jc w:val="left"/>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u w:val="single"/>
        </w:rPr>
        <w:t>（30）广东省标准《城市绿化和园林绿地用植物材料木本苗》CJ/T24-1999</w:t>
      </w:r>
      <w:r>
        <w:rPr>
          <w:rFonts w:hint="eastAsia" w:ascii="宋体" w:hAnsi="宋体" w:eastAsia="宋体" w:cs="宋体"/>
          <w:color w:val="auto"/>
          <w:sz w:val="24"/>
          <w:szCs w:val="24"/>
          <w:highlight w:val="none"/>
          <w:u w:val="single"/>
          <w:lang w:eastAsia="zh-CN"/>
        </w:rPr>
        <w:t>；</w:t>
      </w:r>
    </w:p>
    <w:p>
      <w:pPr>
        <w:keepLines w:val="0"/>
        <w:shd w:val="clear" w:color="auto" w:fill="FFFFFF"/>
        <w:bidi w:val="0"/>
        <w:adjustRightInd w:val="0"/>
        <w:spacing w:line="360" w:lineRule="auto"/>
        <w:ind w:firstLine="424" w:firstLineChars="177"/>
        <w:jc w:val="left"/>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u w:val="single"/>
        </w:rPr>
        <w:t>（3</w:t>
      </w:r>
      <w:r>
        <w:rPr>
          <w:rFonts w:hint="eastAsia" w:ascii="宋体" w:hAnsi="宋体" w:eastAsia="宋体" w:cs="宋体"/>
          <w:color w:val="auto"/>
          <w:sz w:val="24"/>
          <w:szCs w:val="24"/>
          <w:highlight w:val="none"/>
          <w:u w:val="single"/>
          <w:lang w:val="en-US" w:eastAsia="zh-CN"/>
        </w:rPr>
        <w:t>1</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eastAsia="zh-CN"/>
        </w:rPr>
        <w:t>中国工程建设协会标准《模板工程安全自动化监测技术规程》T/CECS542-2018；</w:t>
      </w:r>
    </w:p>
    <w:p>
      <w:pPr>
        <w:keepLines w:val="0"/>
        <w:shd w:val="clear" w:color="auto" w:fill="FFFFFF"/>
        <w:bidi w:val="0"/>
        <w:adjustRightInd w:val="0"/>
        <w:spacing w:line="360" w:lineRule="auto"/>
        <w:ind w:firstLine="424" w:firstLineChars="177"/>
        <w:jc w:val="left"/>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u w:val="single"/>
        </w:rPr>
        <w:t>（3</w:t>
      </w:r>
      <w:r>
        <w:rPr>
          <w:rFonts w:hint="eastAsia" w:ascii="宋体" w:hAnsi="宋体" w:eastAsia="宋体"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eastAsia="zh-CN"/>
        </w:rPr>
        <w:t>中华人民共和国国家标准《工程测量规范》（GB50026－2007）；</w:t>
      </w:r>
    </w:p>
    <w:p>
      <w:pPr>
        <w:keepLines w:val="0"/>
        <w:shd w:val="clear" w:color="auto" w:fill="FFFFFF"/>
        <w:bidi w:val="0"/>
        <w:adjustRightInd w:val="0"/>
        <w:spacing w:line="360" w:lineRule="auto"/>
        <w:ind w:firstLine="424" w:firstLineChars="177"/>
        <w:jc w:val="left"/>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u w:val="single"/>
        </w:rPr>
        <w:t>（3</w:t>
      </w: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eastAsia="zh-CN"/>
        </w:rPr>
        <w:t>中华人民共和国行业标准《建筑施工模板安全技术规范》（JGJ162）；</w:t>
      </w:r>
    </w:p>
    <w:p>
      <w:pPr>
        <w:keepLines w:val="0"/>
        <w:shd w:val="clear" w:color="auto" w:fill="FFFFFF"/>
        <w:bidi w:val="0"/>
        <w:adjustRightInd w:val="0"/>
        <w:spacing w:line="360" w:lineRule="auto"/>
        <w:ind w:firstLine="424" w:firstLineChars="177"/>
        <w:jc w:val="left"/>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u w:val="single"/>
        </w:rPr>
        <w:t>（3</w:t>
      </w:r>
      <w:r>
        <w:rPr>
          <w:rFonts w:hint="eastAsia" w:ascii="宋体" w:hAnsi="宋体" w:eastAsia="宋体" w:cs="宋体"/>
          <w:color w:val="auto"/>
          <w:sz w:val="24"/>
          <w:szCs w:val="24"/>
          <w:highlight w:val="none"/>
          <w:u w:val="single"/>
          <w:lang w:val="en-US" w:eastAsia="zh-CN"/>
        </w:rPr>
        <w:t>4</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eastAsia="zh-CN"/>
        </w:rPr>
        <w:t>中华人民共和国行业标准《建筑施工临时支撑结构技术规范》JGJ300-2013；</w:t>
      </w:r>
    </w:p>
    <w:p>
      <w:pPr>
        <w:keepLines w:val="0"/>
        <w:shd w:val="clear" w:color="auto" w:fill="FFFFFF"/>
        <w:bidi w:val="0"/>
        <w:adjustRightInd w:val="0"/>
        <w:spacing w:line="360" w:lineRule="auto"/>
        <w:ind w:firstLine="424" w:firstLineChars="177"/>
        <w:jc w:val="left"/>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u w:val="single"/>
        </w:rPr>
        <w:t>（3</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eastAsia="zh-CN"/>
        </w:rPr>
        <w:t>中华人民共和国行业标准《建筑变形测量规范》（JGJ8－2016）；</w:t>
      </w:r>
    </w:p>
    <w:p>
      <w:pPr>
        <w:keepLines w:val="0"/>
        <w:shd w:val="clear" w:color="auto" w:fill="FFFFFF"/>
        <w:bidi w:val="0"/>
        <w:adjustRightInd w:val="0"/>
        <w:spacing w:line="360" w:lineRule="auto"/>
        <w:ind w:firstLine="424" w:firstLineChars="177"/>
        <w:jc w:val="left"/>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u w:val="single"/>
        </w:rPr>
        <w:t>（3</w:t>
      </w:r>
      <w:r>
        <w:rPr>
          <w:rFonts w:hint="eastAsia" w:ascii="宋体" w:hAnsi="宋体" w:eastAsia="宋体"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eastAsia="zh-CN"/>
        </w:rPr>
        <w:t>《广东省建设工程高支撑模板系统施工安全管理办法》(粤建监字[1998]27号)；</w:t>
      </w:r>
    </w:p>
    <w:p>
      <w:pPr>
        <w:keepLines w:val="0"/>
        <w:shd w:val="clear" w:color="auto" w:fill="FFFFFF"/>
        <w:bidi w:val="0"/>
        <w:adjustRightInd w:val="0"/>
        <w:spacing w:line="360" w:lineRule="auto"/>
        <w:ind w:firstLine="424" w:firstLineChars="177"/>
        <w:jc w:val="left"/>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u w:val="single"/>
        </w:rPr>
        <w:t>（3</w:t>
      </w:r>
      <w:r>
        <w:rPr>
          <w:rFonts w:hint="eastAsia" w:ascii="宋体" w:hAnsi="宋体" w:eastAsia="宋体" w:cs="宋体"/>
          <w:color w:val="auto"/>
          <w:sz w:val="24"/>
          <w:szCs w:val="24"/>
          <w:highlight w:val="none"/>
          <w:u w:val="single"/>
          <w:lang w:val="en-US" w:eastAsia="zh-CN"/>
        </w:rPr>
        <w:t>7</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eastAsia="zh-CN"/>
        </w:rPr>
        <w:t>《广州市城乡建设委员会关于加强建筑施工模板支撑系统安全管理工作的通知》（穗建质[2014]233号）；</w:t>
      </w:r>
    </w:p>
    <w:p>
      <w:pPr>
        <w:keepLines w:val="0"/>
        <w:shd w:val="clear" w:color="auto" w:fill="FFFFFF"/>
        <w:bidi w:val="0"/>
        <w:adjustRightInd w:val="0"/>
        <w:spacing w:line="360" w:lineRule="auto"/>
        <w:ind w:firstLine="424" w:firstLineChars="177"/>
        <w:jc w:val="left"/>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u w:val="single"/>
        </w:rPr>
        <w:t>（3</w:t>
      </w:r>
      <w:r>
        <w:rPr>
          <w:rFonts w:hint="eastAsia" w:ascii="宋体" w:hAnsi="宋体" w:eastAsia="宋体" w:cs="宋体"/>
          <w:color w:val="auto"/>
          <w:sz w:val="24"/>
          <w:szCs w:val="24"/>
          <w:highlight w:val="none"/>
          <w:u w:val="single"/>
          <w:lang w:val="en-US" w:eastAsia="zh-CN"/>
        </w:rPr>
        <w:t>8</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eastAsia="zh-CN"/>
        </w:rPr>
        <w:t>《广州市住房和城乡建设委员会关于全市危险性较大的混凝土模板支撑工程和承重支撑体系推进自动化安全监测工作的通知》（穗建质[2017]1006号）；</w:t>
      </w:r>
    </w:p>
    <w:p>
      <w:pPr>
        <w:keepLines w:val="0"/>
        <w:shd w:val="clear" w:color="auto" w:fill="FFFFFF"/>
        <w:bidi w:val="0"/>
        <w:adjustRightInd w:val="0"/>
        <w:spacing w:line="360" w:lineRule="auto"/>
        <w:ind w:firstLine="424" w:firstLineChars="177"/>
        <w:jc w:val="left"/>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39</w:t>
      </w:r>
      <w:r>
        <w:rPr>
          <w:rFonts w:hint="eastAsia" w:ascii="宋体" w:hAnsi="宋体" w:eastAsia="宋体" w:cs="宋体"/>
          <w:color w:val="auto"/>
          <w:sz w:val="24"/>
          <w:szCs w:val="24"/>
          <w:highlight w:val="none"/>
          <w:u w:val="single"/>
        </w:rPr>
        <w:t>）其它国家和广东省、广州市的有关的法律、法规、规章、规范及标准，及本项目施工图纸及其会审、变更记录。</w:t>
      </w:r>
    </w:p>
    <w:p>
      <w:pPr>
        <w:keepLines w:val="0"/>
        <w:pageBreakBefore w:val="0"/>
        <w:widowControl/>
        <w:shd w:val="clear" w:color="auto" w:fill="FFFFFF"/>
        <w:kinsoku/>
        <w:wordWrap/>
        <w:overflowPunct/>
        <w:topLinePunct w:val="0"/>
        <w:autoSpaceDE/>
        <w:autoSpaceDN/>
        <w:bidi w:val="0"/>
        <w:adjustRightInd w:val="0"/>
        <w:snapToGrid/>
        <w:spacing w:line="360" w:lineRule="auto"/>
        <w:ind w:firstLine="424" w:firstLineChars="177"/>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lang w:val="en-US" w:eastAsia="zh-CN"/>
        </w:rPr>
        <w:t>在单项</w:t>
      </w:r>
      <w:r>
        <w:rPr>
          <w:rFonts w:hint="eastAsia" w:ascii="宋体" w:hAnsi="宋体" w:eastAsia="宋体" w:cs="宋体"/>
          <w:color w:val="auto"/>
          <w:sz w:val="24"/>
          <w:szCs w:val="24"/>
          <w:highlight w:val="none"/>
          <w:u w:val="single"/>
        </w:rPr>
        <w:t>检测</w:t>
      </w:r>
      <w:r>
        <w:rPr>
          <w:rFonts w:hint="eastAsia" w:ascii="宋体" w:hAnsi="宋体" w:eastAsia="宋体" w:cs="宋体"/>
          <w:color w:val="auto"/>
          <w:sz w:val="24"/>
          <w:szCs w:val="24"/>
          <w:highlight w:val="none"/>
          <w:u w:val="single"/>
          <w:lang w:val="en-US" w:eastAsia="zh-CN"/>
        </w:rPr>
        <w:t>及监测完成后，乙方按照国家技术规范、标准、规程及任务委托书的有关要求出具书面</w:t>
      </w:r>
      <w:r>
        <w:rPr>
          <w:rFonts w:hint="eastAsia" w:ascii="宋体" w:hAnsi="宋体" w:eastAsia="宋体" w:cs="宋体"/>
          <w:color w:val="auto"/>
          <w:sz w:val="24"/>
          <w:szCs w:val="24"/>
          <w:highlight w:val="none"/>
          <w:u w:val="single"/>
        </w:rPr>
        <w:t>检测</w:t>
      </w:r>
      <w:r>
        <w:rPr>
          <w:rFonts w:hint="eastAsia" w:ascii="宋体" w:hAnsi="宋体" w:eastAsia="宋体" w:cs="宋体"/>
          <w:color w:val="auto"/>
          <w:sz w:val="24"/>
          <w:szCs w:val="24"/>
          <w:highlight w:val="none"/>
          <w:u w:val="single"/>
          <w:lang w:val="en-US" w:eastAsia="zh-CN"/>
        </w:rPr>
        <w:t>及监测报告（检测报告分为初步报告和最终报告）。初步报告应在每次</w:t>
      </w:r>
      <w:r>
        <w:rPr>
          <w:rFonts w:hint="eastAsia" w:ascii="宋体" w:hAnsi="宋体" w:eastAsia="宋体" w:cs="宋体"/>
          <w:color w:val="auto"/>
          <w:sz w:val="24"/>
          <w:szCs w:val="24"/>
          <w:highlight w:val="none"/>
          <w:u w:val="single"/>
        </w:rPr>
        <w:t>检测</w:t>
      </w:r>
      <w:r>
        <w:rPr>
          <w:rFonts w:hint="eastAsia" w:ascii="宋体" w:hAnsi="宋体" w:eastAsia="宋体" w:cs="宋体"/>
          <w:color w:val="auto"/>
          <w:sz w:val="24"/>
          <w:szCs w:val="24"/>
          <w:highlight w:val="none"/>
          <w:u w:val="single"/>
          <w:lang w:val="en-US" w:eastAsia="zh-CN"/>
        </w:rPr>
        <w:t>及监测后3个工作日内提交给甲方，一式三份。最终报告应在每次检测后7个工作日内提交，一式十份。最终报告需加盖检测监测报告专用章和计量认证章（CMA章）。</w:t>
      </w:r>
      <w:bookmarkStart w:id="136" w:name="_Toc10627443"/>
      <w:bookmarkStart w:id="137" w:name="_Toc36466691"/>
    </w:p>
    <w:bookmarkEnd w:id="136"/>
    <w:bookmarkEnd w:id="137"/>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spacing w:line="360" w:lineRule="auto"/>
        <w:ind w:leftChars="0" w:firstLine="424" w:firstLineChars="177"/>
        <w:jc w:val="left"/>
        <w:textAlignment w:val="auto"/>
        <w:rPr>
          <w:rFonts w:hint="eastAsia" w:ascii="宋体" w:hAnsi="宋体" w:eastAsia="宋体" w:cs="宋体"/>
          <w:b w:val="0"/>
          <w:bCs w:val="0"/>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乙方除按要求完成本次招标范围内的</w:t>
      </w:r>
      <w:r>
        <w:rPr>
          <w:rFonts w:hint="eastAsia" w:ascii="宋体" w:hAnsi="宋体" w:eastAsia="宋体" w:cs="宋体"/>
          <w:color w:val="auto"/>
          <w:sz w:val="24"/>
          <w:szCs w:val="24"/>
          <w:highlight w:val="none"/>
          <w:u w:val="single"/>
        </w:rPr>
        <w:t>检测</w:t>
      </w:r>
      <w:r>
        <w:rPr>
          <w:rFonts w:hint="eastAsia" w:ascii="宋体" w:hAnsi="宋体" w:eastAsia="宋体" w:cs="宋体"/>
          <w:color w:val="auto"/>
          <w:sz w:val="24"/>
          <w:szCs w:val="24"/>
          <w:highlight w:val="none"/>
          <w:u w:val="single"/>
          <w:lang w:val="en-US" w:eastAsia="zh-CN"/>
        </w:rPr>
        <w:t>及监测工作外，还应根据设计文件、施工组织设计、相关规范和相关行政职能部门要求和甲方、监理要求，结合项目实际情况，编制</w:t>
      </w:r>
      <w:r>
        <w:rPr>
          <w:rFonts w:hint="eastAsia" w:ascii="宋体" w:hAnsi="宋体" w:eastAsia="宋体" w:cs="宋体"/>
          <w:color w:val="auto"/>
          <w:sz w:val="24"/>
          <w:szCs w:val="24"/>
          <w:highlight w:val="none"/>
          <w:u w:val="single"/>
        </w:rPr>
        <w:t>检测</w:t>
      </w:r>
      <w:r>
        <w:rPr>
          <w:rFonts w:hint="eastAsia" w:ascii="宋体" w:hAnsi="宋体" w:eastAsia="宋体" w:cs="宋体"/>
          <w:color w:val="auto"/>
          <w:sz w:val="24"/>
          <w:szCs w:val="24"/>
          <w:highlight w:val="none"/>
          <w:u w:val="single"/>
          <w:lang w:val="en-US" w:eastAsia="zh-CN"/>
        </w:rPr>
        <w:t>及监测方案。编制</w:t>
      </w:r>
      <w:r>
        <w:rPr>
          <w:rFonts w:hint="eastAsia" w:ascii="宋体" w:hAnsi="宋体" w:eastAsia="宋体" w:cs="宋体"/>
          <w:color w:val="auto"/>
          <w:sz w:val="24"/>
          <w:szCs w:val="24"/>
          <w:highlight w:val="none"/>
          <w:u w:val="single"/>
        </w:rPr>
        <w:t>检测</w:t>
      </w:r>
      <w:r>
        <w:rPr>
          <w:rFonts w:hint="eastAsia" w:ascii="宋体" w:hAnsi="宋体" w:eastAsia="宋体" w:cs="宋体"/>
          <w:color w:val="auto"/>
          <w:sz w:val="24"/>
          <w:szCs w:val="24"/>
          <w:highlight w:val="none"/>
          <w:u w:val="single"/>
          <w:lang w:val="en-US" w:eastAsia="zh-CN"/>
        </w:rPr>
        <w:t>及监测方案以满足施工质量抽查监督、各单项竣工验收、竣工验收备案及区质检站等政府职能部门要求为前提，必须符合国家及地方现行有关技术规范或规定以及设计单位的技术要求，合理编制，不可擅自虚增检测项目和工作量，否则不予结算。检测及监测方案需报施工单位、监理单位、设计单位、勘察单位、代建单位和建设业主审核确认后方可实施。检测及监测方案包括但不限于以下内容：</w:t>
      </w:r>
      <w:r>
        <w:rPr>
          <w:rFonts w:hint="eastAsia" w:ascii="宋体" w:hAnsi="宋体" w:eastAsia="宋体" w:cs="宋体"/>
          <w:color w:val="auto"/>
          <w:sz w:val="24"/>
          <w:szCs w:val="24"/>
          <w:highlight w:val="none"/>
          <w:u w:val="single"/>
        </w:rPr>
        <w:t>检测</w:t>
      </w:r>
      <w:r>
        <w:rPr>
          <w:rFonts w:hint="eastAsia" w:ascii="宋体" w:hAnsi="宋体" w:eastAsia="宋体" w:cs="宋体"/>
          <w:color w:val="auto"/>
          <w:sz w:val="24"/>
          <w:szCs w:val="24"/>
          <w:highlight w:val="none"/>
          <w:u w:val="single"/>
          <w:lang w:val="en-US" w:eastAsia="zh-CN"/>
        </w:rPr>
        <w:t>及监测方案编制、方案送审（有关行政管理部门）、</w:t>
      </w:r>
      <w:r>
        <w:rPr>
          <w:rFonts w:hint="eastAsia" w:ascii="宋体" w:hAnsi="宋体" w:eastAsia="宋体" w:cs="宋体"/>
          <w:color w:val="auto"/>
          <w:sz w:val="24"/>
          <w:szCs w:val="24"/>
          <w:highlight w:val="none"/>
          <w:u w:val="single"/>
        </w:rPr>
        <w:t>检测</w:t>
      </w:r>
      <w:r>
        <w:rPr>
          <w:rFonts w:hint="eastAsia" w:ascii="宋体" w:hAnsi="宋体" w:eastAsia="宋体" w:cs="宋体"/>
          <w:color w:val="auto"/>
          <w:sz w:val="24"/>
          <w:szCs w:val="24"/>
          <w:highlight w:val="none"/>
          <w:u w:val="single"/>
          <w:lang w:val="en-US" w:eastAsia="zh-CN"/>
        </w:rPr>
        <w:t>及监测点与部件埋设、试验及相关需要的配套工作、编制并提交</w:t>
      </w:r>
      <w:r>
        <w:rPr>
          <w:rFonts w:hint="eastAsia" w:ascii="宋体" w:hAnsi="宋体" w:eastAsia="宋体" w:cs="宋体"/>
          <w:color w:val="auto"/>
          <w:sz w:val="24"/>
          <w:szCs w:val="24"/>
          <w:highlight w:val="none"/>
          <w:u w:val="single"/>
        </w:rPr>
        <w:t>检测</w:t>
      </w:r>
      <w:r>
        <w:rPr>
          <w:rFonts w:hint="eastAsia" w:ascii="宋体" w:hAnsi="宋体" w:eastAsia="宋体" w:cs="宋体"/>
          <w:color w:val="auto"/>
          <w:sz w:val="24"/>
          <w:szCs w:val="24"/>
          <w:highlight w:val="none"/>
          <w:u w:val="single"/>
          <w:lang w:val="en-US" w:eastAsia="zh-CN"/>
        </w:rPr>
        <w:t>及监测成果报告等全部工作；并确保</w:t>
      </w:r>
      <w:r>
        <w:rPr>
          <w:rFonts w:hint="eastAsia" w:ascii="宋体" w:hAnsi="宋体" w:eastAsia="宋体" w:cs="宋体"/>
          <w:color w:val="auto"/>
          <w:sz w:val="24"/>
          <w:szCs w:val="24"/>
          <w:highlight w:val="none"/>
          <w:u w:val="single"/>
        </w:rPr>
        <w:t>检测</w:t>
      </w:r>
      <w:r>
        <w:rPr>
          <w:rFonts w:hint="eastAsia" w:ascii="宋体" w:hAnsi="宋体" w:eastAsia="宋体" w:cs="宋体"/>
          <w:color w:val="auto"/>
          <w:sz w:val="24"/>
          <w:szCs w:val="24"/>
          <w:highlight w:val="none"/>
          <w:u w:val="single"/>
          <w:lang w:val="en-US" w:eastAsia="zh-CN"/>
        </w:rPr>
        <w:t>及监测方案符合有关规范要求及通过工程所在行政区域的相关建设行政主管部门、监督部门及建设单位的上级主管部门的审批，同时负责协调相关工作。</w:t>
      </w:r>
    </w:p>
    <w:p>
      <w:pPr>
        <w:spacing w:line="360" w:lineRule="auto"/>
        <w:ind w:firstLine="426" w:firstLineChars="177"/>
        <w:rPr>
          <w:rFonts w:ascii="宋体" w:hAnsi="宋体"/>
          <w:color w:val="auto"/>
          <w:sz w:val="24"/>
          <w:szCs w:val="24"/>
          <w:highlight w:val="none"/>
        </w:rPr>
      </w:pPr>
      <w:r>
        <w:rPr>
          <w:rFonts w:hint="eastAsia" w:ascii="宋体" w:hAnsi="宋体"/>
          <w:b/>
          <w:color w:val="auto"/>
          <w:sz w:val="24"/>
          <w:szCs w:val="24"/>
          <w:highlight w:val="none"/>
        </w:rPr>
        <w:t>4.服务要求：</w:t>
      </w:r>
    </w:p>
    <w:p>
      <w:pPr>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（1）符合法律、行政法规及部门规章；</w:t>
      </w:r>
    </w:p>
    <w:p>
      <w:pPr>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（2）符合本工程有关的规范、标准、规程。</w:t>
      </w:r>
    </w:p>
    <w:p>
      <w:pPr>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（3）按照《中华人民共和国建筑法》、《建设工程质量检测管理办法》中华人民共和国行业标准及其它相关等规范进行检测和判定，出具完整检测</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监测</w:t>
      </w:r>
      <w:r>
        <w:rPr>
          <w:rFonts w:hint="eastAsia" w:ascii="宋体" w:hAnsi="宋体"/>
          <w:color w:val="auto"/>
          <w:sz w:val="24"/>
          <w:szCs w:val="24"/>
          <w:highlight w:val="none"/>
        </w:rPr>
        <w:t>报告。检测</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监测</w:t>
      </w:r>
      <w:r>
        <w:rPr>
          <w:rFonts w:hint="eastAsia" w:ascii="宋体" w:hAnsi="宋体"/>
          <w:color w:val="auto"/>
          <w:sz w:val="24"/>
          <w:szCs w:val="24"/>
          <w:highlight w:val="none"/>
        </w:rPr>
        <w:t>报告应经检测人员签字、检测机构法定代表人或者其授权的签字人签署，并加盖检测</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监测</w:t>
      </w:r>
      <w:r>
        <w:rPr>
          <w:rFonts w:hint="eastAsia" w:ascii="宋体" w:hAnsi="宋体"/>
          <w:color w:val="auto"/>
          <w:sz w:val="24"/>
          <w:szCs w:val="24"/>
          <w:highlight w:val="none"/>
        </w:rPr>
        <w:t>机构公章或者检测</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监测</w:t>
      </w:r>
      <w:r>
        <w:rPr>
          <w:rFonts w:hint="eastAsia" w:ascii="宋体" w:hAnsi="宋体"/>
          <w:color w:val="auto"/>
          <w:sz w:val="24"/>
          <w:szCs w:val="24"/>
          <w:highlight w:val="none"/>
        </w:rPr>
        <w:t>专用章。</w:t>
      </w:r>
    </w:p>
    <w:p>
      <w:pPr>
        <w:spacing w:line="360" w:lineRule="auto"/>
        <w:ind w:firstLine="426" w:firstLineChars="177"/>
        <w:rPr>
          <w:rFonts w:ascii="宋体" w:hAnsi="宋体"/>
          <w:b/>
          <w:color w:val="auto"/>
          <w:sz w:val="24"/>
          <w:szCs w:val="24"/>
          <w:highlight w:val="none"/>
        </w:rPr>
      </w:pPr>
      <w:bookmarkStart w:id="138" w:name="_Toc24882"/>
      <w:bookmarkStart w:id="139" w:name="_Toc511557119"/>
      <w:bookmarkStart w:id="140" w:name="_Toc9843"/>
      <w:r>
        <w:rPr>
          <w:rFonts w:hint="eastAsia" w:ascii="宋体" w:hAnsi="宋体"/>
          <w:b/>
          <w:color w:val="auto"/>
          <w:sz w:val="24"/>
          <w:szCs w:val="24"/>
          <w:highlight w:val="none"/>
        </w:rPr>
        <w:t>5.委托人的其他要求</w:t>
      </w:r>
      <w:bookmarkEnd w:id="138"/>
      <w:bookmarkEnd w:id="139"/>
      <w:bookmarkEnd w:id="140"/>
      <w:r>
        <w:rPr>
          <w:rFonts w:hint="eastAsia" w:ascii="宋体" w:hAnsi="宋体"/>
          <w:b/>
          <w:color w:val="auto"/>
          <w:sz w:val="24"/>
          <w:szCs w:val="24"/>
          <w:highlight w:val="none"/>
        </w:rPr>
        <w:t>：</w:t>
      </w:r>
    </w:p>
    <w:p>
      <w:pPr>
        <w:pStyle w:val="28"/>
        <w:spacing w:line="360" w:lineRule="auto"/>
        <w:ind w:firstLine="480"/>
        <w:rPr>
          <w:rFonts w:ascii="宋体" w:hAnsi="宋体"/>
          <w:sz w:val="24"/>
          <w:highlight w:val="none"/>
        </w:rPr>
      </w:pPr>
      <w:r>
        <w:rPr>
          <w:rFonts w:hint="eastAsia" w:ascii="宋体" w:hAnsi="宋体"/>
          <w:sz w:val="24"/>
          <w:highlight w:val="none"/>
        </w:rPr>
        <w:t>1.本项目实施期间，如果因本项目施工质量抽查监督及验收需要，按规范和经批准的检测</w:t>
      </w:r>
      <w:r>
        <w:rPr>
          <w:rFonts w:hint="eastAsia" w:ascii="宋体" w:hAnsi="宋体"/>
          <w:sz w:val="24"/>
          <w:highlight w:val="none"/>
          <w:lang w:val="en-US" w:eastAsia="zh-CN"/>
        </w:rPr>
        <w:t>监测</w:t>
      </w:r>
      <w:r>
        <w:rPr>
          <w:rFonts w:hint="eastAsia" w:ascii="宋体" w:hAnsi="宋体"/>
          <w:sz w:val="24"/>
          <w:highlight w:val="none"/>
        </w:rPr>
        <w:t>方案，经招标人确认需增加检测</w:t>
      </w:r>
      <w:r>
        <w:rPr>
          <w:rFonts w:hint="eastAsia" w:ascii="宋体" w:hAnsi="宋体"/>
          <w:sz w:val="24"/>
          <w:highlight w:val="none"/>
          <w:lang w:val="en-US" w:eastAsia="zh-CN"/>
        </w:rPr>
        <w:t>监测</w:t>
      </w:r>
      <w:r>
        <w:rPr>
          <w:rFonts w:hint="eastAsia" w:ascii="宋体" w:hAnsi="宋体"/>
          <w:sz w:val="24"/>
          <w:highlight w:val="none"/>
        </w:rPr>
        <w:t>项目，且投标人也具备相应资质，则投标人不得以任何原因拒绝为招标人提供检测</w:t>
      </w:r>
      <w:r>
        <w:rPr>
          <w:rFonts w:hint="eastAsia" w:ascii="宋体" w:hAnsi="宋体"/>
          <w:sz w:val="24"/>
          <w:highlight w:val="none"/>
          <w:lang w:val="en-US" w:eastAsia="zh-CN"/>
        </w:rPr>
        <w:t>及监测</w:t>
      </w:r>
      <w:r>
        <w:rPr>
          <w:rFonts w:hint="eastAsia" w:ascii="宋体" w:hAnsi="宋体"/>
          <w:sz w:val="24"/>
          <w:highlight w:val="none"/>
        </w:rPr>
        <w:t>，并按要求出具符合验收要求的检测</w:t>
      </w:r>
      <w:r>
        <w:rPr>
          <w:rFonts w:hint="eastAsia" w:ascii="宋体" w:hAnsi="宋体"/>
          <w:sz w:val="24"/>
          <w:highlight w:val="none"/>
          <w:lang w:eastAsia="zh-CN"/>
        </w:rPr>
        <w:t>、</w:t>
      </w:r>
      <w:r>
        <w:rPr>
          <w:rFonts w:hint="eastAsia" w:ascii="宋体" w:hAnsi="宋体"/>
          <w:sz w:val="24"/>
          <w:highlight w:val="none"/>
          <w:lang w:val="en-US" w:eastAsia="zh-CN"/>
        </w:rPr>
        <w:t>监测</w:t>
      </w:r>
      <w:r>
        <w:rPr>
          <w:rFonts w:hint="eastAsia" w:ascii="宋体" w:hAnsi="宋体"/>
          <w:sz w:val="24"/>
          <w:highlight w:val="none"/>
        </w:rPr>
        <w:t>报告。投标人检测</w:t>
      </w:r>
      <w:r>
        <w:rPr>
          <w:rFonts w:hint="eastAsia" w:ascii="宋体" w:hAnsi="宋体"/>
          <w:sz w:val="24"/>
          <w:highlight w:val="none"/>
          <w:lang w:eastAsia="zh-CN"/>
        </w:rPr>
        <w:t>、</w:t>
      </w:r>
      <w:r>
        <w:rPr>
          <w:rFonts w:hint="eastAsia" w:ascii="宋体" w:hAnsi="宋体"/>
          <w:sz w:val="24"/>
          <w:highlight w:val="none"/>
          <w:lang w:val="en-US" w:eastAsia="zh-CN"/>
        </w:rPr>
        <w:t>监测</w:t>
      </w:r>
      <w:r>
        <w:rPr>
          <w:rFonts w:hint="eastAsia" w:ascii="宋体" w:hAnsi="宋体"/>
          <w:sz w:val="24"/>
          <w:highlight w:val="none"/>
        </w:rPr>
        <w:t>资质不能涵盖的项目报招标人批准后，由投标人委托具有相应资质的第三方实施，投标人应对该第三方出具的结果负责，并取得相应管理部门的确认。</w:t>
      </w:r>
    </w:p>
    <w:p>
      <w:pPr>
        <w:pStyle w:val="28"/>
        <w:spacing w:line="360" w:lineRule="auto"/>
        <w:ind w:firstLine="480"/>
        <w:rPr>
          <w:rFonts w:ascii="宋体" w:hAnsi="宋体"/>
          <w:sz w:val="24"/>
          <w:highlight w:val="none"/>
        </w:rPr>
      </w:pPr>
      <w:r>
        <w:rPr>
          <w:rFonts w:hint="eastAsia" w:ascii="宋体" w:hAnsi="宋体"/>
          <w:sz w:val="24"/>
          <w:highlight w:val="none"/>
        </w:rPr>
        <w:t>2.检测</w:t>
      </w:r>
      <w:r>
        <w:rPr>
          <w:rFonts w:hint="eastAsia" w:ascii="宋体" w:hAnsi="宋体"/>
          <w:sz w:val="24"/>
          <w:highlight w:val="none"/>
          <w:lang w:val="en-US" w:eastAsia="zh-CN"/>
        </w:rPr>
        <w:t>监测</w:t>
      </w:r>
      <w:r>
        <w:rPr>
          <w:rFonts w:hint="eastAsia" w:ascii="宋体" w:hAnsi="宋体"/>
          <w:sz w:val="24"/>
          <w:highlight w:val="none"/>
        </w:rPr>
        <w:t>方案及工作量：在施工过程中，检测</w:t>
      </w:r>
      <w:r>
        <w:rPr>
          <w:rFonts w:hint="eastAsia" w:ascii="宋体" w:hAnsi="宋体"/>
          <w:sz w:val="24"/>
          <w:highlight w:val="none"/>
          <w:lang w:val="en-US" w:eastAsia="zh-CN"/>
        </w:rPr>
        <w:t>监测</w:t>
      </w:r>
      <w:r>
        <w:rPr>
          <w:rFonts w:hint="eastAsia" w:ascii="宋体" w:hAnsi="宋体"/>
          <w:sz w:val="24"/>
          <w:highlight w:val="none"/>
        </w:rPr>
        <w:t>服务单位依据施工图及相关检测</w:t>
      </w:r>
      <w:r>
        <w:rPr>
          <w:rFonts w:hint="eastAsia" w:ascii="宋体" w:hAnsi="宋体"/>
          <w:sz w:val="24"/>
          <w:highlight w:val="none"/>
          <w:lang w:eastAsia="zh-CN"/>
        </w:rPr>
        <w:t>、</w:t>
      </w:r>
      <w:r>
        <w:rPr>
          <w:rFonts w:hint="eastAsia" w:ascii="宋体" w:hAnsi="宋体"/>
          <w:sz w:val="24"/>
          <w:highlight w:val="none"/>
          <w:lang w:val="en-US" w:eastAsia="zh-CN"/>
        </w:rPr>
        <w:t>监测</w:t>
      </w:r>
      <w:r>
        <w:rPr>
          <w:rFonts w:hint="eastAsia" w:ascii="宋体" w:hAnsi="宋体"/>
          <w:sz w:val="24"/>
          <w:highlight w:val="none"/>
        </w:rPr>
        <w:t>验收规范，编制检测</w:t>
      </w:r>
      <w:r>
        <w:rPr>
          <w:rFonts w:hint="eastAsia" w:ascii="宋体" w:hAnsi="宋体"/>
          <w:sz w:val="24"/>
          <w:highlight w:val="none"/>
          <w:lang w:val="en-US" w:eastAsia="zh-CN"/>
        </w:rPr>
        <w:t>监测</w:t>
      </w:r>
      <w:r>
        <w:rPr>
          <w:rFonts w:hint="eastAsia" w:ascii="宋体" w:hAnsi="宋体"/>
          <w:sz w:val="24"/>
          <w:highlight w:val="none"/>
        </w:rPr>
        <w:t>方案和工程量清单，以满足施工质量抽查监督、各单项竣工验收、竣工验收备案及区质检站等政府职能部门要求为前提，合理编制，不可擅自虚增检测</w:t>
      </w:r>
      <w:r>
        <w:rPr>
          <w:rFonts w:hint="eastAsia" w:ascii="宋体" w:hAnsi="宋体"/>
          <w:sz w:val="24"/>
          <w:highlight w:val="none"/>
          <w:lang w:val="en-US" w:eastAsia="zh-CN"/>
        </w:rPr>
        <w:t>监测</w:t>
      </w:r>
      <w:r>
        <w:rPr>
          <w:rFonts w:hint="eastAsia" w:ascii="宋体" w:hAnsi="宋体"/>
          <w:sz w:val="24"/>
          <w:highlight w:val="none"/>
        </w:rPr>
        <w:t>项目和工作量，否则不予结算。检测</w:t>
      </w:r>
      <w:r>
        <w:rPr>
          <w:rFonts w:hint="eastAsia" w:ascii="宋体" w:hAnsi="宋体"/>
          <w:sz w:val="24"/>
          <w:highlight w:val="none"/>
          <w:lang w:val="en-US" w:eastAsia="zh-CN"/>
        </w:rPr>
        <w:t>监测</w:t>
      </w:r>
      <w:r>
        <w:rPr>
          <w:rFonts w:hint="eastAsia" w:ascii="宋体" w:hAnsi="宋体"/>
          <w:sz w:val="24"/>
          <w:highlight w:val="none"/>
        </w:rPr>
        <w:t>方案需报施工单位、监理单位、设计单位、勘察单位、代建单位和建设业主审核确认后方可实施，检测</w:t>
      </w:r>
      <w:r>
        <w:rPr>
          <w:rFonts w:hint="eastAsia" w:ascii="宋体" w:hAnsi="宋体"/>
          <w:sz w:val="24"/>
          <w:highlight w:val="none"/>
          <w:lang w:val="en-US" w:eastAsia="zh-CN"/>
        </w:rPr>
        <w:t>监测</w:t>
      </w:r>
      <w:r>
        <w:rPr>
          <w:rFonts w:hint="eastAsia" w:ascii="宋体" w:hAnsi="宋体"/>
          <w:sz w:val="24"/>
          <w:highlight w:val="none"/>
        </w:rPr>
        <w:t>项目及工作量按实结算。</w:t>
      </w:r>
    </w:p>
    <w:p>
      <w:pPr>
        <w:pStyle w:val="28"/>
        <w:spacing w:line="360" w:lineRule="auto"/>
        <w:ind w:firstLine="480"/>
        <w:rPr>
          <w:rFonts w:ascii="宋体" w:hAnsi="宋体"/>
          <w:sz w:val="24"/>
          <w:highlight w:val="none"/>
        </w:rPr>
      </w:pPr>
      <w:r>
        <w:rPr>
          <w:rFonts w:hint="eastAsia" w:ascii="宋体" w:hAnsi="宋体"/>
          <w:sz w:val="24"/>
          <w:highlight w:val="none"/>
        </w:rPr>
        <w:t>3.其他详见本招标文件的第一章投标人须知和本工程委托检测</w:t>
      </w:r>
      <w:r>
        <w:rPr>
          <w:rFonts w:hint="eastAsia" w:ascii="宋体" w:hAnsi="宋体"/>
          <w:sz w:val="24"/>
          <w:highlight w:val="none"/>
          <w:lang w:val="en-US" w:eastAsia="zh-CN"/>
        </w:rPr>
        <w:t>监测</w:t>
      </w:r>
      <w:r>
        <w:rPr>
          <w:rFonts w:hint="eastAsia" w:ascii="宋体" w:hAnsi="宋体"/>
          <w:sz w:val="24"/>
          <w:highlight w:val="none"/>
        </w:rPr>
        <w:t>合同的相关约定。</w:t>
      </w:r>
    </w:p>
    <w:p>
      <w:pPr>
        <w:pStyle w:val="28"/>
        <w:spacing w:line="360" w:lineRule="auto"/>
        <w:ind w:left="0" w:leftChars="0" w:firstLine="480"/>
        <w:rPr>
          <w:rFonts w:ascii="宋体" w:hAnsi="宋体"/>
          <w:sz w:val="24"/>
          <w:highlight w:val="none"/>
        </w:rPr>
      </w:pPr>
    </w:p>
    <w:p>
      <w:pPr>
        <w:pStyle w:val="3"/>
        <w:rPr>
          <w:color w:val="auto"/>
          <w:highlight w:val="none"/>
        </w:rPr>
      </w:pPr>
      <w:r>
        <w:rPr>
          <w:color w:val="auto"/>
          <w:highlight w:val="none"/>
        </w:rPr>
        <w:br w:type="page"/>
      </w:r>
      <w:bookmarkStart w:id="141" w:name="_Toc30698"/>
      <w:r>
        <w:rPr>
          <w:rFonts w:hint="eastAsia"/>
          <w:color w:val="auto"/>
          <w:highlight w:val="none"/>
        </w:rPr>
        <w:t>第三卷</w:t>
      </w:r>
      <w:bookmarkEnd w:id="133"/>
      <w:bookmarkEnd w:id="141"/>
    </w:p>
    <w:p>
      <w:pPr>
        <w:pStyle w:val="3"/>
        <w:rPr>
          <w:color w:val="auto"/>
          <w:highlight w:val="none"/>
        </w:rPr>
      </w:pPr>
      <w:bookmarkStart w:id="142" w:name="_Toc2527"/>
      <w:bookmarkStart w:id="143" w:name="_Toc533357327"/>
      <w:r>
        <w:rPr>
          <w:rFonts w:hint="eastAsia"/>
          <w:color w:val="auto"/>
          <w:highlight w:val="none"/>
        </w:rPr>
        <w:t>第六章  投标文件格式</w:t>
      </w:r>
      <w:bookmarkEnd w:id="142"/>
      <w:bookmarkEnd w:id="143"/>
    </w:p>
    <w:p>
      <w:pPr>
        <w:rPr>
          <w:color w:val="auto"/>
          <w:highlight w:val="none"/>
        </w:rPr>
      </w:pPr>
    </w:p>
    <w:p>
      <w:pPr>
        <w:pStyle w:val="28"/>
        <w:rPr>
          <w:rFonts w:ascii="Calibri" w:hAnsi="Calibri"/>
          <w:highlight w:val="none"/>
        </w:rPr>
      </w:pPr>
    </w:p>
    <w:p>
      <w:pPr>
        <w:jc w:val="center"/>
        <w:rPr>
          <w:rFonts w:ascii="宋体" w:hAnsi="宋体"/>
          <w:b/>
          <w:color w:val="auto"/>
          <w:sz w:val="28"/>
          <w:szCs w:val="28"/>
          <w:highlight w:val="none"/>
        </w:rPr>
      </w:pPr>
      <w:r>
        <w:rPr>
          <w:rFonts w:hint="eastAsia" w:ascii="宋体" w:hAnsi="宋体"/>
          <w:b/>
          <w:color w:val="auto"/>
          <w:sz w:val="28"/>
          <w:szCs w:val="28"/>
          <w:highlight w:val="none"/>
        </w:rPr>
        <w:t>目  录</w:t>
      </w:r>
    </w:p>
    <w:p>
      <w:pPr>
        <w:pStyle w:val="27"/>
        <w:tabs>
          <w:tab w:val="left" w:pos="960"/>
        </w:tabs>
        <w:spacing w:line="440" w:lineRule="exact"/>
        <w:ind w:left="960"/>
        <w:rPr>
          <w:rFonts w:ascii="宋体" w:hAnsi="宋体"/>
          <w:color w:val="auto"/>
          <w:sz w:val="24"/>
          <w:highlight w:val="none"/>
        </w:rPr>
      </w:pPr>
      <w:bookmarkStart w:id="144" w:name="_Toc390704763"/>
      <w:bookmarkStart w:id="145" w:name="_Toc266373528"/>
      <w:r>
        <w:rPr>
          <w:rFonts w:hint="eastAsia" w:ascii="宋体" w:hAnsi="宋体"/>
          <w:color w:val="auto"/>
          <w:sz w:val="24"/>
          <w:highlight w:val="none"/>
        </w:rPr>
        <w:t>一、投标函及其附表</w:t>
      </w:r>
    </w:p>
    <w:p>
      <w:pPr>
        <w:pStyle w:val="27"/>
        <w:tabs>
          <w:tab w:val="left" w:pos="960"/>
        </w:tabs>
        <w:spacing w:line="440" w:lineRule="exact"/>
        <w:ind w:left="960"/>
        <w:rPr>
          <w:rFonts w:ascii="宋体" w:hAnsi="宋体"/>
          <w:color w:val="auto"/>
          <w:sz w:val="24"/>
          <w:highlight w:val="none"/>
        </w:rPr>
      </w:pPr>
      <w:r>
        <w:rPr>
          <w:rFonts w:hint="eastAsia" w:ascii="宋体" w:hAnsi="宋体"/>
          <w:color w:val="auto"/>
          <w:sz w:val="24"/>
          <w:highlight w:val="none"/>
        </w:rPr>
        <w:t>二、法定代表人证明书及授权委托书</w:t>
      </w:r>
    </w:p>
    <w:p>
      <w:pPr>
        <w:pStyle w:val="27"/>
        <w:tabs>
          <w:tab w:val="left" w:pos="960"/>
        </w:tabs>
        <w:spacing w:line="440" w:lineRule="exact"/>
        <w:ind w:left="960"/>
        <w:rPr>
          <w:rFonts w:ascii="宋体" w:hAnsi="宋体"/>
          <w:color w:val="auto"/>
          <w:sz w:val="24"/>
          <w:highlight w:val="none"/>
        </w:rPr>
      </w:pPr>
      <w:r>
        <w:rPr>
          <w:rFonts w:hint="eastAsia" w:ascii="宋体" w:hAnsi="宋体"/>
          <w:color w:val="auto"/>
          <w:sz w:val="24"/>
          <w:highlight w:val="none"/>
        </w:rPr>
        <w:t>三、投标保证金</w:t>
      </w:r>
    </w:p>
    <w:p>
      <w:pPr>
        <w:pStyle w:val="27"/>
        <w:tabs>
          <w:tab w:val="left" w:pos="960"/>
        </w:tabs>
        <w:spacing w:line="440" w:lineRule="exact"/>
        <w:ind w:left="960"/>
        <w:rPr>
          <w:rFonts w:ascii="宋体" w:hAnsi="宋体"/>
          <w:color w:val="auto"/>
          <w:sz w:val="24"/>
          <w:highlight w:val="none"/>
        </w:rPr>
      </w:pPr>
      <w:r>
        <w:rPr>
          <w:rFonts w:hint="eastAsia" w:ascii="宋体" w:hAnsi="宋体"/>
          <w:color w:val="auto"/>
          <w:sz w:val="24"/>
          <w:highlight w:val="none"/>
        </w:rPr>
        <w:t>四、投标报价书</w:t>
      </w:r>
    </w:p>
    <w:p>
      <w:pPr>
        <w:pStyle w:val="27"/>
        <w:tabs>
          <w:tab w:val="left" w:pos="960"/>
        </w:tabs>
        <w:spacing w:line="440" w:lineRule="exact"/>
        <w:ind w:left="960"/>
        <w:rPr>
          <w:rFonts w:ascii="宋体" w:hAnsi="宋体"/>
          <w:color w:val="auto"/>
          <w:sz w:val="24"/>
          <w:highlight w:val="none"/>
        </w:rPr>
      </w:pPr>
      <w:r>
        <w:rPr>
          <w:rFonts w:hint="eastAsia" w:ascii="宋体" w:hAnsi="宋体"/>
          <w:color w:val="auto"/>
          <w:sz w:val="24"/>
          <w:highlight w:val="none"/>
        </w:rPr>
        <w:t>五、资格审查资料</w:t>
      </w:r>
    </w:p>
    <w:p>
      <w:pPr>
        <w:pStyle w:val="27"/>
        <w:tabs>
          <w:tab w:val="left" w:pos="960"/>
        </w:tabs>
        <w:spacing w:line="440" w:lineRule="exact"/>
        <w:ind w:left="960"/>
        <w:rPr>
          <w:rFonts w:ascii="宋体" w:hAnsi="宋体"/>
          <w:color w:val="auto"/>
          <w:sz w:val="24"/>
          <w:highlight w:val="none"/>
        </w:rPr>
      </w:pPr>
      <w:r>
        <w:rPr>
          <w:rFonts w:hint="eastAsia" w:ascii="宋体" w:hAnsi="宋体"/>
          <w:color w:val="auto"/>
          <w:sz w:val="24"/>
          <w:highlight w:val="none"/>
        </w:rPr>
        <w:t>六、类似项目情况表</w:t>
      </w:r>
    </w:p>
    <w:p>
      <w:pPr>
        <w:pStyle w:val="27"/>
        <w:tabs>
          <w:tab w:val="left" w:pos="960"/>
        </w:tabs>
        <w:spacing w:line="440" w:lineRule="exact"/>
        <w:ind w:left="960"/>
        <w:rPr>
          <w:rFonts w:ascii="宋体" w:hAnsi="宋体"/>
          <w:color w:val="auto"/>
          <w:sz w:val="24"/>
          <w:highlight w:val="none"/>
        </w:rPr>
      </w:pPr>
      <w:r>
        <w:rPr>
          <w:rFonts w:hint="eastAsia" w:ascii="宋体" w:hAnsi="宋体"/>
          <w:color w:val="auto"/>
          <w:sz w:val="24"/>
          <w:highlight w:val="none"/>
        </w:rPr>
        <w:t>七、拟投入本项目的检测人员一览表</w:t>
      </w:r>
    </w:p>
    <w:p>
      <w:pPr>
        <w:pStyle w:val="27"/>
        <w:tabs>
          <w:tab w:val="left" w:pos="960"/>
        </w:tabs>
        <w:spacing w:line="440" w:lineRule="exact"/>
        <w:ind w:left="960"/>
        <w:rPr>
          <w:rFonts w:ascii="宋体" w:hAnsi="宋体"/>
          <w:color w:val="auto"/>
          <w:sz w:val="24"/>
          <w:highlight w:val="none"/>
        </w:rPr>
      </w:pPr>
      <w:r>
        <w:rPr>
          <w:rFonts w:hint="eastAsia" w:ascii="宋体" w:hAnsi="宋体"/>
          <w:color w:val="auto"/>
          <w:sz w:val="24"/>
          <w:highlight w:val="none"/>
        </w:rPr>
        <w:t>八、拟投入本项目的检测人员简历表</w:t>
      </w:r>
    </w:p>
    <w:p>
      <w:pPr>
        <w:pStyle w:val="27"/>
        <w:tabs>
          <w:tab w:val="left" w:pos="960"/>
        </w:tabs>
        <w:spacing w:line="440" w:lineRule="exact"/>
        <w:ind w:left="960"/>
        <w:rPr>
          <w:rFonts w:ascii="宋体" w:hAnsi="宋体"/>
          <w:color w:val="auto"/>
          <w:sz w:val="24"/>
          <w:highlight w:val="none"/>
        </w:rPr>
      </w:pPr>
      <w:r>
        <w:rPr>
          <w:rFonts w:hint="eastAsia" w:ascii="宋体" w:hAnsi="宋体"/>
          <w:color w:val="auto"/>
          <w:sz w:val="24"/>
          <w:highlight w:val="none"/>
        </w:rPr>
        <w:t>九、拟投入本项目的主要仪器设备一览表</w:t>
      </w:r>
    </w:p>
    <w:p>
      <w:pPr>
        <w:pStyle w:val="27"/>
        <w:tabs>
          <w:tab w:val="left" w:pos="960"/>
        </w:tabs>
        <w:spacing w:line="440" w:lineRule="exact"/>
        <w:ind w:left="960"/>
        <w:rPr>
          <w:rFonts w:ascii="宋体" w:hAnsi="宋体"/>
          <w:color w:val="auto"/>
          <w:sz w:val="24"/>
          <w:highlight w:val="none"/>
        </w:rPr>
      </w:pPr>
      <w:r>
        <w:rPr>
          <w:rFonts w:hint="eastAsia" w:ascii="宋体" w:hAnsi="宋体"/>
          <w:color w:val="auto"/>
          <w:sz w:val="24"/>
          <w:highlight w:val="none"/>
        </w:rPr>
        <w:t>十、检测方案</w:t>
      </w:r>
    </w:p>
    <w:p>
      <w:pPr>
        <w:pStyle w:val="27"/>
        <w:tabs>
          <w:tab w:val="left" w:pos="960"/>
        </w:tabs>
        <w:spacing w:line="440" w:lineRule="exact"/>
        <w:ind w:left="960"/>
        <w:rPr>
          <w:rFonts w:ascii="宋体" w:hAnsi="宋体"/>
          <w:color w:val="auto"/>
          <w:kern w:val="0"/>
          <w:sz w:val="18"/>
          <w:highlight w:val="none"/>
        </w:rPr>
      </w:pPr>
      <w:r>
        <w:rPr>
          <w:rFonts w:hint="eastAsia" w:ascii="宋体" w:hAnsi="宋体"/>
          <w:color w:val="auto"/>
          <w:sz w:val="24"/>
          <w:highlight w:val="none"/>
        </w:rPr>
        <w:t>十一、其他资料</w:t>
      </w:r>
      <w:r>
        <w:rPr>
          <w:rFonts w:ascii="宋体" w:hAnsi="宋体"/>
          <w:color w:val="auto"/>
          <w:sz w:val="24"/>
          <w:highlight w:val="none"/>
        </w:rPr>
        <w:br w:type="page"/>
      </w:r>
      <w:bookmarkEnd w:id="144"/>
    </w:p>
    <w:p>
      <w:pPr>
        <w:pStyle w:val="5"/>
        <w:ind w:firstLine="3534"/>
        <w:rPr>
          <w:color w:val="auto"/>
          <w:highlight w:val="none"/>
        </w:rPr>
      </w:pPr>
      <w:bookmarkStart w:id="146" w:name="_Toc533334219"/>
      <w:bookmarkStart w:id="147" w:name="_Toc575"/>
      <w:bookmarkStart w:id="148" w:name="_Toc533357328"/>
      <w:bookmarkStart w:id="149" w:name="_Toc390704764"/>
      <w:bookmarkStart w:id="150" w:name="_Toc11434"/>
      <w:r>
        <w:rPr>
          <w:rFonts w:hint="eastAsia"/>
          <w:color w:val="auto"/>
          <w:highlight w:val="none"/>
        </w:rPr>
        <w:t>一、</w:t>
      </w:r>
      <w:bookmarkStart w:id="151" w:name="_Toc6931"/>
      <w:bookmarkStart w:id="152" w:name="_Toc369531692"/>
      <w:bookmarkStart w:id="153" w:name="_Toc352691656"/>
      <w:r>
        <w:rPr>
          <w:rFonts w:hint="eastAsia"/>
          <w:color w:val="auto"/>
          <w:highlight w:val="none"/>
        </w:rPr>
        <w:t>投标函及其附表</w:t>
      </w:r>
      <w:bookmarkEnd w:id="146"/>
      <w:bookmarkEnd w:id="147"/>
    </w:p>
    <w:bookmarkEnd w:id="151"/>
    <w:bookmarkEnd w:id="152"/>
    <w:bookmarkEnd w:id="153"/>
    <w:p>
      <w:pPr>
        <w:spacing w:line="360" w:lineRule="auto"/>
        <w:ind w:firstLine="480" w:firstLineChars="200"/>
        <w:rPr>
          <w:rFonts w:ascii="宋体" w:hAnsi="宋体"/>
          <w:color w:val="auto"/>
          <w:sz w:val="24"/>
          <w:szCs w:val="24"/>
          <w:highlight w:val="none"/>
        </w:rPr>
      </w:pP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致：</w:t>
      </w:r>
      <w:r>
        <w:rPr>
          <w:rFonts w:ascii="宋体" w:hAnsi="宋体"/>
          <w:color w:val="auto"/>
          <w:sz w:val="24"/>
          <w:szCs w:val="24"/>
          <w:highlight w:val="none"/>
        </w:rPr>
        <w:t xml:space="preserve">  </w:t>
      </w:r>
      <w:r>
        <w:rPr>
          <w:rFonts w:ascii="宋体" w:hAnsi="宋体"/>
          <w:color w:val="auto"/>
          <w:sz w:val="24"/>
          <w:szCs w:val="24"/>
          <w:highlight w:val="none"/>
          <w:u w:val="single"/>
        </w:rPr>
        <w:t xml:space="preserve">       </w:t>
      </w:r>
      <w:r>
        <w:rPr>
          <w:rFonts w:ascii="宋体" w:hAnsi="宋体"/>
          <w:b/>
          <w:bCs/>
          <w:color w:val="auto"/>
          <w:sz w:val="24"/>
          <w:szCs w:val="24"/>
          <w:highlight w:val="none"/>
          <w:u w:val="single"/>
        </w:rPr>
        <w:t xml:space="preserve"> </w:t>
      </w:r>
      <w:r>
        <w:rPr>
          <w:rFonts w:hint="eastAsia" w:ascii="宋体" w:hAnsi="宋体"/>
          <w:color w:val="auto"/>
          <w:sz w:val="24"/>
          <w:szCs w:val="24"/>
          <w:highlight w:val="none"/>
          <w:u w:val="single"/>
        </w:rPr>
        <w:t>（招标人）</w:t>
      </w:r>
      <w:r>
        <w:rPr>
          <w:rFonts w:ascii="宋体" w:hAnsi="宋体"/>
          <w:color w:val="auto"/>
          <w:sz w:val="24"/>
          <w:szCs w:val="24"/>
          <w:highlight w:val="none"/>
          <w:u w:val="single"/>
        </w:rPr>
        <w:t xml:space="preserve">          </w:t>
      </w:r>
    </w:p>
    <w:p>
      <w:pPr>
        <w:pStyle w:val="12"/>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1. </w:t>
      </w:r>
      <w:r>
        <w:rPr>
          <w:rFonts w:hint="eastAsia" w:ascii="宋体" w:hAnsi="宋体"/>
          <w:color w:val="auto"/>
          <w:sz w:val="24"/>
          <w:szCs w:val="24"/>
          <w:highlight w:val="none"/>
        </w:rPr>
        <w:t>在仔细分析研究了贵单位提供的</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（项目名称）</w:t>
      </w:r>
      <w:r>
        <w:rPr>
          <w:rFonts w:hint="eastAsia" w:ascii="宋体" w:hAnsi="宋体"/>
          <w:color w:val="auto"/>
          <w:sz w:val="24"/>
          <w:szCs w:val="24"/>
          <w:highlight w:val="none"/>
        </w:rPr>
        <w:t>招标文件后，我方愿意以总价为人民币（大写）</w:t>
      </w:r>
      <w:r>
        <w:rPr>
          <w:rFonts w:ascii="宋体" w:hAnsi="宋体"/>
          <w:color w:val="auto"/>
          <w:sz w:val="24"/>
          <w:szCs w:val="24"/>
          <w:highlight w:val="none"/>
          <w:u w:val="single"/>
        </w:rPr>
        <w:t xml:space="preserve">                      </w:t>
      </w:r>
      <w:r>
        <w:rPr>
          <w:rFonts w:hint="eastAsia" w:ascii="宋体" w:hAnsi="宋体"/>
          <w:color w:val="auto"/>
          <w:sz w:val="24"/>
          <w:szCs w:val="24"/>
          <w:highlight w:val="none"/>
        </w:rPr>
        <w:t>（小写</w:t>
      </w:r>
      <w:r>
        <w:rPr>
          <w:rFonts w:hint="eastAsia" w:ascii="宋体" w:hAnsi="宋体"/>
          <w:color w:val="auto"/>
          <w:sz w:val="24"/>
          <w:szCs w:val="24"/>
          <w:highlight w:val="none"/>
          <w:u w:val="single"/>
        </w:rPr>
        <w:t>　　　　　</w:t>
      </w:r>
      <w:r>
        <w:rPr>
          <w:rFonts w:hint="eastAsia" w:ascii="宋体" w:hAnsi="宋体"/>
          <w:color w:val="auto"/>
          <w:sz w:val="24"/>
          <w:szCs w:val="24"/>
          <w:highlight w:val="none"/>
        </w:rPr>
        <w:t>）作为</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项目名称</w:t>
      </w:r>
      <w:r>
        <w:rPr>
          <w:rFonts w:ascii="宋体" w:hAnsi="宋体"/>
          <w:color w:val="auto"/>
          <w:sz w:val="24"/>
          <w:szCs w:val="24"/>
          <w:highlight w:val="none"/>
          <w:u w:val="single"/>
        </w:rPr>
        <w:t xml:space="preserve">         </w:t>
      </w:r>
      <w:r>
        <w:rPr>
          <w:rFonts w:hint="eastAsia" w:ascii="宋体" w:hAnsi="宋体"/>
          <w:color w:val="auto"/>
          <w:sz w:val="24"/>
          <w:szCs w:val="24"/>
          <w:highlight w:val="none"/>
        </w:rPr>
        <w:t>服务费的总价，并遵照招标文件的有关规定要求，承担全部服务任务工作。</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我方确认的</w:t>
      </w:r>
      <w:r>
        <w:rPr>
          <w:rFonts w:hint="eastAsia" w:ascii="宋体" w:hAnsi="宋体"/>
          <w:b/>
          <w:bCs/>
          <w:color w:val="auto"/>
          <w:sz w:val="24"/>
          <w:szCs w:val="24"/>
          <w:highlight w:val="none"/>
        </w:rPr>
        <w:t>投标函</w:t>
      </w:r>
      <w:r>
        <w:rPr>
          <w:rFonts w:hint="eastAsia" w:ascii="宋体" w:hAnsi="宋体"/>
          <w:color w:val="auto"/>
          <w:sz w:val="24"/>
          <w:szCs w:val="24"/>
          <w:highlight w:val="none"/>
        </w:rPr>
        <w:t>是我单位投标文件的组成部分。</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rPr>
        <w:t>如果贵单位接受我方的投标，我方保证按合同规定的期限内开始本工程的检测</w:t>
      </w:r>
      <w:r>
        <w:rPr>
          <w:rFonts w:hint="eastAsia" w:ascii="宋体" w:hAnsi="宋体"/>
          <w:color w:val="auto"/>
          <w:sz w:val="24"/>
          <w:szCs w:val="24"/>
          <w:highlight w:val="none"/>
          <w:lang w:val="en-US" w:eastAsia="zh-CN"/>
        </w:rPr>
        <w:t>监测</w:t>
      </w:r>
      <w:r>
        <w:rPr>
          <w:rFonts w:hint="eastAsia" w:ascii="宋体" w:hAnsi="宋体"/>
          <w:color w:val="auto"/>
          <w:sz w:val="24"/>
          <w:szCs w:val="24"/>
          <w:highlight w:val="none"/>
        </w:rPr>
        <w:t>工作并按投标书中规定的期限内完成合同规定的全部任务。</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我方同意在从规定的</w:t>
      </w:r>
      <w:r>
        <w:rPr>
          <w:rFonts w:hint="eastAsia" w:ascii="宋体" w:hAnsi="宋体"/>
          <w:b/>
          <w:bCs/>
          <w:color w:val="auto"/>
          <w:sz w:val="24"/>
          <w:szCs w:val="24"/>
          <w:highlight w:val="none"/>
        </w:rPr>
        <w:t>递交投标文件截止之日起</w:t>
      </w:r>
      <w:r>
        <w:rPr>
          <w:rFonts w:ascii="宋体" w:hAnsi="宋体"/>
          <w:b/>
          <w:bCs/>
          <w:color w:val="auto"/>
          <w:sz w:val="24"/>
          <w:szCs w:val="24"/>
          <w:highlight w:val="none"/>
        </w:rPr>
        <w:t>90</w:t>
      </w:r>
      <w:r>
        <w:rPr>
          <w:rFonts w:hint="eastAsia" w:ascii="宋体" w:hAnsi="宋体"/>
          <w:b/>
          <w:bCs/>
          <w:color w:val="auto"/>
          <w:sz w:val="24"/>
          <w:szCs w:val="24"/>
          <w:highlight w:val="none"/>
        </w:rPr>
        <w:t>天</w:t>
      </w:r>
      <w:r>
        <w:rPr>
          <w:rFonts w:hint="eastAsia" w:ascii="宋体" w:hAnsi="宋体"/>
          <w:color w:val="auto"/>
          <w:sz w:val="24"/>
          <w:szCs w:val="24"/>
          <w:highlight w:val="none"/>
        </w:rPr>
        <w:t>内遵守本投标文件。在此期限届满之前，本投标文件始终将对我们具有约束力并随时接受中标。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5.</w:t>
      </w:r>
      <w:r>
        <w:rPr>
          <w:rFonts w:hint="eastAsia" w:ascii="宋体" w:hAnsi="宋体"/>
          <w:color w:val="auto"/>
          <w:sz w:val="24"/>
          <w:szCs w:val="24"/>
          <w:highlight w:val="none"/>
        </w:rPr>
        <w:t>在合同协议制定和签署之前，本投标书连同贵单位的中标通知书、双方签认的补充、修正或澄清文件及其他文件和附件应成为约束贵、我双方的合同文件。</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6.</w:t>
      </w:r>
      <w:r>
        <w:rPr>
          <w:rFonts w:hint="eastAsia" w:ascii="宋体" w:hAnsi="宋体"/>
          <w:color w:val="auto"/>
          <w:sz w:val="24"/>
          <w:szCs w:val="24"/>
          <w:highlight w:val="none"/>
        </w:rPr>
        <w:t>我们理解，贵单位不一定接受最低标价的投标文件或可能接受其他任何投标文件，同时也理解，贵单位不负担我们的任何投标费用。</w:t>
      </w:r>
    </w:p>
    <w:p>
      <w:pPr>
        <w:rPr>
          <w:rFonts w:ascii="宋体" w:hAnsi="宋体"/>
          <w:color w:val="auto"/>
          <w:highlight w:val="none"/>
        </w:rPr>
      </w:pPr>
    </w:p>
    <w:p>
      <w:pPr>
        <w:spacing w:line="440" w:lineRule="exact"/>
        <w:ind w:firstLine="2520" w:firstLineChars="1200"/>
        <w:jc w:val="left"/>
        <w:rPr>
          <w:rFonts w:ascii="宋体" w:hAnsi="宋体"/>
          <w:color w:val="auto"/>
          <w:szCs w:val="21"/>
          <w:highlight w:val="none"/>
        </w:rPr>
      </w:pPr>
    </w:p>
    <w:p>
      <w:pPr>
        <w:pStyle w:val="12"/>
        <w:tabs>
          <w:tab w:val="left" w:pos="7321"/>
        </w:tabs>
        <w:spacing w:before="36"/>
        <w:ind w:left="2701"/>
        <w:rPr>
          <w:rFonts w:ascii="宋体" w:hAnsi="宋体"/>
          <w:color w:val="auto"/>
          <w:highlight w:val="none"/>
        </w:rPr>
      </w:pPr>
      <w:r>
        <w:rPr>
          <w:rFonts w:hint="eastAsia" w:ascii="宋体" w:hAnsi="宋体"/>
          <w:color w:val="auto"/>
          <w:highlight w:val="none"/>
        </w:rPr>
        <w:t>投标人：</w:t>
      </w:r>
      <w:r>
        <w:rPr>
          <w:rFonts w:ascii="宋体" w:hAnsi="宋体"/>
          <w:color w:val="auto"/>
          <w:highlight w:val="none"/>
          <w:u w:val="single" w:color="000000"/>
        </w:rPr>
        <w:tab/>
      </w:r>
      <w:r>
        <w:rPr>
          <w:rFonts w:hint="eastAsia" w:ascii="宋体" w:hAnsi="宋体"/>
          <w:color w:val="auto"/>
          <w:highlight w:val="none"/>
        </w:rPr>
        <w:t>（盖单位章）</w:t>
      </w:r>
    </w:p>
    <w:p>
      <w:pPr>
        <w:spacing w:before="13"/>
        <w:rPr>
          <w:rFonts w:ascii="宋体" w:hAnsi="宋体" w:cs="宋体"/>
          <w:color w:val="auto"/>
          <w:sz w:val="9"/>
          <w:szCs w:val="9"/>
          <w:highlight w:val="none"/>
        </w:rPr>
      </w:pPr>
    </w:p>
    <w:p>
      <w:pPr>
        <w:pStyle w:val="12"/>
        <w:tabs>
          <w:tab w:val="left" w:pos="6481"/>
        </w:tabs>
        <w:spacing w:before="36"/>
        <w:ind w:left="2701"/>
        <w:rPr>
          <w:rFonts w:ascii="宋体" w:hAnsi="宋体"/>
          <w:color w:val="auto"/>
          <w:highlight w:val="none"/>
        </w:rPr>
      </w:pPr>
      <w:r>
        <w:rPr>
          <w:rFonts w:hint="eastAsia" w:ascii="宋体" w:hAnsi="宋体"/>
          <w:color w:val="auto"/>
          <w:spacing w:val="-2"/>
          <w:highlight w:val="none"/>
        </w:rPr>
        <w:t>法定代表人或其委托代理人：</w:t>
      </w:r>
      <w:r>
        <w:rPr>
          <w:rFonts w:ascii="宋体" w:hAnsi="宋体"/>
          <w:color w:val="auto"/>
          <w:spacing w:val="-2"/>
          <w:highlight w:val="none"/>
          <w:u w:val="single" w:color="000000"/>
        </w:rPr>
        <w:tab/>
      </w:r>
      <w:r>
        <w:rPr>
          <w:rFonts w:hint="eastAsia" w:ascii="宋体" w:hAnsi="宋体"/>
          <w:color w:val="auto"/>
          <w:spacing w:val="-1"/>
          <w:highlight w:val="none"/>
        </w:rPr>
        <w:t>（签字）</w:t>
      </w:r>
    </w:p>
    <w:p>
      <w:pPr>
        <w:spacing w:before="10"/>
        <w:rPr>
          <w:rFonts w:ascii="宋体" w:hAnsi="宋体" w:cs="宋体"/>
          <w:color w:val="auto"/>
          <w:sz w:val="9"/>
          <w:szCs w:val="9"/>
          <w:highlight w:val="none"/>
        </w:rPr>
      </w:pPr>
    </w:p>
    <w:p>
      <w:pPr>
        <w:spacing w:line="440" w:lineRule="exact"/>
        <w:ind w:firstLine="4725" w:firstLineChars="2250"/>
        <w:jc w:val="right"/>
        <w:rPr>
          <w:rFonts w:ascii="宋体" w:hAnsi="宋体"/>
          <w:color w:val="auto"/>
          <w:szCs w:val="21"/>
          <w:highlight w:val="none"/>
        </w:rPr>
      </w:pPr>
      <w:r>
        <w:rPr>
          <w:rFonts w:ascii="宋体" w:hAnsi="宋体"/>
          <w:color w:val="auto"/>
          <w:highlight w:val="none"/>
          <w:u w:val="single" w:color="000000"/>
        </w:rPr>
        <w:tab/>
      </w:r>
      <w:r>
        <w:rPr>
          <w:rFonts w:hint="eastAsia" w:ascii="宋体" w:hAnsi="宋体"/>
          <w:color w:val="auto"/>
          <w:highlight w:val="none"/>
        </w:rPr>
        <w:t>年</w:t>
      </w:r>
      <w:r>
        <w:rPr>
          <w:rFonts w:ascii="宋体" w:hAnsi="宋体"/>
          <w:color w:val="auto"/>
          <w:highlight w:val="none"/>
          <w:u w:val="single" w:color="000000"/>
        </w:rPr>
        <w:tab/>
      </w:r>
      <w:r>
        <w:rPr>
          <w:rFonts w:ascii="宋体" w:hAnsi="宋体"/>
          <w:color w:val="auto"/>
          <w:highlight w:val="none"/>
          <w:u w:val="single" w:color="000000"/>
        </w:rPr>
        <w:t xml:space="preserve"> </w:t>
      </w:r>
      <w:r>
        <w:rPr>
          <w:rFonts w:hint="eastAsia" w:ascii="宋体" w:hAnsi="宋体"/>
          <w:color w:val="auto"/>
          <w:highlight w:val="none"/>
        </w:rPr>
        <w:t>月</w:t>
      </w:r>
      <w:r>
        <w:rPr>
          <w:rFonts w:ascii="宋体" w:hAnsi="宋体"/>
          <w:color w:val="auto"/>
          <w:highlight w:val="none"/>
          <w:u w:val="single" w:color="000000"/>
        </w:rPr>
        <w:tab/>
      </w:r>
      <w:r>
        <w:rPr>
          <w:rFonts w:ascii="宋体" w:hAnsi="宋体"/>
          <w:color w:val="auto"/>
          <w:highlight w:val="none"/>
          <w:u w:val="single" w:color="000000"/>
        </w:rPr>
        <w:t xml:space="preserve">  </w:t>
      </w:r>
      <w:r>
        <w:rPr>
          <w:rFonts w:hint="eastAsia" w:ascii="宋体" w:hAnsi="宋体"/>
          <w:color w:val="auto"/>
          <w:highlight w:val="none"/>
        </w:rPr>
        <w:t>日</w:t>
      </w:r>
    </w:p>
    <w:p>
      <w:pPr>
        <w:spacing w:line="360" w:lineRule="auto"/>
        <w:ind w:firstLine="422" w:firstLineChars="200"/>
        <w:jc w:val="center"/>
        <w:rPr>
          <w:rFonts w:ascii="宋体" w:hAnsi="宋体"/>
          <w:b/>
          <w:bCs/>
          <w:color w:val="auto"/>
          <w:sz w:val="24"/>
          <w:szCs w:val="24"/>
          <w:highlight w:val="none"/>
        </w:rPr>
      </w:pPr>
      <w:bookmarkStart w:id="154" w:name="_Toc385943066"/>
      <w:bookmarkStart w:id="155" w:name="_Toc528170356"/>
      <w:bookmarkStart w:id="156" w:name="_Toc359594236"/>
      <w:bookmarkStart w:id="157" w:name="_Toc533334220"/>
      <w:bookmarkStart w:id="158" w:name="_Toc370676427"/>
      <w:bookmarkStart w:id="159" w:name="_Toc13516"/>
      <w:bookmarkStart w:id="160" w:name="_Toc391394112"/>
      <w:bookmarkStart w:id="161" w:name="_Toc532390635"/>
      <w:bookmarkStart w:id="162" w:name="_Toc482188652"/>
      <w:r>
        <w:rPr>
          <w:rFonts w:ascii="宋体" w:hAnsi="宋体"/>
          <w:b/>
          <w:color w:val="auto"/>
          <w:szCs w:val="21"/>
          <w:highlight w:val="none"/>
        </w:rPr>
        <w:br w:type="page"/>
      </w:r>
      <w:r>
        <w:rPr>
          <w:rFonts w:hint="eastAsia" w:ascii="宋体" w:hAnsi="宋体"/>
          <w:b/>
          <w:bCs/>
          <w:color w:val="auto"/>
          <w:sz w:val="24"/>
          <w:szCs w:val="24"/>
          <w:highlight w:val="none"/>
        </w:rPr>
        <w:t>（二）投标函附</w:t>
      </w:r>
      <w:bookmarkEnd w:id="154"/>
      <w:bookmarkEnd w:id="155"/>
      <w:bookmarkEnd w:id="156"/>
      <w:bookmarkEnd w:id="157"/>
      <w:bookmarkEnd w:id="158"/>
      <w:bookmarkEnd w:id="159"/>
      <w:bookmarkEnd w:id="160"/>
      <w:bookmarkEnd w:id="161"/>
      <w:bookmarkEnd w:id="162"/>
      <w:r>
        <w:rPr>
          <w:rFonts w:hint="eastAsia" w:ascii="宋体" w:hAnsi="宋体"/>
          <w:b/>
          <w:bCs/>
          <w:color w:val="auto"/>
          <w:sz w:val="24"/>
          <w:szCs w:val="24"/>
          <w:highlight w:val="none"/>
        </w:rPr>
        <w:t>表</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889"/>
        <w:gridCol w:w="4126"/>
        <w:gridCol w:w="1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 w:val="24"/>
                <w:szCs w:val="28"/>
                <w:highlight w:val="none"/>
              </w:rPr>
            </w:pPr>
            <w:r>
              <w:rPr>
                <w:rFonts w:hint="eastAsia" w:ascii="宋体" w:hAnsi="宋体"/>
                <w:b/>
                <w:color w:val="auto"/>
                <w:sz w:val="24"/>
                <w:szCs w:val="28"/>
                <w:highlight w:val="none"/>
              </w:rPr>
              <w:t>序号</w:t>
            </w:r>
          </w:p>
        </w:tc>
        <w:tc>
          <w:tcPr>
            <w:tcW w:w="188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 w:val="24"/>
                <w:szCs w:val="28"/>
                <w:highlight w:val="none"/>
              </w:rPr>
            </w:pPr>
            <w:r>
              <w:rPr>
                <w:rFonts w:hint="eastAsia" w:ascii="宋体" w:hAnsi="宋体"/>
                <w:b/>
                <w:color w:val="auto"/>
                <w:sz w:val="24"/>
                <w:szCs w:val="28"/>
                <w:highlight w:val="none"/>
              </w:rPr>
              <w:t>条款名称</w:t>
            </w:r>
          </w:p>
        </w:tc>
        <w:tc>
          <w:tcPr>
            <w:tcW w:w="4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 w:val="24"/>
                <w:szCs w:val="28"/>
                <w:highlight w:val="none"/>
              </w:rPr>
            </w:pPr>
            <w:r>
              <w:rPr>
                <w:rFonts w:hint="eastAsia" w:ascii="宋体" w:hAnsi="宋体"/>
                <w:b/>
                <w:color w:val="auto"/>
                <w:sz w:val="24"/>
                <w:szCs w:val="28"/>
                <w:highlight w:val="none"/>
              </w:rPr>
              <w:t>约定内容</w:t>
            </w:r>
          </w:p>
        </w:tc>
        <w:tc>
          <w:tcPr>
            <w:tcW w:w="16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 w:val="24"/>
                <w:szCs w:val="28"/>
                <w:highlight w:val="none"/>
              </w:rPr>
            </w:pPr>
            <w:r>
              <w:rPr>
                <w:rFonts w:hint="eastAsia" w:ascii="宋体" w:hAnsi="宋体"/>
                <w:b/>
                <w:color w:val="auto"/>
                <w:sz w:val="24"/>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188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项目负责人</w:t>
            </w:r>
          </w:p>
        </w:tc>
        <w:tc>
          <w:tcPr>
            <w:tcW w:w="4126"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bCs/>
                <w:color w:val="auto"/>
                <w:sz w:val="24"/>
                <w:szCs w:val="24"/>
                <w:highlight w:val="none"/>
                <w:u w:val="single"/>
              </w:rPr>
            </w:pPr>
            <w:r>
              <w:rPr>
                <w:rFonts w:hint="eastAsia" w:ascii="宋体" w:hAnsi="宋体" w:cs="宋体"/>
                <w:bCs/>
                <w:color w:val="auto"/>
                <w:sz w:val="24"/>
                <w:szCs w:val="24"/>
                <w:highlight w:val="none"/>
              </w:rPr>
              <w:t>姓    名：</w:t>
            </w:r>
            <w:r>
              <w:rPr>
                <w:rFonts w:hint="eastAsia" w:ascii="宋体" w:hAnsi="宋体" w:cs="宋体"/>
                <w:bCs/>
                <w:color w:val="auto"/>
                <w:sz w:val="24"/>
                <w:szCs w:val="24"/>
                <w:highlight w:val="none"/>
                <w:u w:val="single"/>
              </w:rPr>
              <w:t xml:space="preserve">           </w:t>
            </w:r>
          </w:p>
          <w:p>
            <w:pPr>
              <w:jc w:val="left"/>
              <w:rPr>
                <w:rFonts w:ascii="宋体" w:hAnsi="宋体" w:cs="宋体"/>
                <w:bCs/>
                <w:color w:val="auto"/>
                <w:sz w:val="24"/>
                <w:szCs w:val="24"/>
                <w:highlight w:val="none"/>
              </w:rPr>
            </w:pPr>
            <w:r>
              <w:rPr>
                <w:rFonts w:hint="eastAsia" w:ascii="宋体" w:hAnsi="宋体" w:cs="宋体"/>
                <w:bCs/>
                <w:color w:val="auto"/>
                <w:sz w:val="24"/>
                <w:szCs w:val="24"/>
                <w:highlight w:val="none"/>
              </w:rPr>
              <w:t>技术职称：</w:t>
            </w:r>
            <w:r>
              <w:rPr>
                <w:rFonts w:hint="eastAsia" w:ascii="宋体" w:hAnsi="宋体" w:cs="宋体"/>
                <w:bCs/>
                <w:color w:val="auto"/>
                <w:sz w:val="24"/>
                <w:szCs w:val="24"/>
                <w:highlight w:val="none"/>
                <w:u w:val="single"/>
              </w:rPr>
              <w:t xml:space="preserve">           </w:t>
            </w:r>
          </w:p>
          <w:p>
            <w:pPr>
              <w:jc w:val="left"/>
              <w:rPr>
                <w:rFonts w:ascii="宋体" w:hAnsi="宋体" w:cs="宋体"/>
                <w:bCs/>
                <w:color w:val="auto"/>
                <w:sz w:val="24"/>
                <w:szCs w:val="24"/>
                <w:highlight w:val="none"/>
              </w:rPr>
            </w:pPr>
            <w:r>
              <w:rPr>
                <w:rFonts w:hint="eastAsia" w:ascii="宋体" w:hAnsi="宋体" w:cs="宋体"/>
                <w:bCs/>
                <w:color w:val="auto"/>
                <w:sz w:val="24"/>
                <w:szCs w:val="24"/>
                <w:highlight w:val="none"/>
              </w:rPr>
              <w:t>专    业：</w:t>
            </w:r>
            <w:r>
              <w:rPr>
                <w:rFonts w:hint="eastAsia" w:ascii="宋体" w:hAnsi="宋体" w:cs="宋体"/>
                <w:bCs/>
                <w:color w:val="auto"/>
                <w:sz w:val="24"/>
                <w:szCs w:val="24"/>
                <w:highlight w:val="none"/>
                <w:u w:val="single"/>
              </w:rPr>
              <w:t xml:space="preserve">           </w:t>
            </w:r>
          </w:p>
        </w:tc>
        <w:tc>
          <w:tcPr>
            <w:tcW w:w="16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188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服务期限</w:t>
            </w:r>
          </w:p>
        </w:tc>
        <w:tc>
          <w:tcPr>
            <w:tcW w:w="4126"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bCs/>
                <w:color w:val="auto"/>
                <w:sz w:val="24"/>
                <w:szCs w:val="24"/>
                <w:highlight w:val="none"/>
              </w:rPr>
            </w:pPr>
            <w:r>
              <w:rPr>
                <w:rFonts w:hint="eastAsia" w:ascii="宋体" w:hAnsi="宋体" w:cs="宋体"/>
                <w:bCs/>
                <w:color w:val="auto"/>
                <w:sz w:val="24"/>
                <w:szCs w:val="24"/>
                <w:highlight w:val="none"/>
              </w:rPr>
              <w:t>按招标文件要求</w:t>
            </w:r>
          </w:p>
        </w:tc>
        <w:tc>
          <w:tcPr>
            <w:tcW w:w="16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3</w:t>
            </w:r>
          </w:p>
        </w:tc>
        <w:tc>
          <w:tcPr>
            <w:tcW w:w="188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质量标准</w:t>
            </w:r>
          </w:p>
        </w:tc>
        <w:tc>
          <w:tcPr>
            <w:tcW w:w="4126"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bCs/>
                <w:color w:val="auto"/>
                <w:sz w:val="24"/>
                <w:szCs w:val="24"/>
                <w:highlight w:val="none"/>
              </w:rPr>
            </w:pPr>
            <w:r>
              <w:rPr>
                <w:rFonts w:hint="eastAsia" w:ascii="宋体" w:hAnsi="宋体" w:cs="宋体"/>
                <w:bCs/>
                <w:color w:val="auto"/>
                <w:sz w:val="24"/>
                <w:szCs w:val="24"/>
                <w:highlight w:val="none"/>
              </w:rPr>
              <w:t>合格</w:t>
            </w:r>
          </w:p>
        </w:tc>
        <w:tc>
          <w:tcPr>
            <w:tcW w:w="16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76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4</w:t>
            </w:r>
          </w:p>
        </w:tc>
        <w:tc>
          <w:tcPr>
            <w:tcW w:w="188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投标报价</w:t>
            </w:r>
          </w:p>
        </w:tc>
        <w:tc>
          <w:tcPr>
            <w:tcW w:w="4126"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bCs/>
                <w:color w:val="auto"/>
                <w:sz w:val="24"/>
                <w:szCs w:val="24"/>
                <w:highlight w:val="none"/>
                <w:u w:val="single"/>
              </w:rPr>
            </w:pPr>
            <w:r>
              <w:rPr>
                <w:rFonts w:hint="eastAsia" w:ascii="宋体" w:hAnsi="宋体" w:cs="宋体"/>
                <w:bCs/>
                <w:color w:val="auto"/>
                <w:sz w:val="24"/>
                <w:szCs w:val="24"/>
                <w:highlight w:val="none"/>
              </w:rPr>
              <w:t xml:space="preserve">大写： </w:t>
            </w:r>
            <w:r>
              <w:rPr>
                <w:rFonts w:hint="eastAsia" w:ascii="宋体" w:hAnsi="宋体" w:cs="宋体"/>
                <w:bCs/>
                <w:color w:val="auto"/>
                <w:sz w:val="24"/>
                <w:szCs w:val="24"/>
                <w:highlight w:val="none"/>
                <w:u w:val="single"/>
              </w:rPr>
              <w:t xml:space="preserve">        </w:t>
            </w:r>
          </w:p>
          <w:p>
            <w:pPr>
              <w:jc w:val="left"/>
              <w:rPr>
                <w:rFonts w:ascii="宋体" w:hAnsi="宋体" w:cs="宋体"/>
                <w:bCs/>
                <w:color w:val="auto"/>
                <w:sz w:val="24"/>
                <w:szCs w:val="24"/>
                <w:highlight w:val="none"/>
              </w:rPr>
            </w:pPr>
            <w:r>
              <w:rPr>
                <w:rFonts w:hint="eastAsia" w:ascii="宋体" w:hAnsi="宋体" w:cs="宋体"/>
                <w:bCs/>
                <w:color w:val="auto"/>
                <w:sz w:val="24"/>
                <w:szCs w:val="24"/>
                <w:highlight w:val="none"/>
              </w:rPr>
              <w:t xml:space="preserve">小写： </w:t>
            </w:r>
            <w:r>
              <w:rPr>
                <w:rFonts w:hint="eastAsia" w:ascii="宋体" w:hAnsi="宋体" w:cs="宋体"/>
                <w:bCs/>
                <w:color w:val="auto"/>
                <w:sz w:val="24"/>
                <w:szCs w:val="24"/>
                <w:highlight w:val="none"/>
                <w:u w:val="single"/>
              </w:rPr>
              <w:t xml:space="preserve">        </w:t>
            </w:r>
          </w:p>
        </w:tc>
        <w:tc>
          <w:tcPr>
            <w:tcW w:w="16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highlight w:val="none"/>
              </w:rPr>
            </w:pPr>
            <w:r>
              <w:rPr>
                <w:rFonts w:hint="eastAsia" w:ascii="宋体" w:hAnsi="宋体"/>
                <w:b/>
                <w:color w:val="auto"/>
                <w:szCs w:val="21"/>
                <w:highlight w:val="none"/>
              </w:rPr>
              <w:t>以“元”为单位，精确到小数点后2位。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76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sz w:val="24"/>
                <w:szCs w:val="24"/>
                <w:highlight w:val="none"/>
              </w:rPr>
            </w:pPr>
          </w:p>
        </w:tc>
        <w:tc>
          <w:tcPr>
            <w:tcW w:w="188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sz w:val="24"/>
                <w:szCs w:val="24"/>
                <w:highlight w:val="none"/>
              </w:rPr>
            </w:pPr>
          </w:p>
        </w:tc>
        <w:tc>
          <w:tcPr>
            <w:tcW w:w="4126"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bCs/>
                <w:color w:val="auto"/>
                <w:sz w:val="24"/>
                <w:szCs w:val="24"/>
                <w:highlight w:val="none"/>
              </w:rPr>
            </w:pPr>
            <w:r>
              <w:rPr>
                <w:rFonts w:hint="eastAsia" w:ascii="宋体" w:hAnsi="宋体" w:cs="宋体"/>
                <w:bCs/>
                <w:color w:val="auto"/>
                <w:sz w:val="24"/>
                <w:szCs w:val="24"/>
                <w:highlight w:val="none"/>
              </w:rPr>
              <w:t>投标下浮率：</w:t>
            </w:r>
            <w:r>
              <w:rPr>
                <w:rFonts w:hint="eastAsia" w:ascii="宋体" w:hAnsi="宋体" w:cs="宋体"/>
                <w:bCs/>
                <w:color w:val="auto"/>
                <w:sz w:val="24"/>
                <w:szCs w:val="24"/>
                <w:highlight w:val="none"/>
                <w:u w:val="single"/>
              </w:rPr>
              <w:t xml:space="preserve">           </w:t>
            </w:r>
          </w:p>
        </w:tc>
        <w:tc>
          <w:tcPr>
            <w:tcW w:w="16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highlight w:val="none"/>
              </w:rPr>
            </w:pPr>
            <w:r>
              <w:rPr>
                <w:rFonts w:hint="eastAsia" w:ascii="宋体" w:hAnsi="宋体"/>
                <w:b/>
                <w:color w:val="auto"/>
                <w:szCs w:val="21"/>
                <w:highlight w:val="none"/>
              </w:rPr>
              <w:t>投标下浮率</w:t>
            </w:r>
            <w:r>
              <w:rPr>
                <w:rFonts w:hint="eastAsia" w:ascii="宋体" w:hAnsi="宋体"/>
                <w:b/>
                <w:color w:val="auto"/>
                <w:szCs w:val="21"/>
                <w:highlight w:val="none"/>
                <w:lang w:val="en-US" w:eastAsia="zh-CN"/>
              </w:rPr>
              <w:t>=</w:t>
            </w:r>
            <w:r>
              <w:rPr>
                <w:rFonts w:hint="eastAsia" w:ascii="宋体" w:hAnsi="宋体"/>
                <w:b/>
                <w:color w:val="auto"/>
                <w:szCs w:val="21"/>
                <w:highlight w:val="none"/>
              </w:rPr>
              <w:t>（1-投标报价/</w:t>
            </w:r>
            <w:r>
              <w:rPr>
                <w:rFonts w:hint="eastAsia" w:ascii="宋体" w:hAnsi="宋体" w:cs="宋体"/>
                <w:b/>
                <w:color w:val="auto"/>
                <w:szCs w:val="21"/>
                <w:highlight w:val="none"/>
                <w:u w:val="none"/>
                <w:lang w:eastAsia="zh-CN"/>
              </w:rPr>
              <w:t>最高投标限价</w:t>
            </w:r>
            <w:r>
              <w:rPr>
                <w:rFonts w:hint="eastAsia" w:ascii="宋体" w:hAnsi="宋体"/>
                <w:b/>
                <w:color w:val="auto"/>
                <w:szCs w:val="21"/>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5</w:t>
            </w:r>
          </w:p>
        </w:tc>
        <w:tc>
          <w:tcPr>
            <w:tcW w:w="188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投标有效期</w:t>
            </w:r>
          </w:p>
        </w:tc>
        <w:tc>
          <w:tcPr>
            <w:tcW w:w="4126"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bCs/>
                <w:color w:val="auto"/>
                <w:sz w:val="24"/>
                <w:szCs w:val="24"/>
                <w:highlight w:val="none"/>
              </w:rPr>
            </w:pPr>
            <w:r>
              <w:rPr>
                <w:rFonts w:hint="eastAsia" w:ascii="宋体" w:hAnsi="宋体" w:cs="宋体"/>
                <w:bCs/>
                <w:color w:val="auto"/>
                <w:sz w:val="24"/>
                <w:highlight w:val="none"/>
              </w:rPr>
              <w:t xml:space="preserve"> 按招标文件要求</w:t>
            </w:r>
          </w:p>
        </w:tc>
        <w:tc>
          <w:tcPr>
            <w:tcW w:w="16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highlight w:val="none"/>
              </w:rPr>
            </w:pPr>
          </w:p>
        </w:tc>
      </w:tr>
    </w:tbl>
    <w:p>
      <w:pPr>
        <w:spacing w:line="440" w:lineRule="exact"/>
        <w:ind w:firstLine="2520" w:firstLineChars="1200"/>
        <w:jc w:val="left"/>
        <w:rPr>
          <w:rFonts w:ascii="宋体" w:hAnsi="宋体"/>
          <w:color w:val="auto"/>
          <w:szCs w:val="21"/>
          <w:highlight w:val="none"/>
        </w:rPr>
      </w:pPr>
    </w:p>
    <w:p>
      <w:pPr>
        <w:pStyle w:val="12"/>
        <w:tabs>
          <w:tab w:val="left" w:pos="7321"/>
        </w:tabs>
        <w:spacing w:before="36"/>
        <w:ind w:left="2701"/>
        <w:rPr>
          <w:rFonts w:ascii="宋体" w:hAnsi="宋体"/>
          <w:color w:val="auto"/>
          <w:highlight w:val="none"/>
        </w:rPr>
      </w:pPr>
      <w:r>
        <w:rPr>
          <w:rFonts w:hint="eastAsia" w:ascii="宋体" w:hAnsi="宋体"/>
          <w:color w:val="auto"/>
          <w:highlight w:val="none"/>
        </w:rPr>
        <w:t>投标人：</w:t>
      </w:r>
      <w:r>
        <w:rPr>
          <w:rFonts w:ascii="宋体" w:hAnsi="宋体"/>
          <w:color w:val="auto"/>
          <w:highlight w:val="none"/>
          <w:u w:val="single" w:color="000000"/>
        </w:rPr>
        <w:tab/>
      </w:r>
      <w:r>
        <w:rPr>
          <w:rFonts w:hint="eastAsia" w:ascii="宋体" w:hAnsi="宋体"/>
          <w:color w:val="auto"/>
          <w:highlight w:val="none"/>
        </w:rPr>
        <w:t>（盖单位章）</w:t>
      </w:r>
    </w:p>
    <w:p>
      <w:pPr>
        <w:spacing w:before="13"/>
        <w:rPr>
          <w:rFonts w:ascii="宋体" w:hAnsi="宋体" w:cs="宋体"/>
          <w:color w:val="auto"/>
          <w:sz w:val="9"/>
          <w:szCs w:val="9"/>
          <w:highlight w:val="none"/>
        </w:rPr>
      </w:pPr>
    </w:p>
    <w:p>
      <w:pPr>
        <w:pStyle w:val="12"/>
        <w:tabs>
          <w:tab w:val="left" w:pos="6481"/>
        </w:tabs>
        <w:spacing w:before="36"/>
        <w:ind w:left="2701"/>
        <w:rPr>
          <w:rFonts w:ascii="宋体" w:hAnsi="宋体"/>
          <w:color w:val="auto"/>
          <w:highlight w:val="none"/>
        </w:rPr>
      </w:pPr>
      <w:r>
        <w:rPr>
          <w:rFonts w:hint="eastAsia" w:ascii="宋体" w:hAnsi="宋体"/>
          <w:color w:val="auto"/>
          <w:spacing w:val="-2"/>
          <w:highlight w:val="none"/>
        </w:rPr>
        <w:t>法定代表人或其委托代理人：</w:t>
      </w:r>
      <w:r>
        <w:rPr>
          <w:rFonts w:ascii="宋体" w:hAnsi="宋体"/>
          <w:color w:val="auto"/>
          <w:spacing w:val="-2"/>
          <w:highlight w:val="none"/>
          <w:u w:val="single" w:color="000000"/>
        </w:rPr>
        <w:tab/>
      </w:r>
      <w:r>
        <w:rPr>
          <w:rFonts w:hint="eastAsia" w:ascii="宋体" w:hAnsi="宋体"/>
          <w:color w:val="auto"/>
          <w:spacing w:val="-1"/>
          <w:highlight w:val="none"/>
        </w:rPr>
        <w:t>（签字或盖章）</w:t>
      </w:r>
    </w:p>
    <w:p>
      <w:pPr>
        <w:spacing w:before="10"/>
        <w:rPr>
          <w:rFonts w:ascii="宋体" w:hAnsi="宋体" w:cs="宋体"/>
          <w:color w:val="auto"/>
          <w:sz w:val="9"/>
          <w:szCs w:val="9"/>
          <w:highlight w:val="none"/>
        </w:rPr>
      </w:pPr>
    </w:p>
    <w:p>
      <w:pPr>
        <w:spacing w:line="440" w:lineRule="exact"/>
        <w:ind w:firstLine="4620" w:firstLineChars="2200"/>
        <w:rPr>
          <w:rFonts w:ascii="宋体" w:hAnsi="宋体"/>
          <w:color w:val="auto"/>
          <w:highlight w:val="none"/>
        </w:rPr>
      </w:pPr>
      <w:r>
        <w:rPr>
          <w:rFonts w:ascii="宋体" w:hAnsi="宋体"/>
          <w:color w:val="auto"/>
          <w:highlight w:val="none"/>
          <w:u w:val="single" w:color="000000"/>
        </w:rPr>
        <w:tab/>
      </w:r>
      <w:r>
        <w:rPr>
          <w:rFonts w:hint="eastAsia" w:ascii="宋体" w:hAnsi="宋体"/>
          <w:color w:val="auto"/>
          <w:highlight w:val="none"/>
        </w:rPr>
        <w:t>年</w:t>
      </w:r>
      <w:r>
        <w:rPr>
          <w:rFonts w:ascii="宋体" w:hAnsi="宋体"/>
          <w:color w:val="auto"/>
          <w:highlight w:val="none"/>
          <w:u w:val="single" w:color="000000"/>
        </w:rPr>
        <w:tab/>
      </w:r>
      <w:r>
        <w:rPr>
          <w:rFonts w:ascii="宋体" w:hAnsi="宋体"/>
          <w:color w:val="auto"/>
          <w:highlight w:val="none"/>
          <w:u w:val="single" w:color="000000"/>
        </w:rPr>
        <w:t xml:space="preserve"> </w:t>
      </w:r>
      <w:r>
        <w:rPr>
          <w:rFonts w:hint="eastAsia" w:ascii="宋体" w:hAnsi="宋体"/>
          <w:color w:val="auto"/>
          <w:highlight w:val="none"/>
        </w:rPr>
        <w:t>月</w:t>
      </w:r>
      <w:r>
        <w:rPr>
          <w:rFonts w:ascii="宋体" w:hAnsi="宋体"/>
          <w:color w:val="auto"/>
          <w:highlight w:val="none"/>
          <w:u w:val="single" w:color="000000"/>
        </w:rPr>
        <w:tab/>
      </w:r>
      <w:r>
        <w:rPr>
          <w:rFonts w:ascii="宋体" w:hAnsi="宋体"/>
          <w:color w:val="auto"/>
          <w:highlight w:val="none"/>
          <w:u w:val="single" w:color="000000"/>
        </w:rPr>
        <w:t xml:space="preserve">  </w:t>
      </w:r>
      <w:r>
        <w:rPr>
          <w:rFonts w:hint="eastAsia" w:ascii="宋体" w:hAnsi="宋体"/>
          <w:color w:val="auto"/>
          <w:highlight w:val="none"/>
        </w:rPr>
        <w:t>日</w:t>
      </w:r>
    </w:p>
    <w:p>
      <w:pPr>
        <w:spacing w:line="440" w:lineRule="exact"/>
        <w:ind w:firstLine="4620" w:firstLineChars="2200"/>
        <w:rPr>
          <w:rFonts w:ascii="宋体" w:hAnsi="宋体"/>
          <w:color w:val="auto"/>
          <w:sz w:val="24"/>
          <w:highlight w:val="none"/>
        </w:rPr>
      </w:pPr>
      <w:r>
        <w:rPr>
          <w:rFonts w:ascii="宋体" w:hAnsi="宋体"/>
          <w:color w:val="auto"/>
          <w:highlight w:val="none"/>
        </w:rPr>
        <w:br w:type="page"/>
      </w:r>
      <w:bookmarkEnd w:id="148"/>
      <w:bookmarkEnd w:id="149"/>
      <w:bookmarkEnd w:id="150"/>
      <w:bookmarkStart w:id="163" w:name="_Toc374536213"/>
      <w:bookmarkStart w:id="164" w:name="_Toc21863"/>
      <w:bookmarkStart w:id="165" w:name="_Toc533357330"/>
      <w:bookmarkStart w:id="166" w:name="_Toc333829918"/>
      <w:bookmarkStart w:id="167" w:name="_Toc390704765"/>
    </w:p>
    <w:bookmarkEnd w:id="145"/>
    <w:bookmarkEnd w:id="163"/>
    <w:bookmarkEnd w:id="164"/>
    <w:bookmarkEnd w:id="165"/>
    <w:bookmarkEnd w:id="166"/>
    <w:bookmarkEnd w:id="167"/>
    <w:p>
      <w:pPr>
        <w:pStyle w:val="5"/>
        <w:rPr>
          <w:color w:val="auto"/>
          <w:highlight w:val="none"/>
        </w:rPr>
      </w:pPr>
      <w:bookmarkStart w:id="168" w:name="_Toc25046"/>
      <w:r>
        <w:rPr>
          <w:rFonts w:hint="eastAsia"/>
          <w:color w:val="auto"/>
          <w:highlight w:val="none"/>
        </w:rPr>
        <w:t>二、法定代表人证明书及授权委托书</w:t>
      </w:r>
      <w:bookmarkEnd w:id="168"/>
    </w:p>
    <w:p>
      <w:pPr>
        <w:spacing w:before="156" w:beforeLines="50"/>
        <w:ind w:firstLine="482" w:firstLineChars="200"/>
        <w:jc w:val="center"/>
        <w:rPr>
          <w:rFonts w:ascii="宋体" w:hAnsi="宋体" w:cs="宋体"/>
          <w:b/>
          <w:color w:val="auto"/>
          <w:sz w:val="24"/>
          <w:szCs w:val="24"/>
          <w:highlight w:val="none"/>
        </w:rPr>
      </w:pPr>
      <w:r>
        <w:rPr>
          <w:rFonts w:hint="eastAsia" w:ascii="宋体" w:hAnsi="宋体" w:cs="宋体"/>
          <w:b/>
          <w:color w:val="auto"/>
          <w:sz w:val="24"/>
          <w:szCs w:val="24"/>
          <w:highlight w:val="none"/>
        </w:rPr>
        <w:t>法定代表人证明书</w:t>
      </w:r>
    </w:p>
    <w:p>
      <w:pPr>
        <w:spacing w:line="360" w:lineRule="auto"/>
        <w:jc w:val="center"/>
        <w:rPr>
          <w:rFonts w:ascii="宋体" w:hAnsi="宋体"/>
          <w:color w:val="auto"/>
          <w:sz w:val="30"/>
          <w:szCs w:val="30"/>
          <w:highlight w:val="none"/>
        </w:rPr>
      </w:pPr>
      <w:r>
        <w:rPr>
          <w:rFonts w:ascii="宋体" w:hAnsi="宋体"/>
          <w:color w:val="auto"/>
          <w:sz w:val="30"/>
          <w:szCs w:val="30"/>
          <w:highlight w:val="none"/>
        </w:rPr>
        <mc:AlternateContent>
          <mc:Choice Requires="wpg">
            <w:drawing>
              <wp:inline distT="0" distB="0" distL="0" distR="0">
                <wp:extent cx="5800725" cy="2639060"/>
                <wp:effectExtent l="12700" t="11430" r="6350" b="6985"/>
                <wp:docPr id="3" name="组合 3"/>
                <wp:cNvGraphicFramePr/>
                <a:graphic xmlns:a="http://schemas.openxmlformats.org/drawingml/2006/main">
                  <a:graphicData uri="http://schemas.microsoft.com/office/word/2010/wordprocessingGroup">
                    <wpg:wgp>
                      <wpg:cNvGrpSpPr/>
                      <wpg:grpSpPr>
                        <a:xfrm>
                          <a:off x="0" y="0"/>
                          <a:ext cx="5800725" cy="2639060"/>
                          <a:chOff x="0" y="0"/>
                          <a:chExt cx="7140" cy="3468"/>
                        </a:xfrm>
                      </wpg:grpSpPr>
                      <wps:wsp>
                        <wps:cNvPr id="4" name="图片 4"/>
                        <wps:cNvSpPr>
                          <a:spLocks noChangeAspect="1" noChangeArrowheads="1" noTextEdit="1"/>
                        </wps:cNvSpPr>
                        <wps:spPr bwMode="auto">
                          <a:xfrm>
                            <a:off x="0" y="0"/>
                            <a:ext cx="7140" cy="3468"/>
                          </a:xfrm>
                          <a:prstGeom prst="rect">
                            <a:avLst/>
                          </a:prstGeom>
                          <a:noFill/>
                          <a:ln>
                            <a:noFill/>
                          </a:ln>
                        </wps:spPr>
                        <wps:bodyPr rot="0" vert="horz" wrap="square" lIns="91440" tIns="45720" rIns="91440" bIns="45720" anchor="t" anchorCtr="0" upright="1">
                          <a:noAutofit/>
                        </wps:bodyPr>
                      </wps:wsp>
                      <wps:wsp>
                        <wps:cNvPr id="5" name="文本框 5"/>
                        <wps:cNvSpPr txBox="1">
                          <a:spLocks noChangeArrowheads="1"/>
                        </wps:cNvSpPr>
                        <wps:spPr bwMode="auto">
                          <a:xfrm>
                            <a:off x="0" y="0"/>
                            <a:ext cx="7140" cy="3468"/>
                          </a:xfrm>
                          <a:prstGeom prst="rect">
                            <a:avLst/>
                          </a:prstGeom>
                          <a:solidFill>
                            <a:srgbClr val="FFFFFF"/>
                          </a:solidFill>
                          <a:ln w="9525" cmpd="sng">
                            <a:solidFill>
                              <a:srgbClr val="000000"/>
                            </a:solidFill>
                            <a:miter lim="800000"/>
                          </a:ln>
                        </wps:spPr>
                        <wps:txbx>
                          <w:txbxContent>
                            <w:p>
                              <w:pPr>
                                <w:spacing w:before="156" w:beforeLines="50"/>
                                <w:rPr>
                                  <w:sz w:val="24"/>
                                  <w:szCs w:val="24"/>
                                </w:rPr>
                              </w:pPr>
                              <w:r>
                                <w:rPr>
                                  <w:rFonts w:hint="eastAsia" w:cs="宋体"/>
                                  <w:sz w:val="28"/>
                                  <w:szCs w:val="28"/>
                                </w:rPr>
                                <w:t>　</w:t>
                              </w:r>
                              <w:r>
                                <w:rPr>
                                  <w:rFonts w:hint="eastAsia" w:cs="宋体"/>
                                  <w:sz w:val="24"/>
                                  <w:szCs w:val="24"/>
                                </w:rPr>
                                <w:t>　</w:t>
                              </w:r>
                              <w:r>
                                <w:rPr>
                                  <w:rFonts w:hint="eastAsia" w:cs="宋体"/>
                                  <w:sz w:val="24"/>
                                  <w:szCs w:val="24"/>
                                  <w:u w:val="single"/>
                                </w:rPr>
                                <w:t>　　　　　　</w:t>
                              </w:r>
                              <w:r>
                                <w:rPr>
                                  <w:rFonts w:hint="eastAsia" w:cs="宋体"/>
                                  <w:sz w:val="24"/>
                                  <w:szCs w:val="24"/>
                                </w:rPr>
                                <w:t>现任我单位</w:t>
                              </w:r>
                              <w:r>
                                <w:rPr>
                                  <w:rFonts w:hint="eastAsia" w:cs="宋体"/>
                                  <w:sz w:val="24"/>
                                  <w:szCs w:val="24"/>
                                  <w:u w:val="single"/>
                                </w:rPr>
                                <w:t>　　　　　</w:t>
                              </w:r>
                              <w:r>
                                <w:rPr>
                                  <w:rFonts w:hint="eastAsia" w:cs="宋体"/>
                                  <w:sz w:val="24"/>
                                  <w:szCs w:val="24"/>
                                </w:rPr>
                                <w:t>职务，为法定代表人（负责人），</w:t>
                              </w:r>
                            </w:p>
                            <w:p>
                              <w:pPr>
                                <w:snapToGrid w:val="0"/>
                                <w:spacing w:line="480" w:lineRule="atLeast"/>
                                <w:rPr>
                                  <w:sz w:val="24"/>
                                  <w:szCs w:val="24"/>
                                </w:rPr>
                              </w:pPr>
                              <w:r>
                                <w:rPr>
                                  <w:rFonts w:hint="eastAsia" w:cs="宋体"/>
                                  <w:sz w:val="24"/>
                                  <w:szCs w:val="24"/>
                                </w:rPr>
                                <w:t>特此证明。</w:t>
                              </w:r>
                            </w:p>
                            <w:p>
                              <w:pPr>
                                <w:snapToGrid w:val="0"/>
                                <w:spacing w:line="480" w:lineRule="atLeast"/>
                                <w:rPr>
                                  <w:sz w:val="24"/>
                                  <w:szCs w:val="24"/>
                                  <w:u w:val="single"/>
                                </w:rPr>
                              </w:pPr>
                              <w:r>
                                <w:rPr>
                                  <w:rFonts w:hint="eastAsia" w:cs="宋体"/>
                                  <w:sz w:val="24"/>
                                  <w:szCs w:val="24"/>
                                </w:rPr>
                                <w:t>有效期限：</w:t>
                              </w:r>
                              <w:r>
                                <w:rPr>
                                  <w:sz w:val="24"/>
                                  <w:szCs w:val="24"/>
                                  <w:u w:val="single"/>
                                </w:rPr>
                                <w:t xml:space="preserve">                                </w:t>
                              </w:r>
                              <w:r>
                                <w:rPr>
                                  <w:sz w:val="24"/>
                                  <w:szCs w:val="24"/>
                                </w:rPr>
                                <w:t xml:space="preserve">  </w:t>
                              </w:r>
                            </w:p>
                            <w:p>
                              <w:pPr>
                                <w:snapToGrid w:val="0"/>
                                <w:spacing w:line="480" w:lineRule="atLeast"/>
                                <w:rPr>
                                  <w:sz w:val="24"/>
                                  <w:szCs w:val="24"/>
                                  <w:u w:val="single"/>
                                </w:rPr>
                              </w:pPr>
                              <w:r>
                                <w:rPr>
                                  <w:rFonts w:hint="eastAsia" w:cs="宋体"/>
                                  <w:sz w:val="24"/>
                                  <w:szCs w:val="24"/>
                                </w:rPr>
                                <w:t>附：法定代表人（负责人）性别：</w:t>
                              </w:r>
                              <w:r>
                                <w:rPr>
                                  <w:rFonts w:hint="eastAsia" w:cs="宋体"/>
                                  <w:sz w:val="24"/>
                                  <w:szCs w:val="24"/>
                                  <w:u w:val="single"/>
                                </w:rPr>
                                <w:t>　　</w:t>
                              </w:r>
                              <w:r>
                                <w:rPr>
                                  <w:rFonts w:hint="eastAsia" w:cs="宋体"/>
                                  <w:sz w:val="24"/>
                                  <w:szCs w:val="24"/>
                                </w:rPr>
                                <w:t>年龄：</w:t>
                              </w:r>
                              <w:r>
                                <w:rPr>
                                  <w:rFonts w:hint="eastAsia" w:cs="宋体"/>
                                  <w:sz w:val="24"/>
                                  <w:szCs w:val="24"/>
                                  <w:u w:val="single"/>
                                </w:rPr>
                                <w:t>　　</w:t>
                              </w:r>
                              <w:r>
                                <w:rPr>
                                  <w:rFonts w:hint="eastAsia" w:cs="宋体"/>
                                  <w:sz w:val="24"/>
                                  <w:szCs w:val="24"/>
                                </w:rPr>
                                <w:t>身份证号码：</w:t>
                              </w:r>
                              <w:r>
                                <w:rPr>
                                  <w:sz w:val="24"/>
                                  <w:szCs w:val="24"/>
                                  <w:u w:val="single"/>
                                </w:rPr>
                                <w:t xml:space="preserve">                  </w:t>
                              </w:r>
                            </w:p>
                            <w:p>
                              <w:pPr>
                                <w:snapToGrid w:val="0"/>
                                <w:spacing w:line="480" w:lineRule="atLeast"/>
                                <w:ind w:firstLine="570"/>
                                <w:rPr>
                                  <w:sz w:val="24"/>
                                  <w:szCs w:val="24"/>
                                  <w:u w:val="single"/>
                                </w:rPr>
                              </w:pPr>
                              <w:r>
                                <w:rPr>
                                  <w:rFonts w:hint="eastAsia" w:cs="宋体"/>
                                  <w:sz w:val="24"/>
                                  <w:szCs w:val="24"/>
                                </w:rPr>
                                <w:t>注册号码：</w:t>
                              </w:r>
                              <w:r>
                                <w:rPr>
                                  <w:rFonts w:hint="eastAsia" w:cs="宋体"/>
                                  <w:sz w:val="24"/>
                                  <w:szCs w:val="24"/>
                                  <w:u w:val="single"/>
                                </w:rPr>
                                <w:t>　　　　　　　　　　</w:t>
                              </w:r>
                              <w:r>
                                <w:rPr>
                                  <w:rFonts w:hint="eastAsia" w:cs="宋体"/>
                                  <w:sz w:val="24"/>
                                  <w:szCs w:val="24"/>
                                </w:rPr>
                                <w:t>企业类型：</w:t>
                              </w:r>
                              <w:r>
                                <w:rPr>
                                  <w:sz w:val="24"/>
                                  <w:szCs w:val="24"/>
                                  <w:u w:val="single"/>
                                </w:rPr>
                                <w:t xml:space="preserve">                             </w:t>
                              </w:r>
                            </w:p>
                            <w:p>
                              <w:pPr>
                                <w:snapToGrid w:val="0"/>
                                <w:spacing w:line="480" w:lineRule="atLeast"/>
                                <w:ind w:firstLine="570"/>
                                <w:rPr>
                                  <w:sz w:val="24"/>
                                  <w:szCs w:val="24"/>
                                  <w:u w:val="single"/>
                                </w:rPr>
                              </w:pPr>
                              <w:r>
                                <w:rPr>
                                  <w:rFonts w:hint="eastAsia" w:cs="宋体"/>
                                  <w:sz w:val="24"/>
                                  <w:szCs w:val="24"/>
                                </w:rPr>
                                <w:t>经营范围：</w:t>
                              </w:r>
                              <w:r>
                                <w:rPr>
                                  <w:sz w:val="24"/>
                                  <w:szCs w:val="24"/>
                                  <w:u w:val="single"/>
                                </w:rPr>
                                <w:t xml:space="preserve">                                                           </w:t>
                              </w:r>
                            </w:p>
                            <w:p>
                              <w:pPr>
                                <w:snapToGrid w:val="0"/>
                                <w:spacing w:line="480" w:lineRule="atLeast"/>
                                <w:ind w:firstLine="570"/>
                                <w:rPr>
                                  <w:sz w:val="24"/>
                                  <w:szCs w:val="24"/>
                                </w:rPr>
                              </w:pPr>
                              <w:r>
                                <w:rPr>
                                  <w:rFonts w:hint="eastAsia" w:cs="宋体"/>
                                  <w:sz w:val="24"/>
                                  <w:szCs w:val="24"/>
                                  <w:u w:val="single"/>
                                </w:rPr>
                                <w:t>　　　　　　　　　　　　　　　　</w:t>
                              </w:r>
                              <w:r>
                                <w:rPr>
                                  <w:sz w:val="24"/>
                                  <w:szCs w:val="24"/>
                                </w:rPr>
                                <w:t xml:space="preserve">      </w:t>
                              </w:r>
                              <w:r>
                                <w:rPr>
                                  <w:rFonts w:hint="eastAsia" w:cs="宋体"/>
                                  <w:sz w:val="24"/>
                                  <w:szCs w:val="24"/>
                                </w:rPr>
                                <w:t>单位：　　　（盖章）</w:t>
                              </w:r>
                            </w:p>
                            <w:p>
                              <w:pPr>
                                <w:snapToGrid w:val="0"/>
                                <w:spacing w:after="100" w:afterAutospacing="1" w:line="480" w:lineRule="atLeast"/>
                                <w:ind w:firstLine="4528" w:firstLineChars="1887"/>
                                <w:rPr>
                                  <w:sz w:val="24"/>
                                  <w:szCs w:val="24"/>
                                </w:rPr>
                              </w:pPr>
                              <w:r>
                                <w:rPr>
                                  <w:rFonts w:hint="eastAsia" w:cs="宋体"/>
                                  <w:sz w:val="24"/>
                                  <w:szCs w:val="24"/>
                                </w:rPr>
                                <w:t>　　　　　</w:t>
                              </w:r>
                              <w:r>
                                <w:rPr>
                                  <w:sz w:val="24"/>
                                  <w:szCs w:val="24"/>
                                </w:rPr>
                                <w:t xml:space="preserve">    </w:t>
                              </w:r>
                              <w:r>
                                <w:rPr>
                                  <w:rFonts w:hint="eastAsia" w:cs="宋体"/>
                                  <w:sz w:val="24"/>
                                  <w:szCs w:val="24"/>
                                </w:rPr>
                                <w:t>年　月　　日</w:t>
                              </w:r>
                            </w:p>
                          </w:txbxContent>
                        </wps:txbx>
                        <wps:bodyPr rot="0" vert="horz" wrap="square" lIns="91440" tIns="45720" rIns="91440" bIns="45720" anchor="t" anchorCtr="0" upright="1">
                          <a:noAutofit/>
                        </wps:bodyPr>
                      </wps:wsp>
                    </wpg:wgp>
                  </a:graphicData>
                </a:graphic>
              </wp:inline>
            </w:drawing>
          </mc:Choice>
          <mc:Fallback>
            <w:pict>
              <v:group id="_x0000_s1026" o:spid="_x0000_s1026" o:spt="203" style="height:207.8pt;width:456.75pt;" coordsize="7140,3468" o:gfxdata="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">
                <o:lock v:ext="edit" aspectratio="f"/>
                <v:rect id="图片 4" o:spid="_x0000_s1026" o:spt="1" style="position:absolute;left:0;top:0;height:3468;width:7140;" filled="f" stroked="f" coordsize="21600,21600" o:gfxdata="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T4rVvQAA&#10;ANoAAAAPAAAAAAAAAAEAIAAAACIAAABkcnMvZG93bnJldi54bWxQSwECFAAUAAAACACHTuJAMy8F&#10;njsAAAA5AAAAEAAAAAAAAAABACAAAAAMAQAAZHJzL3NoYXBleG1sLnhtbFBLBQYAAAAABgAGAFsB&#10;AAC2AwAAAAA=&#10;">
                  <v:fill on="f" focussize="0,0"/>
                  <v:stroke on="f"/>
                  <v:imagedata o:title=""/>
                  <o:lock v:ext="edit" text="t" aspectratio="t"/>
                </v:rect>
                <v:shape id="_x0000_s1026" o:spid="_x0000_s1026" o:spt="202" type="#_x0000_t202" style="position:absolute;left:0;top:0;height:3468;width:7140;" fillcolor="#FFFFFF" filled="t" stroked="t" coordsize="21600,21600" o:gfxdata="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7HQ5vQAA&#10;ANo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spacing w:before="156" w:beforeLines="50"/>
                          <w:rPr>
                            <w:sz w:val="24"/>
                            <w:szCs w:val="24"/>
                          </w:rPr>
                        </w:pPr>
                        <w:r>
                          <w:rPr>
                            <w:rFonts w:hint="eastAsia" w:cs="宋体"/>
                            <w:sz w:val="28"/>
                            <w:szCs w:val="28"/>
                          </w:rPr>
                          <w:t>　</w:t>
                        </w:r>
                        <w:r>
                          <w:rPr>
                            <w:rFonts w:hint="eastAsia" w:cs="宋体"/>
                            <w:sz w:val="24"/>
                            <w:szCs w:val="24"/>
                          </w:rPr>
                          <w:t>　</w:t>
                        </w:r>
                        <w:r>
                          <w:rPr>
                            <w:rFonts w:hint="eastAsia" w:cs="宋体"/>
                            <w:sz w:val="24"/>
                            <w:szCs w:val="24"/>
                            <w:u w:val="single"/>
                          </w:rPr>
                          <w:t>　　　　　　</w:t>
                        </w:r>
                        <w:r>
                          <w:rPr>
                            <w:rFonts w:hint="eastAsia" w:cs="宋体"/>
                            <w:sz w:val="24"/>
                            <w:szCs w:val="24"/>
                          </w:rPr>
                          <w:t>现任我单位</w:t>
                        </w:r>
                        <w:r>
                          <w:rPr>
                            <w:rFonts w:hint="eastAsia" w:cs="宋体"/>
                            <w:sz w:val="24"/>
                            <w:szCs w:val="24"/>
                            <w:u w:val="single"/>
                          </w:rPr>
                          <w:t>　　　　　</w:t>
                        </w:r>
                        <w:r>
                          <w:rPr>
                            <w:rFonts w:hint="eastAsia" w:cs="宋体"/>
                            <w:sz w:val="24"/>
                            <w:szCs w:val="24"/>
                          </w:rPr>
                          <w:t>职务，为法定代表人（负责人），</w:t>
                        </w:r>
                      </w:p>
                      <w:p>
                        <w:pPr>
                          <w:snapToGrid w:val="0"/>
                          <w:spacing w:line="480" w:lineRule="atLeast"/>
                          <w:rPr>
                            <w:sz w:val="24"/>
                            <w:szCs w:val="24"/>
                          </w:rPr>
                        </w:pPr>
                        <w:r>
                          <w:rPr>
                            <w:rFonts w:hint="eastAsia" w:cs="宋体"/>
                            <w:sz w:val="24"/>
                            <w:szCs w:val="24"/>
                          </w:rPr>
                          <w:t>特此证明。</w:t>
                        </w:r>
                      </w:p>
                      <w:p>
                        <w:pPr>
                          <w:snapToGrid w:val="0"/>
                          <w:spacing w:line="480" w:lineRule="atLeast"/>
                          <w:rPr>
                            <w:sz w:val="24"/>
                            <w:szCs w:val="24"/>
                            <w:u w:val="single"/>
                          </w:rPr>
                        </w:pPr>
                        <w:r>
                          <w:rPr>
                            <w:rFonts w:hint="eastAsia" w:cs="宋体"/>
                            <w:sz w:val="24"/>
                            <w:szCs w:val="24"/>
                          </w:rPr>
                          <w:t>有效期限：</w:t>
                        </w:r>
                        <w:r>
                          <w:rPr>
                            <w:sz w:val="24"/>
                            <w:szCs w:val="24"/>
                            <w:u w:val="single"/>
                          </w:rPr>
                          <w:t xml:space="preserve">                                </w:t>
                        </w:r>
                        <w:r>
                          <w:rPr>
                            <w:sz w:val="24"/>
                            <w:szCs w:val="24"/>
                          </w:rPr>
                          <w:t xml:space="preserve">  </w:t>
                        </w:r>
                      </w:p>
                      <w:p>
                        <w:pPr>
                          <w:snapToGrid w:val="0"/>
                          <w:spacing w:line="480" w:lineRule="atLeast"/>
                          <w:rPr>
                            <w:sz w:val="24"/>
                            <w:szCs w:val="24"/>
                            <w:u w:val="single"/>
                          </w:rPr>
                        </w:pPr>
                        <w:r>
                          <w:rPr>
                            <w:rFonts w:hint="eastAsia" w:cs="宋体"/>
                            <w:sz w:val="24"/>
                            <w:szCs w:val="24"/>
                          </w:rPr>
                          <w:t>附：法定代表人（负责人）性别：</w:t>
                        </w:r>
                        <w:r>
                          <w:rPr>
                            <w:rFonts w:hint="eastAsia" w:cs="宋体"/>
                            <w:sz w:val="24"/>
                            <w:szCs w:val="24"/>
                            <w:u w:val="single"/>
                          </w:rPr>
                          <w:t>　　</w:t>
                        </w:r>
                        <w:r>
                          <w:rPr>
                            <w:rFonts w:hint="eastAsia" w:cs="宋体"/>
                            <w:sz w:val="24"/>
                            <w:szCs w:val="24"/>
                          </w:rPr>
                          <w:t>年龄：</w:t>
                        </w:r>
                        <w:r>
                          <w:rPr>
                            <w:rFonts w:hint="eastAsia" w:cs="宋体"/>
                            <w:sz w:val="24"/>
                            <w:szCs w:val="24"/>
                            <w:u w:val="single"/>
                          </w:rPr>
                          <w:t>　　</w:t>
                        </w:r>
                        <w:r>
                          <w:rPr>
                            <w:rFonts w:hint="eastAsia" w:cs="宋体"/>
                            <w:sz w:val="24"/>
                            <w:szCs w:val="24"/>
                          </w:rPr>
                          <w:t>身份证号码：</w:t>
                        </w:r>
                        <w:r>
                          <w:rPr>
                            <w:sz w:val="24"/>
                            <w:szCs w:val="24"/>
                            <w:u w:val="single"/>
                          </w:rPr>
                          <w:t xml:space="preserve">                  </w:t>
                        </w:r>
                      </w:p>
                      <w:p>
                        <w:pPr>
                          <w:snapToGrid w:val="0"/>
                          <w:spacing w:line="480" w:lineRule="atLeast"/>
                          <w:ind w:firstLine="570"/>
                          <w:rPr>
                            <w:sz w:val="24"/>
                            <w:szCs w:val="24"/>
                            <w:u w:val="single"/>
                          </w:rPr>
                        </w:pPr>
                        <w:r>
                          <w:rPr>
                            <w:rFonts w:hint="eastAsia" w:cs="宋体"/>
                            <w:sz w:val="24"/>
                            <w:szCs w:val="24"/>
                          </w:rPr>
                          <w:t>注册号码：</w:t>
                        </w:r>
                        <w:r>
                          <w:rPr>
                            <w:rFonts w:hint="eastAsia" w:cs="宋体"/>
                            <w:sz w:val="24"/>
                            <w:szCs w:val="24"/>
                            <w:u w:val="single"/>
                          </w:rPr>
                          <w:t>　　　　　　　　　　</w:t>
                        </w:r>
                        <w:r>
                          <w:rPr>
                            <w:rFonts w:hint="eastAsia" w:cs="宋体"/>
                            <w:sz w:val="24"/>
                            <w:szCs w:val="24"/>
                          </w:rPr>
                          <w:t>企业类型：</w:t>
                        </w:r>
                        <w:r>
                          <w:rPr>
                            <w:sz w:val="24"/>
                            <w:szCs w:val="24"/>
                            <w:u w:val="single"/>
                          </w:rPr>
                          <w:t xml:space="preserve">                             </w:t>
                        </w:r>
                      </w:p>
                      <w:p>
                        <w:pPr>
                          <w:snapToGrid w:val="0"/>
                          <w:spacing w:line="480" w:lineRule="atLeast"/>
                          <w:ind w:firstLine="570"/>
                          <w:rPr>
                            <w:sz w:val="24"/>
                            <w:szCs w:val="24"/>
                            <w:u w:val="single"/>
                          </w:rPr>
                        </w:pPr>
                        <w:r>
                          <w:rPr>
                            <w:rFonts w:hint="eastAsia" w:cs="宋体"/>
                            <w:sz w:val="24"/>
                            <w:szCs w:val="24"/>
                          </w:rPr>
                          <w:t>经营范围：</w:t>
                        </w:r>
                        <w:r>
                          <w:rPr>
                            <w:sz w:val="24"/>
                            <w:szCs w:val="24"/>
                            <w:u w:val="single"/>
                          </w:rPr>
                          <w:t xml:space="preserve">                                                           </w:t>
                        </w:r>
                      </w:p>
                      <w:p>
                        <w:pPr>
                          <w:snapToGrid w:val="0"/>
                          <w:spacing w:line="480" w:lineRule="atLeast"/>
                          <w:ind w:firstLine="570"/>
                          <w:rPr>
                            <w:sz w:val="24"/>
                            <w:szCs w:val="24"/>
                          </w:rPr>
                        </w:pPr>
                        <w:r>
                          <w:rPr>
                            <w:rFonts w:hint="eastAsia" w:cs="宋体"/>
                            <w:sz w:val="24"/>
                            <w:szCs w:val="24"/>
                            <w:u w:val="single"/>
                          </w:rPr>
                          <w:t>　　　　　　　　　　　　　　　　</w:t>
                        </w:r>
                        <w:r>
                          <w:rPr>
                            <w:sz w:val="24"/>
                            <w:szCs w:val="24"/>
                          </w:rPr>
                          <w:t xml:space="preserve">      </w:t>
                        </w:r>
                        <w:r>
                          <w:rPr>
                            <w:rFonts w:hint="eastAsia" w:cs="宋体"/>
                            <w:sz w:val="24"/>
                            <w:szCs w:val="24"/>
                          </w:rPr>
                          <w:t>单位：　　　（盖章）</w:t>
                        </w:r>
                      </w:p>
                      <w:p>
                        <w:pPr>
                          <w:snapToGrid w:val="0"/>
                          <w:spacing w:after="100" w:afterAutospacing="1" w:line="480" w:lineRule="atLeast"/>
                          <w:ind w:firstLine="4528" w:firstLineChars="1887"/>
                          <w:rPr>
                            <w:sz w:val="24"/>
                            <w:szCs w:val="24"/>
                          </w:rPr>
                        </w:pPr>
                        <w:r>
                          <w:rPr>
                            <w:rFonts w:hint="eastAsia" w:cs="宋体"/>
                            <w:sz w:val="24"/>
                            <w:szCs w:val="24"/>
                          </w:rPr>
                          <w:t>　　　　　</w:t>
                        </w:r>
                        <w:r>
                          <w:rPr>
                            <w:sz w:val="24"/>
                            <w:szCs w:val="24"/>
                          </w:rPr>
                          <w:t xml:space="preserve">    </w:t>
                        </w:r>
                        <w:r>
                          <w:rPr>
                            <w:rFonts w:hint="eastAsia" w:cs="宋体"/>
                            <w:sz w:val="24"/>
                            <w:szCs w:val="24"/>
                          </w:rPr>
                          <w:t>年　月　　日</w:t>
                        </w:r>
                      </w:p>
                    </w:txbxContent>
                  </v:textbox>
                </v:shape>
                <w10:wrap type="none"/>
                <w10:anchorlock/>
              </v:group>
            </w:pict>
          </mc:Fallback>
        </mc:AlternateContent>
      </w:r>
    </w:p>
    <w:p>
      <w:pPr>
        <w:spacing w:line="360" w:lineRule="auto"/>
        <w:rPr>
          <w:rFonts w:ascii="宋体" w:hAnsi="宋体"/>
          <w:color w:val="auto"/>
          <w:sz w:val="24"/>
          <w:szCs w:val="24"/>
          <w:highlight w:val="none"/>
        </w:rPr>
      </w:pPr>
      <w:r>
        <w:rPr>
          <w:rFonts w:hint="eastAsia" w:ascii="宋体" w:hAnsi="宋体" w:cs="宋体"/>
          <w:color w:val="auto"/>
          <w:sz w:val="24"/>
          <w:szCs w:val="24"/>
          <w:highlight w:val="none"/>
        </w:rPr>
        <w:t>注：按提供的该表格格式填写，或使用工商管理部门的格式填写。</w:t>
      </w:r>
    </w:p>
    <w:p>
      <w:pPr>
        <w:spacing w:before="156" w:beforeLines="50"/>
        <w:ind w:firstLine="482" w:firstLineChars="200"/>
        <w:jc w:val="center"/>
        <w:rPr>
          <w:rFonts w:ascii="宋体" w:hAnsi="宋体" w:cs="宋体"/>
          <w:b/>
          <w:color w:val="auto"/>
          <w:sz w:val="24"/>
          <w:szCs w:val="24"/>
          <w:highlight w:val="none"/>
        </w:rPr>
      </w:pPr>
    </w:p>
    <w:p>
      <w:pPr>
        <w:spacing w:before="156" w:beforeLines="50"/>
        <w:ind w:firstLine="482" w:firstLineChars="200"/>
        <w:jc w:val="center"/>
        <w:rPr>
          <w:rFonts w:ascii="宋体" w:hAnsi="宋体" w:cs="宋体"/>
          <w:b/>
          <w:color w:val="auto"/>
          <w:sz w:val="24"/>
          <w:szCs w:val="24"/>
          <w:highlight w:val="none"/>
        </w:rPr>
      </w:pPr>
      <w:r>
        <w:rPr>
          <w:rFonts w:hint="eastAsia" w:ascii="宋体" w:hAnsi="宋体" w:cs="宋体"/>
          <w:b/>
          <w:color w:val="auto"/>
          <w:sz w:val="24"/>
          <w:szCs w:val="24"/>
          <w:highlight w:val="none"/>
        </w:rPr>
        <w:t>授权委托书</w:t>
      </w:r>
      <w:bookmarkEnd w:id="0"/>
      <w:bookmarkEnd w:id="1"/>
      <w:bookmarkEnd w:id="2"/>
    </w:p>
    <w:p>
      <w:pPr>
        <w:widowControl/>
        <w:spacing w:before="260" w:after="260"/>
        <w:ind w:right="1542"/>
        <w:jc w:val="center"/>
        <w:rPr>
          <w:rFonts w:ascii="宋体" w:hAnsi="宋体" w:cs="宋体"/>
          <w:b/>
          <w:bCs/>
          <w:color w:val="auto"/>
          <w:kern w:val="0"/>
          <w:sz w:val="32"/>
          <w:szCs w:val="32"/>
          <w:highlight w:val="none"/>
        </w:rPr>
      </w:pPr>
      <w:r>
        <w:rPr>
          <w:rFonts w:ascii="宋体" w:hAnsi="宋体" w:cs="宋体"/>
          <w:b/>
          <w:bCs/>
          <w:color w:val="auto"/>
          <w:kern w:val="0"/>
          <w:sz w:val="32"/>
          <w:szCs w:val="32"/>
          <w:highlight w:val="none"/>
        </w:rPr>
        <mc:AlternateContent>
          <mc:Choice Requires="wps">
            <w:drawing>
              <wp:inline distT="0" distB="0" distL="0" distR="0">
                <wp:extent cx="6129020" cy="2946400"/>
                <wp:effectExtent l="9525" t="6985" r="5080" b="8890"/>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129020" cy="2946400"/>
                        </a:xfrm>
                        <a:prstGeom prst="rect">
                          <a:avLst/>
                        </a:prstGeom>
                        <a:solidFill>
                          <a:srgbClr val="FFFFFF"/>
                        </a:solidFill>
                        <a:ln w="9525" cmpd="sng">
                          <a:solidFill>
                            <a:srgbClr val="000000"/>
                          </a:solidFill>
                          <a:miter lim="800000"/>
                        </a:ln>
                      </wps:spPr>
                      <wps:txbx>
                        <w:txbxContent>
                          <w:p>
                            <w:pPr>
                              <w:spacing w:before="156" w:beforeLines="50"/>
                              <w:ind w:firstLine="480" w:firstLineChars="200"/>
                              <w:rPr>
                                <w:sz w:val="24"/>
                                <w:szCs w:val="24"/>
                              </w:rPr>
                            </w:pPr>
                            <w:r>
                              <w:rPr>
                                <w:rFonts w:hint="eastAsia" w:cs="宋体"/>
                                <w:sz w:val="24"/>
                                <w:szCs w:val="24"/>
                              </w:rPr>
                              <w:t>兹授权</w:t>
                            </w:r>
                            <w:r>
                              <w:rPr>
                                <w:rFonts w:hint="eastAsia" w:cs="宋体"/>
                                <w:sz w:val="24"/>
                                <w:szCs w:val="24"/>
                                <w:u w:val="single"/>
                              </w:rPr>
                              <w:t>　　　　　</w:t>
                            </w:r>
                            <w:r>
                              <w:rPr>
                                <w:rFonts w:hint="eastAsia" w:cs="宋体"/>
                                <w:sz w:val="24"/>
                                <w:szCs w:val="24"/>
                              </w:rPr>
                              <w:t>为我方委托代理人，其权限是：</w:t>
                            </w:r>
                            <w:r>
                              <w:rPr>
                                <w:sz w:val="24"/>
                                <w:szCs w:val="24"/>
                                <w:u w:val="single"/>
                              </w:rPr>
                              <w:t xml:space="preserve">                        </w:t>
                            </w:r>
                          </w:p>
                          <w:p>
                            <w:pPr>
                              <w:snapToGrid w:val="0"/>
                              <w:spacing w:line="480" w:lineRule="atLeast"/>
                              <w:rPr>
                                <w:sz w:val="24"/>
                                <w:szCs w:val="24"/>
                                <w:u w:val="single"/>
                              </w:rPr>
                            </w:pPr>
                            <w:r>
                              <w:rPr>
                                <w:sz w:val="24"/>
                                <w:szCs w:val="24"/>
                                <w:u w:val="single"/>
                              </w:rPr>
                              <w:t xml:space="preserve">                                                                        </w:t>
                            </w:r>
                          </w:p>
                          <w:p>
                            <w:pPr>
                              <w:snapToGrid w:val="0"/>
                              <w:spacing w:line="480" w:lineRule="atLeast"/>
                              <w:rPr>
                                <w:sz w:val="24"/>
                                <w:szCs w:val="24"/>
                                <w:u w:val="single"/>
                              </w:rPr>
                            </w:pPr>
                            <w:r>
                              <w:rPr>
                                <w:rFonts w:hint="eastAsia" w:cs="宋体"/>
                                <w:sz w:val="24"/>
                                <w:szCs w:val="24"/>
                              </w:rPr>
                              <w:t>有效期限：</w:t>
                            </w:r>
                            <w:r>
                              <w:rPr>
                                <w:sz w:val="24"/>
                                <w:szCs w:val="24"/>
                                <w:u w:val="single"/>
                              </w:rPr>
                              <w:t xml:space="preserve">                                                              </w:t>
                            </w:r>
                          </w:p>
                          <w:p>
                            <w:pPr>
                              <w:snapToGrid w:val="0"/>
                              <w:spacing w:line="480" w:lineRule="atLeast"/>
                              <w:rPr>
                                <w:sz w:val="24"/>
                                <w:szCs w:val="24"/>
                              </w:rPr>
                            </w:pPr>
                            <w:r>
                              <w:rPr>
                                <w:rFonts w:hint="eastAsia" w:cs="宋体"/>
                                <w:sz w:val="24"/>
                                <w:szCs w:val="24"/>
                              </w:rPr>
                              <w:t>附：代理人性别：</w:t>
                            </w:r>
                            <w:r>
                              <w:rPr>
                                <w:rFonts w:hint="eastAsia" w:cs="宋体"/>
                                <w:sz w:val="24"/>
                                <w:szCs w:val="24"/>
                                <w:u w:val="single"/>
                              </w:rPr>
                              <w:t>　　</w:t>
                            </w:r>
                            <w:r>
                              <w:rPr>
                                <w:rFonts w:hint="eastAsia" w:cs="宋体"/>
                                <w:sz w:val="24"/>
                                <w:szCs w:val="24"/>
                              </w:rPr>
                              <w:t>年龄：</w:t>
                            </w:r>
                            <w:r>
                              <w:rPr>
                                <w:rFonts w:hint="eastAsia" w:cs="宋体"/>
                                <w:sz w:val="24"/>
                                <w:szCs w:val="24"/>
                                <w:u w:val="single"/>
                              </w:rPr>
                              <w:t>　　　</w:t>
                            </w:r>
                            <w:r>
                              <w:rPr>
                                <w:rFonts w:hint="eastAsia" w:cs="宋体"/>
                                <w:sz w:val="24"/>
                                <w:szCs w:val="24"/>
                              </w:rPr>
                              <w:t>身份证号码：</w:t>
                            </w:r>
                            <w:r>
                              <w:rPr>
                                <w:sz w:val="24"/>
                                <w:szCs w:val="24"/>
                                <w:u w:val="single"/>
                              </w:rPr>
                              <w:t xml:space="preserve">                            </w:t>
                            </w:r>
                          </w:p>
                          <w:p>
                            <w:pPr>
                              <w:snapToGrid w:val="0"/>
                              <w:spacing w:line="480" w:lineRule="atLeast"/>
                              <w:ind w:hanging="105"/>
                              <w:rPr>
                                <w:sz w:val="24"/>
                                <w:szCs w:val="24"/>
                                <w:u w:val="single"/>
                              </w:rPr>
                            </w:pPr>
                            <w:r>
                              <w:rPr>
                                <w:rFonts w:hint="eastAsia" w:cs="宋体"/>
                                <w:sz w:val="24"/>
                                <w:szCs w:val="24"/>
                              </w:rPr>
                              <w:t>　　注册号码：</w:t>
                            </w:r>
                            <w:r>
                              <w:rPr>
                                <w:rFonts w:hint="eastAsia" w:cs="宋体"/>
                                <w:sz w:val="24"/>
                                <w:szCs w:val="24"/>
                                <w:u w:val="single"/>
                              </w:rPr>
                              <w:t>　　　　　　　　　</w:t>
                            </w:r>
                            <w:r>
                              <w:rPr>
                                <w:rFonts w:hint="eastAsia" w:cs="宋体"/>
                                <w:sz w:val="24"/>
                                <w:szCs w:val="24"/>
                              </w:rPr>
                              <w:t>企业类型：</w:t>
                            </w:r>
                            <w:r>
                              <w:rPr>
                                <w:sz w:val="24"/>
                                <w:szCs w:val="24"/>
                                <w:u w:val="single"/>
                              </w:rPr>
                              <w:t xml:space="preserve">                               </w:t>
                            </w:r>
                          </w:p>
                          <w:p>
                            <w:pPr>
                              <w:snapToGrid w:val="0"/>
                              <w:spacing w:line="480" w:lineRule="atLeast"/>
                              <w:ind w:hanging="105"/>
                              <w:rPr>
                                <w:sz w:val="24"/>
                                <w:szCs w:val="24"/>
                                <w:u w:val="single"/>
                              </w:rPr>
                            </w:pPr>
                            <w:r>
                              <w:rPr>
                                <w:rFonts w:hint="eastAsia" w:cs="宋体"/>
                                <w:sz w:val="24"/>
                                <w:szCs w:val="24"/>
                              </w:rPr>
                              <w:t>　　经营范围：</w:t>
                            </w:r>
                            <w:r>
                              <w:rPr>
                                <w:sz w:val="24"/>
                                <w:szCs w:val="24"/>
                                <w:u w:val="single"/>
                              </w:rPr>
                              <w:t xml:space="preserve">                                                           </w:t>
                            </w:r>
                          </w:p>
                          <w:p>
                            <w:pPr>
                              <w:snapToGrid w:val="0"/>
                              <w:spacing w:line="480" w:lineRule="atLeast"/>
                              <w:ind w:hanging="105"/>
                              <w:rPr>
                                <w:sz w:val="24"/>
                                <w:szCs w:val="24"/>
                              </w:rPr>
                            </w:pPr>
                            <w:r>
                              <w:rPr>
                                <w:rFonts w:hint="eastAsia" w:cs="宋体"/>
                                <w:sz w:val="24"/>
                                <w:szCs w:val="24"/>
                              </w:rPr>
                              <w:t>　　法定代表人（负责人）：</w:t>
                            </w:r>
                            <w:r>
                              <w:rPr>
                                <w:rFonts w:hint="eastAsia" w:cs="宋体"/>
                                <w:sz w:val="24"/>
                                <w:szCs w:val="24"/>
                                <w:u w:val="single"/>
                              </w:rPr>
                              <w:t>　　　</w:t>
                            </w:r>
                            <w:r>
                              <w:rPr>
                                <w:sz w:val="24"/>
                                <w:szCs w:val="24"/>
                                <w:u w:val="single"/>
                              </w:rPr>
                              <w:t xml:space="preserve">          </w:t>
                            </w:r>
                            <w:r>
                              <w:rPr>
                                <w:rFonts w:hint="eastAsia" w:cs="宋体"/>
                                <w:sz w:val="24"/>
                                <w:szCs w:val="24"/>
                              </w:rPr>
                              <w:t>（签名）</w:t>
                            </w:r>
                          </w:p>
                          <w:p>
                            <w:pPr>
                              <w:snapToGrid w:val="0"/>
                              <w:spacing w:line="480" w:lineRule="atLeast"/>
                              <w:ind w:hanging="105"/>
                              <w:rPr>
                                <w:sz w:val="24"/>
                                <w:szCs w:val="24"/>
                              </w:rPr>
                            </w:pPr>
                            <w:r>
                              <w:rPr>
                                <w:rFonts w:hint="eastAsia" w:cs="宋体"/>
                                <w:sz w:val="24"/>
                                <w:szCs w:val="24"/>
                              </w:rPr>
                              <w:t>　　授权单位：（盖章）</w:t>
                            </w:r>
                            <w:r>
                              <w:rPr>
                                <w:sz w:val="24"/>
                                <w:szCs w:val="24"/>
                                <w:u w:val="single"/>
                              </w:rPr>
                              <w:t xml:space="preserve">                     </w:t>
                            </w:r>
                            <w:r>
                              <w:rPr>
                                <w:rFonts w:hint="eastAsia" w:cs="宋体"/>
                                <w:sz w:val="24"/>
                                <w:szCs w:val="24"/>
                              </w:rPr>
                              <w:t>　　　</w:t>
                            </w:r>
                          </w:p>
                          <w:p>
                            <w:pPr>
                              <w:snapToGrid w:val="0"/>
                              <w:spacing w:line="480" w:lineRule="atLeast"/>
                              <w:ind w:firstLine="570"/>
                              <w:rPr>
                                <w:sz w:val="24"/>
                                <w:szCs w:val="24"/>
                              </w:rPr>
                            </w:pPr>
                            <w:r>
                              <w:rPr>
                                <w:rFonts w:hint="eastAsia" w:cs="宋体"/>
                                <w:sz w:val="24"/>
                                <w:szCs w:val="24"/>
                              </w:rPr>
                              <w:t>　　　　　　　　　　　　　　　　　　　　　</w:t>
                            </w:r>
                            <w:r>
                              <w:rPr>
                                <w:sz w:val="24"/>
                                <w:szCs w:val="24"/>
                              </w:rPr>
                              <w:t xml:space="preserve">      </w:t>
                            </w:r>
                            <w:r>
                              <w:rPr>
                                <w:rFonts w:hint="eastAsia" w:cs="宋体"/>
                                <w:sz w:val="24"/>
                                <w:szCs w:val="24"/>
                              </w:rPr>
                              <w:t>年　</w:t>
                            </w:r>
                            <w:r>
                              <w:rPr>
                                <w:sz w:val="24"/>
                                <w:szCs w:val="24"/>
                              </w:rPr>
                              <w:t xml:space="preserve"> </w:t>
                            </w:r>
                            <w:r>
                              <w:rPr>
                                <w:rFonts w:hint="eastAsia" w:cs="宋体"/>
                                <w:sz w:val="24"/>
                                <w:szCs w:val="24"/>
                              </w:rPr>
                              <w:t>月　</w:t>
                            </w:r>
                            <w:r>
                              <w:rPr>
                                <w:sz w:val="24"/>
                                <w:szCs w:val="24"/>
                              </w:rPr>
                              <w:t xml:space="preserve"> </w:t>
                            </w:r>
                            <w:r>
                              <w:rPr>
                                <w:rFonts w:hint="eastAsia" w:cs="宋体"/>
                                <w:sz w:val="24"/>
                                <w:szCs w:val="24"/>
                              </w:rPr>
                              <w:t>日</w:t>
                            </w:r>
                          </w:p>
                        </w:txbxContent>
                      </wps:txbx>
                      <wps:bodyPr rot="0" vert="horz" wrap="square" lIns="91440" tIns="45720" rIns="91440" bIns="45720" anchor="t" anchorCtr="0" upright="1">
                        <a:noAutofit/>
                      </wps:bodyPr>
                    </wps:wsp>
                  </a:graphicData>
                </a:graphic>
              </wp:inline>
            </w:drawing>
          </mc:Choice>
          <mc:Fallback>
            <w:pict>
              <v:shape id="_x0000_s1026" o:spid="_x0000_s1026" o:spt="202" type="#_x0000_t202" style="height:232pt;width:482.6pt;" fillcolor="#FFFFFF" filled="t" stroked="t" coordsize="21600,21600" o:gfxdata="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4fRdcAAAAFAQAADwAAAAAAAAABACAA&#10;AAAiAAAAZHJzL2Rvd25yZXYueG1sUEsBAhQAFAAAAAgAh07iQIvSZaRHAgAAkwQAAA4AAAAAAAAA&#10;AQAgAAAAJgEAAGRycy9lMm9Eb2MueG1sUEsFBgAAAAAGAAYAWQEAAN8FAAAAAA==&#10;">
                <v:fill on="t" focussize="0,0"/>
                <v:stroke color="#000000" miterlimit="8" joinstyle="miter"/>
                <v:imagedata o:title=""/>
                <o:lock v:ext="edit" aspectratio="f"/>
                <v:textbox>
                  <w:txbxContent>
                    <w:p>
                      <w:pPr>
                        <w:spacing w:before="156" w:beforeLines="50"/>
                        <w:ind w:firstLine="480" w:firstLineChars="200"/>
                        <w:rPr>
                          <w:sz w:val="24"/>
                          <w:szCs w:val="24"/>
                        </w:rPr>
                      </w:pPr>
                      <w:r>
                        <w:rPr>
                          <w:rFonts w:hint="eastAsia" w:cs="宋体"/>
                          <w:sz w:val="24"/>
                          <w:szCs w:val="24"/>
                        </w:rPr>
                        <w:t>兹授权</w:t>
                      </w:r>
                      <w:r>
                        <w:rPr>
                          <w:rFonts w:hint="eastAsia" w:cs="宋体"/>
                          <w:sz w:val="24"/>
                          <w:szCs w:val="24"/>
                          <w:u w:val="single"/>
                        </w:rPr>
                        <w:t>　　　　　</w:t>
                      </w:r>
                      <w:r>
                        <w:rPr>
                          <w:rFonts w:hint="eastAsia" w:cs="宋体"/>
                          <w:sz w:val="24"/>
                          <w:szCs w:val="24"/>
                        </w:rPr>
                        <w:t>为我方委托代理人，其权限是：</w:t>
                      </w:r>
                      <w:r>
                        <w:rPr>
                          <w:sz w:val="24"/>
                          <w:szCs w:val="24"/>
                          <w:u w:val="single"/>
                        </w:rPr>
                        <w:t xml:space="preserve">                        </w:t>
                      </w:r>
                    </w:p>
                    <w:p>
                      <w:pPr>
                        <w:snapToGrid w:val="0"/>
                        <w:spacing w:line="480" w:lineRule="atLeast"/>
                        <w:rPr>
                          <w:sz w:val="24"/>
                          <w:szCs w:val="24"/>
                          <w:u w:val="single"/>
                        </w:rPr>
                      </w:pPr>
                      <w:r>
                        <w:rPr>
                          <w:sz w:val="24"/>
                          <w:szCs w:val="24"/>
                          <w:u w:val="single"/>
                        </w:rPr>
                        <w:t xml:space="preserve">                                                                        </w:t>
                      </w:r>
                    </w:p>
                    <w:p>
                      <w:pPr>
                        <w:snapToGrid w:val="0"/>
                        <w:spacing w:line="480" w:lineRule="atLeast"/>
                        <w:rPr>
                          <w:sz w:val="24"/>
                          <w:szCs w:val="24"/>
                          <w:u w:val="single"/>
                        </w:rPr>
                      </w:pPr>
                      <w:r>
                        <w:rPr>
                          <w:rFonts w:hint="eastAsia" w:cs="宋体"/>
                          <w:sz w:val="24"/>
                          <w:szCs w:val="24"/>
                        </w:rPr>
                        <w:t>有效期限：</w:t>
                      </w:r>
                      <w:r>
                        <w:rPr>
                          <w:sz w:val="24"/>
                          <w:szCs w:val="24"/>
                          <w:u w:val="single"/>
                        </w:rPr>
                        <w:t xml:space="preserve">                                                              </w:t>
                      </w:r>
                    </w:p>
                    <w:p>
                      <w:pPr>
                        <w:snapToGrid w:val="0"/>
                        <w:spacing w:line="480" w:lineRule="atLeast"/>
                        <w:rPr>
                          <w:sz w:val="24"/>
                          <w:szCs w:val="24"/>
                        </w:rPr>
                      </w:pPr>
                      <w:r>
                        <w:rPr>
                          <w:rFonts w:hint="eastAsia" w:cs="宋体"/>
                          <w:sz w:val="24"/>
                          <w:szCs w:val="24"/>
                        </w:rPr>
                        <w:t>附：代理人性别：</w:t>
                      </w:r>
                      <w:r>
                        <w:rPr>
                          <w:rFonts w:hint="eastAsia" w:cs="宋体"/>
                          <w:sz w:val="24"/>
                          <w:szCs w:val="24"/>
                          <w:u w:val="single"/>
                        </w:rPr>
                        <w:t>　　</w:t>
                      </w:r>
                      <w:r>
                        <w:rPr>
                          <w:rFonts w:hint="eastAsia" w:cs="宋体"/>
                          <w:sz w:val="24"/>
                          <w:szCs w:val="24"/>
                        </w:rPr>
                        <w:t>年龄：</w:t>
                      </w:r>
                      <w:r>
                        <w:rPr>
                          <w:rFonts w:hint="eastAsia" w:cs="宋体"/>
                          <w:sz w:val="24"/>
                          <w:szCs w:val="24"/>
                          <w:u w:val="single"/>
                        </w:rPr>
                        <w:t>　　　</w:t>
                      </w:r>
                      <w:r>
                        <w:rPr>
                          <w:rFonts w:hint="eastAsia" w:cs="宋体"/>
                          <w:sz w:val="24"/>
                          <w:szCs w:val="24"/>
                        </w:rPr>
                        <w:t>身份证号码：</w:t>
                      </w:r>
                      <w:r>
                        <w:rPr>
                          <w:sz w:val="24"/>
                          <w:szCs w:val="24"/>
                          <w:u w:val="single"/>
                        </w:rPr>
                        <w:t xml:space="preserve">                            </w:t>
                      </w:r>
                    </w:p>
                    <w:p>
                      <w:pPr>
                        <w:snapToGrid w:val="0"/>
                        <w:spacing w:line="480" w:lineRule="atLeast"/>
                        <w:ind w:hanging="105"/>
                        <w:rPr>
                          <w:sz w:val="24"/>
                          <w:szCs w:val="24"/>
                          <w:u w:val="single"/>
                        </w:rPr>
                      </w:pPr>
                      <w:r>
                        <w:rPr>
                          <w:rFonts w:hint="eastAsia" w:cs="宋体"/>
                          <w:sz w:val="24"/>
                          <w:szCs w:val="24"/>
                        </w:rPr>
                        <w:t>　　注册号码：</w:t>
                      </w:r>
                      <w:r>
                        <w:rPr>
                          <w:rFonts w:hint="eastAsia" w:cs="宋体"/>
                          <w:sz w:val="24"/>
                          <w:szCs w:val="24"/>
                          <w:u w:val="single"/>
                        </w:rPr>
                        <w:t>　　　　　　　　　</w:t>
                      </w:r>
                      <w:r>
                        <w:rPr>
                          <w:rFonts w:hint="eastAsia" w:cs="宋体"/>
                          <w:sz w:val="24"/>
                          <w:szCs w:val="24"/>
                        </w:rPr>
                        <w:t>企业类型：</w:t>
                      </w:r>
                      <w:r>
                        <w:rPr>
                          <w:sz w:val="24"/>
                          <w:szCs w:val="24"/>
                          <w:u w:val="single"/>
                        </w:rPr>
                        <w:t xml:space="preserve">                               </w:t>
                      </w:r>
                    </w:p>
                    <w:p>
                      <w:pPr>
                        <w:snapToGrid w:val="0"/>
                        <w:spacing w:line="480" w:lineRule="atLeast"/>
                        <w:ind w:hanging="105"/>
                        <w:rPr>
                          <w:sz w:val="24"/>
                          <w:szCs w:val="24"/>
                          <w:u w:val="single"/>
                        </w:rPr>
                      </w:pPr>
                      <w:r>
                        <w:rPr>
                          <w:rFonts w:hint="eastAsia" w:cs="宋体"/>
                          <w:sz w:val="24"/>
                          <w:szCs w:val="24"/>
                        </w:rPr>
                        <w:t>　　经营范围：</w:t>
                      </w:r>
                      <w:r>
                        <w:rPr>
                          <w:sz w:val="24"/>
                          <w:szCs w:val="24"/>
                          <w:u w:val="single"/>
                        </w:rPr>
                        <w:t xml:space="preserve">                                                           </w:t>
                      </w:r>
                    </w:p>
                    <w:p>
                      <w:pPr>
                        <w:snapToGrid w:val="0"/>
                        <w:spacing w:line="480" w:lineRule="atLeast"/>
                        <w:ind w:hanging="105"/>
                        <w:rPr>
                          <w:sz w:val="24"/>
                          <w:szCs w:val="24"/>
                        </w:rPr>
                      </w:pPr>
                      <w:r>
                        <w:rPr>
                          <w:rFonts w:hint="eastAsia" w:cs="宋体"/>
                          <w:sz w:val="24"/>
                          <w:szCs w:val="24"/>
                        </w:rPr>
                        <w:t>　　法定代表人（负责人）：</w:t>
                      </w:r>
                      <w:r>
                        <w:rPr>
                          <w:rFonts w:hint="eastAsia" w:cs="宋体"/>
                          <w:sz w:val="24"/>
                          <w:szCs w:val="24"/>
                          <w:u w:val="single"/>
                        </w:rPr>
                        <w:t>　　　</w:t>
                      </w:r>
                      <w:r>
                        <w:rPr>
                          <w:sz w:val="24"/>
                          <w:szCs w:val="24"/>
                          <w:u w:val="single"/>
                        </w:rPr>
                        <w:t xml:space="preserve">          </w:t>
                      </w:r>
                      <w:r>
                        <w:rPr>
                          <w:rFonts w:hint="eastAsia" w:cs="宋体"/>
                          <w:sz w:val="24"/>
                          <w:szCs w:val="24"/>
                        </w:rPr>
                        <w:t>（签名）</w:t>
                      </w:r>
                    </w:p>
                    <w:p>
                      <w:pPr>
                        <w:snapToGrid w:val="0"/>
                        <w:spacing w:line="480" w:lineRule="atLeast"/>
                        <w:ind w:hanging="105"/>
                        <w:rPr>
                          <w:sz w:val="24"/>
                          <w:szCs w:val="24"/>
                        </w:rPr>
                      </w:pPr>
                      <w:r>
                        <w:rPr>
                          <w:rFonts w:hint="eastAsia" w:cs="宋体"/>
                          <w:sz w:val="24"/>
                          <w:szCs w:val="24"/>
                        </w:rPr>
                        <w:t>　　授权单位：（盖章）</w:t>
                      </w:r>
                      <w:r>
                        <w:rPr>
                          <w:sz w:val="24"/>
                          <w:szCs w:val="24"/>
                          <w:u w:val="single"/>
                        </w:rPr>
                        <w:t xml:space="preserve">                     </w:t>
                      </w:r>
                      <w:r>
                        <w:rPr>
                          <w:rFonts w:hint="eastAsia" w:cs="宋体"/>
                          <w:sz w:val="24"/>
                          <w:szCs w:val="24"/>
                        </w:rPr>
                        <w:t>　　　</w:t>
                      </w:r>
                    </w:p>
                    <w:p>
                      <w:pPr>
                        <w:snapToGrid w:val="0"/>
                        <w:spacing w:line="480" w:lineRule="atLeast"/>
                        <w:ind w:firstLine="570"/>
                        <w:rPr>
                          <w:sz w:val="24"/>
                          <w:szCs w:val="24"/>
                        </w:rPr>
                      </w:pPr>
                      <w:r>
                        <w:rPr>
                          <w:rFonts w:hint="eastAsia" w:cs="宋体"/>
                          <w:sz w:val="24"/>
                          <w:szCs w:val="24"/>
                        </w:rPr>
                        <w:t>　　　　　　　　　　　　　　　　　　　　　</w:t>
                      </w:r>
                      <w:r>
                        <w:rPr>
                          <w:sz w:val="24"/>
                          <w:szCs w:val="24"/>
                        </w:rPr>
                        <w:t xml:space="preserve">      </w:t>
                      </w:r>
                      <w:r>
                        <w:rPr>
                          <w:rFonts w:hint="eastAsia" w:cs="宋体"/>
                          <w:sz w:val="24"/>
                          <w:szCs w:val="24"/>
                        </w:rPr>
                        <w:t>年　</w:t>
                      </w:r>
                      <w:r>
                        <w:rPr>
                          <w:sz w:val="24"/>
                          <w:szCs w:val="24"/>
                        </w:rPr>
                        <w:t xml:space="preserve"> </w:t>
                      </w:r>
                      <w:r>
                        <w:rPr>
                          <w:rFonts w:hint="eastAsia" w:cs="宋体"/>
                          <w:sz w:val="24"/>
                          <w:szCs w:val="24"/>
                        </w:rPr>
                        <w:t>月　</w:t>
                      </w:r>
                      <w:r>
                        <w:rPr>
                          <w:sz w:val="24"/>
                          <w:szCs w:val="24"/>
                        </w:rPr>
                        <w:t xml:space="preserve"> </w:t>
                      </w:r>
                      <w:r>
                        <w:rPr>
                          <w:rFonts w:hint="eastAsia" w:cs="宋体"/>
                          <w:sz w:val="24"/>
                          <w:szCs w:val="24"/>
                        </w:rPr>
                        <w:t>日</w:t>
                      </w:r>
                    </w:p>
                  </w:txbxContent>
                </v:textbox>
                <w10:wrap type="none"/>
                <w10:anchorlock/>
              </v:shape>
            </w:pict>
          </mc:Fallback>
        </mc:AlternateConten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注：按提供的该表格格式填写，或使用工商管理部门的格式填写。</w:t>
      </w:r>
    </w:p>
    <w:p>
      <w:pPr>
        <w:pStyle w:val="5"/>
        <w:rPr>
          <w:color w:val="auto"/>
          <w:highlight w:val="none"/>
        </w:rPr>
      </w:pPr>
      <w:r>
        <w:rPr>
          <w:color w:val="auto"/>
          <w:highlight w:val="none"/>
        </w:rPr>
        <w:br w:type="page"/>
      </w:r>
      <w:bookmarkStart w:id="169" w:name="_Toc11935"/>
      <w:bookmarkStart w:id="170" w:name="_Toc533334223"/>
      <w:r>
        <w:rPr>
          <w:rFonts w:hint="eastAsia"/>
          <w:color w:val="auto"/>
          <w:highlight w:val="none"/>
        </w:rPr>
        <w:t>三、</w:t>
      </w:r>
      <w:bookmarkStart w:id="171" w:name="_Toc152042581"/>
      <w:bookmarkStart w:id="172" w:name="_Toc13469"/>
      <w:bookmarkStart w:id="173" w:name="_Toc361508757"/>
      <w:bookmarkStart w:id="174" w:name="_Toc144974861"/>
      <w:bookmarkStart w:id="175" w:name="_Toc247514284"/>
      <w:bookmarkStart w:id="176" w:name="_Toc369531702"/>
      <w:bookmarkStart w:id="177" w:name="_Toc152045792"/>
      <w:bookmarkStart w:id="178" w:name="_Toc300835214"/>
      <w:bookmarkStart w:id="179" w:name="_Toc384308381"/>
      <w:bookmarkStart w:id="180" w:name="_Toc247527832"/>
      <w:bookmarkStart w:id="181" w:name="_Toc352691666"/>
      <w:r>
        <w:rPr>
          <w:rFonts w:hint="eastAsia"/>
          <w:color w:val="auto"/>
          <w:highlight w:val="none"/>
        </w:rPr>
        <w:t>投标保证金凭证</w:t>
      </w:r>
      <w:bookmarkEnd w:id="169"/>
    </w:p>
    <w:bookmarkEnd w:id="170"/>
    <w:bookmarkEnd w:id="171"/>
    <w:bookmarkEnd w:id="172"/>
    <w:bookmarkEnd w:id="173"/>
    <w:bookmarkEnd w:id="174"/>
    <w:bookmarkEnd w:id="175"/>
    <w:bookmarkEnd w:id="176"/>
    <w:bookmarkEnd w:id="177"/>
    <w:bookmarkEnd w:id="178"/>
    <w:bookmarkEnd w:id="179"/>
    <w:bookmarkEnd w:id="180"/>
    <w:bookmarkEnd w:id="181"/>
    <w:p>
      <w:pPr>
        <w:spacing w:line="360" w:lineRule="auto"/>
        <w:ind w:firstLine="420" w:firstLineChars="200"/>
        <w:rPr>
          <w:rFonts w:ascii="宋体" w:hAnsi="宋体"/>
          <w:color w:val="auto"/>
          <w:highlight w:val="none"/>
        </w:rPr>
      </w:pPr>
      <w:r>
        <w:rPr>
          <w:rFonts w:hint="eastAsia" w:ascii="宋体" w:hAnsi="宋体"/>
          <w:color w:val="auto"/>
          <w:highlight w:val="none"/>
        </w:rPr>
        <w:t>如采用现金或者支票方式提交的由广州公共资源交易中心代收的，在此提供经广州公共资源交易中心确认的投标保证金回执；</w:t>
      </w:r>
    </w:p>
    <w:p>
      <w:pPr>
        <w:spacing w:line="360" w:lineRule="auto"/>
        <w:rPr>
          <w:rFonts w:ascii="宋体" w:hAnsi="宋体"/>
          <w:color w:val="auto"/>
          <w:highlight w:val="none"/>
        </w:rPr>
      </w:pPr>
      <w:r>
        <w:rPr>
          <w:rFonts w:hint="eastAsia" w:ascii="宋体" w:hAnsi="宋体"/>
          <w:color w:val="auto"/>
          <w:highlight w:val="none"/>
        </w:rPr>
        <w:t xml:space="preserve">   如采用投标保函或投标保证保险方式提交的，在此提供投标保函或投标保证保险扫描件。</w:t>
      </w:r>
    </w:p>
    <w:p>
      <w:pPr>
        <w:spacing w:line="440" w:lineRule="exact"/>
        <w:jc w:val="center"/>
        <w:rPr>
          <w:rFonts w:hint="eastAsia" w:ascii="宋体" w:hAnsi="宋体" w:eastAsia="宋体" w:cs="宋体"/>
          <w:color w:val="auto"/>
          <w:highlight w:val="none"/>
        </w:rPr>
      </w:pPr>
      <w:r>
        <w:rPr>
          <w:rFonts w:hint="eastAsia" w:ascii="宋体" w:hAnsi="宋体" w:eastAsia="宋体" w:cs="宋体"/>
          <w:color w:val="auto"/>
          <w:sz w:val="24"/>
          <w:szCs w:val="24"/>
          <w:highlight w:val="none"/>
        </w:rPr>
        <w:t>（详见本招标文件第二章投标人须知前附表3.4.1）</w:t>
      </w:r>
    </w:p>
    <w:p>
      <w:pPr>
        <w:spacing w:line="440" w:lineRule="exact"/>
        <w:ind w:right="420"/>
        <w:jc w:val="center"/>
        <w:rPr>
          <w:rFonts w:hint="eastAsia" w:ascii="宋体" w:hAnsi="宋体" w:eastAsia="宋体" w:cs="宋体"/>
          <w:color w:val="auto"/>
          <w:highlight w:val="none"/>
        </w:rPr>
      </w:pPr>
    </w:p>
    <w:p>
      <w:pPr>
        <w:spacing w:line="440" w:lineRule="exact"/>
        <w:ind w:right="42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（一）中小企业声明函</w:t>
      </w:r>
    </w:p>
    <w:p>
      <w:pPr>
        <w:snapToGrid w:val="0"/>
        <w:rPr>
          <w:rFonts w:hint="eastAsia" w:ascii="宋体" w:hAnsi="宋体" w:eastAsia="宋体" w:cs="宋体"/>
          <w:color w:val="auto"/>
          <w:sz w:val="24"/>
          <w:szCs w:val="24"/>
          <w:highlight w:val="none"/>
        </w:rPr>
      </w:pPr>
    </w:p>
    <w:p>
      <w:pPr>
        <w:pStyle w:val="17"/>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中小企业声明函</w:t>
      </w:r>
    </w:p>
    <w:p>
      <w:pPr>
        <w:pStyle w:val="17"/>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本企业郑重声明，根据《关于印发中小企业划型标准规定的通知》（工信部联企业〔2011〕300号）的规定，本企业具体情况如下：</w:t>
      </w:r>
    </w:p>
    <w:p>
      <w:pPr>
        <w:pStyle w:val="17"/>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本企业属于建筑业行业；营业收入为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（中型企业、小型企业、微型企业）；</w:t>
      </w:r>
    </w:p>
    <w:p>
      <w:pPr>
        <w:pStyle w:val="17"/>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依据《政府采购促进中小企业发展管理办法》的规定，本企业不属于大企业的分支机构，不存在控股股东为大企业的情形，也不存在与大企业的负责人为同一人的情形。 </w:t>
      </w:r>
    </w:p>
    <w:p>
      <w:pPr>
        <w:pStyle w:val="17"/>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本企业对上述声明内容的真实性负责。如有虚假，将依法承担相应责任。 </w:t>
      </w:r>
    </w:p>
    <w:p>
      <w:pPr>
        <w:pStyle w:val="17"/>
        <w:spacing w:line="560" w:lineRule="exact"/>
        <w:ind w:firstLine="3600" w:firstLineChars="1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企业名称（盖章）：</w:t>
      </w:r>
    </w:p>
    <w:p>
      <w:pPr>
        <w:pStyle w:val="17"/>
        <w:spacing w:line="560" w:lineRule="exact"/>
        <w:ind w:firstLine="3840" w:firstLineChars="1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p>
    <w:p>
      <w:pPr>
        <w:pStyle w:val="17"/>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pPr>
        <w:pStyle w:val="17"/>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1、营业收入、资产总额填报上一年度数据，无上一年度数据的新成立企业可不填报。</w:t>
      </w:r>
    </w:p>
    <w:p>
      <w:pPr>
        <w:pStyle w:val="17"/>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2、《中小企业声明函》须按照本函格式填写，否则评标委员会有权视其为非中小企业，不享受免于提交投标保证金的优惠政策。</w:t>
      </w:r>
    </w:p>
    <w:p>
      <w:pPr>
        <w:pStyle w:val="17"/>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3、招标人、招标代理机构将按有关规定公开《中小企业声明函》。</w:t>
      </w:r>
    </w:p>
    <w:p>
      <w:pPr>
        <w:spacing w:line="360" w:lineRule="auto"/>
        <w:ind w:firstLine="480"/>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经调查发现</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提供《中小企业声明函》内容与实际不符的，</w:t>
      </w:r>
      <w:r>
        <w:rPr>
          <w:rFonts w:hint="eastAsia" w:ascii="宋体" w:hAnsi="宋体" w:eastAsia="宋体" w:cs="宋体"/>
          <w:color w:val="auto"/>
          <w:sz w:val="24"/>
          <w:szCs w:val="24"/>
          <w:highlight w:val="none"/>
          <w:lang w:val="en-US" w:eastAsia="zh-CN"/>
        </w:rPr>
        <w:t>招标人</w:t>
      </w:r>
      <w:r>
        <w:rPr>
          <w:rFonts w:hint="eastAsia" w:ascii="宋体" w:hAnsi="宋体" w:eastAsia="宋体" w:cs="宋体"/>
          <w:color w:val="auto"/>
          <w:sz w:val="24"/>
          <w:szCs w:val="24"/>
          <w:highlight w:val="none"/>
        </w:rPr>
        <w:t>有权根据《中小企业声明函》与实际情况的差异视情形认定其是否属于虚假材料谋取中标。</w:t>
      </w:r>
    </w:p>
    <w:p>
      <w:pPr>
        <w:snapToGrid w:val="0"/>
        <w:spacing w:line="560" w:lineRule="exact"/>
        <w:rPr>
          <w:rFonts w:hint="eastAsia" w:ascii="宋体" w:hAnsi="宋体" w:eastAsia="宋体" w:cs="宋体"/>
          <w:color w:val="auto"/>
          <w:sz w:val="24"/>
          <w:szCs w:val="24"/>
          <w:highlight w:val="none"/>
          <w:lang w:val="zh-CN"/>
        </w:rPr>
      </w:pPr>
    </w:p>
    <w:p>
      <w:pPr>
        <w:snapToGrid w:val="0"/>
        <w:spacing w:line="560" w:lineRule="exact"/>
        <w:rPr>
          <w:rFonts w:hint="eastAsia" w:ascii="宋体" w:hAnsi="宋体" w:eastAsia="宋体" w:cs="宋体"/>
          <w:color w:val="auto"/>
          <w:sz w:val="24"/>
          <w:szCs w:val="24"/>
          <w:highlight w:val="none"/>
          <w:lang w:val="zh-CN"/>
        </w:rPr>
      </w:pPr>
    </w:p>
    <w:p>
      <w:pPr>
        <w:snapToGrid w:val="0"/>
        <w:spacing w:line="560" w:lineRule="exact"/>
        <w:rPr>
          <w:rFonts w:hint="eastAsia" w:ascii="宋体" w:hAnsi="宋体" w:eastAsia="宋体" w:cs="宋体"/>
          <w:color w:val="auto"/>
          <w:sz w:val="24"/>
          <w:szCs w:val="24"/>
          <w:highlight w:val="none"/>
          <w:lang w:val="zh-CN"/>
        </w:rPr>
      </w:pPr>
    </w:p>
    <w:p>
      <w:pPr>
        <w:snapToGrid w:val="0"/>
        <w:spacing w:line="560" w:lineRule="exact"/>
        <w:rPr>
          <w:rFonts w:hint="eastAsia" w:ascii="宋体" w:hAnsi="宋体" w:eastAsia="宋体" w:cs="宋体"/>
          <w:color w:val="auto"/>
          <w:sz w:val="24"/>
          <w:szCs w:val="24"/>
          <w:highlight w:val="none"/>
          <w:lang w:val="zh-CN"/>
        </w:rPr>
      </w:pPr>
    </w:p>
    <w:p>
      <w:pPr>
        <w:snapToGrid w:val="0"/>
        <w:spacing w:line="560" w:lineRule="exact"/>
        <w:rPr>
          <w:rFonts w:hint="eastAsia" w:ascii="宋体" w:hAnsi="宋体" w:eastAsia="宋体" w:cs="宋体"/>
          <w:color w:val="auto"/>
          <w:sz w:val="24"/>
          <w:szCs w:val="24"/>
          <w:highlight w:val="none"/>
          <w:lang w:val="zh-CN"/>
        </w:rPr>
      </w:pPr>
    </w:p>
    <w:p>
      <w:pPr>
        <w:snapToGrid w:val="0"/>
        <w:spacing w:line="560" w:lineRule="exact"/>
        <w:rPr>
          <w:rFonts w:hint="eastAsia" w:ascii="宋体" w:hAnsi="宋体" w:eastAsia="宋体" w:cs="宋体"/>
          <w:color w:val="auto"/>
          <w:sz w:val="24"/>
          <w:szCs w:val="24"/>
          <w:highlight w:val="none"/>
          <w:lang w:val="zh-CN"/>
        </w:rPr>
      </w:pPr>
    </w:p>
    <w:p>
      <w:pPr>
        <w:snapToGrid w:val="0"/>
        <w:spacing w:line="560" w:lineRule="exact"/>
        <w:rPr>
          <w:rFonts w:hint="eastAsia" w:ascii="宋体" w:hAnsi="宋体" w:eastAsia="宋体" w:cs="宋体"/>
          <w:color w:val="auto"/>
          <w:sz w:val="24"/>
          <w:szCs w:val="24"/>
          <w:highlight w:val="none"/>
          <w:lang w:val="zh-CN"/>
        </w:rPr>
      </w:pPr>
    </w:p>
    <w:p>
      <w:pPr>
        <w:snapToGrid w:val="0"/>
        <w:spacing w:line="560" w:lineRule="exact"/>
        <w:rPr>
          <w:rFonts w:hint="eastAsia" w:ascii="宋体" w:hAnsi="宋体" w:eastAsia="宋体" w:cs="宋体"/>
          <w:color w:val="auto"/>
          <w:sz w:val="24"/>
          <w:szCs w:val="24"/>
          <w:highlight w:val="none"/>
          <w:lang w:val="zh-CN"/>
        </w:rPr>
      </w:pPr>
    </w:p>
    <w:p>
      <w:pPr>
        <w:snapToGrid w:val="0"/>
        <w:spacing w:line="560" w:lineRule="exact"/>
        <w:rPr>
          <w:rFonts w:hint="eastAsia" w:ascii="宋体" w:hAnsi="宋体" w:eastAsia="宋体" w:cs="宋体"/>
          <w:color w:val="auto"/>
          <w:sz w:val="24"/>
          <w:szCs w:val="24"/>
          <w:highlight w:val="none"/>
          <w:lang w:val="zh-CN"/>
        </w:rPr>
      </w:pPr>
    </w:p>
    <w:p>
      <w:pPr>
        <w:snapToGrid w:val="0"/>
        <w:spacing w:line="56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（二）关于投标保证金的承诺</w:t>
      </w:r>
    </w:p>
    <w:p>
      <w:pPr>
        <w:snapToGrid w:val="0"/>
        <w:spacing w:line="560" w:lineRule="exact"/>
        <w:rPr>
          <w:rFonts w:hint="eastAsia" w:ascii="宋体" w:hAnsi="宋体" w:eastAsia="宋体" w:cs="宋体"/>
          <w:b/>
          <w:bCs/>
          <w:color w:val="auto"/>
          <w:sz w:val="24"/>
          <w:szCs w:val="24"/>
          <w:highlight w:val="none"/>
        </w:rPr>
      </w:pPr>
    </w:p>
    <w:p>
      <w:pPr>
        <w:pStyle w:val="17"/>
        <w:spacing w:line="560" w:lineRule="exact"/>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关于投标保证金的承诺</w:t>
      </w:r>
    </w:p>
    <w:p>
      <w:pPr>
        <w:pStyle w:val="17"/>
        <w:spacing w:line="560" w:lineRule="exact"/>
        <w:ind w:firstLine="480" w:firstLineChars="200"/>
        <w:rPr>
          <w:rFonts w:hint="eastAsia" w:ascii="宋体" w:hAnsi="宋体" w:eastAsia="宋体" w:cs="宋体"/>
          <w:color w:val="auto"/>
          <w:sz w:val="24"/>
          <w:szCs w:val="24"/>
          <w:highlight w:val="none"/>
        </w:rPr>
      </w:pPr>
    </w:p>
    <w:p>
      <w:pPr>
        <w:spacing w:line="5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本招标项目招标人及招标监管机构：</w:t>
      </w:r>
    </w:p>
    <w:p>
      <w:pPr>
        <w:spacing w:line="5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本公司就参加</w:t>
      </w:r>
      <w:r>
        <w:rPr>
          <w:rFonts w:hint="eastAsia" w:ascii="宋体" w:hAnsi="宋体" w:eastAsia="宋体" w:cs="宋体"/>
          <w:color w:val="auto"/>
          <w:sz w:val="24"/>
          <w:szCs w:val="24"/>
          <w:highlight w:val="none"/>
          <w:u w:val="single"/>
        </w:rPr>
        <w:t xml:space="preserve">      （招标项目名称）     </w:t>
      </w:r>
      <w:r>
        <w:rPr>
          <w:rFonts w:hint="eastAsia" w:ascii="宋体" w:hAnsi="宋体" w:eastAsia="宋体" w:cs="宋体"/>
          <w:color w:val="auto"/>
          <w:sz w:val="24"/>
          <w:szCs w:val="24"/>
          <w:highlight w:val="none"/>
        </w:rPr>
        <w:t>项目的投标工作，作出郑重声明：</w:t>
      </w:r>
    </w:p>
    <w:p>
      <w:pPr>
        <w:spacing w:line="5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本公司满足招标文件中免交投标保证金的相关要求，在投标时未提交投标保证金。我司理解在投标时免交投标保证金是为企业减负的举措，并未免除我司的投标义务，本公司</w:t>
      </w:r>
      <w:r>
        <w:rPr>
          <w:rFonts w:hint="eastAsia" w:ascii="宋体" w:hAnsi="宋体" w:eastAsia="宋体" w:cs="宋体"/>
          <w:color w:val="auto"/>
          <w:sz w:val="24"/>
          <w:szCs w:val="24"/>
          <w:highlight w:val="none"/>
          <w:lang w:val="zh-CN"/>
        </w:rPr>
        <w:t>一旦发生符合招标文件规定的不予退还投标保证金情形的，将</w:t>
      </w:r>
      <w:r>
        <w:rPr>
          <w:rFonts w:hint="eastAsia" w:ascii="宋体" w:hAnsi="宋体" w:eastAsia="宋体" w:cs="宋体"/>
          <w:color w:val="auto"/>
          <w:sz w:val="24"/>
          <w:szCs w:val="24"/>
          <w:highlight w:val="none"/>
        </w:rPr>
        <w:t>按照招标人的要求，在规定的时间内向招标人足额补交投标保证金。</w:t>
      </w:r>
    </w:p>
    <w:p>
      <w:pPr>
        <w:pStyle w:val="63"/>
        <w:snapToGrid w:val="0"/>
        <w:spacing w:line="360" w:lineRule="auto"/>
        <w:ind w:firstLine="496" w:firstLineChars="200"/>
        <w:rPr>
          <w:rFonts w:hint="eastAsia" w:ascii="宋体" w:hAnsi="宋体" w:eastAsia="宋体" w:cs="宋体"/>
          <w:color w:val="auto"/>
          <w:highlight w:val="none"/>
        </w:rPr>
      </w:pPr>
      <w:r>
        <w:rPr>
          <w:rFonts w:hint="eastAsia" w:ascii="宋体" w:hAnsi="宋体" w:eastAsia="宋体" w:cs="宋体"/>
          <w:color w:val="auto"/>
          <w:highlight w:val="none"/>
        </w:rPr>
        <w:t>本公司违反上述保证的，将被视为虚假承诺，按相关规定进行信用记录。本公司对失信行为产生的一切后果已知悉，并承担由此产生的相应责任。</w:t>
      </w:r>
    </w:p>
    <w:p>
      <w:pPr>
        <w:spacing w:line="360" w:lineRule="auto"/>
        <w:rPr>
          <w:rFonts w:ascii="宋体" w:hAnsi="宋体"/>
          <w:color w:val="auto"/>
          <w:highlight w:val="none"/>
        </w:rPr>
      </w:pPr>
    </w:p>
    <w:p>
      <w:pPr>
        <w:pStyle w:val="5"/>
        <w:rPr>
          <w:color w:val="auto"/>
          <w:highlight w:val="none"/>
        </w:rPr>
      </w:pPr>
      <w:r>
        <w:rPr>
          <w:color w:val="auto"/>
          <w:highlight w:val="none"/>
        </w:rPr>
        <w:br w:type="page"/>
      </w:r>
      <w:bookmarkStart w:id="182" w:name="_Toc390704766"/>
      <w:bookmarkStart w:id="183" w:name="_Toc374536214"/>
      <w:bookmarkStart w:id="184" w:name="_Toc533357333"/>
      <w:bookmarkStart w:id="185" w:name="_Toc29831"/>
      <w:bookmarkStart w:id="186" w:name="_Toc11199"/>
      <w:r>
        <w:rPr>
          <w:rFonts w:hint="eastAsia"/>
          <w:color w:val="auto"/>
          <w:szCs w:val="32"/>
          <w:highlight w:val="none"/>
        </w:rPr>
        <w:t>四</w:t>
      </w:r>
      <w:bookmarkEnd w:id="182"/>
      <w:bookmarkEnd w:id="183"/>
      <w:r>
        <w:rPr>
          <w:rFonts w:hint="eastAsia"/>
          <w:color w:val="auto"/>
          <w:szCs w:val="32"/>
          <w:highlight w:val="none"/>
        </w:rPr>
        <w:t>、</w:t>
      </w:r>
      <w:r>
        <w:rPr>
          <w:rFonts w:hint="eastAsia"/>
          <w:color w:val="auto"/>
          <w:highlight w:val="none"/>
        </w:rPr>
        <w:t>投</w:t>
      </w:r>
      <w:r>
        <w:rPr>
          <w:rFonts w:hint="eastAsia"/>
          <w:color w:val="auto"/>
          <w:szCs w:val="22"/>
          <w:highlight w:val="none"/>
        </w:rPr>
        <w:t>标</w:t>
      </w:r>
      <w:r>
        <w:rPr>
          <w:rFonts w:hint="eastAsia"/>
          <w:color w:val="auto"/>
          <w:highlight w:val="none"/>
        </w:rPr>
        <w:t>报价书</w:t>
      </w:r>
      <w:bookmarkEnd w:id="184"/>
      <w:bookmarkEnd w:id="185"/>
      <w:bookmarkEnd w:id="186"/>
    </w:p>
    <w:p>
      <w:pPr>
        <w:spacing w:line="500" w:lineRule="exact"/>
        <w:jc w:val="center"/>
        <w:rPr>
          <w:rFonts w:ascii="宋体" w:hAnsi="宋体"/>
          <w:b/>
          <w:bCs/>
          <w:color w:val="auto"/>
          <w:sz w:val="30"/>
          <w:highlight w:val="none"/>
        </w:rPr>
      </w:pPr>
      <w:r>
        <w:rPr>
          <w:rFonts w:hint="eastAsia" w:ascii="宋体" w:hAnsi="宋体"/>
          <w:b/>
          <w:bCs/>
          <w:color w:val="auto"/>
          <w:sz w:val="30"/>
          <w:highlight w:val="none"/>
        </w:rPr>
        <w:t xml:space="preserve"> </w:t>
      </w:r>
    </w:p>
    <w:p>
      <w:pPr>
        <w:spacing w:line="500" w:lineRule="exact"/>
        <w:jc w:val="center"/>
        <w:rPr>
          <w:rFonts w:hint="eastAsia" w:ascii="宋体" w:hAnsi="宋体" w:eastAsia="宋体"/>
          <w:b/>
          <w:bCs/>
          <w:color w:val="auto"/>
          <w:sz w:val="48"/>
          <w:szCs w:val="48"/>
          <w:highlight w:val="none"/>
          <w:lang w:eastAsia="zh-CN"/>
        </w:rPr>
      </w:pPr>
      <w:r>
        <w:rPr>
          <w:rFonts w:hint="eastAsia" w:ascii="宋体" w:hAnsi="宋体"/>
          <w:b/>
          <w:bCs/>
          <w:color w:val="auto"/>
          <w:sz w:val="30"/>
          <w:highlight w:val="none"/>
        </w:rPr>
        <w:t xml:space="preserve"> </w:t>
      </w:r>
      <w:r>
        <w:rPr>
          <w:rFonts w:hint="eastAsia" w:ascii="宋体" w:hAnsi="宋体"/>
          <w:b/>
          <w:bCs/>
          <w:color w:val="auto"/>
          <w:sz w:val="30"/>
          <w:highlight w:val="none"/>
          <w:lang w:eastAsia="zh-CN"/>
        </w:rPr>
        <w:t>西区智造科创园（高清光学显示芯片项目）第三方检测、监测</w:t>
      </w:r>
    </w:p>
    <w:p>
      <w:pPr>
        <w:spacing w:line="500" w:lineRule="exact"/>
        <w:jc w:val="center"/>
        <w:rPr>
          <w:rFonts w:ascii="宋体" w:hAnsi="宋体"/>
          <w:b/>
          <w:bCs/>
          <w:color w:val="auto"/>
          <w:sz w:val="52"/>
          <w:highlight w:val="none"/>
        </w:rPr>
      </w:pPr>
    </w:p>
    <w:p>
      <w:pPr>
        <w:spacing w:line="500" w:lineRule="exact"/>
        <w:jc w:val="center"/>
        <w:rPr>
          <w:rFonts w:ascii="宋体" w:hAnsi="宋体"/>
          <w:b/>
          <w:bCs/>
          <w:color w:val="auto"/>
          <w:sz w:val="30"/>
          <w:highlight w:val="none"/>
        </w:rPr>
      </w:pPr>
    </w:p>
    <w:p>
      <w:pPr>
        <w:spacing w:line="500" w:lineRule="exact"/>
        <w:jc w:val="center"/>
        <w:rPr>
          <w:rFonts w:ascii="宋体" w:hAnsi="宋体"/>
          <w:b/>
          <w:bCs/>
          <w:color w:val="auto"/>
          <w:sz w:val="30"/>
          <w:highlight w:val="none"/>
        </w:rPr>
      </w:pPr>
    </w:p>
    <w:p>
      <w:pPr>
        <w:spacing w:line="500" w:lineRule="exact"/>
        <w:jc w:val="center"/>
        <w:rPr>
          <w:rFonts w:ascii="宋体" w:hAnsi="宋体"/>
          <w:b/>
          <w:bCs/>
          <w:color w:val="auto"/>
          <w:sz w:val="30"/>
          <w:highlight w:val="none"/>
        </w:rPr>
      </w:pPr>
    </w:p>
    <w:p>
      <w:pPr>
        <w:spacing w:line="500" w:lineRule="exact"/>
        <w:jc w:val="center"/>
        <w:rPr>
          <w:rFonts w:ascii="宋体" w:hAnsi="宋体"/>
          <w:b/>
          <w:bCs/>
          <w:color w:val="auto"/>
          <w:sz w:val="30"/>
          <w:highlight w:val="none"/>
        </w:rPr>
      </w:pPr>
    </w:p>
    <w:p>
      <w:pPr>
        <w:spacing w:line="600" w:lineRule="exact"/>
        <w:jc w:val="center"/>
        <w:rPr>
          <w:rFonts w:ascii="宋体" w:hAnsi="宋体"/>
          <w:b/>
          <w:bCs/>
          <w:color w:val="auto"/>
          <w:sz w:val="52"/>
          <w:highlight w:val="none"/>
        </w:rPr>
      </w:pPr>
      <w:r>
        <w:rPr>
          <w:rFonts w:hint="eastAsia" w:ascii="宋体" w:hAnsi="宋体"/>
          <w:b/>
          <w:bCs/>
          <w:color w:val="auto"/>
          <w:sz w:val="52"/>
          <w:highlight w:val="none"/>
        </w:rPr>
        <w:t>报</w:t>
      </w:r>
      <w:r>
        <w:rPr>
          <w:rFonts w:ascii="宋体" w:hAnsi="宋体"/>
          <w:b/>
          <w:bCs/>
          <w:color w:val="auto"/>
          <w:sz w:val="52"/>
          <w:highlight w:val="none"/>
        </w:rPr>
        <w:t xml:space="preserve">  </w:t>
      </w:r>
      <w:r>
        <w:rPr>
          <w:rFonts w:hint="eastAsia" w:ascii="宋体" w:hAnsi="宋体"/>
          <w:b/>
          <w:bCs/>
          <w:color w:val="auto"/>
          <w:sz w:val="52"/>
          <w:highlight w:val="none"/>
        </w:rPr>
        <w:t>价</w:t>
      </w:r>
      <w:r>
        <w:rPr>
          <w:rFonts w:ascii="宋体" w:hAnsi="宋体"/>
          <w:b/>
          <w:bCs/>
          <w:color w:val="auto"/>
          <w:sz w:val="52"/>
          <w:highlight w:val="none"/>
        </w:rPr>
        <w:t xml:space="preserve">  </w:t>
      </w:r>
      <w:r>
        <w:rPr>
          <w:rFonts w:hint="eastAsia" w:ascii="宋体" w:hAnsi="宋体"/>
          <w:b/>
          <w:bCs/>
          <w:color w:val="auto"/>
          <w:sz w:val="52"/>
          <w:highlight w:val="none"/>
        </w:rPr>
        <w:t>书</w:t>
      </w:r>
    </w:p>
    <w:p>
      <w:pPr>
        <w:spacing w:line="500" w:lineRule="exact"/>
        <w:jc w:val="center"/>
        <w:rPr>
          <w:rFonts w:ascii="宋体" w:hAnsi="宋体"/>
          <w:b/>
          <w:bCs/>
          <w:color w:val="auto"/>
          <w:sz w:val="30"/>
          <w:highlight w:val="none"/>
        </w:rPr>
      </w:pPr>
    </w:p>
    <w:p>
      <w:pPr>
        <w:spacing w:line="500" w:lineRule="exact"/>
        <w:jc w:val="center"/>
        <w:rPr>
          <w:rFonts w:ascii="宋体" w:hAnsi="宋体"/>
          <w:b/>
          <w:bCs/>
          <w:color w:val="auto"/>
          <w:sz w:val="30"/>
          <w:highlight w:val="none"/>
        </w:rPr>
      </w:pPr>
    </w:p>
    <w:p>
      <w:pPr>
        <w:spacing w:line="500" w:lineRule="exact"/>
        <w:jc w:val="center"/>
        <w:rPr>
          <w:rFonts w:ascii="宋体" w:hAnsi="宋体"/>
          <w:b/>
          <w:bCs/>
          <w:color w:val="auto"/>
          <w:sz w:val="30"/>
          <w:highlight w:val="none"/>
        </w:rPr>
      </w:pPr>
    </w:p>
    <w:p>
      <w:pPr>
        <w:spacing w:line="500" w:lineRule="exact"/>
        <w:jc w:val="center"/>
        <w:rPr>
          <w:rFonts w:ascii="宋体" w:hAnsi="宋体"/>
          <w:b/>
          <w:bCs/>
          <w:color w:val="auto"/>
          <w:sz w:val="30"/>
          <w:highlight w:val="none"/>
        </w:rPr>
      </w:pPr>
    </w:p>
    <w:p>
      <w:pPr>
        <w:spacing w:line="500" w:lineRule="exact"/>
        <w:jc w:val="center"/>
        <w:rPr>
          <w:rFonts w:ascii="宋体" w:hAnsi="宋体"/>
          <w:b/>
          <w:bCs/>
          <w:color w:val="auto"/>
          <w:sz w:val="30"/>
          <w:highlight w:val="none"/>
        </w:rPr>
      </w:pPr>
    </w:p>
    <w:p>
      <w:pPr>
        <w:spacing w:line="500" w:lineRule="exact"/>
        <w:jc w:val="center"/>
        <w:rPr>
          <w:rFonts w:ascii="宋体" w:hAnsi="宋体"/>
          <w:b/>
          <w:bCs/>
          <w:color w:val="auto"/>
          <w:sz w:val="30"/>
          <w:highlight w:val="none"/>
        </w:rPr>
      </w:pPr>
    </w:p>
    <w:p>
      <w:pPr>
        <w:spacing w:line="500" w:lineRule="exact"/>
        <w:rPr>
          <w:rFonts w:ascii="宋体" w:hAnsi="宋体"/>
          <w:b/>
          <w:bCs/>
          <w:color w:val="auto"/>
          <w:sz w:val="30"/>
          <w:highlight w:val="none"/>
        </w:rPr>
      </w:pPr>
    </w:p>
    <w:p>
      <w:pPr>
        <w:spacing w:line="500" w:lineRule="exact"/>
        <w:ind w:firstLine="2125" w:firstLineChars="756"/>
        <w:rPr>
          <w:rFonts w:ascii="宋体" w:hAnsi="宋体"/>
          <w:b/>
          <w:bCs/>
          <w:color w:val="auto"/>
          <w:sz w:val="28"/>
          <w:highlight w:val="none"/>
        </w:rPr>
      </w:pPr>
      <w:r>
        <w:rPr>
          <w:rFonts w:hint="eastAsia" w:ascii="宋体" w:hAnsi="宋体"/>
          <w:b/>
          <w:bCs/>
          <w:color w:val="auto"/>
          <w:sz w:val="28"/>
          <w:highlight w:val="none"/>
        </w:rPr>
        <w:t>投标人：（公章）</w:t>
      </w:r>
      <w:r>
        <w:rPr>
          <w:rFonts w:ascii="宋体" w:hAnsi="宋体"/>
          <w:b/>
          <w:bCs/>
          <w:color w:val="auto"/>
          <w:sz w:val="28"/>
          <w:highlight w:val="none"/>
        </w:rPr>
        <w:t xml:space="preserve"> </w:t>
      </w:r>
    </w:p>
    <w:p>
      <w:pPr>
        <w:spacing w:line="500" w:lineRule="exact"/>
        <w:ind w:firstLine="2125" w:firstLineChars="756"/>
        <w:jc w:val="left"/>
        <w:rPr>
          <w:rFonts w:ascii="宋体" w:hAnsi="宋体"/>
          <w:b/>
          <w:bCs/>
          <w:color w:val="auto"/>
          <w:sz w:val="28"/>
          <w:highlight w:val="none"/>
        </w:rPr>
      </w:pPr>
      <w:r>
        <w:rPr>
          <w:rFonts w:hint="eastAsia" w:ascii="宋体" w:hAnsi="宋体"/>
          <w:b/>
          <w:bCs/>
          <w:color w:val="auto"/>
          <w:sz w:val="28"/>
          <w:highlight w:val="none"/>
        </w:rPr>
        <w:t>法定代表人(签字或盖章)：</w:t>
      </w:r>
    </w:p>
    <w:p>
      <w:pPr>
        <w:spacing w:line="500" w:lineRule="exact"/>
        <w:jc w:val="center"/>
        <w:rPr>
          <w:rFonts w:ascii="宋体" w:hAnsi="宋体"/>
          <w:b/>
          <w:bCs/>
          <w:color w:val="auto"/>
          <w:sz w:val="28"/>
          <w:highlight w:val="none"/>
        </w:rPr>
      </w:pPr>
      <w:r>
        <w:rPr>
          <w:rFonts w:hint="eastAsia" w:ascii="宋体" w:hAnsi="宋体"/>
          <w:b/>
          <w:bCs/>
          <w:color w:val="auto"/>
          <w:sz w:val="28"/>
          <w:highlight w:val="none"/>
        </w:rPr>
        <w:t>年</w:t>
      </w:r>
      <w:r>
        <w:rPr>
          <w:rFonts w:ascii="宋体" w:hAnsi="宋体"/>
          <w:b/>
          <w:bCs/>
          <w:color w:val="auto"/>
          <w:sz w:val="28"/>
          <w:highlight w:val="none"/>
        </w:rPr>
        <w:t xml:space="preserve">   </w:t>
      </w:r>
      <w:r>
        <w:rPr>
          <w:rFonts w:hint="eastAsia" w:ascii="宋体" w:hAnsi="宋体"/>
          <w:b/>
          <w:bCs/>
          <w:color w:val="auto"/>
          <w:sz w:val="28"/>
          <w:highlight w:val="none"/>
        </w:rPr>
        <w:t>月</w:t>
      </w:r>
      <w:r>
        <w:rPr>
          <w:rFonts w:ascii="宋体" w:hAnsi="宋体"/>
          <w:b/>
          <w:bCs/>
          <w:color w:val="auto"/>
          <w:sz w:val="28"/>
          <w:highlight w:val="none"/>
        </w:rPr>
        <w:t xml:space="preserve">   </w:t>
      </w:r>
      <w:r>
        <w:rPr>
          <w:rFonts w:hint="eastAsia" w:ascii="宋体" w:hAnsi="宋体"/>
          <w:b/>
          <w:bCs/>
          <w:color w:val="auto"/>
          <w:sz w:val="28"/>
          <w:highlight w:val="none"/>
        </w:rPr>
        <w:t>日</w:t>
      </w:r>
    </w:p>
    <w:p>
      <w:pPr>
        <w:spacing w:line="500" w:lineRule="exact"/>
        <w:jc w:val="center"/>
        <w:rPr>
          <w:rFonts w:ascii="宋体" w:hAnsi="宋体"/>
          <w:b/>
          <w:bCs/>
          <w:color w:val="auto"/>
          <w:sz w:val="30"/>
          <w:highlight w:val="none"/>
        </w:rPr>
      </w:pPr>
    </w:p>
    <w:p>
      <w:pPr>
        <w:spacing w:line="500" w:lineRule="exact"/>
        <w:jc w:val="center"/>
        <w:rPr>
          <w:rFonts w:ascii="宋体" w:hAnsi="宋体"/>
          <w:b/>
          <w:bCs/>
          <w:color w:val="auto"/>
          <w:sz w:val="30"/>
          <w:highlight w:val="none"/>
        </w:rPr>
      </w:pPr>
    </w:p>
    <w:p>
      <w:pPr>
        <w:spacing w:line="500" w:lineRule="exact"/>
        <w:rPr>
          <w:rFonts w:ascii="宋体" w:hAnsi="宋体"/>
          <w:color w:val="auto"/>
          <w:szCs w:val="21"/>
          <w:highlight w:val="none"/>
        </w:rPr>
        <w:sectPr>
          <w:headerReference r:id="rId5" w:type="default"/>
          <w:footerReference r:id="rId6" w:type="default"/>
          <w:pgSz w:w="11906" w:h="16838"/>
          <w:pgMar w:top="1440" w:right="1080" w:bottom="1440" w:left="1080" w:header="851" w:footer="1021" w:gutter="0"/>
          <w:cols w:space="720" w:num="1"/>
          <w:docGrid w:type="lines" w:linePitch="312" w:charSpace="0"/>
        </w:sectPr>
      </w:pPr>
    </w:p>
    <w:p>
      <w:pPr>
        <w:pStyle w:val="12"/>
        <w:rPr>
          <w:color w:val="auto"/>
          <w:highlight w:val="none"/>
        </w:rPr>
      </w:pPr>
      <w:bookmarkStart w:id="187" w:name="_Toc390704770"/>
      <w:bookmarkStart w:id="188" w:name="_Toc374536218"/>
      <w:bookmarkStart w:id="189" w:name="_Toc374610687"/>
      <w:bookmarkStart w:id="190" w:name="_Toc31556"/>
      <w:bookmarkStart w:id="191" w:name="_Toc266373531"/>
      <w:bookmarkStart w:id="192" w:name="_Toc333829923"/>
    </w:p>
    <w:p>
      <w:pPr>
        <w:spacing w:line="360" w:lineRule="auto"/>
        <w:jc w:val="center"/>
        <w:rPr>
          <w:b/>
          <w:color w:val="auto"/>
          <w:sz w:val="32"/>
          <w:szCs w:val="20"/>
          <w:highlight w:val="none"/>
        </w:rPr>
      </w:pPr>
      <w:r>
        <w:rPr>
          <w:rFonts w:hint="eastAsia" w:cs="宋体"/>
          <w:b/>
          <w:color w:val="auto"/>
          <w:sz w:val="32"/>
          <w:szCs w:val="20"/>
          <w:highlight w:val="none"/>
          <w:lang w:bidi="ar"/>
        </w:rPr>
        <w:t>报</w:t>
      </w:r>
      <w:r>
        <w:rPr>
          <w:b/>
          <w:color w:val="auto"/>
          <w:sz w:val="32"/>
          <w:szCs w:val="20"/>
          <w:highlight w:val="none"/>
          <w:lang w:bidi="ar"/>
        </w:rPr>
        <w:t xml:space="preserve">  </w:t>
      </w:r>
      <w:r>
        <w:rPr>
          <w:rFonts w:hint="eastAsia" w:cs="宋体"/>
          <w:b/>
          <w:color w:val="auto"/>
          <w:sz w:val="32"/>
          <w:szCs w:val="20"/>
          <w:highlight w:val="none"/>
          <w:lang w:bidi="ar"/>
        </w:rPr>
        <w:t>价</w:t>
      </w:r>
      <w:r>
        <w:rPr>
          <w:b/>
          <w:color w:val="auto"/>
          <w:sz w:val="32"/>
          <w:szCs w:val="20"/>
          <w:highlight w:val="none"/>
          <w:lang w:bidi="ar"/>
        </w:rPr>
        <w:t xml:space="preserve">  </w:t>
      </w:r>
      <w:r>
        <w:rPr>
          <w:rFonts w:hint="eastAsia" w:cs="宋体"/>
          <w:b/>
          <w:color w:val="auto"/>
          <w:sz w:val="32"/>
          <w:szCs w:val="20"/>
          <w:highlight w:val="none"/>
          <w:lang w:bidi="ar"/>
        </w:rPr>
        <w:t>说</w:t>
      </w:r>
      <w:r>
        <w:rPr>
          <w:b/>
          <w:color w:val="auto"/>
          <w:sz w:val="32"/>
          <w:szCs w:val="20"/>
          <w:highlight w:val="none"/>
          <w:lang w:bidi="ar"/>
        </w:rPr>
        <w:t xml:space="preserve">  </w:t>
      </w:r>
      <w:r>
        <w:rPr>
          <w:rFonts w:hint="eastAsia" w:cs="宋体"/>
          <w:b/>
          <w:color w:val="auto"/>
          <w:sz w:val="32"/>
          <w:szCs w:val="20"/>
          <w:highlight w:val="none"/>
          <w:lang w:bidi="ar"/>
        </w:rPr>
        <w:t>明</w:t>
      </w:r>
    </w:p>
    <w:p>
      <w:pPr>
        <w:spacing w:line="360" w:lineRule="auto"/>
        <w:jc w:val="center"/>
        <w:rPr>
          <w:b/>
          <w:color w:val="auto"/>
          <w:sz w:val="32"/>
          <w:szCs w:val="20"/>
          <w:highlight w:val="none"/>
        </w:rPr>
      </w:pPr>
    </w:p>
    <w:p>
      <w:pPr>
        <w:pStyle w:val="25"/>
        <w:widowControl w:val="0"/>
        <w:spacing w:before="0" w:beforeAutospacing="0" w:after="120" w:afterAutospacing="0" w:line="360" w:lineRule="auto"/>
        <w:jc w:val="both"/>
        <w:rPr>
          <w:color w:val="auto"/>
          <w:szCs w:val="24"/>
          <w:highlight w:val="none"/>
        </w:rPr>
      </w:pPr>
      <w:r>
        <w:rPr>
          <w:rFonts w:ascii="Times New Roman" w:hAnsi="Times New Roman" w:cs="Times New Roman"/>
          <w:color w:val="auto"/>
          <w:kern w:val="2"/>
          <w:szCs w:val="24"/>
          <w:highlight w:val="none"/>
          <w:lang w:bidi="ar"/>
        </w:rPr>
        <w:t>1</w:t>
      </w:r>
      <w:r>
        <w:rPr>
          <w:rFonts w:hint="eastAsia" w:ascii="Times New Roman" w:hAnsi="Times New Roman"/>
          <w:color w:val="auto"/>
          <w:kern w:val="2"/>
          <w:szCs w:val="24"/>
          <w:highlight w:val="none"/>
          <w:lang w:bidi="ar"/>
        </w:rPr>
        <w:t>、在研究了招标文件的所有文件、技术资料后，</w:t>
      </w:r>
      <w:bookmarkStart w:id="193" w:name="_Hlk67066961"/>
      <w:r>
        <w:rPr>
          <w:rFonts w:hint="eastAsia" w:ascii="Times New Roman" w:hAnsi="Times New Roman"/>
          <w:color w:val="auto"/>
          <w:kern w:val="2"/>
          <w:szCs w:val="24"/>
          <w:highlight w:val="none"/>
          <w:lang w:bidi="ar"/>
        </w:rPr>
        <w:t>我方</w:t>
      </w:r>
      <w:bookmarkEnd w:id="193"/>
      <w:r>
        <w:rPr>
          <w:rFonts w:hint="eastAsia" w:ascii="Times New Roman" w:hAnsi="Times New Roman"/>
          <w:color w:val="auto"/>
          <w:kern w:val="2"/>
          <w:szCs w:val="24"/>
          <w:highlight w:val="none"/>
          <w:lang w:bidi="ar"/>
        </w:rPr>
        <w:t>对</w:t>
      </w:r>
      <w:r>
        <w:rPr>
          <w:rFonts w:ascii="Times New Roman" w:hAnsi="Times New Roman" w:cs="Times New Roman"/>
          <w:color w:val="auto"/>
          <w:kern w:val="2"/>
          <w:szCs w:val="24"/>
          <w:highlight w:val="none"/>
          <w:u w:val="single"/>
          <w:lang w:bidi="ar"/>
        </w:rPr>
        <w:t xml:space="preserve">   </w:t>
      </w:r>
      <w:r>
        <w:rPr>
          <w:rFonts w:hint="eastAsia" w:ascii="Times New Roman" w:hAnsi="Times New Roman"/>
          <w:color w:val="auto"/>
          <w:kern w:val="2"/>
          <w:szCs w:val="24"/>
          <w:highlight w:val="none"/>
          <w:u w:val="single"/>
          <w:lang w:bidi="ar"/>
        </w:rPr>
        <w:t>（项目名称）</w:t>
      </w:r>
      <w:r>
        <w:rPr>
          <w:rFonts w:ascii="Times New Roman" w:hAnsi="Times New Roman" w:cs="Times New Roman"/>
          <w:color w:val="auto"/>
          <w:kern w:val="2"/>
          <w:szCs w:val="24"/>
          <w:highlight w:val="none"/>
          <w:u w:val="single"/>
          <w:lang w:bidi="ar"/>
        </w:rPr>
        <w:t xml:space="preserve">   </w:t>
      </w:r>
      <w:r>
        <w:rPr>
          <w:rFonts w:hint="eastAsia" w:ascii="Times New Roman" w:hAnsi="Times New Roman"/>
          <w:color w:val="auto"/>
          <w:kern w:val="2"/>
          <w:szCs w:val="24"/>
          <w:highlight w:val="none"/>
          <w:lang w:bidi="ar"/>
        </w:rPr>
        <w:t>投标的总报价为（人民币）</w:t>
      </w:r>
      <w:r>
        <w:rPr>
          <w:rFonts w:ascii="Times New Roman" w:hAnsi="Times New Roman" w:cs="Times New Roman"/>
          <w:color w:val="auto"/>
          <w:kern w:val="2"/>
          <w:szCs w:val="24"/>
          <w:highlight w:val="none"/>
          <w:lang w:bidi="ar"/>
        </w:rPr>
        <w:t>___________</w:t>
      </w:r>
      <w:r>
        <w:rPr>
          <w:rFonts w:hint="eastAsia" w:ascii="Times New Roman" w:hAnsi="Times New Roman"/>
          <w:color w:val="auto"/>
          <w:kern w:val="2"/>
          <w:szCs w:val="24"/>
          <w:highlight w:val="none"/>
          <w:lang w:bidi="ar"/>
        </w:rPr>
        <w:t>元（大写：</w:t>
      </w:r>
      <w:r>
        <w:rPr>
          <w:rFonts w:ascii="Times New Roman" w:hAnsi="Times New Roman" w:cs="Times New Roman"/>
          <w:color w:val="auto"/>
          <w:kern w:val="2"/>
          <w:szCs w:val="24"/>
          <w:highlight w:val="none"/>
          <w:u w:val="single"/>
          <w:lang w:bidi="ar"/>
        </w:rPr>
        <w:t xml:space="preserve">             </w:t>
      </w:r>
      <w:r>
        <w:rPr>
          <w:rFonts w:hint="eastAsia" w:ascii="Times New Roman" w:hAnsi="Times New Roman"/>
          <w:color w:val="auto"/>
          <w:kern w:val="2"/>
          <w:szCs w:val="24"/>
          <w:highlight w:val="none"/>
          <w:lang w:bidi="ar"/>
        </w:rPr>
        <w:t>），具体详见报价明细。</w:t>
      </w:r>
    </w:p>
    <w:p>
      <w:pPr>
        <w:spacing w:line="360" w:lineRule="auto"/>
        <w:rPr>
          <w:color w:val="auto"/>
          <w:sz w:val="28"/>
          <w:szCs w:val="20"/>
          <w:highlight w:val="none"/>
        </w:rPr>
      </w:pPr>
      <w:r>
        <w:rPr>
          <w:color w:val="auto"/>
          <w:sz w:val="24"/>
          <w:szCs w:val="20"/>
          <w:highlight w:val="none"/>
          <w:lang w:bidi="ar"/>
        </w:rPr>
        <w:t>2</w:t>
      </w:r>
      <w:r>
        <w:rPr>
          <w:rFonts w:hint="eastAsia" w:cs="宋体"/>
          <w:color w:val="auto"/>
          <w:sz w:val="24"/>
          <w:szCs w:val="20"/>
          <w:highlight w:val="none"/>
          <w:lang w:bidi="ar"/>
        </w:rPr>
        <w:t>、所有附件均为我们投标报价书的组成部分，我们理解招标单位并非必须接受最低价或招标单位可能收到的任何报价书的约束。</w:t>
      </w:r>
    </w:p>
    <w:p>
      <w:pPr>
        <w:spacing w:line="360" w:lineRule="auto"/>
        <w:rPr>
          <w:rFonts w:hint="eastAsia"/>
          <w:strike/>
          <w:color w:val="auto"/>
          <w:sz w:val="24"/>
          <w:szCs w:val="20"/>
          <w:highlight w:val="none"/>
        </w:rPr>
      </w:pPr>
      <w:r>
        <w:rPr>
          <w:b/>
          <w:bCs/>
          <w:color w:val="auto"/>
          <w:sz w:val="24"/>
          <w:szCs w:val="20"/>
          <w:highlight w:val="none"/>
          <w:lang w:bidi="ar"/>
        </w:rPr>
        <w:t>3</w:t>
      </w:r>
      <w:r>
        <w:rPr>
          <w:rFonts w:hint="eastAsia" w:cs="宋体"/>
          <w:b/>
          <w:bCs/>
          <w:color w:val="auto"/>
          <w:sz w:val="24"/>
          <w:szCs w:val="20"/>
          <w:highlight w:val="none"/>
          <w:lang w:bidi="ar"/>
        </w:rPr>
        <w:t>、本报价金额为人民币，我方在最高投标限价内根据企业自身实力进行报价（以元为单位，保留两位小数，第三位小数四舍五入）</w:t>
      </w:r>
      <w:r>
        <w:rPr>
          <w:rFonts w:hint="eastAsia"/>
          <w:strike/>
          <w:color w:val="auto"/>
          <w:highlight w:val="none"/>
          <w:lang w:val="en-US" w:eastAsia="zh-CN"/>
        </w:rPr>
        <w:t>.</w:t>
      </w:r>
    </w:p>
    <w:p>
      <w:pPr>
        <w:spacing w:line="360" w:lineRule="auto"/>
        <w:rPr>
          <w:color w:val="auto"/>
          <w:sz w:val="24"/>
          <w:szCs w:val="20"/>
          <w:highlight w:val="none"/>
        </w:rPr>
      </w:pPr>
      <w:r>
        <w:rPr>
          <w:rFonts w:hint="eastAsia"/>
          <w:color w:val="auto"/>
          <w:sz w:val="24"/>
          <w:szCs w:val="20"/>
          <w:highlight w:val="none"/>
          <w:lang w:val="en-US" w:eastAsia="zh-CN" w:bidi="ar"/>
        </w:rPr>
        <w:t>4</w:t>
      </w:r>
      <w:r>
        <w:rPr>
          <w:rFonts w:hint="eastAsia" w:cs="宋体"/>
          <w:color w:val="auto"/>
          <w:sz w:val="24"/>
          <w:szCs w:val="20"/>
          <w:highlight w:val="none"/>
          <w:lang w:bidi="ar"/>
        </w:rPr>
        <w:t>、（投标人需要说明的其他内容，由投标人自行填写）</w:t>
      </w:r>
    </w:p>
    <w:p>
      <w:pPr>
        <w:spacing w:line="360" w:lineRule="auto"/>
        <w:rPr>
          <w:color w:val="auto"/>
          <w:sz w:val="28"/>
          <w:szCs w:val="20"/>
          <w:highlight w:val="none"/>
        </w:rPr>
      </w:pPr>
    </w:p>
    <w:p>
      <w:pPr>
        <w:spacing w:line="360" w:lineRule="auto"/>
        <w:rPr>
          <w:color w:val="auto"/>
          <w:sz w:val="24"/>
          <w:szCs w:val="20"/>
          <w:highlight w:val="none"/>
        </w:rPr>
      </w:pPr>
      <w:r>
        <w:rPr>
          <w:color w:val="auto"/>
          <w:sz w:val="24"/>
          <w:szCs w:val="20"/>
          <w:highlight w:val="none"/>
          <w:lang w:bidi="ar"/>
        </w:rPr>
        <w:t xml:space="preserve">                                       </w:t>
      </w:r>
      <w:r>
        <w:rPr>
          <w:rFonts w:hint="eastAsia" w:cs="宋体"/>
          <w:color w:val="auto"/>
          <w:sz w:val="24"/>
          <w:szCs w:val="20"/>
          <w:highlight w:val="none"/>
          <w:lang w:bidi="ar"/>
        </w:rPr>
        <w:t>投标人：（公章）</w:t>
      </w:r>
    </w:p>
    <w:p>
      <w:pPr>
        <w:spacing w:line="360" w:lineRule="auto"/>
        <w:rPr>
          <w:color w:val="auto"/>
          <w:sz w:val="24"/>
          <w:szCs w:val="20"/>
          <w:highlight w:val="none"/>
        </w:rPr>
      </w:pPr>
      <w:r>
        <w:rPr>
          <w:color w:val="auto"/>
          <w:sz w:val="24"/>
          <w:szCs w:val="20"/>
          <w:highlight w:val="none"/>
          <w:lang w:bidi="ar"/>
        </w:rPr>
        <w:t xml:space="preserve">                                          </w:t>
      </w:r>
      <w:r>
        <w:rPr>
          <w:rFonts w:hint="eastAsia" w:cs="宋体"/>
          <w:color w:val="auto"/>
          <w:sz w:val="24"/>
          <w:szCs w:val="20"/>
          <w:highlight w:val="none"/>
          <w:lang w:bidi="ar"/>
        </w:rPr>
        <w:t>年</w:t>
      </w:r>
      <w:r>
        <w:rPr>
          <w:color w:val="auto"/>
          <w:sz w:val="24"/>
          <w:szCs w:val="20"/>
          <w:highlight w:val="none"/>
          <w:lang w:bidi="ar"/>
        </w:rPr>
        <w:t xml:space="preserve">  </w:t>
      </w:r>
      <w:r>
        <w:rPr>
          <w:rFonts w:hint="eastAsia" w:cs="宋体"/>
          <w:color w:val="auto"/>
          <w:sz w:val="24"/>
          <w:szCs w:val="20"/>
          <w:highlight w:val="none"/>
          <w:lang w:bidi="ar"/>
        </w:rPr>
        <w:t>月</w:t>
      </w:r>
      <w:r>
        <w:rPr>
          <w:color w:val="auto"/>
          <w:sz w:val="24"/>
          <w:szCs w:val="20"/>
          <w:highlight w:val="none"/>
          <w:lang w:bidi="ar"/>
        </w:rPr>
        <w:t xml:space="preserve">   </w:t>
      </w:r>
      <w:r>
        <w:rPr>
          <w:rFonts w:hint="eastAsia" w:cs="宋体"/>
          <w:color w:val="auto"/>
          <w:sz w:val="24"/>
          <w:szCs w:val="20"/>
          <w:highlight w:val="none"/>
          <w:lang w:bidi="ar"/>
        </w:rPr>
        <w:t>日</w:t>
      </w:r>
    </w:p>
    <w:p>
      <w:pPr>
        <w:spacing w:line="360" w:lineRule="auto"/>
        <w:jc w:val="center"/>
        <w:rPr>
          <w:color w:val="auto"/>
          <w:sz w:val="24"/>
          <w:szCs w:val="20"/>
          <w:highlight w:val="none"/>
        </w:rPr>
      </w:pPr>
      <w:r>
        <w:rPr>
          <w:color w:val="auto"/>
          <w:sz w:val="24"/>
          <w:szCs w:val="20"/>
          <w:highlight w:val="none"/>
          <w:lang w:bidi="ar"/>
        </w:rPr>
        <w:br w:type="page"/>
      </w:r>
      <w:r>
        <w:rPr>
          <w:rFonts w:hint="eastAsia" w:ascii="宋体" w:hAnsi="宋体" w:cs="宋体"/>
          <w:b/>
          <w:color w:val="auto"/>
          <w:sz w:val="32"/>
          <w:szCs w:val="32"/>
          <w:highlight w:val="none"/>
          <w:lang w:bidi="ar"/>
        </w:rPr>
        <w:t>1、报价汇总表</w:t>
      </w:r>
    </w:p>
    <w:p>
      <w:pPr>
        <w:spacing w:line="360" w:lineRule="auto"/>
        <w:jc w:val="left"/>
        <w:rPr>
          <w:rFonts w:hint="eastAsia" w:ascii="宋体" w:hAnsi="宋体" w:cs="宋体"/>
          <w:color w:val="auto"/>
          <w:sz w:val="22"/>
          <w:szCs w:val="20"/>
          <w:highlight w:val="none"/>
        </w:rPr>
      </w:pPr>
      <w:r>
        <w:rPr>
          <w:rFonts w:hint="eastAsia" w:ascii="宋体" w:hAnsi="宋体" w:cs="宋体"/>
          <w:color w:val="auto"/>
          <w:sz w:val="22"/>
          <w:szCs w:val="20"/>
          <w:highlight w:val="none"/>
          <w:lang w:bidi="ar"/>
        </w:rPr>
        <w:t>工程名称：</w:t>
      </w:r>
      <w:r>
        <w:rPr>
          <w:rFonts w:hint="eastAsia" w:ascii="宋体" w:hAnsi="宋体" w:cs="宋体"/>
          <w:color w:val="auto"/>
          <w:sz w:val="22"/>
          <w:szCs w:val="20"/>
          <w:highlight w:val="none"/>
          <w:lang w:eastAsia="zh-CN" w:bidi="ar"/>
        </w:rPr>
        <w:t>西区智造科创园（高清光学显示芯片项目）第三方检测、监测</w:t>
      </w:r>
    </w:p>
    <w:tbl>
      <w:tblPr>
        <w:tblStyle w:val="29"/>
        <w:tblW w:w="4996" w:type="pct"/>
        <w:jc w:val="center"/>
        <w:tblLayout w:type="autofit"/>
        <w:tblCellMar>
          <w:top w:w="0" w:type="dxa"/>
          <w:left w:w="108" w:type="dxa"/>
          <w:bottom w:w="0" w:type="dxa"/>
          <w:right w:w="108" w:type="dxa"/>
        </w:tblCellMar>
      </w:tblPr>
      <w:tblGrid>
        <w:gridCol w:w="1247"/>
        <w:gridCol w:w="3049"/>
        <w:gridCol w:w="2746"/>
        <w:gridCol w:w="2912"/>
      </w:tblGrid>
      <w:tr>
        <w:tblPrEx>
          <w:tblCellMar>
            <w:top w:w="0" w:type="dxa"/>
            <w:left w:w="108" w:type="dxa"/>
            <w:bottom w:w="0" w:type="dxa"/>
            <w:right w:w="108" w:type="dxa"/>
          </w:tblCellMar>
        </w:tblPrEx>
        <w:trPr>
          <w:trHeight w:val="880" w:hRule="atLeast"/>
          <w:jc w:val="center"/>
        </w:trPr>
        <w:tc>
          <w:tcPr>
            <w:tcW w:w="62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Cs w:val="21"/>
                <w:highlight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1531" w:type="pc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cs="宋体"/>
                <w:color w:val="auto"/>
                <w:kern w:val="0"/>
                <w:szCs w:val="21"/>
                <w:highlight w:val="none"/>
                <w:lang w:val="en-US"/>
              </w:rPr>
            </w:pPr>
            <w:r>
              <w:rPr>
                <w:rFonts w:hint="eastAsia" w:ascii="宋体" w:hAnsi="宋体" w:cs="宋体"/>
                <w:b/>
                <w:bCs/>
                <w:i w:val="0"/>
                <w:iCs w:val="0"/>
                <w:color w:val="auto"/>
                <w:kern w:val="0"/>
                <w:sz w:val="24"/>
                <w:szCs w:val="24"/>
                <w:highlight w:val="none"/>
                <w:u w:val="none"/>
                <w:lang w:val="en-US" w:eastAsia="zh-CN" w:bidi="ar"/>
              </w:rPr>
              <w:t>费用名称</w:t>
            </w:r>
          </w:p>
        </w:tc>
        <w:tc>
          <w:tcPr>
            <w:tcW w:w="1379" w:type="pc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Cs w:val="21"/>
                <w:highlight w:val="none"/>
              </w:rPr>
            </w:pPr>
            <w:r>
              <w:rPr>
                <w:rFonts w:hint="eastAsia" w:ascii="宋体" w:hAnsi="宋体" w:cs="宋体"/>
                <w:b/>
                <w:bCs/>
                <w:color w:val="auto"/>
                <w:kern w:val="0"/>
                <w:sz w:val="24"/>
                <w:szCs w:val="24"/>
                <w:highlight w:val="none"/>
                <w:u w:val="none"/>
                <w:lang w:bidi="ar"/>
              </w:rPr>
              <w:t>投标报价</w:t>
            </w:r>
            <w:r>
              <w:rPr>
                <w:rFonts w:hint="eastAsia" w:ascii="宋体" w:hAnsi="宋体" w:eastAsia="宋体" w:cs="宋体"/>
                <w:b/>
                <w:bCs/>
                <w:i w:val="0"/>
                <w:iCs w:val="0"/>
                <w:color w:val="auto"/>
                <w:kern w:val="0"/>
                <w:sz w:val="24"/>
                <w:szCs w:val="24"/>
                <w:highlight w:val="none"/>
                <w:u w:val="none"/>
                <w:lang w:val="en-US" w:eastAsia="zh-CN" w:bidi="ar"/>
              </w:rPr>
              <w:t>（元）</w:t>
            </w:r>
          </w:p>
        </w:tc>
        <w:tc>
          <w:tcPr>
            <w:tcW w:w="1462" w:type="pc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Cs w:val="21"/>
                <w:highlight w:val="none"/>
              </w:rPr>
            </w:pPr>
            <w:r>
              <w:rPr>
                <w:rFonts w:hint="eastAsia" w:ascii="宋体" w:hAnsi="宋体" w:eastAsia="宋体" w:cs="宋体"/>
                <w:b/>
                <w:bCs/>
                <w:i w:val="0"/>
                <w:iCs w:val="0"/>
                <w:color w:val="auto"/>
                <w:kern w:val="0"/>
                <w:sz w:val="24"/>
                <w:szCs w:val="24"/>
                <w:highlight w:val="none"/>
                <w:u w:val="none"/>
                <w:lang w:val="en-US" w:eastAsia="zh-CN" w:bidi="ar"/>
              </w:rPr>
              <w:t>备注</w:t>
            </w:r>
          </w:p>
        </w:tc>
      </w:tr>
      <w:tr>
        <w:tblPrEx>
          <w:tblCellMar>
            <w:top w:w="0" w:type="dxa"/>
            <w:left w:w="108" w:type="dxa"/>
            <w:bottom w:w="0" w:type="dxa"/>
            <w:right w:w="108" w:type="dxa"/>
          </w:tblCellMar>
        </w:tblPrEx>
        <w:trPr>
          <w:trHeight w:val="595" w:hRule="atLeast"/>
          <w:jc w:val="center"/>
        </w:trPr>
        <w:tc>
          <w:tcPr>
            <w:tcW w:w="626" w:type="pc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2"/>
                <w:szCs w:val="21"/>
                <w:highlight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04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u w:val="none"/>
                <w:lang w:bidi="ar"/>
              </w:rPr>
            </w:pPr>
            <w:r>
              <w:rPr>
                <w:rFonts w:hint="eastAsia" w:ascii="宋体" w:hAnsi="宋体" w:eastAsia="宋体" w:cs="宋体"/>
                <w:i w:val="0"/>
                <w:iCs w:val="0"/>
                <w:color w:val="000000"/>
                <w:kern w:val="0"/>
                <w:sz w:val="22"/>
                <w:szCs w:val="22"/>
                <w:u w:val="none"/>
                <w:lang w:val="en-US" w:eastAsia="zh-CN" w:bidi="ar"/>
              </w:rPr>
              <w:t>基坑监测</w:t>
            </w:r>
          </w:p>
        </w:tc>
        <w:tc>
          <w:tcPr>
            <w:tcW w:w="1379" w:type="pct"/>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b/>
                <w:bCs/>
                <w:color w:val="auto"/>
                <w:szCs w:val="21"/>
                <w:highlight w:val="none"/>
              </w:rPr>
            </w:pPr>
          </w:p>
        </w:tc>
        <w:tc>
          <w:tcPr>
            <w:tcW w:w="1462" w:type="pct"/>
            <w:tcBorders>
              <w:top w:val="nil"/>
              <w:left w:val="nil"/>
              <w:bottom w:val="single" w:color="auto" w:sz="4" w:space="0"/>
              <w:right w:val="single" w:color="auto" w:sz="4" w:space="0"/>
            </w:tcBorders>
            <w:noWrap w:val="0"/>
            <w:vAlign w:val="center"/>
          </w:tcPr>
          <w:p>
            <w:pPr>
              <w:jc w:val="center"/>
              <w:rPr>
                <w:rFonts w:hint="eastAsia" w:ascii="宋体" w:hAnsi="宋体" w:cs="宋体"/>
                <w:color w:val="auto"/>
                <w:kern w:val="0"/>
                <w:szCs w:val="21"/>
                <w:highlight w:val="none"/>
              </w:rPr>
            </w:pPr>
          </w:p>
        </w:tc>
      </w:tr>
      <w:tr>
        <w:tblPrEx>
          <w:tblCellMar>
            <w:top w:w="0" w:type="dxa"/>
            <w:left w:w="108" w:type="dxa"/>
            <w:bottom w:w="0" w:type="dxa"/>
            <w:right w:w="108" w:type="dxa"/>
          </w:tblCellMar>
        </w:tblPrEx>
        <w:trPr>
          <w:trHeight w:val="595" w:hRule="atLeast"/>
          <w:jc w:val="center"/>
        </w:trPr>
        <w:tc>
          <w:tcPr>
            <w:tcW w:w="626" w:type="pc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Cs w:val="21"/>
                <w:highlight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304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u w:val="none"/>
                <w:lang w:bidi="ar"/>
              </w:rPr>
            </w:pPr>
            <w:r>
              <w:rPr>
                <w:rFonts w:hint="eastAsia" w:ascii="宋体" w:hAnsi="宋体" w:eastAsia="宋体" w:cs="宋体"/>
                <w:i w:val="0"/>
                <w:iCs w:val="0"/>
                <w:color w:val="000000"/>
                <w:kern w:val="0"/>
                <w:sz w:val="22"/>
                <w:szCs w:val="22"/>
                <w:u w:val="none"/>
                <w:lang w:val="en-US" w:eastAsia="zh-CN" w:bidi="ar"/>
              </w:rPr>
              <w:t>高支模监测</w:t>
            </w:r>
          </w:p>
        </w:tc>
        <w:tc>
          <w:tcPr>
            <w:tcW w:w="1379" w:type="pct"/>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Cs w:val="21"/>
                <w:highlight w:val="none"/>
              </w:rPr>
            </w:pPr>
          </w:p>
        </w:tc>
        <w:tc>
          <w:tcPr>
            <w:tcW w:w="1462" w:type="pct"/>
            <w:tcBorders>
              <w:top w:val="nil"/>
              <w:left w:val="nil"/>
              <w:bottom w:val="single" w:color="auto" w:sz="4" w:space="0"/>
              <w:right w:val="single" w:color="auto" w:sz="4" w:space="0"/>
            </w:tcBorders>
            <w:noWrap w:val="0"/>
            <w:vAlign w:val="center"/>
          </w:tcPr>
          <w:p>
            <w:pPr>
              <w:jc w:val="center"/>
              <w:rPr>
                <w:rFonts w:hint="eastAsia" w:ascii="宋体" w:hAnsi="宋体" w:cs="宋体"/>
                <w:color w:val="auto"/>
                <w:kern w:val="0"/>
                <w:szCs w:val="21"/>
                <w:highlight w:val="none"/>
              </w:rPr>
            </w:pPr>
          </w:p>
        </w:tc>
      </w:tr>
      <w:tr>
        <w:tblPrEx>
          <w:tblCellMar>
            <w:top w:w="0" w:type="dxa"/>
            <w:left w:w="108" w:type="dxa"/>
            <w:bottom w:w="0" w:type="dxa"/>
            <w:right w:w="108" w:type="dxa"/>
          </w:tblCellMar>
        </w:tblPrEx>
        <w:trPr>
          <w:trHeight w:val="595" w:hRule="atLeast"/>
          <w:jc w:val="center"/>
        </w:trPr>
        <w:tc>
          <w:tcPr>
            <w:tcW w:w="626" w:type="pc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Cs w:val="21"/>
                <w:highlight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304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u w:val="none"/>
                <w:lang w:bidi="ar"/>
              </w:rPr>
            </w:pPr>
            <w:r>
              <w:rPr>
                <w:rFonts w:hint="eastAsia" w:ascii="宋体" w:hAnsi="宋体" w:eastAsia="宋体" w:cs="宋体"/>
                <w:i w:val="0"/>
                <w:iCs w:val="0"/>
                <w:color w:val="000000"/>
                <w:kern w:val="0"/>
                <w:sz w:val="22"/>
                <w:szCs w:val="22"/>
                <w:u w:val="none"/>
                <w:lang w:val="en-US" w:eastAsia="zh-CN" w:bidi="ar"/>
              </w:rPr>
              <w:t>主体沉降监测</w:t>
            </w:r>
          </w:p>
        </w:tc>
        <w:tc>
          <w:tcPr>
            <w:tcW w:w="1379" w:type="pct"/>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Cs w:val="21"/>
                <w:highlight w:val="none"/>
              </w:rPr>
            </w:pPr>
          </w:p>
        </w:tc>
        <w:tc>
          <w:tcPr>
            <w:tcW w:w="1462" w:type="pct"/>
            <w:tcBorders>
              <w:top w:val="nil"/>
              <w:left w:val="nil"/>
              <w:bottom w:val="single" w:color="auto" w:sz="4" w:space="0"/>
              <w:right w:val="single" w:color="auto" w:sz="4" w:space="0"/>
            </w:tcBorders>
            <w:noWrap w:val="0"/>
            <w:vAlign w:val="center"/>
          </w:tcPr>
          <w:p>
            <w:pPr>
              <w:jc w:val="center"/>
              <w:rPr>
                <w:rFonts w:hint="eastAsia" w:ascii="宋体" w:hAnsi="宋体" w:cs="宋体"/>
                <w:color w:val="auto"/>
                <w:kern w:val="0"/>
                <w:szCs w:val="21"/>
                <w:highlight w:val="none"/>
              </w:rPr>
            </w:pPr>
          </w:p>
        </w:tc>
      </w:tr>
      <w:tr>
        <w:tblPrEx>
          <w:tblCellMar>
            <w:top w:w="0" w:type="dxa"/>
            <w:left w:w="108" w:type="dxa"/>
            <w:bottom w:w="0" w:type="dxa"/>
            <w:right w:w="108" w:type="dxa"/>
          </w:tblCellMar>
        </w:tblPrEx>
        <w:trPr>
          <w:trHeight w:val="595" w:hRule="atLeast"/>
          <w:jc w:val="center"/>
        </w:trPr>
        <w:tc>
          <w:tcPr>
            <w:tcW w:w="626" w:type="pc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Cs w:val="21"/>
                <w:highlight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304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u w:val="none"/>
                <w:lang w:bidi="ar"/>
              </w:rPr>
            </w:pPr>
            <w:r>
              <w:rPr>
                <w:rFonts w:hint="eastAsia" w:ascii="宋体" w:hAnsi="宋体" w:eastAsia="宋体" w:cs="宋体"/>
                <w:i w:val="0"/>
                <w:iCs w:val="0"/>
                <w:color w:val="000000"/>
                <w:kern w:val="0"/>
                <w:sz w:val="22"/>
                <w:szCs w:val="22"/>
                <w:u w:val="none"/>
                <w:lang w:val="en-US" w:eastAsia="zh-CN" w:bidi="ar"/>
              </w:rPr>
              <w:t>基坑支护、地基基础检测</w:t>
            </w:r>
          </w:p>
        </w:tc>
        <w:tc>
          <w:tcPr>
            <w:tcW w:w="1379" w:type="pct"/>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Cs w:val="21"/>
                <w:highlight w:val="none"/>
              </w:rPr>
            </w:pPr>
          </w:p>
        </w:tc>
        <w:tc>
          <w:tcPr>
            <w:tcW w:w="1462" w:type="pct"/>
            <w:tcBorders>
              <w:top w:val="nil"/>
              <w:left w:val="nil"/>
              <w:bottom w:val="single" w:color="auto" w:sz="4" w:space="0"/>
              <w:right w:val="single" w:color="auto" w:sz="4" w:space="0"/>
            </w:tcBorders>
            <w:noWrap w:val="0"/>
            <w:vAlign w:val="center"/>
          </w:tcPr>
          <w:p>
            <w:pPr>
              <w:jc w:val="center"/>
              <w:rPr>
                <w:rFonts w:hint="eastAsia" w:ascii="宋体" w:hAnsi="宋体" w:cs="宋体"/>
                <w:color w:val="auto"/>
                <w:kern w:val="0"/>
                <w:szCs w:val="21"/>
                <w:highlight w:val="none"/>
              </w:rPr>
            </w:pPr>
          </w:p>
        </w:tc>
      </w:tr>
      <w:tr>
        <w:tblPrEx>
          <w:tblCellMar>
            <w:top w:w="0" w:type="dxa"/>
            <w:left w:w="108" w:type="dxa"/>
            <w:bottom w:w="0" w:type="dxa"/>
            <w:right w:w="108" w:type="dxa"/>
          </w:tblCellMar>
        </w:tblPrEx>
        <w:trPr>
          <w:trHeight w:val="595" w:hRule="atLeast"/>
          <w:jc w:val="center"/>
        </w:trPr>
        <w:tc>
          <w:tcPr>
            <w:tcW w:w="626" w:type="pc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Cs w:val="21"/>
                <w:highlight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304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24"/>
                <w:szCs w:val="24"/>
                <w:highlight w:val="none"/>
                <w:u w:val="none"/>
                <w:lang w:bidi="ar"/>
              </w:rPr>
            </w:pPr>
            <w:r>
              <w:rPr>
                <w:rFonts w:hint="eastAsia" w:ascii="宋体" w:hAnsi="宋体" w:eastAsia="宋体" w:cs="宋体"/>
                <w:i w:val="0"/>
                <w:iCs w:val="0"/>
                <w:color w:val="000000"/>
                <w:kern w:val="0"/>
                <w:sz w:val="22"/>
                <w:szCs w:val="22"/>
                <w:u w:val="none"/>
                <w:lang w:val="en-US" w:eastAsia="zh-CN" w:bidi="ar"/>
              </w:rPr>
              <w:t>主体结构、钢结构检测</w:t>
            </w:r>
          </w:p>
        </w:tc>
        <w:tc>
          <w:tcPr>
            <w:tcW w:w="1379" w:type="pct"/>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Cs w:val="21"/>
                <w:highlight w:val="none"/>
              </w:rPr>
            </w:pPr>
          </w:p>
        </w:tc>
        <w:tc>
          <w:tcPr>
            <w:tcW w:w="1462" w:type="pct"/>
            <w:tcBorders>
              <w:top w:val="nil"/>
              <w:left w:val="nil"/>
              <w:bottom w:val="single" w:color="auto" w:sz="4" w:space="0"/>
              <w:right w:val="single" w:color="auto" w:sz="4" w:space="0"/>
            </w:tcBorders>
            <w:noWrap w:val="0"/>
            <w:vAlign w:val="center"/>
          </w:tcPr>
          <w:p>
            <w:pPr>
              <w:jc w:val="center"/>
              <w:rPr>
                <w:rFonts w:hint="eastAsia" w:ascii="宋体" w:hAnsi="宋体" w:cs="宋体"/>
                <w:color w:val="auto"/>
                <w:kern w:val="0"/>
                <w:szCs w:val="21"/>
                <w:highlight w:val="none"/>
              </w:rPr>
            </w:pPr>
          </w:p>
        </w:tc>
      </w:tr>
      <w:tr>
        <w:tblPrEx>
          <w:tblCellMar>
            <w:top w:w="0" w:type="dxa"/>
            <w:left w:w="108" w:type="dxa"/>
            <w:bottom w:w="0" w:type="dxa"/>
            <w:right w:w="108" w:type="dxa"/>
          </w:tblCellMar>
        </w:tblPrEx>
        <w:trPr>
          <w:trHeight w:val="595" w:hRule="atLeast"/>
          <w:jc w:val="center"/>
        </w:trPr>
        <w:tc>
          <w:tcPr>
            <w:tcW w:w="626" w:type="pc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Cs w:val="21"/>
                <w:highlight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304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24"/>
                <w:szCs w:val="24"/>
                <w:highlight w:val="none"/>
                <w:u w:val="none"/>
                <w:lang w:bidi="ar"/>
              </w:rPr>
            </w:pPr>
            <w:r>
              <w:rPr>
                <w:rFonts w:hint="eastAsia" w:ascii="宋体" w:hAnsi="宋体" w:eastAsia="宋体" w:cs="宋体"/>
                <w:i w:val="0"/>
                <w:iCs w:val="0"/>
                <w:color w:val="000000"/>
                <w:kern w:val="0"/>
                <w:sz w:val="22"/>
                <w:szCs w:val="22"/>
                <w:u w:val="none"/>
                <w:lang w:val="en-US" w:eastAsia="zh-CN" w:bidi="ar"/>
              </w:rPr>
              <w:t>建筑材料检测</w:t>
            </w:r>
          </w:p>
        </w:tc>
        <w:tc>
          <w:tcPr>
            <w:tcW w:w="1379" w:type="pct"/>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Cs w:val="21"/>
                <w:highlight w:val="none"/>
              </w:rPr>
            </w:pPr>
          </w:p>
        </w:tc>
        <w:tc>
          <w:tcPr>
            <w:tcW w:w="1462" w:type="pct"/>
            <w:tcBorders>
              <w:top w:val="nil"/>
              <w:left w:val="nil"/>
              <w:bottom w:val="single" w:color="auto" w:sz="4" w:space="0"/>
              <w:right w:val="single" w:color="auto" w:sz="4" w:space="0"/>
            </w:tcBorders>
            <w:noWrap w:val="0"/>
            <w:vAlign w:val="center"/>
          </w:tcPr>
          <w:p>
            <w:pPr>
              <w:jc w:val="center"/>
              <w:rPr>
                <w:rFonts w:hint="eastAsia" w:ascii="宋体" w:hAnsi="宋体" w:cs="宋体"/>
                <w:color w:val="auto"/>
                <w:kern w:val="0"/>
                <w:szCs w:val="21"/>
                <w:highlight w:val="none"/>
              </w:rPr>
            </w:pPr>
          </w:p>
        </w:tc>
      </w:tr>
      <w:tr>
        <w:tblPrEx>
          <w:tblCellMar>
            <w:top w:w="0" w:type="dxa"/>
            <w:left w:w="108" w:type="dxa"/>
            <w:bottom w:w="0" w:type="dxa"/>
            <w:right w:w="108" w:type="dxa"/>
          </w:tblCellMar>
        </w:tblPrEx>
        <w:trPr>
          <w:trHeight w:val="595" w:hRule="atLeast"/>
          <w:jc w:val="center"/>
        </w:trPr>
        <w:tc>
          <w:tcPr>
            <w:tcW w:w="626" w:type="pc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Cs w:val="21"/>
                <w:highlight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304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24"/>
                <w:szCs w:val="24"/>
                <w:highlight w:val="none"/>
                <w:u w:val="none"/>
                <w:lang w:bidi="ar"/>
              </w:rPr>
            </w:pPr>
            <w:r>
              <w:rPr>
                <w:rFonts w:hint="eastAsia" w:ascii="宋体" w:hAnsi="宋体" w:eastAsia="宋体" w:cs="宋体"/>
                <w:i w:val="0"/>
                <w:iCs w:val="0"/>
                <w:color w:val="000000"/>
                <w:kern w:val="0"/>
                <w:sz w:val="22"/>
                <w:szCs w:val="22"/>
                <w:u w:val="none"/>
                <w:lang w:val="en-US" w:eastAsia="zh-CN" w:bidi="ar"/>
              </w:rPr>
              <w:t>园林绿化检测</w:t>
            </w:r>
          </w:p>
        </w:tc>
        <w:tc>
          <w:tcPr>
            <w:tcW w:w="1379" w:type="pct"/>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Cs w:val="21"/>
                <w:highlight w:val="none"/>
              </w:rPr>
            </w:pPr>
          </w:p>
        </w:tc>
        <w:tc>
          <w:tcPr>
            <w:tcW w:w="1462" w:type="pct"/>
            <w:tcBorders>
              <w:top w:val="nil"/>
              <w:left w:val="nil"/>
              <w:bottom w:val="single" w:color="auto" w:sz="4" w:space="0"/>
              <w:right w:val="single" w:color="auto" w:sz="4" w:space="0"/>
            </w:tcBorders>
            <w:noWrap w:val="0"/>
            <w:vAlign w:val="center"/>
          </w:tcPr>
          <w:p>
            <w:pPr>
              <w:jc w:val="center"/>
              <w:rPr>
                <w:rFonts w:hint="eastAsia" w:ascii="宋体" w:hAnsi="宋体" w:cs="宋体"/>
                <w:color w:val="auto"/>
                <w:kern w:val="0"/>
                <w:szCs w:val="21"/>
                <w:highlight w:val="none"/>
              </w:rPr>
            </w:pPr>
          </w:p>
        </w:tc>
      </w:tr>
      <w:tr>
        <w:tblPrEx>
          <w:tblCellMar>
            <w:top w:w="0" w:type="dxa"/>
            <w:left w:w="108" w:type="dxa"/>
            <w:bottom w:w="0" w:type="dxa"/>
            <w:right w:w="108" w:type="dxa"/>
          </w:tblCellMar>
        </w:tblPrEx>
        <w:trPr>
          <w:trHeight w:val="595" w:hRule="atLeast"/>
          <w:jc w:val="center"/>
        </w:trPr>
        <w:tc>
          <w:tcPr>
            <w:tcW w:w="626" w:type="pc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Cs w:val="21"/>
                <w:highlight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304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24"/>
                <w:szCs w:val="24"/>
                <w:highlight w:val="none"/>
                <w:u w:val="none"/>
                <w:lang w:bidi="ar"/>
              </w:rPr>
            </w:pPr>
            <w:r>
              <w:rPr>
                <w:rFonts w:hint="eastAsia" w:ascii="宋体" w:hAnsi="宋体" w:eastAsia="宋体" w:cs="宋体"/>
                <w:i w:val="0"/>
                <w:iCs w:val="0"/>
                <w:color w:val="000000"/>
                <w:kern w:val="0"/>
                <w:sz w:val="22"/>
                <w:szCs w:val="22"/>
                <w:u w:val="none"/>
                <w:lang w:val="en-US" w:eastAsia="zh-CN" w:bidi="ar"/>
              </w:rPr>
              <w:t>建筑节能检测</w:t>
            </w:r>
          </w:p>
        </w:tc>
        <w:tc>
          <w:tcPr>
            <w:tcW w:w="1379" w:type="pct"/>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Cs w:val="21"/>
                <w:highlight w:val="none"/>
              </w:rPr>
            </w:pPr>
          </w:p>
        </w:tc>
        <w:tc>
          <w:tcPr>
            <w:tcW w:w="1462" w:type="pct"/>
            <w:tcBorders>
              <w:top w:val="nil"/>
              <w:left w:val="nil"/>
              <w:bottom w:val="single" w:color="auto" w:sz="4" w:space="0"/>
              <w:right w:val="single" w:color="auto" w:sz="4" w:space="0"/>
            </w:tcBorders>
            <w:noWrap w:val="0"/>
            <w:vAlign w:val="center"/>
          </w:tcPr>
          <w:p>
            <w:pPr>
              <w:jc w:val="center"/>
              <w:rPr>
                <w:rFonts w:hint="eastAsia" w:ascii="宋体" w:hAnsi="宋体" w:cs="宋体"/>
                <w:color w:val="auto"/>
                <w:kern w:val="0"/>
                <w:szCs w:val="21"/>
                <w:highlight w:val="none"/>
              </w:rPr>
            </w:pPr>
          </w:p>
        </w:tc>
      </w:tr>
      <w:tr>
        <w:tblPrEx>
          <w:tblCellMar>
            <w:top w:w="0" w:type="dxa"/>
            <w:left w:w="108" w:type="dxa"/>
            <w:bottom w:w="0" w:type="dxa"/>
            <w:right w:w="108" w:type="dxa"/>
          </w:tblCellMar>
        </w:tblPrEx>
        <w:trPr>
          <w:trHeight w:val="595" w:hRule="atLeast"/>
          <w:jc w:val="center"/>
        </w:trPr>
        <w:tc>
          <w:tcPr>
            <w:tcW w:w="626" w:type="pc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Cs w:val="21"/>
                <w:highlight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304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24"/>
                <w:szCs w:val="24"/>
                <w:highlight w:val="none"/>
                <w:u w:val="none"/>
                <w:lang w:bidi="ar"/>
              </w:rPr>
            </w:pPr>
            <w:r>
              <w:rPr>
                <w:rFonts w:hint="eastAsia" w:ascii="宋体" w:hAnsi="宋体" w:eastAsia="宋体" w:cs="宋体"/>
                <w:i w:val="0"/>
                <w:iCs w:val="0"/>
                <w:color w:val="000000"/>
                <w:kern w:val="0"/>
                <w:sz w:val="22"/>
                <w:szCs w:val="22"/>
                <w:u w:val="none"/>
                <w:lang w:val="en-US" w:eastAsia="zh-CN" w:bidi="ar"/>
              </w:rPr>
              <w:t>建筑门窗幕墙检测</w:t>
            </w:r>
          </w:p>
        </w:tc>
        <w:tc>
          <w:tcPr>
            <w:tcW w:w="1379" w:type="pct"/>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Cs w:val="21"/>
                <w:highlight w:val="none"/>
              </w:rPr>
            </w:pPr>
          </w:p>
        </w:tc>
        <w:tc>
          <w:tcPr>
            <w:tcW w:w="1462" w:type="pct"/>
            <w:tcBorders>
              <w:top w:val="nil"/>
              <w:left w:val="nil"/>
              <w:bottom w:val="single" w:color="auto" w:sz="4" w:space="0"/>
              <w:right w:val="single" w:color="auto" w:sz="4" w:space="0"/>
            </w:tcBorders>
            <w:noWrap w:val="0"/>
            <w:vAlign w:val="center"/>
          </w:tcPr>
          <w:p>
            <w:pPr>
              <w:jc w:val="center"/>
              <w:rPr>
                <w:rFonts w:hint="eastAsia" w:ascii="宋体" w:hAnsi="宋体" w:cs="宋体"/>
                <w:color w:val="auto"/>
                <w:kern w:val="0"/>
                <w:szCs w:val="21"/>
                <w:highlight w:val="none"/>
              </w:rPr>
            </w:pPr>
          </w:p>
        </w:tc>
      </w:tr>
      <w:tr>
        <w:tblPrEx>
          <w:tblCellMar>
            <w:top w:w="0" w:type="dxa"/>
            <w:left w:w="108" w:type="dxa"/>
            <w:bottom w:w="0" w:type="dxa"/>
            <w:right w:w="108" w:type="dxa"/>
          </w:tblCellMar>
        </w:tblPrEx>
        <w:trPr>
          <w:trHeight w:val="595" w:hRule="atLeast"/>
          <w:jc w:val="center"/>
        </w:trPr>
        <w:tc>
          <w:tcPr>
            <w:tcW w:w="626" w:type="pc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10</w:t>
            </w:r>
          </w:p>
        </w:tc>
        <w:tc>
          <w:tcPr>
            <w:tcW w:w="304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建筑智能、防雷、消防检测</w:t>
            </w:r>
          </w:p>
        </w:tc>
        <w:tc>
          <w:tcPr>
            <w:tcW w:w="1379" w:type="pct"/>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24"/>
                <w:szCs w:val="24"/>
                <w:highlight w:val="none"/>
                <w:u w:val="none"/>
                <w:lang w:bidi="ar"/>
              </w:rPr>
            </w:pPr>
          </w:p>
        </w:tc>
        <w:tc>
          <w:tcPr>
            <w:tcW w:w="1462" w:type="pct"/>
            <w:tcBorders>
              <w:top w:val="nil"/>
              <w:left w:val="nil"/>
              <w:bottom w:val="single" w:color="auto" w:sz="4" w:space="0"/>
              <w:right w:val="single" w:color="auto" w:sz="4" w:space="0"/>
            </w:tcBorders>
            <w:noWrap w:val="0"/>
            <w:vAlign w:val="center"/>
          </w:tcPr>
          <w:p>
            <w:pPr>
              <w:jc w:val="center"/>
              <w:rPr>
                <w:rFonts w:hint="eastAsia" w:ascii="宋体" w:hAnsi="宋体" w:cs="宋体"/>
                <w:color w:val="auto"/>
                <w:kern w:val="0"/>
                <w:szCs w:val="21"/>
                <w:highlight w:val="none"/>
              </w:rPr>
            </w:pPr>
          </w:p>
        </w:tc>
      </w:tr>
      <w:tr>
        <w:tblPrEx>
          <w:tblCellMar>
            <w:top w:w="0" w:type="dxa"/>
            <w:left w:w="108" w:type="dxa"/>
            <w:bottom w:w="0" w:type="dxa"/>
            <w:right w:w="108" w:type="dxa"/>
          </w:tblCellMar>
        </w:tblPrEx>
        <w:trPr>
          <w:trHeight w:val="595" w:hRule="atLeast"/>
          <w:jc w:val="center"/>
        </w:trPr>
        <w:tc>
          <w:tcPr>
            <w:tcW w:w="626" w:type="pc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11</w:t>
            </w:r>
          </w:p>
        </w:tc>
        <w:tc>
          <w:tcPr>
            <w:tcW w:w="304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建筑环境检测</w:t>
            </w:r>
          </w:p>
        </w:tc>
        <w:tc>
          <w:tcPr>
            <w:tcW w:w="1379" w:type="pct"/>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24"/>
                <w:szCs w:val="24"/>
                <w:highlight w:val="none"/>
                <w:u w:val="none"/>
                <w:lang w:bidi="ar"/>
              </w:rPr>
            </w:pPr>
          </w:p>
        </w:tc>
        <w:tc>
          <w:tcPr>
            <w:tcW w:w="1462" w:type="pct"/>
            <w:tcBorders>
              <w:top w:val="nil"/>
              <w:left w:val="nil"/>
              <w:bottom w:val="single" w:color="auto" w:sz="4" w:space="0"/>
              <w:right w:val="single" w:color="auto" w:sz="4" w:space="0"/>
            </w:tcBorders>
            <w:noWrap w:val="0"/>
            <w:vAlign w:val="center"/>
          </w:tcPr>
          <w:p>
            <w:pPr>
              <w:jc w:val="center"/>
              <w:rPr>
                <w:rFonts w:hint="eastAsia" w:ascii="宋体" w:hAnsi="宋体" w:cs="宋体"/>
                <w:color w:val="auto"/>
                <w:kern w:val="0"/>
                <w:szCs w:val="21"/>
                <w:highlight w:val="none"/>
              </w:rPr>
            </w:pPr>
          </w:p>
        </w:tc>
      </w:tr>
      <w:tr>
        <w:tblPrEx>
          <w:tblCellMar>
            <w:top w:w="0" w:type="dxa"/>
            <w:left w:w="108" w:type="dxa"/>
            <w:bottom w:w="0" w:type="dxa"/>
            <w:right w:w="108" w:type="dxa"/>
          </w:tblCellMar>
        </w:tblPrEx>
        <w:trPr>
          <w:trHeight w:val="595" w:hRule="atLeast"/>
          <w:jc w:val="center"/>
        </w:trPr>
        <w:tc>
          <w:tcPr>
            <w:tcW w:w="626" w:type="pc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12</w:t>
            </w:r>
          </w:p>
        </w:tc>
        <w:tc>
          <w:tcPr>
            <w:tcW w:w="304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道路、管道检测</w:t>
            </w:r>
          </w:p>
        </w:tc>
        <w:tc>
          <w:tcPr>
            <w:tcW w:w="1379" w:type="pct"/>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24"/>
                <w:szCs w:val="24"/>
                <w:highlight w:val="none"/>
                <w:u w:val="none"/>
                <w:lang w:bidi="ar"/>
              </w:rPr>
            </w:pPr>
          </w:p>
        </w:tc>
        <w:tc>
          <w:tcPr>
            <w:tcW w:w="1462" w:type="pct"/>
            <w:tcBorders>
              <w:top w:val="nil"/>
              <w:left w:val="nil"/>
              <w:bottom w:val="single" w:color="auto" w:sz="4" w:space="0"/>
              <w:right w:val="single" w:color="auto" w:sz="4" w:space="0"/>
            </w:tcBorders>
            <w:noWrap w:val="0"/>
            <w:vAlign w:val="center"/>
          </w:tcPr>
          <w:p>
            <w:pPr>
              <w:jc w:val="center"/>
              <w:rPr>
                <w:rFonts w:hint="eastAsia" w:ascii="宋体" w:hAnsi="宋体" w:cs="宋体"/>
                <w:color w:val="auto"/>
                <w:kern w:val="0"/>
                <w:szCs w:val="21"/>
                <w:highlight w:val="none"/>
              </w:rPr>
            </w:pPr>
          </w:p>
        </w:tc>
      </w:tr>
      <w:tr>
        <w:tblPrEx>
          <w:tblCellMar>
            <w:top w:w="0" w:type="dxa"/>
            <w:left w:w="108" w:type="dxa"/>
            <w:bottom w:w="0" w:type="dxa"/>
            <w:right w:w="108" w:type="dxa"/>
          </w:tblCellMar>
        </w:tblPrEx>
        <w:trPr>
          <w:trHeight w:val="595" w:hRule="atLeast"/>
          <w:jc w:val="center"/>
        </w:trPr>
        <w:tc>
          <w:tcPr>
            <w:tcW w:w="2157"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总计</w:t>
            </w:r>
          </w:p>
        </w:tc>
        <w:tc>
          <w:tcPr>
            <w:tcW w:w="137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462"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kern w:val="0"/>
                <w:szCs w:val="21"/>
                <w:highlight w:val="none"/>
              </w:rPr>
            </w:pPr>
          </w:p>
        </w:tc>
      </w:tr>
    </w:tbl>
    <w:p>
      <w:pPr>
        <w:spacing w:line="360" w:lineRule="auto"/>
        <w:jc w:val="center"/>
        <w:rPr>
          <w:rFonts w:hint="eastAsia" w:ascii="宋体" w:hAnsi="宋体" w:cs="宋体"/>
          <w:color w:val="auto"/>
          <w:sz w:val="22"/>
          <w:szCs w:val="20"/>
          <w:highlight w:val="none"/>
          <w:lang w:bidi="ar"/>
        </w:rPr>
      </w:pPr>
    </w:p>
    <w:p>
      <w:pPr>
        <w:spacing w:line="360" w:lineRule="auto"/>
        <w:jc w:val="center"/>
        <w:rPr>
          <w:rFonts w:hint="eastAsia" w:ascii="宋体" w:hAnsi="宋体" w:cs="宋体"/>
          <w:color w:val="auto"/>
          <w:sz w:val="22"/>
          <w:szCs w:val="20"/>
          <w:highlight w:val="none"/>
          <w:lang w:bidi="ar"/>
        </w:rPr>
      </w:pPr>
    </w:p>
    <w:p>
      <w:pPr>
        <w:spacing w:line="360" w:lineRule="auto"/>
        <w:jc w:val="center"/>
        <w:rPr>
          <w:rFonts w:hint="eastAsia" w:ascii="宋体" w:hAnsi="宋体" w:cs="宋体"/>
          <w:color w:val="auto"/>
          <w:sz w:val="22"/>
          <w:szCs w:val="20"/>
          <w:highlight w:val="none"/>
          <w:lang w:bidi="ar"/>
        </w:rPr>
      </w:pPr>
    </w:p>
    <w:p>
      <w:pPr>
        <w:spacing w:line="360" w:lineRule="auto"/>
        <w:jc w:val="center"/>
        <w:rPr>
          <w:rFonts w:hint="eastAsia" w:ascii="宋体" w:hAnsi="宋体" w:cs="宋体"/>
          <w:color w:val="auto"/>
          <w:sz w:val="22"/>
          <w:szCs w:val="20"/>
          <w:highlight w:val="none"/>
        </w:rPr>
      </w:pPr>
      <w:r>
        <w:rPr>
          <w:rFonts w:hint="eastAsia" w:ascii="宋体" w:hAnsi="宋体" w:cs="宋体"/>
          <w:color w:val="auto"/>
          <w:sz w:val="22"/>
          <w:szCs w:val="20"/>
          <w:highlight w:val="none"/>
          <w:lang w:bidi="ar"/>
        </w:rPr>
        <w:t xml:space="preserve">                            投标人：（公章）</w:t>
      </w:r>
    </w:p>
    <w:p>
      <w:pPr>
        <w:spacing w:line="360" w:lineRule="auto"/>
        <w:jc w:val="right"/>
        <w:rPr>
          <w:rFonts w:hint="eastAsia" w:ascii="宋体" w:hAnsi="宋体" w:cs="宋体"/>
          <w:color w:val="auto"/>
          <w:sz w:val="22"/>
          <w:szCs w:val="20"/>
          <w:highlight w:val="none"/>
        </w:rPr>
      </w:pPr>
    </w:p>
    <w:p>
      <w:pPr>
        <w:spacing w:line="360" w:lineRule="auto"/>
        <w:jc w:val="center"/>
        <w:rPr>
          <w:rFonts w:hint="eastAsia" w:ascii="宋体" w:hAnsi="宋体" w:cs="宋体"/>
          <w:color w:val="auto"/>
          <w:sz w:val="22"/>
          <w:szCs w:val="20"/>
          <w:highlight w:val="none"/>
        </w:rPr>
      </w:pPr>
      <w:r>
        <w:rPr>
          <w:rFonts w:hint="eastAsia" w:ascii="宋体" w:hAnsi="宋体" w:cs="宋体"/>
          <w:color w:val="auto"/>
          <w:sz w:val="22"/>
          <w:szCs w:val="20"/>
          <w:highlight w:val="none"/>
          <w:lang w:bidi="ar"/>
        </w:rPr>
        <w:t xml:space="preserve">                                                     年  月   日</w:t>
      </w:r>
    </w:p>
    <w:p>
      <w:pPr>
        <w:spacing w:line="360" w:lineRule="auto"/>
        <w:jc w:val="center"/>
        <w:rPr>
          <w:rFonts w:hint="eastAsia" w:ascii="宋体" w:hAnsi="宋体" w:cs="宋体"/>
          <w:color w:val="auto"/>
          <w:sz w:val="22"/>
          <w:szCs w:val="20"/>
          <w:highlight w:val="none"/>
        </w:rPr>
      </w:pPr>
    </w:p>
    <w:p>
      <w:pPr>
        <w:spacing w:line="360" w:lineRule="auto"/>
        <w:jc w:val="center"/>
        <w:rPr>
          <w:rFonts w:hint="eastAsia" w:ascii="宋体" w:hAnsi="宋体" w:cs="宋体"/>
          <w:color w:val="auto"/>
          <w:sz w:val="22"/>
          <w:szCs w:val="20"/>
          <w:highlight w:val="none"/>
        </w:rPr>
      </w:pPr>
    </w:p>
    <w:p>
      <w:pPr>
        <w:widowControl/>
        <w:numPr>
          <w:ilvl w:val="0"/>
          <w:numId w:val="3"/>
        </w:numPr>
        <w:spacing w:line="360" w:lineRule="auto"/>
        <w:jc w:val="center"/>
        <w:rPr>
          <w:rFonts w:hint="eastAsia" w:ascii="宋体" w:hAnsi="宋体" w:cs="宋体"/>
          <w:b/>
          <w:color w:val="auto"/>
          <w:sz w:val="32"/>
          <w:szCs w:val="32"/>
          <w:highlight w:val="none"/>
          <w:lang w:bidi="ar"/>
        </w:rPr>
      </w:pPr>
      <w:r>
        <w:rPr>
          <w:rFonts w:hint="eastAsia" w:ascii="宋体" w:hAnsi="宋体"/>
          <w:color w:val="auto"/>
          <w:sz w:val="22"/>
          <w:szCs w:val="20"/>
          <w:highlight w:val="none"/>
          <w:lang w:bidi="ar"/>
        </w:rPr>
        <w:br w:type="page"/>
      </w:r>
      <w:r>
        <w:rPr>
          <w:rFonts w:hint="eastAsia" w:ascii="宋体" w:hAnsi="宋体" w:cs="宋体"/>
          <w:b/>
          <w:color w:val="auto"/>
          <w:sz w:val="32"/>
          <w:szCs w:val="32"/>
          <w:highlight w:val="none"/>
          <w:lang w:bidi="ar"/>
        </w:rPr>
        <w:t>工程量清单报价</w:t>
      </w:r>
    </w:p>
    <w:p>
      <w:pPr>
        <w:widowControl/>
        <w:numPr>
          <w:ilvl w:val="0"/>
          <w:numId w:val="0"/>
        </w:numPr>
        <w:spacing w:line="360" w:lineRule="auto"/>
        <w:jc w:val="center"/>
        <w:rPr>
          <w:rFonts w:hint="eastAsia" w:ascii="宋体" w:hAnsi="宋体" w:cs="宋体"/>
          <w:b/>
          <w:color w:val="auto"/>
          <w:sz w:val="32"/>
          <w:szCs w:val="32"/>
          <w:highlight w:val="none"/>
          <w:lang w:bidi="ar"/>
        </w:rPr>
      </w:pPr>
      <w:r>
        <w:rPr>
          <w:rFonts w:hint="eastAsia" w:ascii="宋体" w:hAnsi="宋体" w:cs="宋体"/>
          <w:b/>
          <w:color w:val="auto"/>
          <w:sz w:val="32"/>
          <w:szCs w:val="32"/>
          <w:highlight w:val="none"/>
          <w:lang w:bidi="ar"/>
        </w:rPr>
        <w:t>(格式详见招标文件第七章</w:t>
      </w:r>
      <w:r>
        <w:rPr>
          <w:rFonts w:hint="eastAsia" w:ascii="宋体" w:hAnsi="宋体" w:cs="宋体"/>
          <w:b/>
          <w:color w:val="auto"/>
          <w:sz w:val="32"/>
          <w:szCs w:val="32"/>
          <w:highlight w:val="none"/>
          <w:lang w:val="en-US" w:eastAsia="zh-CN" w:bidi="ar"/>
        </w:rPr>
        <w:t>第三方检测</w:t>
      </w:r>
      <w:r>
        <w:rPr>
          <w:rFonts w:hint="eastAsia" w:ascii="宋体" w:hAnsi="宋体" w:cs="宋体"/>
          <w:b/>
          <w:color w:val="auto"/>
          <w:sz w:val="32"/>
          <w:szCs w:val="32"/>
          <w:highlight w:val="none"/>
          <w:lang w:bidi="ar"/>
        </w:rPr>
        <w:t>清单及综合单价限价表）</w:t>
      </w:r>
      <w:bookmarkEnd w:id="187"/>
      <w:bookmarkEnd w:id="188"/>
      <w:bookmarkEnd w:id="189"/>
      <w:bookmarkEnd w:id="190"/>
      <w:bookmarkEnd w:id="191"/>
      <w:bookmarkEnd w:id="192"/>
    </w:p>
    <w:p>
      <w:pPr>
        <w:rPr>
          <w:rFonts w:hint="eastAsia"/>
          <w:color w:val="auto"/>
          <w:highlight w:val="none"/>
        </w:rPr>
      </w:pPr>
      <w:r>
        <w:rPr>
          <w:rFonts w:hint="eastAsia"/>
          <w:color w:val="auto"/>
          <w:highlight w:val="none"/>
        </w:rPr>
        <w:br w:type="page"/>
      </w:r>
    </w:p>
    <w:p>
      <w:pPr>
        <w:pStyle w:val="5"/>
        <w:jc w:val="both"/>
        <w:rPr>
          <w:rFonts w:hint="eastAsia" w:cs="宋体"/>
          <w:bCs/>
          <w:color w:val="auto"/>
          <w:kern w:val="0"/>
          <w:highlight w:val="none"/>
        </w:rPr>
      </w:pPr>
      <w:bookmarkStart w:id="194" w:name="_Toc4407"/>
      <w:r>
        <w:rPr>
          <w:rFonts w:hint="eastAsia"/>
          <w:color w:val="auto"/>
          <w:highlight w:val="none"/>
        </w:rPr>
        <w:t>五、资格审查资料</w:t>
      </w:r>
      <w:bookmarkEnd w:id="194"/>
    </w:p>
    <w:p>
      <w:pPr>
        <w:widowControl/>
        <w:jc w:val="center"/>
        <w:rPr>
          <w:rFonts w:hint="eastAsia"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（一）投标人基本情况表</w:t>
      </w:r>
    </w:p>
    <w:tbl>
      <w:tblPr>
        <w:tblStyle w:val="2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898"/>
        <w:gridCol w:w="1026"/>
        <w:gridCol w:w="1287"/>
        <w:gridCol w:w="414"/>
        <w:gridCol w:w="873"/>
        <w:gridCol w:w="828"/>
        <w:gridCol w:w="284"/>
        <w:gridCol w:w="123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pPr>
              <w:topLinePunct/>
              <w:spacing w:line="440" w:lineRule="exact"/>
              <w:jc w:val="center"/>
              <w:rPr>
                <w:rFonts w:ascii="宋体" w:hAnsi="宋体"/>
                <w:color w:val="auto"/>
                <w:highlight w:val="none"/>
              </w:rPr>
            </w:pPr>
            <w:r>
              <w:rPr>
                <w:rFonts w:hint="eastAsia" w:ascii="宋体" w:hAnsi="宋体"/>
                <w:color w:val="auto"/>
                <w:highlight w:val="none"/>
              </w:rPr>
              <w:t>投标人名称</w:t>
            </w:r>
          </w:p>
        </w:tc>
        <w:tc>
          <w:tcPr>
            <w:tcW w:w="6840" w:type="dxa"/>
            <w:gridSpan w:val="8"/>
            <w:tcBorders>
              <w:top w:val="single" w:color="auto" w:sz="4" w:space="0"/>
              <w:left w:val="single" w:color="auto" w:sz="4" w:space="0"/>
              <w:bottom w:val="single" w:color="auto" w:sz="4" w:space="0"/>
            </w:tcBorders>
            <w:vAlign w:val="center"/>
          </w:tcPr>
          <w:p>
            <w:pPr>
              <w:topLinePunct/>
              <w:spacing w:line="440" w:lineRule="exact"/>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pPr>
              <w:topLinePunct/>
              <w:spacing w:line="440" w:lineRule="exact"/>
              <w:jc w:val="center"/>
              <w:rPr>
                <w:rFonts w:ascii="宋体" w:hAnsi="宋体"/>
                <w:color w:val="auto"/>
                <w:highlight w:val="none"/>
              </w:rPr>
            </w:pPr>
            <w:r>
              <w:rPr>
                <w:rFonts w:hint="eastAsia" w:ascii="宋体" w:hAnsi="宋体"/>
                <w:color w:val="auto"/>
                <w:highlight w:val="none"/>
              </w:rPr>
              <w:t>注册地址</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auto"/>
                <w:highlight w:val="none"/>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邮政编码</w:t>
            </w:r>
          </w:p>
        </w:tc>
        <w:tc>
          <w:tcPr>
            <w:tcW w:w="2342" w:type="dxa"/>
            <w:gridSpan w:val="3"/>
            <w:tcBorders>
              <w:top w:val="single" w:color="auto" w:sz="4" w:space="0"/>
              <w:left w:val="single" w:color="auto" w:sz="4" w:space="0"/>
              <w:bottom w:val="single" w:color="auto" w:sz="4" w:space="0"/>
            </w:tcBorders>
            <w:vAlign w:val="center"/>
          </w:tcPr>
          <w:p>
            <w:pPr>
              <w:topLinePunct/>
              <w:spacing w:line="440" w:lineRule="exact"/>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restart"/>
            <w:tcBorders>
              <w:top w:val="single" w:color="auto" w:sz="4" w:space="0"/>
              <w:bottom w:val="single" w:color="auto" w:sz="4" w:space="0"/>
              <w:right w:val="single" w:color="auto" w:sz="4" w:space="0"/>
            </w:tcBorders>
            <w:vAlign w:val="center"/>
          </w:tcPr>
          <w:p>
            <w:pPr>
              <w:topLinePunct/>
              <w:spacing w:line="440" w:lineRule="exact"/>
              <w:jc w:val="center"/>
              <w:rPr>
                <w:rFonts w:ascii="宋体" w:hAnsi="宋体"/>
                <w:color w:val="auto"/>
                <w:highlight w:val="none"/>
              </w:rPr>
            </w:pPr>
            <w:r>
              <w:rPr>
                <w:rFonts w:hint="eastAsia" w:ascii="宋体" w:hAnsi="宋体"/>
                <w:color w:val="auto"/>
                <w:highlight w:val="none"/>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联系人</w:t>
            </w:r>
          </w:p>
        </w:tc>
        <w:tc>
          <w:tcPr>
            <w:tcW w:w="2313"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auto"/>
                <w:highlight w:val="none"/>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电话</w:t>
            </w:r>
          </w:p>
        </w:tc>
        <w:tc>
          <w:tcPr>
            <w:tcW w:w="2342" w:type="dxa"/>
            <w:gridSpan w:val="3"/>
            <w:tcBorders>
              <w:top w:val="single" w:color="auto" w:sz="4" w:space="0"/>
              <w:left w:val="single" w:color="auto" w:sz="4" w:space="0"/>
              <w:bottom w:val="single" w:color="auto" w:sz="4" w:space="0"/>
            </w:tcBorders>
            <w:vAlign w:val="center"/>
          </w:tcPr>
          <w:p>
            <w:pPr>
              <w:topLinePunct/>
              <w:spacing w:line="440" w:lineRule="exact"/>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continue"/>
            <w:tcBorders>
              <w:top w:val="single" w:color="auto" w:sz="4" w:space="0"/>
              <w:bottom w:val="single" w:color="auto" w:sz="4" w:space="0"/>
              <w:right w:val="single" w:color="auto" w:sz="4" w:space="0"/>
            </w:tcBorders>
            <w:vAlign w:val="center"/>
          </w:tcPr>
          <w:p>
            <w:pPr>
              <w:jc w:val="center"/>
              <w:rPr>
                <w:rFonts w:ascii="宋体" w:hAnsi="宋体"/>
                <w:color w:val="auto"/>
                <w:highlight w:val="none"/>
              </w:rPr>
            </w:pP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传真</w:t>
            </w:r>
          </w:p>
        </w:tc>
        <w:tc>
          <w:tcPr>
            <w:tcW w:w="2313"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auto"/>
                <w:highlight w:val="none"/>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网址</w:t>
            </w:r>
          </w:p>
        </w:tc>
        <w:tc>
          <w:tcPr>
            <w:tcW w:w="2342" w:type="dxa"/>
            <w:gridSpan w:val="3"/>
            <w:tcBorders>
              <w:top w:val="single" w:color="auto" w:sz="4" w:space="0"/>
              <w:left w:val="single" w:color="auto" w:sz="4" w:space="0"/>
              <w:bottom w:val="single" w:color="auto" w:sz="4" w:space="0"/>
            </w:tcBorders>
            <w:vAlign w:val="center"/>
          </w:tcPr>
          <w:p>
            <w:pPr>
              <w:topLinePunct/>
              <w:spacing w:line="440" w:lineRule="exact"/>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姓名</w:t>
            </w:r>
          </w:p>
        </w:tc>
        <w:tc>
          <w:tcPr>
            <w:tcW w:w="10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auto"/>
                <w:highlight w:val="none"/>
              </w:rPr>
            </w:pPr>
          </w:p>
        </w:tc>
        <w:tc>
          <w:tcPr>
            <w:tcW w:w="1287"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技术职称</w:t>
            </w: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auto"/>
                <w:highlight w:val="none"/>
              </w:rPr>
            </w:pPr>
          </w:p>
        </w:tc>
        <w:tc>
          <w:tcPr>
            <w:tcW w:w="1112"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电话</w:t>
            </w:r>
          </w:p>
        </w:tc>
        <w:tc>
          <w:tcPr>
            <w:tcW w:w="1230" w:type="dxa"/>
            <w:tcBorders>
              <w:top w:val="single" w:color="auto" w:sz="4" w:space="0"/>
              <w:left w:val="single" w:color="auto" w:sz="4" w:space="0"/>
              <w:bottom w:val="single" w:color="auto" w:sz="4" w:space="0"/>
            </w:tcBorders>
            <w:vAlign w:val="center"/>
          </w:tcPr>
          <w:p>
            <w:pPr>
              <w:topLinePunct/>
              <w:spacing w:line="440" w:lineRule="exact"/>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pPr>
              <w:topLinePunct/>
              <w:spacing w:line="440" w:lineRule="exact"/>
              <w:jc w:val="center"/>
              <w:rPr>
                <w:rFonts w:ascii="宋体" w:hAnsi="宋体"/>
                <w:color w:val="auto"/>
                <w:highlight w:val="none"/>
              </w:rPr>
            </w:pPr>
            <w:r>
              <w:rPr>
                <w:rFonts w:hint="eastAsia" w:ascii="宋体" w:hAnsi="宋体"/>
                <w:color w:val="auto"/>
                <w:szCs w:val="21"/>
                <w:highlight w:val="none"/>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姓名</w:t>
            </w:r>
          </w:p>
        </w:tc>
        <w:tc>
          <w:tcPr>
            <w:tcW w:w="10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auto"/>
                <w:highlight w:val="none"/>
              </w:rPr>
            </w:pPr>
          </w:p>
        </w:tc>
        <w:tc>
          <w:tcPr>
            <w:tcW w:w="1287"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技术职称</w:t>
            </w: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auto"/>
                <w:highlight w:val="none"/>
              </w:rPr>
            </w:pPr>
          </w:p>
        </w:tc>
        <w:tc>
          <w:tcPr>
            <w:tcW w:w="1112"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电话</w:t>
            </w:r>
          </w:p>
        </w:tc>
        <w:tc>
          <w:tcPr>
            <w:tcW w:w="1230" w:type="dxa"/>
            <w:tcBorders>
              <w:top w:val="single" w:color="auto" w:sz="4" w:space="0"/>
              <w:left w:val="single" w:color="auto" w:sz="4" w:space="0"/>
              <w:bottom w:val="single" w:color="auto" w:sz="4" w:space="0"/>
            </w:tcBorders>
            <w:vAlign w:val="center"/>
          </w:tcPr>
          <w:p>
            <w:pPr>
              <w:topLinePunct/>
              <w:spacing w:line="440" w:lineRule="exact"/>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企业资质证书</w:t>
            </w:r>
          </w:p>
        </w:tc>
        <w:tc>
          <w:tcPr>
            <w:tcW w:w="6840" w:type="dxa"/>
            <w:gridSpan w:val="8"/>
            <w:tcBorders>
              <w:top w:val="single" w:color="auto" w:sz="4" w:space="0"/>
              <w:left w:val="single" w:color="auto" w:sz="4" w:space="0"/>
              <w:bottom w:val="single" w:color="auto" w:sz="4" w:space="0"/>
            </w:tcBorders>
            <w:vAlign w:val="center"/>
          </w:tcPr>
          <w:p>
            <w:pPr>
              <w:topLinePunct/>
              <w:spacing w:before="100" w:beforeAutospacing="1" w:after="100" w:afterAutospacing="1" w:line="440" w:lineRule="exact"/>
              <w:ind w:firstLine="105" w:firstLineChars="50"/>
              <w:jc w:val="center"/>
              <w:rPr>
                <w:rFonts w:ascii="宋体" w:hAnsi="宋体"/>
                <w:color w:val="auto"/>
                <w:highlight w:val="none"/>
              </w:rPr>
            </w:pPr>
            <w:r>
              <w:rPr>
                <w:rFonts w:hint="eastAsia" w:ascii="宋体" w:hAnsi="宋体"/>
                <w:color w:val="auto"/>
                <w:highlight w:val="none"/>
              </w:rPr>
              <w:t>类型：等级：证书号：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质量管理体系证书（如有）</w:t>
            </w:r>
          </w:p>
        </w:tc>
        <w:tc>
          <w:tcPr>
            <w:tcW w:w="6840" w:type="dxa"/>
            <w:gridSpan w:val="8"/>
            <w:tcBorders>
              <w:top w:val="single" w:color="auto" w:sz="4" w:space="0"/>
              <w:left w:val="single" w:color="auto" w:sz="4" w:space="0"/>
              <w:bottom w:val="single" w:color="auto" w:sz="4" w:space="0"/>
            </w:tcBorders>
            <w:vAlign w:val="center"/>
          </w:tcPr>
          <w:p>
            <w:pPr>
              <w:topLinePunct/>
              <w:spacing w:before="100" w:beforeAutospacing="1" w:after="100" w:afterAutospacing="1" w:line="440" w:lineRule="exact"/>
              <w:ind w:firstLine="105" w:firstLineChars="50"/>
              <w:jc w:val="center"/>
              <w:rPr>
                <w:rFonts w:ascii="宋体" w:hAnsi="宋体"/>
                <w:color w:val="auto"/>
                <w:highlight w:val="none"/>
              </w:rPr>
            </w:pPr>
            <w:r>
              <w:rPr>
                <w:rFonts w:hint="eastAsia" w:ascii="宋体" w:hAnsi="宋体"/>
                <w:color w:val="auto"/>
                <w:highlight w:val="none"/>
              </w:rPr>
              <w:t>类型：等级：证书号：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营业执照号</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auto"/>
                <w:highlight w:val="none"/>
              </w:rPr>
            </w:pPr>
          </w:p>
        </w:tc>
        <w:tc>
          <w:tcPr>
            <w:tcW w:w="3629" w:type="dxa"/>
            <w:gridSpan w:val="5"/>
            <w:tcBorders>
              <w:top w:val="single" w:color="auto" w:sz="4" w:space="0"/>
              <w:left w:val="single" w:color="auto" w:sz="4" w:space="0"/>
              <w:bottom w:val="single" w:color="auto" w:sz="4" w:space="0"/>
            </w:tcBorders>
            <w:vAlign w:val="center"/>
          </w:tcPr>
          <w:p>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注册资本</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auto"/>
                <w:highlight w:val="none"/>
              </w:rPr>
            </w:pPr>
          </w:p>
        </w:tc>
        <w:tc>
          <w:tcPr>
            <w:tcW w:w="414" w:type="dxa"/>
            <w:vMerge w:val="restart"/>
            <w:tcBorders>
              <w:top w:val="single" w:color="auto" w:sz="4" w:space="0"/>
              <w:left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其中</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高级职称人员</w:t>
            </w:r>
          </w:p>
        </w:tc>
        <w:tc>
          <w:tcPr>
            <w:tcW w:w="1514" w:type="dxa"/>
            <w:gridSpan w:val="2"/>
            <w:tcBorders>
              <w:top w:val="single" w:color="auto" w:sz="4" w:space="0"/>
              <w:left w:val="single" w:color="auto" w:sz="4" w:space="0"/>
              <w:bottom w:val="single" w:color="auto" w:sz="4" w:space="0"/>
            </w:tcBorders>
            <w:vAlign w:val="center"/>
          </w:tcPr>
          <w:p>
            <w:pPr>
              <w:topLinePunct/>
              <w:spacing w:line="440" w:lineRule="exact"/>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成立日期</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auto"/>
                <w:highlight w:val="none"/>
              </w:rPr>
            </w:pPr>
          </w:p>
        </w:tc>
        <w:tc>
          <w:tcPr>
            <w:tcW w:w="414" w:type="dxa"/>
            <w:vMerge w:val="continue"/>
            <w:tcBorders>
              <w:left w:val="single" w:color="auto" w:sz="4" w:space="0"/>
              <w:right w:val="single" w:color="auto" w:sz="4" w:space="0"/>
            </w:tcBorders>
            <w:vAlign w:val="center"/>
          </w:tcPr>
          <w:p>
            <w:pPr>
              <w:jc w:val="center"/>
              <w:rPr>
                <w:rFonts w:ascii="宋体" w:hAnsi="宋体"/>
                <w:color w:val="auto"/>
                <w:highlight w:val="none"/>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中级职称人员</w:t>
            </w:r>
          </w:p>
        </w:tc>
        <w:tc>
          <w:tcPr>
            <w:tcW w:w="1514" w:type="dxa"/>
            <w:gridSpan w:val="2"/>
            <w:tcBorders>
              <w:top w:val="single" w:color="auto" w:sz="4" w:space="0"/>
              <w:left w:val="single" w:color="auto" w:sz="4" w:space="0"/>
              <w:bottom w:val="single" w:color="auto" w:sz="4" w:space="0"/>
            </w:tcBorders>
            <w:vAlign w:val="center"/>
          </w:tcPr>
          <w:p>
            <w:pPr>
              <w:topLinePunct/>
              <w:spacing w:line="440" w:lineRule="exact"/>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基本账户开户银行</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auto"/>
                <w:highlight w:val="none"/>
              </w:rPr>
            </w:pPr>
          </w:p>
        </w:tc>
        <w:tc>
          <w:tcPr>
            <w:tcW w:w="414" w:type="dxa"/>
            <w:vMerge w:val="continue"/>
            <w:tcBorders>
              <w:left w:val="single" w:color="auto" w:sz="4" w:space="0"/>
              <w:right w:val="single" w:color="auto" w:sz="4" w:space="0"/>
            </w:tcBorders>
            <w:vAlign w:val="center"/>
          </w:tcPr>
          <w:p>
            <w:pPr>
              <w:jc w:val="center"/>
              <w:rPr>
                <w:rFonts w:ascii="宋体" w:hAnsi="宋体"/>
                <w:color w:val="auto"/>
                <w:highlight w:val="none"/>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技术人员数量</w:t>
            </w:r>
          </w:p>
        </w:tc>
        <w:tc>
          <w:tcPr>
            <w:tcW w:w="1514" w:type="dxa"/>
            <w:gridSpan w:val="2"/>
            <w:tcBorders>
              <w:top w:val="single" w:color="auto" w:sz="4" w:space="0"/>
              <w:left w:val="single" w:color="auto" w:sz="4" w:space="0"/>
              <w:bottom w:val="single" w:color="auto" w:sz="4" w:space="0"/>
            </w:tcBorders>
            <w:vAlign w:val="center"/>
          </w:tcPr>
          <w:p>
            <w:pPr>
              <w:topLinePunct/>
              <w:spacing w:line="440" w:lineRule="exact"/>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基本账户银行账号</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auto"/>
                <w:highlight w:val="none"/>
              </w:rPr>
            </w:pPr>
          </w:p>
        </w:tc>
        <w:tc>
          <w:tcPr>
            <w:tcW w:w="414" w:type="dxa"/>
            <w:vMerge w:val="continue"/>
            <w:tcBorders>
              <w:left w:val="single" w:color="auto" w:sz="4" w:space="0"/>
              <w:right w:val="single" w:color="auto" w:sz="4" w:space="0"/>
            </w:tcBorders>
            <w:vAlign w:val="center"/>
          </w:tcPr>
          <w:p>
            <w:pPr>
              <w:jc w:val="center"/>
              <w:rPr>
                <w:rFonts w:ascii="宋体" w:hAnsi="宋体"/>
                <w:color w:val="auto"/>
                <w:highlight w:val="none"/>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szCs w:val="21"/>
                <w:highlight w:val="none"/>
              </w:rPr>
              <w:t>各类注册人员</w:t>
            </w:r>
          </w:p>
        </w:tc>
        <w:tc>
          <w:tcPr>
            <w:tcW w:w="1514" w:type="dxa"/>
            <w:gridSpan w:val="2"/>
            <w:tcBorders>
              <w:top w:val="single" w:color="auto" w:sz="4" w:space="0"/>
              <w:left w:val="single" w:color="auto" w:sz="4" w:space="0"/>
              <w:bottom w:val="single" w:color="auto" w:sz="4" w:space="0"/>
            </w:tcBorders>
            <w:vAlign w:val="center"/>
          </w:tcPr>
          <w:p>
            <w:pPr>
              <w:topLinePunct/>
              <w:spacing w:line="440" w:lineRule="exact"/>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right w:val="single" w:color="auto" w:sz="4" w:space="0"/>
            </w:tcBorders>
            <w:vAlign w:val="center"/>
          </w:tcPr>
          <w:p>
            <w:pPr>
              <w:topLinePunct/>
              <w:spacing w:before="100" w:beforeAutospacing="1" w:after="100" w:afterAutospacing="1" w:line="440" w:lineRule="exact"/>
              <w:ind w:firstLine="210" w:firstLineChars="100"/>
              <w:jc w:val="center"/>
              <w:rPr>
                <w:rFonts w:ascii="宋体" w:hAnsi="宋体"/>
                <w:color w:val="auto"/>
                <w:highlight w:val="none"/>
              </w:rPr>
            </w:pPr>
            <w:r>
              <w:rPr>
                <w:rFonts w:hint="eastAsia" w:ascii="宋体" w:hAnsi="宋体"/>
                <w:color w:val="auto"/>
                <w:highlight w:val="none"/>
              </w:rPr>
              <w:t>经营范围</w:t>
            </w:r>
          </w:p>
        </w:tc>
        <w:tc>
          <w:tcPr>
            <w:tcW w:w="6840" w:type="dxa"/>
            <w:gridSpan w:val="8"/>
            <w:tcBorders>
              <w:top w:val="single" w:color="auto" w:sz="4" w:space="0"/>
              <w:left w:val="single" w:color="auto" w:sz="4" w:space="0"/>
            </w:tcBorders>
            <w:vAlign w:val="center"/>
          </w:tcPr>
          <w:p>
            <w:pPr>
              <w:topLinePunct/>
              <w:spacing w:line="440" w:lineRule="exact"/>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szCs w:val="21"/>
                <w:highlight w:val="none"/>
              </w:rPr>
              <w:t>投标人关联企业情况（包括但不限于与投标人法定代表人为同一人或者存在控股、管理关系的不同单位）</w:t>
            </w:r>
          </w:p>
        </w:tc>
        <w:tc>
          <w:tcPr>
            <w:tcW w:w="6840" w:type="dxa"/>
            <w:gridSpan w:val="8"/>
            <w:tcBorders>
              <w:top w:val="single" w:color="auto" w:sz="4" w:space="0"/>
              <w:left w:val="single" w:color="auto" w:sz="4" w:space="0"/>
            </w:tcBorders>
            <w:vAlign w:val="center"/>
          </w:tcPr>
          <w:p>
            <w:pPr>
              <w:topLinePunct/>
              <w:spacing w:line="440" w:lineRule="exact"/>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046" w:type="dxa"/>
            <w:tcBorders>
              <w:top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备注</w:t>
            </w:r>
          </w:p>
        </w:tc>
        <w:tc>
          <w:tcPr>
            <w:tcW w:w="6840" w:type="dxa"/>
            <w:gridSpan w:val="8"/>
            <w:tcBorders>
              <w:top w:val="single" w:color="auto" w:sz="4" w:space="0"/>
              <w:left w:val="single" w:color="auto" w:sz="4" w:space="0"/>
              <w:bottom w:val="single" w:color="auto" w:sz="4" w:space="0"/>
            </w:tcBorders>
            <w:vAlign w:val="center"/>
          </w:tcPr>
          <w:p>
            <w:pPr>
              <w:topLinePunct/>
              <w:spacing w:line="440" w:lineRule="exact"/>
              <w:jc w:val="center"/>
              <w:rPr>
                <w:rFonts w:ascii="宋体" w:hAnsi="宋体"/>
                <w:color w:val="auto"/>
                <w:highlight w:val="none"/>
              </w:rPr>
            </w:pPr>
          </w:p>
        </w:tc>
      </w:tr>
    </w:tbl>
    <w:p>
      <w:pPr>
        <w:snapToGrid w:val="0"/>
        <w:rPr>
          <w:rFonts w:ascii="宋体" w:hAnsi="宋体"/>
          <w:color w:val="auto"/>
          <w:spacing w:val="-5"/>
          <w:szCs w:val="21"/>
          <w:highlight w:val="none"/>
        </w:rPr>
      </w:pPr>
    </w:p>
    <w:p>
      <w:pPr>
        <w:snapToGrid w:val="0"/>
        <w:rPr>
          <w:rFonts w:ascii="宋体" w:hAnsi="宋体"/>
          <w:color w:val="auto"/>
          <w:spacing w:val="-5"/>
          <w:szCs w:val="21"/>
          <w:highlight w:val="none"/>
        </w:rPr>
      </w:pPr>
      <w:r>
        <w:rPr>
          <w:rFonts w:hint="eastAsia" w:ascii="宋体" w:hAnsi="宋体"/>
          <w:color w:val="auto"/>
          <w:spacing w:val="-5"/>
          <w:szCs w:val="21"/>
          <w:highlight w:val="none"/>
        </w:rPr>
        <w:t>注：</w:t>
      </w:r>
      <w:r>
        <w:rPr>
          <w:rFonts w:ascii="宋体" w:hAnsi="宋体"/>
          <w:color w:val="auto"/>
          <w:spacing w:val="-5"/>
          <w:szCs w:val="21"/>
          <w:highlight w:val="none"/>
        </w:rPr>
        <w:t>1.</w:t>
      </w:r>
      <w:r>
        <w:rPr>
          <w:rFonts w:hint="eastAsia" w:ascii="宋体" w:hAnsi="宋体"/>
          <w:color w:val="auto"/>
          <w:spacing w:val="-5"/>
          <w:szCs w:val="21"/>
          <w:highlight w:val="none"/>
        </w:rPr>
        <w:t>联系人栏应填写两个人的联系方式以便于联系。</w:t>
      </w:r>
    </w:p>
    <w:p>
      <w:pPr>
        <w:snapToGrid w:val="0"/>
        <w:rPr>
          <w:rFonts w:ascii="宋体" w:hAnsi="宋体"/>
          <w:color w:val="auto"/>
          <w:position w:val="-30"/>
          <w:sz w:val="22"/>
          <w:highlight w:val="none"/>
        </w:rPr>
      </w:pPr>
      <w:r>
        <w:rPr>
          <w:rFonts w:ascii="宋体" w:hAnsi="宋体"/>
          <w:color w:val="auto"/>
          <w:position w:val="-30"/>
          <w:szCs w:val="21"/>
          <w:highlight w:val="none"/>
        </w:rPr>
        <w:t>2</w:t>
      </w:r>
      <w:r>
        <w:rPr>
          <w:rFonts w:hint="eastAsia" w:ascii="宋体" w:hAnsi="宋体"/>
          <w:color w:val="auto"/>
          <w:position w:val="-30"/>
          <w:szCs w:val="21"/>
          <w:highlight w:val="none"/>
        </w:rPr>
        <w:t>、本表后须附检测投标单位的营业执照副本或事业单位法人证书副本、建设行政主管部门颁发的建设工程质量检测机构资质证书、</w:t>
      </w:r>
      <w:r>
        <w:rPr>
          <w:rFonts w:ascii="宋体" w:hAnsi="宋体"/>
          <w:color w:val="auto"/>
          <w:position w:val="-30"/>
          <w:szCs w:val="21"/>
          <w:highlight w:val="none"/>
        </w:rPr>
        <w:t>CMA</w:t>
      </w:r>
      <w:r>
        <w:rPr>
          <w:rFonts w:hint="eastAsia" w:ascii="宋体" w:hAnsi="宋体"/>
          <w:color w:val="auto"/>
          <w:position w:val="-30"/>
          <w:szCs w:val="21"/>
          <w:highlight w:val="none"/>
        </w:rPr>
        <w:t>计量认证合格证书以及其他相关证明材料。</w:t>
      </w:r>
    </w:p>
    <w:p>
      <w:pPr>
        <w:widowControl/>
        <w:jc w:val="center"/>
        <w:rPr>
          <w:rFonts w:ascii="宋体" w:hAnsi="宋体" w:cs="宋体"/>
          <w:b/>
          <w:bCs/>
          <w:color w:val="auto"/>
          <w:kern w:val="0"/>
          <w:sz w:val="28"/>
          <w:szCs w:val="28"/>
          <w:highlight w:val="none"/>
        </w:rPr>
      </w:pPr>
      <w:r>
        <w:rPr>
          <w:rFonts w:ascii="宋体" w:hAnsi="宋体"/>
          <w:color w:val="auto"/>
          <w:position w:val="-30"/>
          <w:sz w:val="22"/>
          <w:highlight w:val="none"/>
        </w:rPr>
        <w:br w:type="page"/>
      </w:r>
      <w:r>
        <w:rPr>
          <w:rFonts w:hint="eastAsia" w:ascii="宋体" w:hAnsi="宋体" w:cs="宋体"/>
          <w:b/>
          <w:bCs/>
          <w:color w:val="auto"/>
          <w:kern w:val="0"/>
          <w:sz w:val="28"/>
          <w:szCs w:val="28"/>
          <w:highlight w:val="none"/>
        </w:rPr>
        <w:t>（二）投标申请人声明</w:t>
      </w:r>
    </w:p>
    <w:p>
      <w:pPr>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广州市黄埔区住房和城乡建设局、广州开发区建设和交通局、本招标项目招标人及招标监管机构：</w:t>
      </w:r>
    </w:p>
    <w:p>
      <w:pPr>
        <w:spacing w:line="360" w:lineRule="auto"/>
        <w:ind w:firstLine="484" w:firstLineChars="202"/>
        <w:rPr>
          <w:rFonts w:ascii="宋体" w:hAnsi="宋体"/>
          <w:color w:val="auto"/>
          <w:sz w:val="24"/>
          <w:szCs w:val="24"/>
          <w:highlight w:val="none"/>
        </w:rPr>
      </w:pPr>
      <w:r>
        <w:rPr>
          <w:rFonts w:hint="eastAsia" w:ascii="宋体" w:hAnsi="宋体"/>
          <w:color w:val="auto"/>
          <w:sz w:val="24"/>
          <w:szCs w:val="24"/>
          <w:highlight w:val="none"/>
        </w:rPr>
        <w:t>本公司就参加</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投标工作，作出郑重声明：</w:t>
      </w:r>
    </w:p>
    <w:p>
      <w:pPr>
        <w:spacing w:line="360" w:lineRule="auto"/>
        <w:ind w:firstLine="484" w:firstLineChars="202"/>
        <w:rPr>
          <w:rFonts w:ascii="宋体" w:hAnsi="宋体"/>
          <w:color w:val="auto"/>
          <w:sz w:val="24"/>
          <w:szCs w:val="24"/>
          <w:highlight w:val="none"/>
        </w:rPr>
      </w:pPr>
      <w:r>
        <w:rPr>
          <w:rFonts w:hint="eastAsia" w:ascii="宋体" w:hAnsi="宋体"/>
          <w:color w:val="auto"/>
          <w:sz w:val="24"/>
          <w:szCs w:val="24"/>
          <w:highlight w:val="none"/>
        </w:rPr>
        <w:t>一、本公司保证投标资格审查材料及其后提供的一切材料都是真实的，如我司成为本项目中标候选人，我司同意并授权招标人将我司投标文件商务部分文件的所有内容（包括人员、业绩、奖项等资料）进行公开。</w:t>
      </w:r>
    </w:p>
    <w:p>
      <w:pPr>
        <w:spacing w:line="360" w:lineRule="auto"/>
        <w:ind w:firstLine="484" w:firstLineChars="202"/>
        <w:rPr>
          <w:rFonts w:ascii="宋体" w:hAnsi="宋体"/>
          <w:color w:val="auto"/>
          <w:sz w:val="24"/>
          <w:szCs w:val="24"/>
          <w:highlight w:val="none"/>
        </w:rPr>
      </w:pPr>
      <w:r>
        <w:rPr>
          <w:rFonts w:hint="eastAsia" w:ascii="宋体" w:hAnsi="宋体"/>
          <w:color w:val="auto"/>
          <w:sz w:val="24"/>
          <w:szCs w:val="24"/>
          <w:highlight w:val="none"/>
        </w:rPr>
        <w:t>二、本公司保证在本项目投标中不与其他单位围标、串标，不出让投标资格，不向招标人或评标委员会成员行贿。</w:t>
      </w:r>
    </w:p>
    <w:p>
      <w:pPr>
        <w:spacing w:line="360" w:lineRule="auto"/>
        <w:ind w:firstLine="484" w:firstLineChars="202"/>
        <w:rPr>
          <w:rFonts w:ascii="宋体" w:hAnsi="宋体"/>
          <w:color w:val="auto"/>
          <w:sz w:val="24"/>
          <w:szCs w:val="24"/>
          <w:highlight w:val="none"/>
        </w:rPr>
      </w:pPr>
      <w:r>
        <w:rPr>
          <w:rFonts w:hint="eastAsia" w:ascii="宋体" w:hAnsi="宋体"/>
          <w:color w:val="auto"/>
          <w:sz w:val="24"/>
          <w:szCs w:val="24"/>
          <w:highlight w:val="none"/>
        </w:rPr>
        <w:t>三、本公司没有处于被责令停业的状态；没有处于被建设行政主管部门取消投标资格的处罚期内；没有处于财产被接管、冻结、破产的状态；本公司没有在投标登记截止时间前三年内被人民法院判决犯有行贿罪的记录。投标登记截止日期前三年内，本公司没有弄虚作假骗取中标、围标串标行为（以行政主管部门或法院或检察院书面认定为准），本公司没有被人民法院列入失信被执行人名单。在投标登记截止日期前三年内没有建设行政主管部门已书面认定的重大工程质量问题。本公司未在以往工程中因不诚信行为或不充分履约行为被本项目招标人书面拒绝投标; 本公司未被纳入联合惩戒范围；本公司近</w:t>
      </w:r>
      <w:r>
        <w:rPr>
          <w:rFonts w:hint="eastAsia" w:ascii="宋体" w:hAnsi="宋体"/>
          <w:color w:val="auto"/>
          <w:sz w:val="24"/>
          <w:szCs w:val="24"/>
          <w:highlight w:val="none"/>
          <w:lang w:eastAsia="zh-CN"/>
        </w:rPr>
        <w:t>两</w:t>
      </w:r>
      <w:r>
        <w:rPr>
          <w:rFonts w:hint="eastAsia" w:ascii="宋体" w:hAnsi="宋体"/>
          <w:color w:val="auto"/>
          <w:sz w:val="24"/>
          <w:szCs w:val="24"/>
          <w:highlight w:val="none"/>
        </w:rPr>
        <w:t>年（</w:t>
      </w:r>
      <w:r>
        <w:rPr>
          <w:rFonts w:hint="eastAsia" w:ascii="宋体" w:hAnsi="宋体" w:cs="宋体"/>
          <w:color w:val="auto"/>
          <w:sz w:val="24"/>
          <w:szCs w:val="24"/>
          <w:highlight w:val="none"/>
        </w:rPr>
        <w:t>从202</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年1月1日起至投标截止时间止</w:t>
      </w:r>
      <w:r>
        <w:rPr>
          <w:rFonts w:hint="eastAsia" w:ascii="宋体" w:hAnsi="宋体"/>
          <w:color w:val="auto"/>
          <w:sz w:val="24"/>
          <w:szCs w:val="24"/>
          <w:highlight w:val="none"/>
        </w:rPr>
        <w:t>）未因以往检测工作中存在伪造检测数据、出具虚假检测报告的行为被各级建设行政主管部门或市场监督管理部门行政处罚或通报的。</w:t>
      </w:r>
    </w:p>
    <w:p>
      <w:pPr>
        <w:spacing w:line="360" w:lineRule="auto"/>
        <w:ind w:firstLine="484" w:firstLineChars="202"/>
        <w:rPr>
          <w:rFonts w:ascii="宋体" w:hAnsi="宋体"/>
          <w:color w:val="auto"/>
          <w:sz w:val="24"/>
          <w:szCs w:val="24"/>
          <w:highlight w:val="none"/>
        </w:rPr>
      </w:pPr>
      <w:r>
        <w:rPr>
          <w:rFonts w:hint="eastAsia" w:ascii="宋体" w:hAnsi="宋体"/>
          <w:color w:val="auto"/>
          <w:sz w:val="24"/>
          <w:szCs w:val="24"/>
          <w:highlight w:val="none"/>
        </w:rPr>
        <w:t>四、本公司不存在招标文件第二章投标人须知第1.4.3项所规定的任何一种情形。</w:t>
      </w:r>
    </w:p>
    <w:p>
      <w:pPr>
        <w:spacing w:line="360" w:lineRule="auto"/>
        <w:ind w:firstLine="484" w:firstLineChars="202"/>
        <w:rPr>
          <w:rFonts w:ascii="宋体" w:hAnsi="宋体"/>
          <w:color w:val="auto"/>
          <w:sz w:val="24"/>
          <w:szCs w:val="24"/>
          <w:highlight w:val="none"/>
        </w:rPr>
      </w:pPr>
      <w:r>
        <w:rPr>
          <w:rFonts w:hint="eastAsia" w:ascii="宋体" w:hAnsi="宋体"/>
          <w:color w:val="auto"/>
          <w:sz w:val="24"/>
          <w:szCs w:val="24"/>
          <w:highlight w:val="none"/>
        </w:rPr>
        <w:t xml:space="preserve">五、本公司不为招标人不具有独立法人资格的附属机构（单位），不存在与招标人存在利害关系且可能影响招标公正性；本公司及其有隶属关系的机构没有参加本项目的设计、前期工作、招标文件编写、监理工作；本公司与承担本招标项目代建单位（适用于有代建单位项目）、施工和监理业务的单位没有隶属关系或其他利害关系；本公司与本次招标的招标代理机构没有隶属关系或其他利害关系；本公司与本工程的承包单位以及建筑材料、建筑构配件和设备供应单位没有隶属关系或其他利害关系。 </w:t>
      </w:r>
    </w:p>
    <w:p>
      <w:pPr>
        <w:spacing w:line="360" w:lineRule="auto"/>
        <w:ind w:firstLine="484" w:firstLineChars="202"/>
        <w:rPr>
          <w:rFonts w:ascii="宋体" w:hAnsi="宋体"/>
          <w:color w:val="auto"/>
          <w:sz w:val="24"/>
          <w:szCs w:val="24"/>
          <w:highlight w:val="none"/>
        </w:rPr>
      </w:pPr>
      <w:r>
        <w:rPr>
          <w:rFonts w:hint="eastAsia" w:ascii="宋体" w:hAnsi="宋体"/>
          <w:color w:val="auto"/>
          <w:sz w:val="24"/>
          <w:szCs w:val="24"/>
          <w:highlight w:val="none"/>
        </w:rPr>
        <w:t>六、与本公司单位负责人为同一人或者与本公司存在控股、管理关系的其他单位包括</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。（注：本条由投标人如实填写，如有，应列出全部满足招标公告资质要求的相关单位的名称；如无，则填写“无”。）</w:t>
      </w:r>
    </w:p>
    <w:p>
      <w:pPr>
        <w:spacing w:line="360" w:lineRule="auto"/>
        <w:ind w:firstLine="484" w:firstLineChars="202"/>
        <w:rPr>
          <w:rFonts w:ascii="宋体" w:hAnsi="宋体"/>
          <w:color w:val="auto"/>
          <w:sz w:val="24"/>
          <w:szCs w:val="24"/>
          <w:highlight w:val="none"/>
        </w:rPr>
      </w:pPr>
      <w:r>
        <w:rPr>
          <w:rFonts w:hint="eastAsia" w:ascii="宋体" w:hAnsi="宋体"/>
          <w:color w:val="auto"/>
          <w:sz w:val="24"/>
          <w:szCs w:val="24"/>
          <w:highlight w:val="none"/>
        </w:rPr>
        <w:t>七、本公司承诺，中标后严格执行安全生产相关管理规定。</w:t>
      </w:r>
    </w:p>
    <w:p>
      <w:pPr>
        <w:spacing w:line="360" w:lineRule="auto"/>
        <w:ind w:firstLine="484" w:firstLineChars="202"/>
        <w:rPr>
          <w:rFonts w:ascii="宋体" w:hAnsi="宋体"/>
          <w:color w:val="auto"/>
          <w:sz w:val="24"/>
          <w:szCs w:val="24"/>
          <w:highlight w:val="none"/>
        </w:rPr>
      </w:pPr>
      <w:r>
        <w:rPr>
          <w:rFonts w:hint="eastAsia" w:ascii="宋体" w:hAnsi="宋体"/>
          <w:color w:val="auto"/>
          <w:sz w:val="24"/>
          <w:szCs w:val="24"/>
          <w:highlight w:val="none"/>
        </w:rPr>
        <w:t>八、本公司承诺，中标后严格按照合同和招投标文件规定履行义务，并同意招标人将其履行合同、招投标文件义务的履约情况和不诚信行为（包括但不限于由招标人做出的违约责任处理决定等）在招标人网站和建设项目业主网站及其他媒体上公开披露，由此造成的一切损失和不利后果均由本公司自行承担。</w:t>
      </w:r>
    </w:p>
    <w:p>
      <w:pPr>
        <w:spacing w:line="360" w:lineRule="auto"/>
        <w:ind w:firstLine="484" w:firstLineChars="202"/>
        <w:rPr>
          <w:rFonts w:ascii="宋体" w:hAnsi="宋体"/>
          <w:color w:val="auto"/>
          <w:sz w:val="24"/>
          <w:szCs w:val="24"/>
          <w:highlight w:val="none"/>
        </w:rPr>
      </w:pPr>
      <w:r>
        <w:rPr>
          <w:rFonts w:hint="eastAsia" w:ascii="宋体" w:hAnsi="宋体"/>
          <w:color w:val="auto"/>
          <w:sz w:val="24"/>
          <w:szCs w:val="24"/>
          <w:highlight w:val="none"/>
        </w:rPr>
        <w:t>九、（1）本单位及拟派项目负责人近</w:t>
      </w:r>
      <w:r>
        <w:rPr>
          <w:rFonts w:hint="eastAsia" w:ascii="宋体" w:hAnsi="宋体"/>
          <w:color w:val="auto"/>
          <w:sz w:val="24"/>
          <w:szCs w:val="24"/>
          <w:highlight w:val="none"/>
          <w:lang w:eastAsia="zh-CN"/>
        </w:rPr>
        <w:t>两</w:t>
      </w:r>
      <w:r>
        <w:rPr>
          <w:rFonts w:hint="eastAsia" w:ascii="宋体" w:hAnsi="宋体"/>
          <w:color w:val="auto"/>
          <w:sz w:val="24"/>
          <w:szCs w:val="24"/>
          <w:highlight w:val="none"/>
        </w:rPr>
        <w:t>年未因与工程项目施工相关的车辆运输而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w:t>
      </w:r>
      <w:r>
        <w:rPr>
          <w:rFonts w:hint="eastAsia" w:ascii="宋体" w:hAnsi="宋体"/>
          <w:color w:val="auto"/>
          <w:sz w:val="24"/>
          <w:szCs w:val="24"/>
          <w:highlight w:val="none"/>
          <w:lang w:eastAsia="zh-CN"/>
        </w:rPr>
        <w:t>规划</w:t>
      </w:r>
      <w:r>
        <w:rPr>
          <w:rFonts w:hint="eastAsia" w:ascii="宋体" w:hAnsi="宋体"/>
          <w:color w:val="auto"/>
          <w:sz w:val="24"/>
          <w:szCs w:val="24"/>
          <w:highlight w:val="none"/>
        </w:rPr>
        <w:t>等部门列入黑名单、不良行为记录（处罚有效期内）；</w:t>
      </w:r>
    </w:p>
    <w:p>
      <w:pPr>
        <w:spacing w:line="360" w:lineRule="auto"/>
        <w:ind w:firstLine="484" w:firstLineChars="202"/>
        <w:rPr>
          <w:rFonts w:ascii="宋体" w:hAnsi="宋体"/>
          <w:color w:val="auto"/>
          <w:sz w:val="24"/>
          <w:szCs w:val="24"/>
          <w:highlight w:val="none"/>
        </w:rPr>
      </w:pPr>
      <w:r>
        <w:rPr>
          <w:rFonts w:hint="eastAsia" w:ascii="宋体" w:hAnsi="宋体"/>
          <w:color w:val="auto"/>
          <w:sz w:val="24"/>
          <w:szCs w:val="24"/>
          <w:highlight w:val="none"/>
        </w:rPr>
        <w:t>（2）本单位中标后不将工程施工过程中产生的土石方、建筑垃圾及施工过程中使用的建筑材料、设备等的运输委托给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w:t>
      </w:r>
      <w:r>
        <w:rPr>
          <w:rFonts w:hint="eastAsia" w:ascii="宋体" w:hAnsi="宋体"/>
          <w:color w:val="auto"/>
          <w:sz w:val="24"/>
          <w:szCs w:val="24"/>
          <w:highlight w:val="none"/>
          <w:lang w:eastAsia="zh-CN"/>
        </w:rPr>
        <w:t>规划</w:t>
      </w:r>
      <w:r>
        <w:rPr>
          <w:rFonts w:hint="eastAsia" w:ascii="宋体" w:hAnsi="宋体"/>
          <w:color w:val="auto"/>
          <w:sz w:val="24"/>
          <w:szCs w:val="24"/>
          <w:highlight w:val="none"/>
        </w:rPr>
        <w:t>等部门列入黑名单、不良行为记录（处罚有效期内）的单位或个体经营者运输。</w:t>
      </w:r>
    </w:p>
    <w:p>
      <w:pPr>
        <w:spacing w:line="360" w:lineRule="auto"/>
        <w:ind w:firstLine="484" w:firstLineChars="202"/>
        <w:rPr>
          <w:rFonts w:ascii="宋体" w:hAnsi="宋体"/>
          <w:color w:val="auto"/>
          <w:sz w:val="24"/>
          <w:szCs w:val="24"/>
          <w:highlight w:val="none"/>
        </w:rPr>
      </w:pPr>
      <w:r>
        <w:rPr>
          <w:rFonts w:hint="eastAsia" w:ascii="宋体" w:hAnsi="宋体"/>
          <w:color w:val="auto"/>
          <w:sz w:val="24"/>
          <w:szCs w:val="24"/>
          <w:highlight w:val="none"/>
        </w:rPr>
        <w:t>本公司违反上述保证，或本声明陈述与事实不符，经查实，本公司愿意接受公开通报，承担由此带来的法律后果，并自愿停止参加广州市行政辖区内的招标投标活动三个月。</w:t>
      </w:r>
    </w:p>
    <w:p>
      <w:pPr>
        <w:spacing w:line="360" w:lineRule="auto"/>
        <w:ind w:firstLine="484" w:firstLineChars="202"/>
        <w:rPr>
          <w:rFonts w:ascii="宋体" w:hAnsi="宋体"/>
          <w:color w:val="auto"/>
          <w:highlight w:val="none"/>
        </w:rPr>
      </w:pPr>
      <w:r>
        <w:rPr>
          <w:rFonts w:hint="eastAsia" w:ascii="宋体" w:hAnsi="宋体"/>
          <w:color w:val="auto"/>
          <w:sz w:val="24"/>
          <w:szCs w:val="24"/>
          <w:highlight w:val="none"/>
        </w:rPr>
        <w:t>特此声明。</w:t>
      </w:r>
    </w:p>
    <w:p>
      <w:pPr>
        <w:pStyle w:val="61"/>
        <w:adjustRightInd w:val="0"/>
        <w:snapToGrid w:val="0"/>
        <w:ind w:firstLine="0"/>
        <w:rPr>
          <w:rFonts w:ascii="宋体" w:hAnsi="宋体" w:eastAsia="宋体"/>
          <w:color w:val="auto"/>
          <w:sz w:val="24"/>
          <w:szCs w:val="24"/>
          <w:highlight w:val="none"/>
        </w:rPr>
      </w:pPr>
    </w:p>
    <w:p>
      <w:pPr>
        <w:pStyle w:val="61"/>
        <w:adjustRightInd w:val="0"/>
        <w:snapToGrid w:val="0"/>
        <w:ind w:firstLine="0"/>
        <w:rPr>
          <w:rFonts w:ascii="宋体" w:hAnsi="宋体" w:eastAsia="宋体"/>
          <w:color w:val="auto"/>
          <w:sz w:val="24"/>
          <w:szCs w:val="24"/>
          <w:highlight w:val="none"/>
        </w:rPr>
      </w:pPr>
    </w:p>
    <w:p>
      <w:pPr>
        <w:pStyle w:val="61"/>
        <w:adjustRightInd w:val="0"/>
        <w:snapToGrid w:val="0"/>
        <w:ind w:firstLine="0"/>
        <w:rPr>
          <w:rFonts w:ascii="宋体" w:hAnsi="宋体" w:eastAsia="宋体"/>
          <w:color w:val="auto"/>
          <w:sz w:val="24"/>
          <w:szCs w:val="24"/>
          <w:highlight w:val="none"/>
        </w:rPr>
      </w:pPr>
    </w:p>
    <w:p>
      <w:pPr>
        <w:pStyle w:val="61"/>
        <w:adjustRightInd w:val="0"/>
        <w:snapToGrid w:val="0"/>
        <w:ind w:right="-35" w:firstLine="4819" w:firstLineChars="2008"/>
        <w:jc w:val="left"/>
        <w:rPr>
          <w:rFonts w:ascii="宋体" w:hAnsi="宋体" w:eastAsia="宋体"/>
          <w:color w:val="auto"/>
          <w:sz w:val="24"/>
          <w:szCs w:val="24"/>
          <w:highlight w:val="none"/>
        </w:rPr>
      </w:pPr>
      <w:r>
        <w:rPr>
          <w:rFonts w:hint="eastAsia" w:ascii="宋体" w:hAnsi="宋体" w:eastAsia="宋体"/>
          <w:color w:val="auto"/>
          <w:sz w:val="24"/>
          <w:szCs w:val="24"/>
          <w:highlight w:val="none"/>
        </w:rPr>
        <w:t>投标单位（盖公章）：</w:t>
      </w:r>
    </w:p>
    <w:p>
      <w:pPr>
        <w:pStyle w:val="61"/>
        <w:adjustRightInd w:val="0"/>
        <w:snapToGrid w:val="0"/>
        <w:ind w:right="-35" w:firstLine="4819" w:firstLineChars="2008"/>
        <w:jc w:val="left"/>
        <w:rPr>
          <w:rFonts w:ascii="宋体" w:hAnsi="宋体" w:eastAsia="宋体"/>
          <w:color w:val="auto"/>
          <w:sz w:val="24"/>
          <w:szCs w:val="24"/>
          <w:highlight w:val="none"/>
        </w:rPr>
      </w:pPr>
      <w:r>
        <w:rPr>
          <w:rFonts w:hint="eastAsia" w:ascii="宋体" w:hAnsi="宋体" w:eastAsia="宋体"/>
          <w:color w:val="auto"/>
          <w:sz w:val="24"/>
          <w:szCs w:val="24"/>
          <w:highlight w:val="none"/>
        </w:rPr>
        <w:t>法定代表人或授权委托人（签字或盖章）：</w:t>
      </w:r>
    </w:p>
    <w:p>
      <w:pPr>
        <w:widowControl/>
        <w:jc w:val="center"/>
        <w:rPr>
          <w:rFonts w:ascii="宋体" w:hAnsi="宋体" w:cs="宋体"/>
          <w:b/>
          <w:bCs/>
          <w:color w:val="auto"/>
          <w:kern w:val="0"/>
          <w:szCs w:val="21"/>
          <w:highlight w:val="none"/>
        </w:rPr>
      </w:pPr>
      <w:r>
        <w:rPr>
          <w:rFonts w:hint="eastAsia" w:ascii="宋体" w:hAnsi="宋体"/>
          <w:color w:val="auto"/>
          <w:sz w:val="24"/>
          <w:szCs w:val="24"/>
          <w:highlight w:val="none"/>
        </w:rPr>
        <w:t xml:space="preserve">                       日  期：    年   月   日</w:t>
      </w:r>
    </w:p>
    <w:p>
      <w:pPr>
        <w:widowControl/>
        <w:jc w:val="center"/>
        <w:rPr>
          <w:rFonts w:ascii="宋体" w:hAnsi="宋体" w:cs="宋体"/>
          <w:b/>
          <w:bCs/>
          <w:color w:val="auto"/>
          <w:kern w:val="0"/>
          <w:szCs w:val="21"/>
          <w:highlight w:val="none"/>
        </w:rPr>
        <w:sectPr>
          <w:headerReference r:id="rId7" w:type="default"/>
          <w:pgSz w:w="11906" w:h="16838"/>
          <w:pgMar w:top="1440" w:right="1080" w:bottom="1440" w:left="1080" w:header="851" w:footer="1020" w:gutter="0"/>
          <w:cols w:space="720" w:num="1"/>
          <w:docGrid w:type="lines" w:linePitch="312" w:charSpace="0"/>
        </w:sectPr>
      </w:pPr>
    </w:p>
    <w:p>
      <w:pPr>
        <w:widowControl/>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（三）联合体协议书</w:t>
      </w:r>
    </w:p>
    <w:p>
      <w:pPr>
        <w:tabs>
          <w:tab w:val="left" w:pos="2200"/>
          <w:tab w:val="left" w:pos="6000"/>
        </w:tabs>
        <w:spacing w:line="360" w:lineRule="auto"/>
        <w:ind w:firstLine="480" w:firstLineChars="200"/>
        <w:jc w:val="left"/>
        <w:rPr>
          <w:rFonts w:ascii="宋体" w:hAnsi="宋体" w:cs="华文楷体"/>
          <w:color w:val="auto"/>
          <w:sz w:val="24"/>
          <w:szCs w:val="24"/>
          <w:highlight w:val="none"/>
        </w:rPr>
      </w:pPr>
      <w:r>
        <w:rPr>
          <w:rFonts w:hint="eastAsia" w:ascii="宋体" w:hAnsi="宋体" w:cs="华文楷体"/>
          <w:color w:val="auto"/>
          <w:position w:val="-4"/>
          <w:sz w:val="24"/>
          <w:szCs w:val="24"/>
          <w:highlight w:val="none"/>
          <w:u w:val="single"/>
        </w:rPr>
        <w:tab/>
      </w:r>
      <w:r>
        <w:rPr>
          <w:rFonts w:hint="eastAsia" w:ascii="宋体" w:hAnsi="宋体" w:cs="华文楷体"/>
          <w:color w:val="auto"/>
          <w:position w:val="-4"/>
          <w:sz w:val="24"/>
          <w:szCs w:val="24"/>
          <w:highlight w:val="none"/>
        </w:rPr>
        <w:t>（所</w:t>
      </w:r>
      <w:r>
        <w:rPr>
          <w:rFonts w:hint="eastAsia" w:ascii="宋体" w:hAnsi="宋体" w:cs="华文楷体"/>
          <w:color w:val="auto"/>
          <w:spacing w:val="-2"/>
          <w:position w:val="-4"/>
          <w:sz w:val="24"/>
          <w:szCs w:val="24"/>
          <w:highlight w:val="none"/>
        </w:rPr>
        <w:t>有</w:t>
      </w:r>
      <w:r>
        <w:rPr>
          <w:rFonts w:hint="eastAsia" w:ascii="宋体" w:hAnsi="宋体" w:cs="华文楷体"/>
          <w:color w:val="auto"/>
          <w:position w:val="-4"/>
          <w:sz w:val="24"/>
          <w:szCs w:val="24"/>
          <w:highlight w:val="none"/>
        </w:rPr>
        <w:t>成员单位名称）自愿组</w:t>
      </w:r>
      <w:r>
        <w:rPr>
          <w:rFonts w:hint="eastAsia" w:ascii="宋体" w:hAnsi="宋体" w:cs="华文楷体"/>
          <w:color w:val="auto"/>
          <w:spacing w:val="1"/>
          <w:position w:val="-4"/>
          <w:sz w:val="24"/>
          <w:szCs w:val="24"/>
          <w:highlight w:val="none"/>
        </w:rPr>
        <w:t>成</w:t>
      </w:r>
      <w:r>
        <w:rPr>
          <w:rFonts w:hint="eastAsia" w:ascii="宋体" w:hAnsi="宋体" w:cs="华文楷体"/>
          <w:color w:val="auto"/>
          <w:position w:val="-4"/>
          <w:sz w:val="24"/>
          <w:szCs w:val="24"/>
          <w:highlight w:val="none"/>
          <w:u w:val="single"/>
        </w:rPr>
        <w:t xml:space="preserve"> </w:t>
      </w:r>
      <w:r>
        <w:rPr>
          <w:rFonts w:hint="eastAsia" w:ascii="宋体" w:hAnsi="宋体" w:cs="华文楷体"/>
          <w:color w:val="auto"/>
          <w:spacing w:val="1"/>
          <w:position w:val="-4"/>
          <w:sz w:val="24"/>
          <w:szCs w:val="24"/>
          <w:highlight w:val="none"/>
          <w:u w:val="single"/>
        </w:rPr>
        <w:t xml:space="preserve"> </w:t>
      </w:r>
      <w:r>
        <w:rPr>
          <w:rFonts w:hint="eastAsia" w:ascii="宋体" w:hAnsi="宋体" w:cs="华文楷体"/>
          <w:color w:val="auto"/>
          <w:position w:val="-4"/>
          <w:sz w:val="24"/>
          <w:szCs w:val="24"/>
          <w:highlight w:val="none"/>
          <w:u w:val="single"/>
        </w:rPr>
        <w:tab/>
      </w:r>
      <w:r>
        <w:rPr>
          <w:rFonts w:hint="eastAsia" w:ascii="宋体" w:hAnsi="宋体" w:cs="华文楷体"/>
          <w:color w:val="auto"/>
          <w:position w:val="-4"/>
          <w:sz w:val="24"/>
          <w:szCs w:val="24"/>
          <w:highlight w:val="none"/>
        </w:rPr>
        <w:t>（联合体名称）联合体，共同</w:t>
      </w:r>
      <w:r>
        <w:rPr>
          <w:rFonts w:hint="eastAsia" w:ascii="宋体" w:hAnsi="宋体" w:cs="华文楷体"/>
          <w:color w:val="auto"/>
          <w:position w:val="-2"/>
          <w:sz w:val="24"/>
          <w:szCs w:val="24"/>
          <w:highlight w:val="none"/>
        </w:rPr>
        <w:t>参加</w:t>
      </w:r>
      <w:r>
        <w:rPr>
          <w:rFonts w:hint="eastAsia" w:ascii="宋体" w:hAnsi="宋体" w:cs="华文楷体"/>
          <w:color w:val="auto"/>
          <w:position w:val="-2"/>
          <w:sz w:val="24"/>
          <w:szCs w:val="24"/>
          <w:highlight w:val="none"/>
          <w:u w:val="single"/>
        </w:rPr>
        <w:t xml:space="preserve"> </w:t>
      </w:r>
      <w:r>
        <w:rPr>
          <w:rFonts w:hint="eastAsia" w:ascii="宋体" w:hAnsi="宋体" w:cs="华文楷体"/>
          <w:color w:val="auto"/>
          <w:spacing w:val="1"/>
          <w:position w:val="-2"/>
          <w:sz w:val="24"/>
          <w:szCs w:val="24"/>
          <w:highlight w:val="none"/>
          <w:u w:val="single"/>
        </w:rPr>
        <w:t xml:space="preserve"> </w:t>
      </w:r>
      <w:r>
        <w:rPr>
          <w:rFonts w:hint="eastAsia" w:ascii="宋体" w:hAnsi="宋体" w:cs="华文楷体"/>
          <w:color w:val="auto"/>
          <w:position w:val="-2"/>
          <w:sz w:val="24"/>
          <w:szCs w:val="24"/>
          <w:highlight w:val="none"/>
          <w:u w:val="single"/>
        </w:rPr>
        <w:tab/>
      </w:r>
      <w:r>
        <w:rPr>
          <w:rFonts w:hint="eastAsia" w:ascii="宋体" w:hAnsi="宋体" w:cs="华文楷体"/>
          <w:color w:val="auto"/>
          <w:spacing w:val="-2"/>
          <w:position w:val="-2"/>
          <w:sz w:val="24"/>
          <w:szCs w:val="24"/>
          <w:highlight w:val="none"/>
        </w:rPr>
        <w:t>（</w:t>
      </w:r>
      <w:r>
        <w:rPr>
          <w:rFonts w:hint="eastAsia" w:ascii="宋体" w:hAnsi="宋体" w:cs="华文楷体"/>
          <w:color w:val="auto"/>
          <w:position w:val="-2"/>
          <w:sz w:val="24"/>
          <w:szCs w:val="24"/>
          <w:highlight w:val="none"/>
        </w:rPr>
        <w:t>项目</w:t>
      </w:r>
      <w:r>
        <w:rPr>
          <w:rFonts w:hint="eastAsia" w:ascii="宋体" w:hAnsi="宋体" w:cs="华文楷体"/>
          <w:color w:val="auto"/>
          <w:spacing w:val="-2"/>
          <w:position w:val="-2"/>
          <w:sz w:val="24"/>
          <w:szCs w:val="24"/>
          <w:highlight w:val="none"/>
        </w:rPr>
        <w:t>名</w:t>
      </w:r>
      <w:r>
        <w:rPr>
          <w:rFonts w:hint="eastAsia" w:ascii="宋体" w:hAnsi="宋体" w:cs="华文楷体"/>
          <w:color w:val="auto"/>
          <w:position w:val="-2"/>
          <w:sz w:val="24"/>
          <w:szCs w:val="24"/>
          <w:highlight w:val="none"/>
        </w:rPr>
        <w:t>称</w:t>
      </w:r>
      <w:r>
        <w:rPr>
          <w:rFonts w:hint="eastAsia" w:ascii="宋体" w:hAnsi="宋体" w:cs="华文楷体"/>
          <w:color w:val="auto"/>
          <w:spacing w:val="-2"/>
          <w:position w:val="-2"/>
          <w:sz w:val="24"/>
          <w:szCs w:val="24"/>
          <w:highlight w:val="none"/>
        </w:rPr>
        <w:t>）</w:t>
      </w:r>
      <w:r>
        <w:rPr>
          <w:rFonts w:hint="eastAsia" w:ascii="宋体" w:hAnsi="宋体" w:cs="华文楷体"/>
          <w:color w:val="auto"/>
          <w:position w:val="-2"/>
          <w:sz w:val="24"/>
          <w:szCs w:val="24"/>
          <w:highlight w:val="none"/>
        </w:rPr>
        <w:t>招</w:t>
      </w:r>
      <w:r>
        <w:rPr>
          <w:rFonts w:hint="eastAsia" w:ascii="宋体" w:hAnsi="宋体" w:cs="华文楷体"/>
          <w:color w:val="auto"/>
          <w:spacing w:val="-2"/>
          <w:position w:val="-2"/>
          <w:sz w:val="24"/>
          <w:szCs w:val="24"/>
          <w:highlight w:val="none"/>
        </w:rPr>
        <w:t>标</w:t>
      </w:r>
      <w:r>
        <w:rPr>
          <w:rFonts w:hint="eastAsia" w:ascii="宋体" w:hAnsi="宋体" w:cs="华文楷体"/>
          <w:color w:val="auto"/>
          <w:position w:val="-2"/>
          <w:sz w:val="24"/>
          <w:szCs w:val="24"/>
          <w:highlight w:val="none"/>
        </w:rPr>
        <w:t>项</w:t>
      </w:r>
      <w:r>
        <w:rPr>
          <w:rFonts w:hint="eastAsia" w:ascii="宋体" w:hAnsi="宋体" w:cs="华文楷体"/>
          <w:color w:val="auto"/>
          <w:spacing w:val="-2"/>
          <w:position w:val="-2"/>
          <w:sz w:val="24"/>
          <w:szCs w:val="24"/>
          <w:highlight w:val="none"/>
        </w:rPr>
        <w:t>目</w:t>
      </w:r>
      <w:r>
        <w:rPr>
          <w:rFonts w:hint="eastAsia" w:ascii="宋体" w:hAnsi="宋体" w:cs="华文楷体"/>
          <w:color w:val="auto"/>
          <w:position w:val="-2"/>
          <w:sz w:val="24"/>
          <w:szCs w:val="24"/>
          <w:highlight w:val="none"/>
        </w:rPr>
        <w:t>投标</w:t>
      </w:r>
      <w:r>
        <w:rPr>
          <w:rFonts w:hint="eastAsia" w:ascii="宋体" w:hAnsi="宋体" w:cs="华文楷体"/>
          <w:color w:val="auto"/>
          <w:spacing w:val="-2"/>
          <w:position w:val="-2"/>
          <w:sz w:val="24"/>
          <w:szCs w:val="24"/>
          <w:highlight w:val="none"/>
        </w:rPr>
        <w:t>。</w:t>
      </w:r>
      <w:r>
        <w:rPr>
          <w:rFonts w:hint="eastAsia" w:ascii="宋体" w:hAnsi="宋体" w:cs="华文楷体"/>
          <w:color w:val="auto"/>
          <w:position w:val="-2"/>
          <w:sz w:val="24"/>
          <w:szCs w:val="24"/>
          <w:highlight w:val="none"/>
        </w:rPr>
        <w:t>现</w:t>
      </w:r>
      <w:r>
        <w:rPr>
          <w:rFonts w:hint="eastAsia" w:ascii="宋体" w:hAnsi="宋体" w:cs="华文楷体"/>
          <w:color w:val="auto"/>
          <w:spacing w:val="-2"/>
          <w:position w:val="-2"/>
          <w:sz w:val="24"/>
          <w:szCs w:val="24"/>
          <w:highlight w:val="none"/>
        </w:rPr>
        <w:t>就</w:t>
      </w:r>
      <w:r>
        <w:rPr>
          <w:rFonts w:hint="eastAsia" w:ascii="宋体" w:hAnsi="宋体" w:cs="华文楷体"/>
          <w:color w:val="auto"/>
          <w:position w:val="-2"/>
          <w:sz w:val="24"/>
          <w:szCs w:val="24"/>
          <w:highlight w:val="none"/>
        </w:rPr>
        <w:t>联</w:t>
      </w:r>
      <w:r>
        <w:rPr>
          <w:rFonts w:hint="eastAsia" w:ascii="宋体" w:hAnsi="宋体" w:cs="华文楷体"/>
          <w:color w:val="auto"/>
          <w:spacing w:val="-2"/>
          <w:position w:val="-2"/>
          <w:sz w:val="24"/>
          <w:szCs w:val="24"/>
          <w:highlight w:val="none"/>
        </w:rPr>
        <w:t>合</w:t>
      </w:r>
      <w:r>
        <w:rPr>
          <w:rFonts w:hint="eastAsia" w:ascii="宋体" w:hAnsi="宋体" w:cs="华文楷体"/>
          <w:color w:val="auto"/>
          <w:spacing w:val="2"/>
          <w:position w:val="-2"/>
          <w:sz w:val="24"/>
          <w:szCs w:val="24"/>
          <w:highlight w:val="none"/>
        </w:rPr>
        <w:t>体</w:t>
      </w:r>
      <w:r>
        <w:rPr>
          <w:rFonts w:hint="eastAsia" w:ascii="宋体" w:hAnsi="宋体" w:cs="华文楷体"/>
          <w:color w:val="auto"/>
          <w:position w:val="-2"/>
          <w:sz w:val="24"/>
          <w:szCs w:val="24"/>
          <w:highlight w:val="none"/>
        </w:rPr>
        <w:t>投</w:t>
      </w:r>
      <w:r>
        <w:rPr>
          <w:rFonts w:hint="eastAsia" w:ascii="宋体" w:hAnsi="宋体" w:cs="华文楷体"/>
          <w:color w:val="auto"/>
          <w:spacing w:val="2"/>
          <w:position w:val="-2"/>
          <w:sz w:val="24"/>
          <w:szCs w:val="24"/>
          <w:highlight w:val="none"/>
        </w:rPr>
        <w:t>标</w:t>
      </w:r>
      <w:r>
        <w:rPr>
          <w:rFonts w:hint="eastAsia" w:ascii="宋体" w:hAnsi="宋体" w:cs="华文楷体"/>
          <w:color w:val="auto"/>
          <w:position w:val="-2"/>
          <w:sz w:val="24"/>
          <w:szCs w:val="24"/>
          <w:highlight w:val="none"/>
        </w:rPr>
        <w:t>事</w:t>
      </w:r>
      <w:r>
        <w:rPr>
          <w:rFonts w:hint="eastAsia" w:ascii="宋体" w:hAnsi="宋体" w:cs="华文楷体"/>
          <w:color w:val="auto"/>
          <w:spacing w:val="2"/>
          <w:position w:val="-2"/>
          <w:sz w:val="24"/>
          <w:szCs w:val="24"/>
          <w:highlight w:val="none"/>
        </w:rPr>
        <w:t>宜订</w:t>
      </w:r>
      <w:r>
        <w:rPr>
          <w:rFonts w:hint="eastAsia" w:ascii="宋体" w:hAnsi="宋体" w:cs="华文楷体"/>
          <w:color w:val="auto"/>
          <w:position w:val="-2"/>
          <w:sz w:val="24"/>
          <w:szCs w:val="24"/>
          <w:highlight w:val="none"/>
        </w:rPr>
        <w:t>立</w:t>
      </w:r>
      <w:r>
        <w:rPr>
          <w:rFonts w:hint="eastAsia" w:ascii="宋体" w:hAnsi="宋体" w:cs="华文楷体"/>
          <w:color w:val="auto"/>
          <w:spacing w:val="2"/>
          <w:position w:val="-2"/>
          <w:sz w:val="24"/>
          <w:szCs w:val="24"/>
          <w:highlight w:val="none"/>
        </w:rPr>
        <w:t>如</w:t>
      </w:r>
      <w:r>
        <w:rPr>
          <w:rFonts w:hint="eastAsia" w:ascii="宋体" w:hAnsi="宋体" w:cs="华文楷体"/>
          <w:color w:val="auto"/>
          <w:position w:val="-2"/>
          <w:sz w:val="24"/>
          <w:szCs w:val="24"/>
          <w:highlight w:val="none"/>
        </w:rPr>
        <w:t>下</w:t>
      </w:r>
      <w:r>
        <w:rPr>
          <w:rFonts w:hint="eastAsia" w:ascii="宋体" w:hAnsi="宋体" w:cs="华文楷体"/>
          <w:color w:val="auto"/>
          <w:spacing w:val="2"/>
          <w:position w:val="-2"/>
          <w:sz w:val="24"/>
          <w:szCs w:val="24"/>
          <w:highlight w:val="none"/>
        </w:rPr>
        <w:t>协</w:t>
      </w:r>
      <w:r>
        <w:rPr>
          <w:rFonts w:hint="eastAsia" w:ascii="宋体" w:hAnsi="宋体" w:cs="华文楷体"/>
          <w:color w:val="auto"/>
          <w:position w:val="-2"/>
          <w:sz w:val="24"/>
          <w:szCs w:val="24"/>
          <w:highlight w:val="none"/>
        </w:rPr>
        <w:t>议。</w:t>
      </w:r>
    </w:p>
    <w:p>
      <w:pPr>
        <w:tabs>
          <w:tab w:val="left" w:pos="2660"/>
          <w:tab w:val="left" w:pos="5600"/>
        </w:tabs>
        <w:spacing w:line="360" w:lineRule="auto"/>
        <w:ind w:right="-23" w:firstLine="480" w:firstLineChars="200"/>
        <w:jc w:val="left"/>
        <w:rPr>
          <w:rFonts w:ascii="宋体" w:hAnsi="宋体" w:cs="华文楷体"/>
          <w:color w:val="auto"/>
          <w:sz w:val="24"/>
          <w:szCs w:val="24"/>
          <w:highlight w:val="none"/>
        </w:rPr>
      </w:pPr>
      <w:r>
        <w:rPr>
          <w:rFonts w:hint="eastAsia" w:ascii="宋体" w:hAnsi="宋体" w:cs="华文楷体"/>
          <w:color w:val="auto"/>
          <w:position w:val="-1"/>
          <w:sz w:val="24"/>
          <w:szCs w:val="24"/>
          <w:highlight w:val="none"/>
        </w:rPr>
        <w:t xml:space="preserve">1.  </w:t>
      </w:r>
      <w:r>
        <w:rPr>
          <w:rFonts w:hint="eastAsia" w:ascii="宋体" w:hAnsi="宋体" w:cs="华文楷体"/>
          <w:color w:val="auto"/>
          <w:position w:val="-1"/>
          <w:sz w:val="24"/>
          <w:szCs w:val="24"/>
          <w:highlight w:val="none"/>
          <w:u w:val="single"/>
        </w:rPr>
        <w:t xml:space="preserve"> </w:t>
      </w:r>
      <w:r>
        <w:rPr>
          <w:rFonts w:hint="eastAsia" w:ascii="宋体" w:hAnsi="宋体" w:cs="华文楷体"/>
          <w:color w:val="auto"/>
          <w:position w:val="-1"/>
          <w:sz w:val="24"/>
          <w:szCs w:val="24"/>
          <w:highlight w:val="none"/>
          <w:u w:val="single"/>
        </w:rPr>
        <w:tab/>
      </w:r>
      <w:r>
        <w:rPr>
          <w:rFonts w:hint="eastAsia" w:ascii="宋体" w:hAnsi="宋体" w:cs="华文楷体"/>
          <w:color w:val="auto"/>
          <w:spacing w:val="-2"/>
          <w:position w:val="-1"/>
          <w:sz w:val="24"/>
          <w:szCs w:val="24"/>
          <w:highlight w:val="none"/>
        </w:rPr>
        <w:t>（</w:t>
      </w:r>
      <w:r>
        <w:rPr>
          <w:rFonts w:hint="eastAsia" w:ascii="宋体" w:hAnsi="宋体" w:cs="华文楷体"/>
          <w:color w:val="auto"/>
          <w:position w:val="-1"/>
          <w:sz w:val="24"/>
          <w:szCs w:val="24"/>
          <w:highlight w:val="none"/>
        </w:rPr>
        <w:t>某成</w:t>
      </w:r>
      <w:r>
        <w:rPr>
          <w:rFonts w:hint="eastAsia" w:ascii="宋体" w:hAnsi="宋体" w:cs="华文楷体"/>
          <w:color w:val="auto"/>
          <w:spacing w:val="-2"/>
          <w:position w:val="-1"/>
          <w:sz w:val="24"/>
          <w:szCs w:val="24"/>
          <w:highlight w:val="none"/>
        </w:rPr>
        <w:t>员</w:t>
      </w:r>
      <w:r>
        <w:rPr>
          <w:rFonts w:hint="eastAsia" w:ascii="宋体" w:hAnsi="宋体" w:cs="华文楷体"/>
          <w:color w:val="auto"/>
          <w:position w:val="-1"/>
          <w:sz w:val="24"/>
          <w:szCs w:val="24"/>
          <w:highlight w:val="none"/>
        </w:rPr>
        <w:t>单</w:t>
      </w:r>
      <w:r>
        <w:rPr>
          <w:rFonts w:hint="eastAsia" w:ascii="宋体" w:hAnsi="宋体" w:cs="华文楷体"/>
          <w:color w:val="auto"/>
          <w:spacing w:val="-2"/>
          <w:position w:val="-1"/>
          <w:sz w:val="24"/>
          <w:szCs w:val="24"/>
          <w:highlight w:val="none"/>
        </w:rPr>
        <w:t>位</w:t>
      </w:r>
      <w:r>
        <w:rPr>
          <w:rFonts w:hint="eastAsia" w:ascii="宋体" w:hAnsi="宋体" w:cs="华文楷体"/>
          <w:color w:val="auto"/>
          <w:position w:val="-1"/>
          <w:sz w:val="24"/>
          <w:szCs w:val="24"/>
          <w:highlight w:val="none"/>
        </w:rPr>
        <w:t>名</w:t>
      </w:r>
      <w:r>
        <w:rPr>
          <w:rFonts w:hint="eastAsia" w:ascii="宋体" w:hAnsi="宋体" w:cs="华文楷体"/>
          <w:color w:val="auto"/>
          <w:spacing w:val="-2"/>
          <w:position w:val="-1"/>
          <w:sz w:val="24"/>
          <w:szCs w:val="24"/>
          <w:highlight w:val="none"/>
        </w:rPr>
        <w:t>称</w:t>
      </w:r>
      <w:r>
        <w:rPr>
          <w:rFonts w:hint="eastAsia" w:ascii="宋体" w:hAnsi="宋体" w:cs="华文楷体"/>
          <w:color w:val="auto"/>
          <w:position w:val="-1"/>
          <w:sz w:val="24"/>
          <w:szCs w:val="24"/>
          <w:highlight w:val="none"/>
        </w:rPr>
        <w:t>）</w:t>
      </w:r>
      <w:r>
        <w:rPr>
          <w:rFonts w:hint="eastAsia" w:ascii="宋体" w:hAnsi="宋体" w:cs="华文楷体"/>
          <w:color w:val="auto"/>
          <w:spacing w:val="-3"/>
          <w:position w:val="-1"/>
          <w:sz w:val="24"/>
          <w:szCs w:val="24"/>
          <w:highlight w:val="none"/>
        </w:rPr>
        <w:t>为</w:t>
      </w:r>
      <w:r>
        <w:rPr>
          <w:rFonts w:hint="eastAsia" w:ascii="宋体" w:hAnsi="宋体" w:cs="华文楷体"/>
          <w:color w:val="auto"/>
          <w:position w:val="-1"/>
          <w:sz w:val="24"/>
          <w:szCs w:val="24"/>
          <w:highlight w:val="none"/>
          <w:u w:val="single"/>
        </w:rPr>
        <w:t xml:space="preserve"> </w:t>
      </w:r>
      <w:r>
        <w:rPr>
          <w:rFonts w:hint="eastAsia" w:ascii="宋体" w:hAnsi="宋体" w:cs="华文楷体"/>
          <w:color w:val="auto"/>
          <w:spacing w:val="1"/>
          <w:position w:val="-1"/>
          <w:sz w:val="24"/>
          <w:szCs w:val="24"/>
          <w:highlight w:val="none"/>
          <w:u w:val="single"/>
        </w:rPr>
        <w:t xml:space="preserve"> </w:t>
      </w:r>
      <w:r>
        <w:rPr>
          <w:rFonts w:hint="eastAsia" w:ascii="宋体" w:hAnsi="宋体" w:cs="华文楷体"/>
          <w:color w:val="auto"/>
          <w:position w:val="-1"/>
          <w:sz w:val="24"/>
          <w:szCs w:val="24"/>
          <w:highlight w:val="none"/>
          <w:u w:val="single"/>
        </w:rPr>
        <w:tab/>
      </w:r>
      <w:r>
        <w:rPr>
          <w:rFonts w:hint="eastAsia" w:ascii="宋体" w:hAnsi="宋体" w:cs="华文楷体"/>
          <w:color w:val="auto"/>
          <w:spacing w:val="-2"/>
          <w:position w:val="-1"/>
          <w:sz w:val="24"/>
          <w:szCs w:val="24"/>
          <w:highlight w:val="none"/>
        </w:rPr>
        <w:t>（</w:t>
      </w:r>
      <w:r>
        <w:rPr>
          <w:rFonts w:hint="eastAsia" w:ascii="宋体" w:hAnsi="宋体" w:cs="华文楷体"/>
          <w:color w:val="auto"/>
          <w:position w:val="-1"/>
          <w:sz w:val="24"/>
          <w:szCs w:val="24"/>
          <w:highlight w:val="none"/>
        </w:rPr>
        <w:t>联</w:t>
      </w:r>
      <w:r>
        <w:rPr>
          <w:rFonts w:hint="eastAsia" w:ascii="宋体" w:hAnsi="宋体" w:cs="华文楷体"/>
          <w:color w:val="auto"/>
          <w:spacing w:val="-2"/>
          <w:position w:val="-1"/>
          <w:sz w:val="24"/>
          <w:szCs w:val="24"/>
          <w:highlight w:val="none"/>
        </w:rPr>
        <w:t>合</w:t>
      </w:r>
      <w:r>
        <w:rPr>
          <w:rFonts w:hint="eastAsia" w:ascii="宋体" w:hAnsi="宋体" w:cs="华文楷体"/>
          <w:color w:val="auto"/>
          <w:position w:val="-1"/>
          <w:sz w:val="24"/>
          <w:szCs w:val="24"/>
          <w:highlight w:val="none"/>
        </w:rPr>
        <w:t>体</w:t>
      </w:r>
      <w:r>
        <w:rPr>
          <w:rFonts w:hint="eastAsia" w:ascii="宋体" w:hAnsi="宋体" w:cs="华文楷体"/>
          <w:color w:val="auto"/>
          <w:spacing w:val="-2"/>
          <w:position w:val="-1"/>
          <w:sz w:val="24"/>
          <w:szCs w:val="24"/>
          <w:highlight w:val="none"/>
        </w:rPr>
        <w:t>名</w:t>
      </w:r>
      <w:r>
        <w:rPr>
          <w:rFonts w:hint="eastAsia" w:ascii="宋体" w:hAnsi="宋体" w:cs="华文楷体"/>
          <w:color w:val="auto"/>
          <w:position w:val="-1"/>
          <w:sz w:val="24"/>
          <w:szCs w:val="24"/>
          <w:highlight w:val="none"/>
        </w:rPr>
        <w:t>称</w:t>
      </w:r>
      <w:r>
        <w:rPr>
          <w:rFonts w:hint="eastAsia" w:ascii="宋体" w:hAnsi="宋体" w:cs="华文楷体"/>
          <w:color w:val="auto"/>
          <w:spacing w:val="-2"/>
          <w:position w:val="-1"/>
          <w:sz w:val="24"/>
          <w:szCs w:val="24"/>
          <w:highlight w:val="none"/>
        </w:rPr>
        <w:t>）</w:t>
      </w:r>
      <w:r>
        <w:rPr>
          <w:rFonts w:hint="eastAsia" w:ascii="宋体" w:hAnsi="宋体" w:cs="华文楷体"/>
          <w:color w:val="auto"/>
          <w:position w:val="-1"/>
          <w:sz w:val="24"/>
          <w:szCs w:val="24"/>
          <w:highlight w:val="none"/>
        </w:rPr>
        <w:t>牵</w:t>
      </w:r>
      <w:r>
        <w:rPr>
          <w:rFonts w:hint="eastAsia" w:ascii="宋体" w:hAnsi="宋体" w:cs="华文楷体"/>
          <w:color w:val="auto"/>
          <w:spacing w:val="-2"/>
          <w:position w:val="-1"/>
          <w:sz w:val="24"/>
          <w:szCs w:val="24"/>
          <w:highlight w:val="none"/>
        </w:rPr>
        <w:t>头人</w:t>
      </w:r>
      <w:r>
        <w:rPr>
          <w:rFonts w:hint="eastAsia" w:ascii="宋体" w:hAnsi="宋体" w:cs="华文楷体"/>
          <w:color w:val="auto"/>
          <w:position w:val="-1"/>
          <w:sz w:val="24"/>
          <w:szCs w:val="24"/>
          <w:highlight w:val="none"/>
        </w:rPr>
        <w:t>。</w:t>
      </w:r>
    </w:p>
    <w:p>
      <w:pPr>
        <w:spacing w:before="78" w:line="360" w:lineRule="auto"/>
        <w:ind w:firstLine="480" w:firstLineChars="200"/>
        <w:jc w:val="left"/>
        <w:rPr>
          <w:rFonts w:ascii="宋体" w:hAnsi="宋体" w:cs="华文楷体"/>
          <w:color w:val="auto"/>
          <w:sz w:val="24"/>
          <w:szCs w:val="24"/>
          <w:highlight w:val="none"/>
        </w:rPr>
      </w:pPr>
      <w:r>
        <w:rPr>
          <w:rFonts w:hint="eastAsia" w:ascii="宋体" w:hAnsi="宋体" w:cs="华文楷体"/>
          <w:color w:val="auto"/>
          <w:sz w:val="24"/>
          <w:szCs w:val="24"/>
          <w:highlight w:val="none"/>
        </w:rPr>
        <w:t xml:space="preserve">2. </w:t>
      </w:r>
      <w:r>
        <w:rPr>
          <w:rFonts w:hint="eastAsia" w:ascii="宋体" w:hAnsi="宋体" w:cs="华文楷体"/>
          <w:color w:val="auto"/>
          <w:spacing w:val="1"/>
          <w:sz w:val="24"/>
          <w:szCs w:val="24"/>
          <w:highlight w:val="none"/>
        </w:rPr>
        <w:t xml:space="preserve"> </w:t>
      </w:r>
      <w:r>
        <w:rPr>
          <w:rFonts w:hint="eastAsia" w:ascii="宋体" w:hAnsi="宋体" w:cs="华文楷体"/>
          <w:color w:val="auto"/>
          <w:spacing w:val="-2"/>
          <w:sz w:val="24"/>
          <w:szCs w:val="24"/>
          <w:highlight w:val="none"/>
        </w:rPr>
        <w:t>联</w:t>
      </w:r>
      <w:r>
        <w:rPr>
          <w:rFonts w:hint="eastAsia" w:ascii="宋体" w:hAnsi="宋体" w:cs="华文楷体"/>
          <w:color w:val="auto"/>
          <w:sz w:val="24"/>
          <w:szCs w:val="24"/>
          <w:highlight w:val="none"/>
        </w:rPr>
        <w:t>合</w:t>
      </w:r>
      <w:r>
        <w:rPr>
          <w:rFonts w:hint="eastAsia" w:ascii="宋体" w:hAnsi="宋体" w:cs="华文楷体"/>
          <w:color w:val="auto"/>
          <w:spacing w:val="-2"/>
          <w:sz w:val="24"/>
          <w:szCs w:val="24"/>
          <w:highlight w:val="none"/>
        </w:rPr>
        <w:t>体</w:t>
      </w:r>
      <w:r>
        <w:rPr>
          <w:rFonts w:hint="eastAsia" w:ascii="宋体" w:hAnsi="宋体" w:cs="华文楷体"/>
          <w:color w:val="auto"/>
          <w:sz w:val="24"/>
          <w:szCs w:val="24"/>
          <w:highlight w:val="none"/>
        </w:rPr>
        <w:t>各</w:t>
      </w:r>
      <w:r>
        <w:rPr>
          <w:rFonts w:hint="eastAsia" w:ascii="宋体" w:hAnsi="宋体" w:cs="华文楷体"/>
          <w:color w:val="auto"/>
          <w:spacing w:val="-2"/>
          <w:sz w:val="24"/>
          <w:szCs w:val="24"/>
          <w:highlight w:val="none"/>
        </w:rPr>
        <w:t>成</w:t>
      </w:r>
      <w:r>
        <w:rPr>
          <w:rFonts w:hint="eastAsia" w:ascii="宋体" w:hAnsi="宋体" w:cs="华文楷体"/>
          <w:color w:val="auto"/>
          <w:sz w:val="24"/>
          <w:szCs w:val="24"/>
          <w:highlight w:val="none"/>
        </w:rPr>
        <w:t>员</w:t>
      </w:r>
      <w:r>
        <w:rPr>
          <w:rFonts w:hint="eastAsia" w:ascii="宋体" w:hAnsi="宋体" w:cs="华文楷体"/>
          <w:color w:val="auto"/>
          <w:spacing w:val="-2"/>
          <w:sz w:val="24"/>
          <w:szCs w:val="24"/>
          <w:highlight w:val="none"/>
        </w:rPr>
        <w:t>授</w:t>
      </w:r>
      <w:r>
        <w:rPr>
          <w:rFonts w:hint="eastAsia" w:ascii="宋体" w:hAnsi="宋体" w:cs="华文楷体"/>
          <w:color w:val="auto"/>
          <w:sz w:val="24"/>
          <w:szCs w:val="24"/>
          <w:highlight w:val="none"/>
        </w:rPr>
        <w:t>权</w:t>
      </w:r>
      <w:r>
        <w:rPr>
          <w:rFonts w:hint="eastAsia" w:ascii="宋体" w:hAnsi="宋体" w:cs="华文楷体"/>
          <w:color w:val="auto"/>
          <w:spacing w:val="-2"/>
          <w:sz w:val="24"/>
          <w:szCs w:val="24"/>
          <w:highlight w:val="none"/>
        </w:rPr>
        <w:t>牵头</w:t>
      </w:r>
      <w:r>
        <w:rPr>
          <w:rFonts w:hint="eastAsia" w:ascii="宋体" w:hAnsi="宋体" w:cs="华文楷体"/>
          <w:color w:val="auto"/>
          <w:sz w:val="24"/>
          <w:szCs w:val="24"/>
          <w:highlight w:val="none"/>
        </w:rPr>
        <w:t>人代</w:t>
      </w:r>
      <w:r>
        <w:rPr>
          <w:rFonts w:hint="eastAsia" w:ascii="宋体" w:hAnsi="宋体" w:cs="华文楷体"/>
          <w:color w:val="auto"/>
          <w:spacing w:val="-2"/>
          <w:sz w:val="24"/>
          <w:szCs w:val="24"/>
          <w:highlight w:val="none"/>
        </w:rPr>
        <w:t>表</w:t>
      </w:r>
      <w:r>
        <w:rPr>
          <w:rFonts w:hint="eastAsia" w:ascii="宋体" w:hAnsi="宋体" w:cs="华文楷体"/>
          <w:color w:val="auto"/>
          <w:sz w:val="24"/>
          <w:szCs w:val="24"/>
          <w:highlight w:val="none"/>
        </w:rPr>
        <w:t>联</w:t>
      </w:r>
      <w:r>
        <w:rPr>
          <w:rFonts w:hint="eastAsia" w:ascii="宋体" w:hAnsi="宋体" w:cs="华文楷体"/>
          <w:color w:val="auto"/>
          <w:spacing w:val="-2"/>
          <w:sz w:val="24"/>
          <w:szCs w:val="24"/>
          <w:highlight w:val="none"/>
        </w:rPr>
        <w:t>合</w:t>
      </w:r>
      <w:r>
        <w:rPr>
          <w:rFonts w:hint="eastAsia" w:ascii="宋体" w:hAnsi="宋体" w:cs="华文楷体"/>
          <w:color w:val="auto"/>
          <w:sz w:val="24"/>
          <w:szCs w:val="24"/>
          <w:highlight w:val="none"/>
        </w:rPr>
        <w:t>体</w:t>
      </w:r>
      <w:r>
        <w:rPr>
          <w:rFonts w:hint="eastAsia" w:ascii="宋体" w:hAnsi="宋体" w:cs="华文楷体"/>
          <w:color w:val="auto"/>
          <w:spacing w:val="-2"/>
          <w:sz w:val="24"/>
          <w:szCs w:val="24"/>
          <w:highlight w:val="none"/>
        </w:rPr>
        <w:t>参</w:t>
      </w:r>
      <w:r>
        <w:rPr>
          <w:rFonts w:hint="eastAsia" w:ascii="宋体" w:hAnsi="宋体" w:cs="华文楷体"/>
          <w:color w:val="auto"/>
          <w:sz w:val="24"/>
          <w:szCs w:val="24"/>
          <w:highlight w:val="none"/>
        </w:rPr>
        <w:t>加</w:t>
      </w:r>
      <w:r>
        <w:rPr>
          <w:rFonts w:hint="eastAsia" w:ascii="宋体" w:hAnsi="宋体" w:cs="华文楷体"/>
          <w:color w:val="auto"/>
          <w:spacing w:val="-2"/>
          <w:sz w:val="24"/>
          <w:szCs w:val="24"/>
          <w:highlight w:val="none"/>
        </w:rPr>
        <w:t>投</w:t>
      </w:r>
      <w:r>
        <w:rPr>
          <w:rFonts w:hint="eastAsia" w:ascii="宋体" w:hAnsi="宋体" w:cs="华文楷体"/>
          <w:color w:val="auto"/>
          <w:sz w:val="24"/>
          <w:szCs w:val="24"/>
          <w:highlight w:val="none"/>
        </w:rPr>
        <w:t>标</w:t>
      </w:r>
      <w:r>
        <w:rPr>
          <w:rFonts w:hint="eastAsia" w:ascii="宋体" w:hAnsi="宋体" w:cs="华文楷体"/>
          <w:color w:val="auto"/>
          <w:spacing w:val="-2"/>
          <w:sz w:val="24"/>
          <w:szCs w:val="24"/>
          <w:highlight w:val="none"/>
        </w:rPr>
        <w:t>活</w:t>
      </w:r>
      <w:r>
        <w:rPr>
          <w:rFonts w:hint="eastAsia" w:ascii="宋体" w:hAnsi="宋体" w:cs="华文楷体"/>
          <w:color w:val="auto"/>
          <w:sz w:val="24"/>
          <w:szCs w:val="24"/>
          <w:highlight w:val="none"/>
        </w:rPr>
        <w:t>动</w:t>
      </w:r>
      <w:r>
        <w:rPr>
          <w:rFonts w:hint="eastAsia" w:ascii="宋体" w:hAnsi="宋体" w:cs="华文楷体"/>
          <w:color w:val="auto"/>
          <w:spacing w:val="-65"/>
          <w:sz w:val="24"/>
          <w:szCs w:val="24"/>
          <w:highlight w:val="none"/>
        </w:rPr>
        <w:t>，</w:t>
      </w:r>
      <w:r>
        <w:rPr>
          <w:rFonts w:hint="eastAsia" w:ascii="宋体" w:hAnsi="宋体" w:cs="华文楷体"/>
          <w:color w:val="auto"/>
          <w:spacing w:val="-2"/>
          <w:sz w:val="24"/>
          <w:szCs w:val="24"/>
          <w:highlight w:val="none"/>
        </w:rPr>
        <w:t>签</w:t>
      </w:r>
      <w:r>
        <w:rPr>
          <w:rFonts w:hint="eastAsia" w:ascii="宋体" w:hAnsi="宋体" w:cs="华文楷体"/>
          <w:color w:val="auto"/>
          <w:sz w:val="24"/>
          <w:szCs w:val="24"/>
          <w:highlight w:val="none"/>
        </w:rPr>
        <w:t>署</w:t>
      </w:r>
      <w:r>
        <w:rPr>
          <w:rFonts w:hint="eastAsia" w:ascii="宋体" w:hAnsi="宋体" w:cs="华文楷体"/>
          <w:color w:val="auto"/>
          <w:spacing w:val="-2"/>
          <w:sz w:val="24"/>
          <w:szCs w:val="24"/>
          <w:highlight w:val="none"/>
        </w:rPr>
        <w:t>文</w:t>
      </w:r>
      <w:r>
        <w:rPr>
          <w:rFonts w:hint="eastAsia" w:ascii="宋体" w:hAnsi="宋体" w:cs="华文楷体"/>
          <w:color w:val="auto"/>
          <w:sz w:val="24"/>
          <w:szCs w:val="24"/>
          <w:highlight w:val="none"/>
        </w:rPr>
        <w:t>件</w:t>
      </w:r>
      <w:r>
        <w:rPr>
          <w:rFonts w:hint="eastAsia" w:ascii="宋体" w:hAnsi="宋体" w:cs="华文楷体"/>
          <w:color w:val="auto"/>
          <w:spacing w:val="-65"/>
          <w:sz w:val="24"/>
          <w:szCs w:val="24"/>
          <w:highlight w:val="none"/>
        </w:rPr>
        <w:t>，</w:t>
      </w:r>
      <w:r>
        <w:rPr>
          <w:rFonts w:hint="eastAsia" w:ascii="宋体" w:hAnsi="宋体" w:cs="华文楷体"/>
          <w:color w:val="auto"/>
          <w:spacing w:val="-2"/>
          <w:sz w:val="24"/>
          <w:szCs w:val="24"/>
          <w:highlight w:val="none"/>
        </w:rPr>
        <w:t>提</w:t>
      </w:r>
      <w:r>
        <w:rPr>
          <w:rFonts w:hint="eastAsia" w:ascii="宋体" w:hAnsi="宋体" w:cs="华文楷体"/>
          <w:color w:val="auto"/>
          <w:sz w:val="24"/>
          <w:szCs w:val="24"/>
          <w:highlight w:val="none"/>
        </w:rPr>
        <w:t>交</w:t>
      </w:r>
      <w:r>
        <w:rPr>
          <w:rFonts w:hint="eastAsia" w:ascii="宋体" w:hAnsi="宋体" w:cs="华文楷体"/>
          <w:color w:val="auto"/>
          <w:spacing w:val="-2"/>
          <w:sz w:val="24"/>
          <w:szCs w:val="24"/>
          <w:highlight w:val="none"/>
        </w:rPr>
        <w:t>和</w:t>
      </w:r>
      <w:r>
        <w:rPr>
          <w:rFonts w:hint="eastAsia" w:ascii="宋体" w:hAnsi="宋体" w:cs="华文楷体"/>
          <w:color w:val="auto"/>
          <w:sz w:val="24"/>
          <w:szCs w:val="24"/>
          <w:highlight w:val="none"/>
        </w:rPr>
        <w:t>接</w:t>
      </w:r>
      <w:r>
        <w:rPr>
          <w:rFonts w:hint="eastAsia" w:ascii="宋体" w:hAnsi="宋体" w:cs="华文楷体"/>
          <w:color w:val="auto"/>
          <w:spacing w:val="-2"/>
          <w:sz w:val="24"/>
          <w:szCs w:val="24"/>
          <w:highlight w:val="none"/>
        </w:rPr>
        <w:t>收</w:t>
      </w:r>
      <w:r>
        <w:rPr>
          <w:rFonts w:hint="eastAsia" w:ascii="宋体" w:hAnsi="宋体" w:cs="华文楷体"/>
          <w:color w:val="auto"/>
          <w:sz w:val="24"/>
          <w:szCs w:val="24"/>
          <w:highlight w:val="none"/>
        </w:rPr>
        <w:t>相关</w:t>
      </w:r>
      <w:r>
        <w:rPr>
          <w:rFonts w:hint="eastAsia" w:ascii="宋体" w:hAnsi="宋体" w:cs="华文楷体"/>
          <w:color w:val="auto"/>
          <w:spacing w:val="-2"/>
          <w:sz w:val="24"/>
          <w:szCs w:val="24"/>
          <w:highlight w:val="none"/>
        </w:rPr>
        <w:t>的</w:t>
      </w:r>
      <w:r>
        <w:rPr>
          <w:rFonts w:hint="eastAsia" w:ascii="宋体" w:hAnsi="宋体" w:cs="华文楷体"/>
          <w:color w:val="auto"/>
          <w:sz w:val="24"/>
          <w:szCs w:val="24"/>
          <w:highlight w:val="none"/>
        </w:rPr>
        <w:t>资</w:t>
      </w:r>
      <w:r>
        <w:rPr>
          <w:rFonts w:hint="eastAsia" w:ascii="宋体" w:hAnsi="宋体" w:cs="华文楷体"/>
          <w:color w:val="auto"/>
          <w:spacing w:val="-2"/>
          <w:sz w:val="24"/>
          <w:szCs w:val="24"/>
          <w:highlight w:val="none"/>
        </w:rPr>
        <w:t>料</w:t>
      </w:r>
      <w:r>
        <w:rPr>
          <w:rFonts w:hint="eastAsia" w:ascii="宋体" w:hAnsi="宋体" w:cs="华文楷体"/>
          <w:color w:val="auto"/>
          <w:sz w:val="24"/>
          <w:szCs w:val="24"/>
          <w:highlight w:val="none"/>
        </w:rPr>
        <w:t>、信息及指示，进</w:t>
      </w:r>
      <w:r>
        <w:rPr>
          <w:rFonts w:hint="eastAsia" w:ascii="宋体" w:hAnsi="宋体" w:cs="华文楷体"/>
          <w:color w:val="auto"/>
          <w:spacing w:val="-2"/>
          <w:sz w:val="24"/>
          <w:szCs w:val="24"/>
          <w:highlight w:val="none"/>
        </w:rPr>
        <w:t>行</w:t>
      </w:r>
      <w:r>
        <w:rPr>
          <w:rFonts w:hint="eastAsia" w:ascii="宋体" w:hAnsi="宋体" w:cs="华文楷体"/>
          <w:color w:val="auto"/>
          <w:sz w:val="24"/>
          <w:szCs w:val="24"/>
          <w:highlight w:val="none"/>
        </w:rPr>
        <w:t>合同</w:t>
      </w:r>
      <w:r>
        <w:rPr>
          <w:rFonts w:hint="eastAsia" w:ascii="宋体" w:hAnsi="宋体" w:cs="华文楷体"/>
          <w:color w:val="auto"/>
          <w:spacing w:val="-2"/>
          <w:sz w:val="24"/>
          <w:szCs w:val="24"/>
          <w:highlight w:val="none"/>
        </w:rPr>
        <w:t>谈</w:t>
      </w:r>
      <w:r>
        <w:rPr>
          <w:rFonts w:hint="eastAsia" w:ascii="宋体" w:hAnsi="宋体" w:cs="华文楷体"/>
          <w:color w:val="auto"/>
          <w:sz w:val="24"/>
          <w:szCs w:val="24"/>
          <w:highlight w:val="none"/>
        </w:rPr>
        <w:t>判活动，负责合</w:t>
      </w:r>
      <w:r>
        <w:rPr>
          <w:rFonts w:hint="eastAsia" w:ascii="宋体" w:hAnsi="宋体" w:cs="华文楷体"/>
          <w:color w:val="auto"/>
          <w:spacing w:val="-2"/>
          <w:sz w:val="24"/>
          <w:szCs w:val="24"/>
          <w:highlight w:val="none"/>
        </w:rPr>
        <w:t>同</w:t>
      </w:r>
      <w:r>
        <w:rPr>
          <w:rFonts w:hint="eastAsia" w:ascii="宋体" w:hAnsi="宋体" w:cs="华文楷体"/>
          <w:color w:val="auto"/>
          <w:sz w:val="24"/>
          <w:szCs w:val="24"/>
          <w:highlight w:val="none"/>
        </w:rPr>
        <w:t>实施</w:t>
      </w:r>
      <w:r>
        <w:rPr>
          <w:rFonts w:hint="eastAsia" w:ascii="宋体" w:hAnsi="宋体" w:cs="华文楷体"/>
          <w:color w:val="auto"/>
          <w:spacing w:val="-2"/>
          <w:sz w:val="24"/>
          <w:szCs w:val="24"/>
          <w:highlight w:val="none"/>
        </w:rPr>
        <w:t>阶</w:t>
      </w:r>
      <w:r>
        <w:rPr>
          <w:rFonts w:hint="eastAsia" w:ascii="宋体" w:hAnsi="宋体" w:cs="华文楷体"/>
          <w:color w:val="auto"/>
          <w:sz w:val="24"/>
          <w:szCs w:val="24"/>
          <w:highlight w:val="none"/>
        </w:rPr>
        <w:t>段的组织和协调</w:t>
      </w:r>
      <w:r>
        <w:rPr>
          <w:rFonts w:hint="eastAsia" w:ascii="宋体" w:hAnsi="宋体" w:cs="华文楷体"/>
          <w:color w:val="auto"/>
          <w:spacing w:val="-2"/>
          <w:sz w:val="24"/>
          <w:szCs w:val="24"/>
          <w:highlight w:val="none"/>
        </w:rPr>
        <w:t>工</w:t>
      </w:r>
      <w:r>
        <w:rPr>
          <w:rFonts w:hint="eastAsia" w:ascii="宋体" w:hAnsi="宋体" w:cs="华文楷体"/>
          <w:color w:val="auto"/>
          <w:sz w:val="24"/>
          <w:szCs w:val="24"/>
          <w:highlight w:val="none"/>
        </w:rPr>
        <w:t>作，</w:t>
      </w:r>
      <w:r>
        <w:rPr>
          <w:rFonts w:hint="eastAsia" w:ascii="宋体" w:hAnsi="宋体" w:cs="华文楷体"/>
          <w:color w:val="auto"/>
          <w:spacing w:val="-2"/>
          <w:sz w:val="24"/>
          <w:szCs w:val="24"/>
          <w:highlight w:val="none"/>
        </w:rPr>
        <w:t>以</w:t>
      </w:r>
      <w:r>
        <w:rPr>
          <w:rFonts w:hint="eastAsia" w:ascii="宋体" w:hAnsi="宋体" w:cs="华文楷体"/>
          <w:color w:val="auto"/>
          <w:sz w:val="24"/>
          <w:szCs w:val="24"/>
          <w:highlight w:val="none"/>
        </w:rPr>
        <w:t>及处理与本招</w:t>
      </w:r>
      <w:r>
        <w:rPr>
          <w:rFonts w:hint="eastAsia" w:ascii="宋体" w:hAnsi="宋体" w:cs="华文楷体"/>
          <w:color w:val="auto"/>
          <w:spacing w:val="-2"/>
          <w:sz w:val="24"/>
          <w:szCs w:val="24"/>
          <w:highlight w:val="none"/>
        </w:rPr>
        <w:t>标</w:t>
      </w:r>
      <w:r>
        <w:rPr>
          <w:rFonts w:hint="eastAsia" w:ascii="宋体" w:hAnsi="宋体" w:cs="华文楷体"/>
          <w:color w:val="auto"/>
          <w:sz w:val="24"/>
          <w:szCs w:val="24"/>
          <w:highlight w:val="none"/>
        </w:rPr>
        <w:t>项目有</w:t>
      </w:r>
      <w:r>
        <w:rPr>
          <w:rFonts w:hint="eastAsia" w:ascii="宋体" w:hAnsi="宋体" w:cs="华文楷体"/>
          <w:color w:val="auto"/>
          <w:spacing w:val="-2"/>
          <w:sz w:val="24"/>
          <w:szCs w:val="24"/>
          <w:highlight w:val="none"/>
        </w:rPr>
        <w:t>关</w:t>
      </w:r>
      <w:r>
        <w:rPr>
          <w:rFonts w:hint="eastAsia" w:ascii="宋体" w:hAnsi="宋体" w:cs="华文楷体"/>
          <w:color w:val="auto"/>
          <w:sz w:val="24"/>
          <w:szCs w:val="24"/>
          <w:highlight w:val="none"/>
        </w:rPr>
        <w:t>的</w:t>
      </w:r>
      <w:r>
        <w:rPr>
          <w:rFonts w:hint="eastAsia" w:ascii="宋体" w:hAnsi="宋体" w:cs="华文楷体"/>
          <w:color w:val="auto"/>
          <w:spacing w:val="-2"/>
          <w:sz w:val="24"/>
          <w:szCs w:val="24"/>
          <w:highlight w:val="none"/>
        </w:rPr>
        <w:t>一</w:t>
      </w:r>
      <w:r>
        <w:rPr>
          <w:rFonts w:hint="eastAsia" w:ascii="宋体" w:hAnsi="宋体" w:cs="华文楷体"/>
          <w:color w:val="auto"/>
          <w:sz w:val="24"/>
          <w:szCs w:val="24"/>
          <w:highlight w:val="none"/>
        </w:rPr>
        <w:t>切</w:t>
      </w:r>
      <w:r>
        <w:rPr>
          <w:rFonts w:hint="eastAsia" w:ascii="宋体" w:hAnsi="宋体" w:cs="华文楷体"/>
          <w:color w:val="auto"/>
          <w:spacing w:val="-2"/>
          <w:sz w:val="24"/>
          <w:szCs w:val="24"/>
          <w:highlight w:val="none"/>
        </w:rPr>
        <w:t>事</w:t>
      </w:r>
      <w:r>
        <w:rPr>
          <w:rFonts w:hint="eastAsia" w:ascii="宋体" w:hAnsi="宋体" w:cs="华文楷体"/>
          <w:color w:val="auto"/>
          <w:sz w:val="24"/>
          <w:szCs w:val="24"/>
          <w:highlight w:val="none"/>
        </w:rPr>
        <w:t>宜。</w:t>
      </w:r>
    </w:p>
    <w:p>
      <w:pPr>
        <w:spacing w:before="16" w:line="360" w:lineRule="auto"/>
        <w:ind w:firstLine="480" w:firstLineChars="200"/>
        <w:jc w:val="left"/>
        <w:rPr>
          <w:rFonts w:ascii="宋体" w:hAnsi="宋体" w:cs="华文楷体"/>
          <w:color w:val="auto"/>
          <w:sz w:val="24"/>
          <w:szCs w:val="24"/>
          <w:highlight w:val="none"/>
        </w:rPr>
      </w:pPr>
      <w:r>
        <w:rPr>
          <w:rFonts w:hint="eastAsia" w:ascii="宋体" w:hAnsi="宋体" w:cs="华文楷体"/>
          <w:color w:val="auto"/>
          <w:sz w:val="24"/>
          <w:szCs w:val="24"/>
          <w:highlight w:val="none"/>
        </w:rPr>
        <w:t xml:space="preserve">3. </w:t>
      </w:r>
      <w:r>
        <w:rPr>
          <w:rFonts w:hint="eastAsia" w:ascii="宋体" w:hAnsi="宋体" w:cs="华文楷体"/>
          <w:color w:val="auto"/>
          <w:spacing w:val="1"/>
          <w:sz w:val="24"/>
          <w:szCs w:val="24"/>
          <w:highlight w:val="none"/>
        </w:rPr>
        <w:t xml:space="preserve"> </w:t>
      </w:r>
      <w:r>
        <w:rPr>
          <w:rFonts w:hint="eastAsia" w:ascii="宋体" w:hAnsi="宋体" w:cs="华文楷体"/>
          <w:color w:val="auto"/>
          <w:spacing w:val="-2"/>
          <w:sz w:val="24"/>
          <w:szCs w:val="24"/>
          <w:highlight w:val="none"/>
        </w:rPr>
        <w:t>联</w:t>
      </w:r>
      <w:r>
        <w:rPr>
          <w:rFonts w:hint="eastAsia" w:ascii="宋体" w:hAnsi="宋体" w:cs="华文楷体"/>
          <w:color w:val="auto"/>
          <w:sz w:val="24"/>
          <w:szCs w:val="24"/>
          <w:highlight w:val="none"/>
        </w:rPr>
        <w:t>合</w:t>
      </w:r>
      <w:r>
        <w:rPr>
          <w:rFonts w:hint="eastAsia" w:ascii="宋体" w:hAnsi="宋体" w:cs="华文楷体"/>
          <w:color w:val="auto"/>
          <w:spacing w:val="-2"/>
          <w:sz w:val="24"/>
          <w:szCs w:val="24"/>
          <w:highlight w:val="none"/>
        </w:rPr>
        <w:t>体</w:t>
      </w:r>
      <w:r>
        <w:rPr>
          <w:rFonts w:hint="eastAsia" w:ascii="宋体" w:hAnsi="宋体" w:cs="华文楷体"/>
          <w:color w:val="auto"/>
          <w:sz w:val="24"/>
          <w:szCs w:val="24"/>
          <w:highlight w:val="none"/>
        </w:rPr>
        <w:t>牵</w:t>
      </w:r>
      <w:r>
        <w:rPr>
          <w:rFonts w:hint="eastAsia" w:ascii="宋体" w:hAnsi="宋体" w:cs="华文楷体"/>
          <w:color w:val="auto"/>
          <w:spacing w:val="-2"/>
          <w:sz w:val="24"/>
          <w:szCs w:val="24"/>
          <w:highlight w:val="none"/>
        </w:rPr>
        <w:t>头</w:t>
      </w:r>
      <w:r>
        <w:rPr>
          <w:rFonts w:hint="eastAsia" w:ascii="宋体" w:hAnsi="宋体" w:cs="华文楷体"/>
          <w:color w:val="auto"/>
          <w:sz w:val="24"/>
          <w:szCs w:val="24"/>
          <w:highlight w:val="none"/>
        </w:rPr>
        <w:t>人</w:t>
      </w:r>
      <w:r>
        <w:rPr>
          <w:rFonts w:hint="eastAsia" w:ascii="宋体" w:hAnsi="宋体" w:cs="华文楷体"/>
          <w:color w:val="auto"/>
          <w:spacing w:val="-2"/>
          <w:sz w:val="24"/>
          <w:szCs w:val="24"/>
          <w:highlight w:val="none"/>
        </w:rPr>
        <w:t>在</w:t>
      </w:r>
      <w:r>
        <w:rPr>
          <w:rFonts w:hint="eastAsia" w:ascii="宋体" w:hAnsi="宋体" w:cs="华文楷体"/>
          <w:color w:val="auto"/>
          <w:sz w:val="24"/>
          <w:szCs w:val="24"/>
          <w:highlight w:val="none"/>
        </w:rPr>
        <w:t>本</w:t>
      </w:r>
      <w:r>
        <w:rPr>
          <w:rFonts w:hint="eastAsia" w:ascii="宋体" w:hAnsi="宋体" w:cs="华文楷体"/>
          <w:color w:val="auto"/>
          <w:spacing w:val="-2"/>
          <w:sz w:val="24"/>
          <w:szCs w:val="24"/>
          <w:highlight w:val="none"/>
        </w:rPr>
        <w:t>项目</w:t>
      </w:r>
      <w:r>
        <w:rPr>
          <w:rFonts w:hint="eastAsia" w:ascii="宋体" w:hAnsi="宋体" w:cs="华文楷体"/>
          <w:color w:val="auto"/>
          <w:sz w:val="24"/>
          <w:szCs w:val="24"/>
          <w:highlight w:val="none"/>
        </w:rPr>
        <w:t>中签</w:t>
      </w:r>
      <w:r>
        <w:rPr>
          <w:rFonts w:hint="eastAsia" w:ascii="宋体" w:hAnsi="宋体" w:cs="华文楷体"/>
          <w:color w:val="auto"/>
          <w:spacing w:val="-2"/>
          <w:sz w:val="24"/>
          <w:szCs w:val="24"/>
          <w:highlight w:val="none"/>
        </w:rPr>
        <w:t>署</w:t>
      </w:r>
      <w:r>
        <w:rPr>
          <w:rFonts w:hint="eastAsia" w:ascii="宋体" w:hAnsi="宋体" w:cs="华文楷体"/>
          <w:color w:val="auto"/>
          <w:sz w:val="24"/>
          <w:szCs w:val="24"/>
          <w:highlight w:val="none"/>
        </w:rPr>
        <w:t>的</w:t>
      </w:r>
      <w:r>
        <w:rPr>
          <w:rFonts w:hint="eastAsia" w:ascii="宋体" w:hAnsi="宋体" w:cs="华文楷体"/>
          <w:color w:val="auto"/>
          <w:spacing w:val="-2"/>
          <w:sz w:val="24"/>
          <w:szCs w:val="24"/>
          <w:highlight w:val="none"/>
        </w:rPr>
        <w:t>一</w:t>
      </w:r>
      <w:r>
        <w:rPr>
          <w:rFonts w:hint="eastAsia" w:ascii="宋体" w:hAnsi="宋体" w:cs="华文楷体"/>
          <w:color w:val="auto"/>
          <w:sz w:val="24"/>
          <w:szCs w:val="24"/>
          <w:highlight w:val="none"/>
        </w:rPr>
        <w:t>切</w:t>
      </w:r>
      <w:r>
        <w:rPr>
          <w:rFonts w:hint="eastAsia" w:ascii="宋体" w:hAnsi="宋体" w:cs="华文楷体"/>
          <w:color w:val="auto"/>
          <w:spacing w:val="-2"/>
          <w:sz w:val="24"/>
          <w:szCs w:val="24"/>
          <w:highlight w:val="none"/>
        </w:rPr>
        <w:t>文</w:t>
      </w:r>
      <w:r>
        <w:rPr>
          <w:rFonts w:hint="eastAsia" w:ascii="宋体" w:hAnsi="宋体" w:cs="华文楷体"/>
          <w:color w:val="auto"/>
          <w:sz w:val="24"/>
          <w:szCs w:val="24"/>
          <w:highlight w:val="none"/>
        </w:rPr>
        <w:t>件</w:t>
      </w:r>
      <w:r>
        <w:rPr>
          <w:rFonts w:hint="eastAsia" w:ascii="宋体" w:hAnsi="宋体" w:cs="华文楷体"/>
          <w:color w:val="auto"/>
          <w:spacing w:val="-2"/>
          <w:sz w:val="24"/>
          <w:szCs w:val="24"/>
          <w:highlight w:val="none"/>
        </w:rPr>
        <w:t>和</w:t>
      </w:r>
      <w:r>
        <w:rPr>
          <w:rFonts w:hint="eastAsia" w:ascii="宋体" w:hAnsi="宋体" w:cs="华文楷体"/>
          <w:color w:val="auto"/>
          <w:sz w:val="24"/>
          <w:szCs w:val="24"/>
          <w:highlight w:val="none"/>
        </w:rPr>
        <w:t>处</w:t>
      </w:r>
      <w:r>
        <w:rPr>
          <w:rFonts w:hint="eastAsia" w:ascii="宋体" w:hAnsi="宋体" w:cs="华文楷体"/>
          <w:color w:val="auto"/>
          <w:spacing w:val="-2"/>
          <w:sz w:val="24"/>
          <w:szCs w:val="24"/>
          <w:highlight w:val="none"/>
        </w:rPr>
        <w:t>理</w:t>
      </w:r>
      <w:r>
        <w:rPr>
          <w:rFonts w:hint="eastAsia" w:ascii="宋体" w:hAnsi="宋体" w:cs="华文楷体"/>
          <w:color w:val="auto"/>
          <w:sz w:val="24"/>
          <w:szCs w:val="24"/>
          <w:highlight w:val="none"/>
        </w:rPr>
        <w:t>的一</w:t>
      </w:r>
      <w:r>
        <w:rPr>
          <w:rFonts w:hint="eastAsia" w:ascii="宋体" w:hAnsi="宋体" w:cs="华文楷体"/>
          <w:color w:val="auto"/>
          <w:spacing w:val="-2"/>
          <w:sz w:val="24"/>
          <w:szCs w:val="24"/>
          <w:highlight w:val="none"/>
        </w:rPr>
        <w:t>切</w:t>
      </w:r>
      <w:r>
        <w:rPr>
          <w:rFonts w:hint="eastAsia" w:ascii="宋体" w:hAnsi="宋体" w:cs="华文楷体"/>
          <w:color w:val="auto"/>
          <w:sz w:val="24"/>
          <w:szCs w:val="24"/>
          <w:highlight w:val="none"/>
        </w:rPr>
        <w:t>事</w:t>
      </w:r>
      <w:r>
        <w:rPr>
          <w:rFonts w:hint="eastAsia" w:ascii="宋体" w:hAnsi="宋体" w:cs="华文楷体"/>
          <w:color w:val="auto"/>
          <w:spacing w:val="-2"/>
          <w:sz w:val="24"/>
          <w:szCs w:val="24"/>
          <w:highlight w:val="none"/>
        </w:rPr>
        <w:t>宜</w:t>
      </w:r>
      <w:r>
        <w:rPr>
          <w:rFonts w:hint="eastAsia" w:ascii="宋体" w:hAnsi="宋体" w:cs="华文楷体"/>
          <w:color w:val="auto"/>
          <w:spacing w:val="-24"/>
          <w:sz w:val="24"/>
          <w:szCs w:val="24"/>
          <w:highlight w:val="none"/>
        </w:rPr>
        <w:t>，</w:t>
      </w:r>
      <w:r>
        <w:rPr>
          <w:rFonts w:hint="eastAsia" w:ascii="宋体" w:hAnsi="宋体" w:cs="华文楷体"/>
          <w:color w:val="auto"/>
          <w:sz w:val="24"/>
          <w:szCs w:val="24"/>
          <w:highlight w:val="none"/>
        </w:rPr>
        <w:t>联</w:t>
      </w:r>
      <w:r>
        <w:rPr>
          <w:rFonts w:hint="eastAsia" w:ascii="宋体" w:hAnsi="宋体" w:cs="华文楷体"/>
          <w:color w:val="auto"/>
          <w:spacing w:val="-2"/>
          <w:sz w:val="24"/>
          <w:szCs w:val="24"/>
          <w:highlight w:val="none"/>
        </w:rPr>
        <w:t>合</w:t>
      </w:r>
      <w:r>
        <w:rPr>
          <w:rFonts w:hint="eastAsia" w:ascii="宋体" w:hAnsi="宋体" w:cs="华文楷体"/>
          <w:color w:val="auto"/>
          <w:sz w:val="24"/>
          <w:szCs w:val="24"/>
          <w:highlight w:val="none"/>
        </w:rPr>
        <w:t>体</w:t>
      </w:r>
      <w:r>
        <w:rPr>
          <w:rFonts w:hint="eastAsia" w:ascii="宋体" w:hAnsi="宋体" w:cs="华文楷体"/>
          <w:color w:val="auto"/>
          <w:spacing w:val="-2"/>
          <w:sz w:val="24"/>
          <w:szCs w:val="24"/>
          <w:highlight w:val="none"/>
        </w:rPr>
        <w:t>各成</w:t>
      </w:r>
      <w:r>
        <w:rPr>
          <w:rFonts w:hint="eastAsia" w:ascii="宋体" w:hAnsi="宋体" w:cs="华文楷体"/>
          <w:color w:val="auto"/>
          <w:sz w:val="24"/>
          <w:szCs w:val="24"/>
          <w:highlight w:val="none"/>
        </w:rPr>
        <w:t>员均</w:t>
      </w:r>
      <w:r>
        <w:rPr>
          <w:rFonts w:hint="eastAsia" w:ascii="宋体" w:hAnsi="宋体" w:cs="华文楷体"/>
          <w:color w:val="auto"/>
          <w:spacing w:val="-2"/>
          <w:sz w:val="24"/>
          <w:szCs w:val="24"/>
          <w:highlight w:val="none"/>
        </w:rPr>
        <w:t>予</w:t>
      </w:r>
      <w:r>
        <w:rPr>
          <w:rFonts w:hint="eastAsia" w:ascii="宋体" w:hAnsi="宋体" w:cs="华文楷体"/>
          <w:color w:val="auto"/>
          <w:sz w:val="24"/>
          <w:szCs w:val="24"/>
          <w:highlight w:val="none"/>
        </w:rPr>
        <w:t>以</w:t>
      </w:r>
      <w:r>
        <w:rPr>
          <w:rFonts w:hint="eastAsia" w:ascii="宋体" w:hAnsi="宋体" w:cs="华文楷体"/>
          <w:color w:val="auto"/>
          <w:spacing w:val="-2"/>
          <w:sz w:val="24"/>
          <w:szCs w:val="24"/>
          <w:highlight w:val="none"/>
        </w:rPr>
        <w:t>承</w:t>
      </w:r>
      <w:r>
        <w:rPr>
          <w:rFonts w:hint="eastAsia" w:ascii="宋体" w:hAnsi="宋体" w:cs="华文楷体"/>
          <w:color w:val="auto"/>
          <w:sz w:val="24"/>
          <w:szCs w:val="24"/>
          <w:highlight w:val="none"/>
        </w:rPr>
        <w:t>认。 联合体各成员将</w:t>
      </w:r>
      <w:r>
        <w:rPr>
          <w:rFonts w:hint="eastAsia" w:ascii="宋体" w:hAnsi="宋体" w:cs="华文楷体"/>
          <w:color w:val="auto"/>
          <w:spacing w:val="-2"/>
          <w:sz w:val="24"/>
          <w:szCs w:val="24"/>
          <w:highlight w:val="none"/>
        </w:rPr>
        <w:t>严</w:t>
      </w:r>
      <w:r>
        <w:rPr>
          <w:rFonts w:hint="eastAsia" w:ascii="宋体" w:hAnsi="宋体" w:cs="华文楷体"/>
          <w:color w:val="auto"/>
          <w:sz w:val="24"/>
          <w:szCs w:val="24"/>
          <w:highlight w:val="none"/>
        </w:rPr>
        <w:t>格按</w:t>
      </w:r>
      <w:r>
        <w:rPr>
          <w:rFonts w:hint="eastAsia" w:ascii="宋体" w:hAnsi="宋体" w:cs="华文楷体"/>
          <w:color w:val="auto"/>
          <w:spacing w:val="-2"/>
          <w:sz w:val="24"/>
          <w:szCs w:val="24"/>
          <w:highlight w:val="none"/>
        </w:rPr>
        <w:t>照</w:t>
      </w:r>
      <w:r>
        <w:rPr>
          <w:rFonts w:hint="eastAsia" w:ascii="宋体" w:hAnsi="宋体" w:cs="华文楷体"/>
          <w:color w:val="auto"/>
          <w:sz w:val="24"/>
          <w:szCs w:val="24"/>
          <w:highlight w:val="none"/>
        </w:rPr>
        <w:t>招标文件、投标</w:t>
      </w:r>
      <w:r>
        <w:rPr>
          <w:rFonts w:hint="eastAsia" w:ascii="宋体" w:hAnsi="宋体" w:cs="华文楷体"/>
          <w:color w:val="auto"/>
          <w:spacing w:val="-2"/>
          <w:sz w:val="24"/>
          <w:szCs w:val="24"/>
          <w:highlight w:val="none"/>
        </w:rPr>
        <w:t>文</w:t>
      </w:r>
      <w:r>
        <w:rPr>
          <w:rFonts w:hint="eastAsia" w:ascii="宋体" w:hAnsi="宋体" w:cs="华文楷体"/>
          <w:color w:val="auto"/>
          <w:sz w:val="24"/>
          <w:szCs w:val="24"/>
          <w:highlight w:val="none"/>
        </w:rPr>
        <w:t>件和</w:t>
      </w:r>
      <w:r>
        <w:rPr>
          <w:rFonts w:hint="eastAsia" w:ascii="宋体" w:hAnsi="宋体" w:cs="华文楷体"/>
          <w:color w:val="auto"/>
          <w:spacing w:val="-2"/>
          <w:sz w:val="24"/>
          <w:szCs w:val="24"/>
          <w:highlight w:val="none"/>
        </w:rPr>
        <w:t>合</w:t>
      </w:r>
      <w:r>
        <w:rPr>
          <w:rFonts w:hint="eastAsia" w:ascii="宋体" w:hAnsi="宋体" w:cs="华文楷体"/>
          <w:color w:val="auto"/>
          <w:sz w:val="24"/>
          <w:szCs w:val="24"/>
          <w:highlight w:val="none"/>
        </w:rPr>
        <w:t>同的要求全面履</w:t>
      </w:r>
      <w:r>
        <w:rPr>
          <w:rFonts w:hint="eastAsia" w:ascii="宋体" w:hAnsi="宋体" w:cs="华文楷体"/>
          <w:color w:val="auto"/>
          <w:spacing w:val="-2"/>
          <w:sz w:val="24"/>
          <w:szCs w:val="24"/>
          <w:highlight w:val="none"/>
        </w:rPr>
        <w:t>行</w:t>
      </w:r>
      <w:r>
        <w:rPr>
          <w:rFonts w:hint="eastAsia" w:ascii="宋体" w:hAnsi="宋体" w:cs="华文楷体"/>
          <w:color w:val="auto"/>
          <w:sz w:val="24"/>
          <w:szCs w:val="24"/>
          <w:highlight w:val="none"/>
        </w:rPr>
        <w:t>义务</w:t>
      </w:r>
      <w:r>
        <w:rPr>
          <w:rFonts w:hint="eastAsia" w:ascii="宋体" w:hAnsi="宋体" w:cs="华文楷体"/>
          <w:color w:val="auto"/>
          <w:spacing w:val="-2"/>
          <w:sz w:val="24"/>
          <w:szCs w:val="24"/>
          <w:highlight w:val="none"/>
        </w:rPr>
        <w:t>，</w:t>
      </w:r>
      <w:r>
        <w:rPr>
          <w:rFonts w:hint="eastAsia" w:ascii="宋体" w:hAnsi="宋体" w:cs="华文楷体"/>
          <w:color w:val="auto"/>
          <w:sz w:val="24"/>
          <w:szCs w:val="24"/>
          <w:highlight w:val="none"/>
        </w:rPr>
        <w:t>并向招标人承</w:t>
      </w:r>
      <w:r>
        <w:rPr>
          <w:rFonts w:hint="eastAsia" w:ascii="宋体" w:hAnsi="宋体" w:cs="华文楷体"/>
          <w:color w:val="auto"/>
          <w:spacing w:val="-2"/>
          <w:sz w:val="24"/>
          <w:szCs w:val="24"/>
          <w:highlight w:val="none"/>
        </w:rPr>
        <w:t>担</w:t>
      </w:r>
      <w:r>
        <w:rPr>
          <w:rFonts w:hint="eastAsia" w:ascii="宋体" w:hAnsi="宋体" w:cs="华文楷体"/>
          <w:color w:val="auto"/>
          <w:sz w:val="24"/>
          <w:szCs w:val="24"/>
          <w:highlight w:val="none"/>
        </w:rPr>
        <w:t>连带责</w:t>
      </w:r>
      <w:r>
        <w:rPr>
          <w:rFonts w:hint="eastAsia" w:ascii="宋体" w:hAnsi="宋体" w:cs="华文楷体"/>
          <w:color w:val="auto"/>
          <w:spacing w:val="-2"/>
          <w:sz w:val="24"/>
          <w:szCs w:val="24"/>
          <w:highlight w:val="none"/>
        </w:rPr>
        <w:t>任</w:t>
      </w:r>
      <w:r>
        <w:rPr>
          <w:rFonts w:hint="eastAsia" w:ascii="宋体" w:hAnsi="宋体" w:cs="华文楷体"/>
          <w:color w:val="auto"/>
          <w:sz w:val="24"/>
          <w:szCs w:val="24"/>
          <w:highlight w:val="none"/>
        </w:rPr>
        <w:t>。</w:t>
      </w:r>
    </w:p>
    <w:p>
      <w:pPr>
        <w:tabs>
          <w:tab w:val="left" w:pos="8740"/>
        </w:tabs>
        <w:spacing w:before="17" w:line="360" w:lineRule="auto"/>
        <w:ind w:firstLine="480" w:firstLineChars="200"/>
        <w:jc w:val="left"/>
        <w:rPr>
          <w:rFonts w:ascii="宋体" w:hAnsi="宋体" w:cs="华文楷体"/>
          <w:color w:val="auto"/>
          <w:sz w:val="24"/>
          <w:szCs w:val="24"/>
          <w:highlight w:val="none"/>
        </w:rPr>
      </w:pPr>
      <w:r>
        <w:rPr>
          <w:rFonts w:hint="eastAsia" w:ascii="宋体" w:hAnsi="宋体" w:cs="华文楷体"/>
          <w:color w:val="auto"/>
          <w:sz w:val="24"/>
          <w:szCs w:val="24"/>
          <w:highlight w:val="none"/>
        </w:rPr>
        <w:t xml:space="preserve">4. </w:t>
      </w:r>
      <w:r>
        <w:rPr>
          <w:rFonts w:hint="eastAsia" w:ascii="宋体" w:hAnsi="宋体" w:cs="华文楷体"/>
          <w:color w:val="auto"/>
          <w:spacing w:val="1"/>
          <w:sz w:val="24"/>
          <w:szCs w:val="24"/>
          <w:highlight w:val="none"/>
        </w:rPr>
        <w:t xml:space="preserve"> </w:t>
      </w:r>
      <w:r>
        <w:rPr>
          <w:rFonts w:hint="eastAsia" w:ascii="宋体" w:hAnsi="宋体" w:cs="华文楷体"/>
          <w:color w:val="auto"/>
          <w:spacing w:val="-2"/>
          <w:sz w:val="24"/>
          <w:szCs w:val="24"/>
          <w:highlight w:val="none"/>
        </w:rPr>
        <w:t>联</w:t>
      </w:r>
      <w:r>
        <w:rPr>
          <w:rFonts w:hint="eastAsia" w:ascii="宋体" w:hAnsi="宋体" w:cs="华文楷体"/>
          <w:color w:val="auto"/>
          <w:sz w:val="24"/>
          <w:szCs w:val="24"/>
          <w:highlight w:val="none"/>
        </w:rPr>
        <w:t>合</w:t>
      </w:r>
      <w:r>
        <w:rPr>
          <w:rFonts w:hint="eastAsia" w:ascii="宋体" w:hAnsi="宋体" w:cs="华文楷体"/>
          <w:color w:val="auto"/>
          <w:spacing w:val="-2"/>
          <w:sz w:val="24"/>
          <w:szCs w:val="24"/>
          <w:highlight w:val="none"/>
        </w:rPr>
        <w:t>体</w:t>
      </w:r>
      <w:r>
        <w:rPr>
          <w:rFonts w:hint="eastAsia" w:ascii="宋体" w:hAnsi="宋体" w:cs="华文楷体"/>
          <w:color w:val="auto"/>
          <w:sz w:val="24"/>
          <w:szCs w:val="24"/>
          <w:highlight w:val="none"/>
        </w:rPr>
        <w:t>各</w:t>
      </w:r>
      <w:r>
        <w:rPr>
          <w:rFonts w:hint="eastAsia" w:ascii="宋体" w:hAnsi="宋体" w:cs="华文楷体"/>
          <w:color w:val="auto"/>
          <w:spacing w:val="-2"/>
          <w:sz w:val="24"/>
          <w:szCs w:val="24"/>
          <w:highlight w:val="none"/>
        </w:rPr>
        <w:t>成</w:t>
      </w:r>
      <w:r>
        <w:rPr>
          <w:rFonts w:hint="eastAsia" w:ascii="宋体" w:hAnsi="宋体" w:cs="华文楷体"/>
          <w:color w:val="auto"/>
          <w:sz w:val="24"/>
          <w:szCs w:val="24"/>
          <w:highlight w:val="none"/>
        </w:rPr>
        <w:t>员</w:t>
      </w:r>
      <w:r>
        <w:rPr>
          <w:rFonts w:hint="eastAsia" w:ascii="宋体" w:hAnsi="宋体" w:cs="华文楷体"/>
          <w:color w:val="auto"/>
          <w:spacing w:val="-2"/>
          <w:sz w:val="24"/>
          <w:szCs w:val="24"/>
          <w:highlight w:val="none"/>
        </w:rPr>
        <w:t>单</w:t>
      </w:r>
      <w:r>
        <w:rPr>
          <w:rFonts w:hint="eastAsia" w:ascii="宋体" w:hAnsi="宋体" w:cs="华文楷体"/>
          <w:color w:val="auto"/>
          <w:sz w:val="24"/>
          <w:szCs w:val="24"/>
          <w:highlight w:val="none"/>
        </w:rPr>
        <w:t>位</w:t>
      </w:r>
      <w:r>
        <w:rPr>
          <w:rFonts w:hint="eastAsia" w:ascii="宋体" w:hAnsi="宋体" w:cs="华文楷体"/>
          <w:color w:val="auto"/>
          <w:spacing w:val="-2"/>
          <w:sz w:val="24"/>
          <w:szCs w:val="24"/>
          <w:highlight w:val="none"/>
        </w:rPr>
        <w:t>内部</w:t>
      </w:r>
      <w:r>
        <w:rPr>
          <w:rFonts w:hint="eastAsia" w:ascii="宋体" w:hAnsi="宋体" w:cs="华文楷体"/>
          <w:color w:val="auto"/>
          <w:sz w:val="24"/>
          <w:szCs w:val="24"/>
          <w:highlight w:val="none"/>
        </w:rPr>
        <w:t>的职</w:t>
      </w:r>
      <w:r>
        <w:rPr>
          <w:rFonts w:hint="eastAsia" w:ascii="宋体" w:hAnsi="宋体" w:cs="华文楷体"/>
          <w:color w:val="auto"/>
          <w:spacing w:val="-2"/>
          <w:sz w:val="24"/>
          <w:szCs w:val="24"/>
          <w:highlight w:val="none"/>
        </w:rPr>
        <w:t>责</w:t>
      </w:r>
      <w:r>
        <w:rPr>
          <w:rFonts w:hint="eastAsia" w:ascii="宋体" w:hAnsi="宋体" w:cs="华文楷体"/>
          <w:color w:val="auto"/>
          <w:sz w:val="24"/>
          <w:szCs w:val="24"/>
          <w:highlight w:val="none"/>
        </w:rPr>
        <w:t>分</w:t>
      </w:r>
      <w:r>
        <w:rPr>
          <w:rFonts w:hint="eastAsia" w:ascii="宋体" w:hAnsi="宋体" w:cs="华文楷体"/>
          <w:color w:val="auto"/>
          <w:spacing w:val="-2"/>
          <w:sz w:val="24"/>
          <w:szCs w:val="24"/>
          <w:highlight w:val="none"/>
        </w:rPr>
        <w:t>工</w:t>
      </w:r>
      <w:r>
        <w:rPr>
          <w:rFonts w:hint="eastAsia" w:ascii="宋体" w:hAnsi="宋体" w:cs="华文楷体"/>
          <w:color w:val="auto"/>
          <w:sz w:val="24"/>
          <w:szCs w:val="24"/>
          <w:highlight w:val="none"/>
        </w:rPr>
        <w:t>如</w:t>
      </w:r>
      <w:r>
        <w:rPr>
          <w:rFonts w:hint="eastAsia" w:ascii="宋体" w:hAnsi="宋体" w:cs="华文楷体"/>
          <w:color w:val="auto"/>
          <w:spacing w:val="-2"/>
          <w:sz w:val="24"/>
          <w:szCs w:val="24"/>
          <w:highlight w:val="none"/>
        </w:rPr>
        <w:t>下</w:t>
      </w:r>
      <w:r>
        <w:rPr>
          <w:rFonts w:hint="eastAsia" w:ascii="宋体" w:hAnsi="宋体" w:cs="华文楷体"/>
          <w:color w:val="auto"/>
          <w:spacing w:val="-24"/>
          <w:sz w:val="24"/>
          <w:szCs w:val="24"/>
          <w:highlight w:val="none"/>
        </w:rPr>
        <w:t>：</w:t>
      </w:r>
      <w:r>
        <w:rPr>
          <w:rFonts w:hint="eastAsia" w:ascii="宋体" w:hAnsi="宋体" w:cs="华文楷体"/>
          <w:color w:val="auto"/>
          <w:sz w:val="24"/>
          <w:szCs w:val="24"/>
          <w:highlight w:val="none"/>
          <w:u w:val="single"/>
        </w:rPr>
        <w:t xml:space="preserve"> </w:t>
      </w:r>
      <w:r>
        <w:rPr>
          <w:rFonts w:hint="eastAsia" w:ascii="宋体" w:hAnsi="宋体" w:cs="华文楷体"/>
          <w:color w:val="auto"/>
          <w:spacing w:val="1"/>
          <w:sz w:val="24"/>
          <w:szCs w:val="24"/>
          <w:highlight w:val="none"/>
          <w:u w:val="single"/>
        </w:rPr>
        <w:t xml:space="preserve"> </w:t>
      </w:r>
      <w:r>
        <w:rPr>
          <w:rFonts w:hint="eastAsia" w:ascii="宋体" w:hAnsi="宋体" w:cs="华文楷体"/>
          <w:color w:val="auto"/>
          <w:sz w:val="24"/>
          <w:szCs w:val="24"/>
          <w:highlight w:val="none"/>
          <w:u w:val="single"/>
        </w:rPr>
        <w:tab/>
      </w:r>
      <w:r>
        <w:rPr>
          <w:rFonts w:hint="eastAsia" w:ascii="宋体" w:hAnsi="宋体" w:cs="华文楷体"/>
          <w:color w:val="auto"/>
          <w:sz w:val="24"/>
          <w:szCs w:val="24"/>
          <w:highlight w:val="none"/>
        </w:rPr>
        <w:t>。</w:t>
      </w:r>
    </w:p>
    <w:p>
      <w:pPr>
        <w:spacing w:before="80" w:line="360" w:lineRule="auto"/>
        <w:ind w:firstLine="480" w:firstLineChars="200"/>
        <w:jc w:val="left"/>
        <w:rPr>
          <w:rFonts w:ascii="宋体" w:hAnsi="宋体" w:cs="华文楷体"/>
          <w:color w:val="auto"/>
          <w:sz w:val="24"/>
          <w:szCs w:val="24"/>
          <w:highlight w:val="none"/>
        </w:rPr>
      </w:pPr>
      <w:r>
        <w:rPr>
          <w:rFonts w:hint="eastAsia" w:ascii="宋体" w:hAnsi="宋体" w:cs="华文楷体"/>
          <w:color w:val="auto"/>
          <w:sz w:val="24"/>
          <w:szCs w:val="24"/>
          <w:highlight w:val="none"/>
        </w:rPr>
        <w:t xml:space="preserve">5. </w:t>
      </w:r>
      <w:r>
        <w:rPr>
          <w:rFonts w:hint="eastAsia" w:ascii="宋体" w:hAnsi="宋体" w:cs="华文楷体"/>
          <w:color w:val="auto"/>
          <w:spacing w:val="1"/>
          <w:sz w:val="24"/>
          <w:szCs w:val="24"/>
          <w:highlight w:val="none"/>
        </w:rPr>
        <w:t xml:space="preserve"> </w:t>
      </w:r>
      <w:r>
        <w:rPr>
          <w:rFonts w:hint="eastAsia" w:ascii="宋体" w:hAnsi="宋体" w:cs="华文楷体"/>
          <w:color w:val="auto"/>
          <w:spacing w:val="-2"/>
          <w:sz w:val="24"/>
          <w:szCs w:val="24"/>
          <w:highlight w:val="none"/>
        </w:rPr>
        <w:t>本</w:t>
      </w:r>
      <w:r>
        <w:rPr>
          <w:rFonts w:hint="eastAsia" w:ascii="宋体" w:hAnsi="宋体" w:cs="华文楷体"/>
          <w:color w:val="auto"/>
          <w:sz w:val="24"/>
          <w:szCs w:val="24"/>
          <w:highlight w:val="none"/>
        </w:rPr>
        <w:t>协</w:t>
      </w:r>
      <w:r>
        <w:rPr>
          <w:rFonts w:hint="eastAsia" w:ascii="宋体" w:hAnsi="宋体" w:cs="华文楷体"/>
          <w:color w:val="auto"/>
          <w:spacing w:val="-2"/>
          <w:sz w:val="24"/>
          <w:szCs w:val="24"/>
          <w:highlight w:val="none"/>
        </w:rPr>
        <w:t>议</w:t>
      </w:r>
      <w:r>
        <w:rPr>
          <w:rFonts w:hint="eastAsia" w:ascii="宋体" w:hAnsi="宋体" w:cs="华文楷体"/>
          <w:color w:val="auto"/>
          <w:sz w:val="24"/>
          <w:szCs w:val="24"/>
          <w:highlight w:val="none"/>
        </w:rPr>
        <w:t>书</w:t>
      </w:r>
      <w:r>
        <w:rPr>
          <w:rFonts w:hint="eastAsia" w:ascii="宋体" w:hAnsi="宋体" w:cs="华文楷体"/>
          <w:color w:val="auto"/>
          <w:spacing w:val="-2"/>
          <w:sz w:val="24"/>
          <w:szCs w:val="24"/>
          <w:highlight w:val="none"/>
        </w:rPr>
        <w:t>自</w:t>
      </w:r>
      <w:r>
        <w:rPr>
          <w:rFonts w:hint="eastAsia" w:ascii="宋体" w:hAnsi="宋体" w:cs="华文楷体"/>
          <w:color w:val="auto"/>
          <w:sz w:val="24"/>
          <w:szCs w:val="24"/>
          <w:highlight w:val="none"/>
        </w:rPr>
        <w:t>所</w:t>
      </w:r>
      <w:r>
        <w:rPr>
          <w:rFonts w:hint="eastAsia" w:ascii="宋体" w:hAnsi="宋体" w:cs="华文楷体"/>
          <w:color w:val="auto"/>
          <w:spacing w:val="-2"/>
          <w:sz w:val="24"/>
          <w:szCs w:val="24"/>
          <w:highlight w:val="none"/>
        </w:rPr>
        <w:t>有</w:t>
      </w:r>
      <w:r>
        <w:rPr>
          <w:rFonts w:hint="eastAsia" w:ascii="宋体" w:hAnsi="宋体" w:cs="华文楷体"/>
          <w:color w:val="auto"/>
          <w:sz w:val="24"/>
          <w:szCs w:val="24"/>
          <w:highlight w:val="none"/>
        </w:rPr>
        <w:t>成</w:t>
      </w:r>
      <w:r>
        <w:rPr>
          <w:rFonts w:hint="eastAsia" w:ascii="宋体" w:hAnsi="宋体" w:cs="华文楷体"/>
          <w:color w:val="auto"/>
          <w:spacing w:val="-2"/>
          <w:sz w:val="24"/>
          <w:szCs w:val="24"/>
          <w:highlight w:val="none"/>
        </w:rPr>
        <w:t>员单</w:t>
      </w:r>
      <w:r>
        <w:rPr>
          <w:rFonts w:hint="eastAsia" w:ascii="宋体" w:hAnsi="宋体" w:cs="华文楷体"/>
          <w:color w:val="auto"/>
          <w:sz w:val="24"/>
          <w:szCs w:val="24"/>
          <w:highlight w:val="none"/>
        </w:rPr>
        <w:t>位法</w:t>
      </w:r>
      <w:r>
        <w:rPr>
          <w:rFonts w:hint="eastAsia" w:ascii="宋体" w:hAnsi="宋体" w:cs="华文楷体"/>
          <w:color w:val="auto"/>
          <w:spacing w:val="-2"/>
          <w:sz w:val="24"/>
          <w:szCs w:val="24"/>
          <w:highlight w:val="none"/>
        </w:rPr>
        <w:t>定</w:t>
      </w:r>
      <w:r>
        <w:rPr>
          <w:rFonts w:hint="eastAsia" w:ascii="宋体" w:hAnsi="宋体" w:cs="华文楷体"/>
          <w:color w:val="auto"/>
          <w:sz w:val="24"/>
          <w:szCs w:val="24"/>
          <w:highlight w:val="none"/>
        </w:rPr>
        <w:t>代</w:t>
      </w:r>
      <w:r>
        <w:rPr>
          <w:rFonts w:hint="eastAsia" w:ascii="宋体" w:hAnsi="宋体" w:cs="华文楷体"/>
          <w:color w:val="auto"/>
          <w:spacing w:val="-2"/>
          <w:sz w:val="24"/>
          <w:szCs w:val="24"/>
          <w:highlight w:val="none"/>
        </w:rPr>
        <w:t>表</w:t>
      </w:r>
      <w:r>
        <w:rPr>
          <w:rFonts w:hint="eastAsia" w:ascii="宋体" w:hAnsi="宋体" w:cs="华文楷体"/>
          <w:color w:val="auto"/>
          <w:sz w:val="24"/>
          <w:szCs w:val="24"/>
          <w:highlight w:val="none"/>
        </w:rPr>
        <w:t>人</w:t>
      </w:r>
      <w:r>
        <w:rPr>
          <w:rFonts w:hint="eastAsia" w:ascii="宋体" w:hAnsi="宋体" w:cs="华文楷体"/>
          <w:color w:val="auto"/>
          <w:spacing w:val="-2"/>
          <w:sz w:val="24"/>
          <w:szCs w:val="24"/>
          <w:highlight w:val="none"/>
        </w:rPr>
        <w:t>或</w:t>
      </w:r>
      <w:r>
        <w:rPr>
          <w:rFonts w:hint="eastAsia" w:ascii="宋体" w:hAnsi="宋体" w:cs="华文楷体"/>
          <w:color w:val="auto"/>
          <w:sz w:val="24"/>
          <w:szCs w:val="24"/>
          <w:highlight w:val="none"/>
        </w:rPr>
        <w:t>其</w:t>
      </w:r>
      <w:r>
        <w:rPr>
          <w:rFonts w:hint="eastAsia" w:ascii="宋体" w:hAnsi="宋体" w:cs="华文楷体"/>
          <w:color w:val="auto"/>
          <w:spacing w:val="-2"/>
          <w:sz w:val="24"/>
          <w:szCs w:val="24"/>
          <w:highlight w:val="none"/>
        </w:rPr>
        <w:t>委</w:t>
      </w:r>
      <w:r>
        <w:rPr>
          <w:rFonts w:hint="eastAsia" w:ascii="宋体" w:hAnsi="宋体" w:cs="华文楷体"/>
          <w:color w:val="auto"/>
          <w:sz w:val="24"/>
          <w:szCs w:val="24"/>
          <w:highlight w:val="none"/>
        </w:rPr>
        <w:t>托</w:t>
      </w:r>
      <w:r>
        <w:rPr>
          <w:rFonts w:hint="eastAsia" w:ascii="宋体" w:hAnsi="宋体" w:cs="华文楷体"/>
          <w:color w:val="auto"/>
          <w:spacing w:val="-2"/>
          <w:sz w:val="24"/>
          <w:szCs w:val="24"/>
          <w:highlight w:val="none"/>
        </w:rPr>
        <w:t>代</w:t>
      </w:r>
      <w:r>
        <w:rPr>
          <w:rFonts w:hint="eastAsia" w:ascii="宋体" w:hAnsi="宋体" w:cs="华文楷体"/>
          <w:color w:val="auto"/>
          <w:sz w:val="24"/>
          <w:szCs w:val="24"/>
          <w:highlight w:val="none"/>
        </w:rPr>
        <w:t>理人</w:t>
      </w:r>
      <w:r>
        <w:rPr>
          <w:rFonts w:hint="eastAsia" w:ascii="宋体" w:hAnsi="宋体" w:cs="华文楷体"/>
          <w:color w:val="auto"/>
          <w:spacing w:val="-2"/>
          <w:sz w:val="24"/>
          <w:szCs w:val="24"/>
          <w:highlight w:val="none"/>
        </w:rPr>
        <w:t>签</w:t>
      </w:r>
      <w:r>
        <w:rPr>
          <w:rFonts w:hint="eastAsia" w:ascii="宋体" w:hAnsi="宋体" w:cs="华文楷体"/>
          <w:color w:val="auto"/>
          <w:sz w:val="24"/>
          <w:szCs w:val="24"/>
          <w:highlight w:val="none"/>
        </w:rPr>
        <w:t>字</w:t>
      </w:r>
      <w:r>
        <w:rPr>
          <w:rFonts w:hint="eastAsia" w:ascii="宋体" w:hAnsi="宋体" w:cs="华文楷体"/>
          <w:color w:val="auto"/>
          <w:spacing w:val="-2"/>
          <w:sz w:val="24"/>
          <w:szCs w:val="24"/>
          <w:highlight w:val="none"/>
        </w:rPr>
        <w:t>或</w:t>
      </w:r>
      <w:r>
        <w:rPr>
          <w:rFonts w:hint="eastAsia" w:ascii="宋体" w:hAnsi="宋体" w:cs="华文楷体"/>
          <w:color w:val="auto"/>
          <w:sz w:val="24"/>
          <w:szCs w:val="24"/>
          <w:highlight w:val="none"/>
        </w:rPr>
        <w:t>盖</w:t>
      </w:r>
      <w:r>
        <w:rPr>
          <w:rFonts w:hint="eastAsia" w:ascii="宋体" w:hAnsi="宋体" w:cs="华文楷体"/>
          <w:color w:val="auto"/>
          <w:spacing w:val="-2"/>
          <w:sz w:val="24"/>
          <w:szCs w:val="24"/>
          <w:highlight w:val="none"/>
        </w:rPr>
        <w:t>单</w:t>
      </w:r>
      <w:r>
        <w:rPr>
          <w:rFonts w:hint="eastAsia" w:ascii="宋体" w:hAnsi="宋体" w:cs="华文楷体"/>
          <w:color w:val="auto"/>
          <w:sz w:val="24"/>
          <w:szCs w:val="24"/>
          <w:highlight w:val="none"/>
        </w:rPr>
        <w:t>位</w:t>
      </w:r>
      <w:r>
        <w:rPr>
          <w:rFonts w:hint="eastAsia" w:ascii="宋体" w:hAnsi="宋体" w:cs="华文楷体"/>
          <w:color w:val="auto"/>
          <w:spacing w:val="-2"/>
          <w:sz w:val="24"/>
          <w:szCs w:val="24"/>
          <w:highlight w:val="none"/>
        </w:rPr>
        <w:t>章</w:t>
      </w:r>
      <w:r>
        <w:rPr>
          <w:rFonts w:hint="eastAsia" w:ascii="宋体" w:hAnsi="宋体" w:cs="华文楷体"/>
          <w:color w:val="auto"/>
          <w:sz w:val="24"/>
          <w:szCs w:val="24"/>
          <w:highlight w:val="none"/>
        </w:rPr>
        <w:t>之</w:t>
      </w:r>
      <w:r>
        <w:rPr>
          <w:rFonts w:hint="eastAsia" w:ascii="宋体" w:hAnsi="宋体" w:cs="华文楷体"/>
          <w:color w:val="auto"/>
          <w:spacing w:val="-2"/>
          <w:sz w:val="24"/>
          <w:szCs w:val="24"/>
          <w:highlight w:val="none"/>
        </w:rPr>
        <w:t>日</w:t>
      </w:r>
      <w:r>
        <w:rPr>
          <w:rFonts w:hint="eastAsia" w:ascii="宋体" w:hAnsi="宋体" w:cs="华文楷体"/>
          <w:color w:val="auto"/>
          <w:sz w:val="24"/>
          <w:szCs w:val="24"/>
          <w:highlight w:val="none"/>
        </w:rPr>
        <w:t>起生</w:t>
      </w:r>
      <w:r>
        <w:rPr>
          <w:rFonts w:hint="eastAsia" w:ascii="宋体" w:hAnsi="宋体" w:cs="华文楷体"/>
          <w:color w:val="auto"/>
          <w:spacing w:val="-2"/>
          <w:sz w:val="24"/>
          <w:szCs w:val="24"/>
          <w:highlight w:val="none"/>
        </w:rPr>
        <w:t>效</w:t>
      </w:r>
      <w:r>
        <w:rPr>
          <w:rFonts w:hint="eastAsia" w:ascii="宋体" w:hAnsi="宋体" w:cs="华文楷体"/>
          <w:color w:val="auto"/>
          <w:spacing w:val="-24"/>
          <w:sz w:val="24"/>
          <w:szCs w:val="24"/>
          <w:highlight w:val="none"/>
        </w:rPr>
        <w:t>，</w:t>
      </w:r>
      <w:r>
        <w:rPr>
          <w:rFonts w:hint="eastAsia" w:ascii="宋体" w:hAnsi="宋体" w:cs="华文楷体"/>
          <w:color w:val="auto"/>
          <w:sz w:val="24"/>
          <w:szCs w:val="24"/>
          <w:highlight w:val="none"/>
        </w:rPr>
        <w:t>合同 履行</w:t>
      </w:r>
      <w:r>
        <w:rPr>
          <w:rFonts w:hint="eastAsia" w:ascii="宋体" w:hAnsi="宋体" w:cs="华文楷体"/>
          <w:color w:val="auto"/>
          <w:spacing w:val="-2"/>
          <w:sz w:val="24"/>
          <w:szCs w:val="24"/>
          <w:highlight w:val="none"/>
        </w:rPr>
        <w:t>完</w:t>
      </w:r>
      <w:r>
        <w:rPr>
          <w:rFonts w:hint="eastAsia" w:ascii="宋体" w:hAnsi="宋体" w:cs="华文楷体"/>
          <w:color w:val="auto"/>
          <w:sz w:val="24"/>
          <w:szCs w:val="24"/>
          <w:highlight w:val="none"/>
        </w:rPr>
        <w:t>毕</w:t>
      </w:r>
      <w:r>
        <w:rPr>
          <w:rFonts w:hint="eastAsia" w:ascii="宋体" w:hAnsi="宋体" w:cs="华文楷体"/>
          <w:color w:val="auto"/>
          <w:spacing w:val="-2"/>
          <w:sz w:val="24"/>
          <w:szCs w:val="24"/>
          <w:highlight w:val="none"/>
        </w:rPr>
        <w:t>后</w:t>
      </w:r>
      <w:r>
        <w:rPr>
          <w:rFonts w:hint="eastAsia" w:ascii="宋体" w:hAnsi="宋体" w:cs="华文楷体"/>
          <w:color w:val="auto"/>
          <w:sz w:val="24"/>
          <w:szCs w:val="24"/>
          <w:highlight w:val="none"/>
        </w:rPr>
        <w:t>自</w:t>
      </w:r>
      <w:r>
        <w:rPr>
          <w:rFonts w:hint="eastAsia" w:ascii="宋体" w:hAnsi="宋体" w:cs="华文楷体"/>
          <w:color w:val="auto"/>
          <w:spacing w:val="-2"/>
          <w:sz w:val="24"/>
          <w:szCs w:val="24"/>
          <w:highlight w:val="none"/>
        </w:rPr>
        <w:t>动</w:t>
      </w:r>
      <w:r>
        <w:rPr>
          <w:rFonts w:hint="eastAsia" w:ascii="宋体" w:hAnsi="宋体" w:cs="华文楷体"/>
          <w:color w:val="auto"/>
          <w:sz w:val="24"/>
          <w:szCs w:val="24"/>
          <w:highlight w:val="none"/>
        </w:rPr>
        <w:t>失</w:t>
      </w:r>
      <w:r>
        <w:rPr>
          <w:rFonts w:hint="eastAsia" w:ascii="宋体" w:hAnsi="宋体" w:cs="华文楷体"/>
          <w:color w:val="auto"/>
          <w:spacing w:val="-3"/>
          <w:sz w:val="24"/>
          <w:szCs w:val="24"/>
          <w:highlight w:val="none"/>
        </w:rPr>
        <w:t>效</w:t>
      </w:r>
      <w:r>
        <w:rPr>
          <w:rFonts w:hint="eastAsia" w:ascii="宋体" w:hAnsi="宋体" w:cs="华文楷体"/>
          <w:color w:val="auto"/>
          <w:sz w:val="24"/>
          <w:szCs w:val="24"/>
          <w:highlight w:val="none"/>
        </w:rPr>
        <w:t>。</w:t>
      </w:r>
    </w:p>
    <w:p>
      <w:pPr>
        <w:spacing w:line="360" w:lineRule="auto"/>
        <w:ind w:firstLine="480" w:firstLineChars="200"/>
        <w:jc w:val="left"/>
        <w:rPr>
          <w:rFonts w:ascii="宋体" w:hAnsi="宋体" w:cs="华文楷体"/>
          <w:color w:val="auto"/>
          <w:sz w:val="24"/>
          <w:szCs w:val="24"/>
          <w:highlight w:val="none"/>
        </w:rPr>
      </w:pPr>
      <w:r>
        <w:rPr>
          <w:rFonts w:hint="eastAsia" w:ascii="宋体" w:hAnsi="宋体" w:cs="华文楷体"/>
          <w:color w:val="auto"/>
          <w:position w:val="-1"/>
          <w:sz w:val="24"/>
          <w:szCs w:val="24"/>
          <w:highlight w:val="none"/>
        </w:rPr>
        <w:t>注：本协议书由法</w:t>
      </w:r>
      <w:r>
        <w:rPr>
          <w:rFonts w:hint="eastAsia" w:ascii="宋体" w:hAnsi="宋体" w:cs="华文楷体"/>
          <w:color w:val="auto"/>
          <w:spacing w:val="-2"/>
          <w:position w:val="-1"/>
          <w:sz w:val="24"/>
          <w:szCs w:val="24"/>
          <w:highlight w:val="none"/>
        </w:rPr>
        <w:t>定</w:t>
      </w:r>
      <w:r>
        <w:rPr>
          <w:rFonts w:hint="eastAsia" w:ascii="宋体" w:hAnsi="宋体" w:cs="华文楷体"/>
          <w:color w:val="auto"/>
          <w:position w:val="-1"/>
          <w:sz w:val="24"/>
          <w:szCs w:val="24"/>
          <w:highlight w:val="none"/>
        </w:rPr>
        <w:t>代</w:t>
      </w:r>
      <w:r>
        <w:rPr>
          <w:rFonts w:hint="eastAsia" w:ascii="宋体" w:hAnsi="宋体" w:cs="华文楷体"/>
          <w:color w:val="auto"/>
          <w:spacing w:val="-2"/>
          <w:position w:val="-1"/>
          <w:sz w:val="24"/>
          <w:szCs w:val="24"/>
          <w:highlight w:val="none"/>
        </w:rPr>
        <w:t>表</w:t>
      </w:r>
      <w:r>
        <w:rPr>
          <w:rFonts w:hint="eastAsia" w:ascii="宋体" w:hAnsi="宋体" w:cs="华文楷体"/>
          <w:color w:val="auto"/>
          <w:position w:val="-1"/>
          <w:sz w:val="24"/>
          <w:szCs w:val="24"/>
          <w:highlight w:val="none"/>
        </w:rPr>
        <w:t>人签字的，应附法</w:t>
      </w:r>
      <w:r>
        <w:rPr>
          <w:rFonts w:hint="eastAsia" w:ascii="宋体" w:hAnsi="宋体" w:cs="华文楷体"/>
          <w:color w:val="auto"/>
          <w:spacing w:val="-2"/>
          <w:position w:val="-1"/>
          <w:sz w:val="24"/>
          <w:szCs w:val="24"/>
          <w:highlight w:val="none"/>
        </w:rPr>
        <w:t>定</w:t>
      </w:r>
      <w:r>
        <w:rPr>
          <w:rFonts w:hint="eastAsia" w:ascii="宋体" w:hAnsi="宋体" w:cs="华文楷体"/>
          <w:color w:val="auto"/>
          <w:position w:val="-1"/>
          <w:sz w:val="24"/>
          <w:szCs w:val="24"/>
          <w:highlight w:val="none"/>
        </w:rPr>
        <w:t>代</w:t>
      </w:r>
      <w:r>
        <w:rPr>
          <w:rFonts w:hint="eastAsia" w:ascii="宋体" w:hAnsi="宋体" w:cs="华文楷体"/>
          <w:color w:val="auto"/>
          <w:spacing w:val="-2"/>
          <w:position w:val="-1"/>
          <w:sz w:val="24"/>
          <w:szCs w:val="24"/>
          <w:highlight w:val="none"/>
        </w:rPr>
        <w:t>表</w:t>
      </w:r>
      <w:r>
        <w:rPr>
          <w:rFonts w:hint="eastAsia" w:ascii="宋体" w:hAnsi="宋体" w:cs="华文楷体"/>
          <w:color w:val="auto"/>
          <w:position w:val="-1"/>
          <w:sz w:val="24"/>
          <w:szCs w:val="24"/>
          <w:highlight w:val="none"/>
        </w:rPr>
        <w:t>人身份证明；由委</w:t>
      </w:r>
      <w:r>
        <w:rPr>
          <w:rFonts w:hint="eastAsia" w:ascii="宋体" w:hAnsi="宋体" w:cs="华文楷体"/>
          <w:color w:val="auto"/>
          <w:spacing w:val="-2"/>
          <w:position w:val="-1"/>
          <w:sz w:val="24"/>
          <w:szCs w:val="24"/>
          <w:highlight w:val="none"/>
        </w:rPr>
        <w:t>托</w:t>
      </w:r>
      <w:r>
        <w:rPr>
          <w:rFonts w:hint="eastAsia" w:ascii="宋体" w:hAnsi="宋体" w:cs="华文楷体"/>
          <w:color w:val="auto"/>
          <w:position w:val="-1"/>
          <w:sz w:val="24"/>
          <w:szCs w:val="24"/>
          <w:highlight w:val="none"/>
        </w:rPr>
        <w:t>代</w:t>
      </w:r>
      <w:r>
        <w:rPr>
          <w:rFonts w:hint="eastAsia" w:ascii="宋体" w:hAnsi="宋体" w:cs="华文楷体"/>
          <w:color w:val="auto"/>
          <w:spacing w:val="-2"/>
          <w:position w:val="-1"/>
          <w:sz w:val="24"/>
          <w:szCs w:val="24"/>
          <w:highlight w:val="none"/>
        </w:rPr>
        <w:t>理</w:t>
      </w:r>
      <w:r>
        <w:rPr>
          <w:rFonts w:hint="eastAsia" w:ascii="宋体" w:hAnsi="宋体" w:cs="华文楷体"/>
          <w:color w:val="auto"/>
          <w:position w:val="-1"/>
          <w:sz w:val="24"/>
          <w:szCs w:val="24"/>
          <w:highlight w:val="none"/>
        </w:rPr>
        <w:t>人签字的，应</w:t>
      </w:r>
      <w:r>
        <w:rPr>
          <w:rFonts w:hint="eastAsia" w:ascii="宋体" w:hAnsi="宋体" w:cs="华文楷体"/>
          <w:color w:val="auto"/>
          <w:sz w:val="24"/>
          <w:szCs w:val="24"/>
          <w:highlight w:val="none"/>
        </w:rPr>
        <w:t>附授</w:t>
      </w:r>
      <w:r>
        <w:rPr>
          <w:rFonts w:hint="eastAsia" w:ascii="宋体" w:hAnsi="宋体" w:cs="华文楷体"/>
          <w:color w:val="auto"/>
          <w:spacing w:val="-2"/>
          <w:sz w:val="24"/>
          <w:szCs w:val="24"/>
          <w:highlight w:val="none"/>
        </w:rPr>
        <w:t>权</w:t>
      </w:r>
      <w:r>
        <w:rPr>
          <w:rFonts w:hint="eastAsia" w:ascii="宋体" w:hAnsi="宋体" w:cs="华文楷体"/>
          <w:color w:val="auto"/>
          <w:sz w:val="24"/>
          <w:szCs w:val="24"/>
          <w:highlight w:val="none"/>
        </w:rPr>
        <w:t>委</w:t>
      </w:r>
      <w:r>
        <w:rPr>
          <w:rFonts w:hint="eastAsia" w:ascii="宋体" w:hAnsi="宋体" w:cs="华文楷体"/>
          <w:color w:val="auto"/>
          <w:spacing w:val="-2"/>
          <w:sz w:val="24"/>
          <w:szCs w:val="24"/>
          <w:highlight w:val="none"/>
        </w:rPr>
        <w:t>托</w:t>
      </w:r>
      <w:r>
        <w:rPr>
          <w:rFonts w:hint="eastAsia" w:ascii="宋体" w:hAnsi="宋体" w:cs="华文楷体"/>
          <w:color w:val="auto"/>
          <w:sz w:val="24"/>
          <w:szCs w:val="24"/>
          <w:highlight w:val="none"/>
        </w:rPr>
        <w:t>书。</w:t>
      </w:r>
    </w:p>
    <w:p>
      <w:pPr>
        <w:tabs>
          <w:tab w:val="left" w:pos="7240"/>
        </w:tabs>
        <w:spacing w:line="360" w:lineRule="auto"/>
        <w:ind w:left="2511" w:right="-20"/>
        <w:jc w:val="left"/>
        <w:rPr>
          <w:rFonts w:ascii="宋体" w:hAnsi="宋体" w:cs="华文楷体"/>
          <w:color w:val="auto"/>
          <w:sz w:val="24"/>
          <w:szCs w:val="24"/>
          <w:highlight w:val="none"/>
        </w:rPr>
      </w:pPr>
      <w:r>
        <w:rPr>
          <w:rFonts w:hint="eastAsia" w:ascii="宋体" w:hAnsi="宋体" w:cs="华文楷体"/>
          <w:color w:val="auto"/>
          <w:position w:val="-4"/>
          <w:sz w:val="24"/>
          <w:szCs w:val="24"/>
          <w:highlight w:val="none"/>
        </w:rPr>
        <w:t>联合</w:t>
      </w:r>
      <w:r>
        <w:rPr>
          <w:rFonts w:hint="eastAsia" w:ascii="宋体" w:hAnsi="宋体" w:cs="华文楷体"/>
          <w:color w:val="auto"/>
          <w:spacing w:val="-2"/>
          <w:position w:val="-4"/>
          <w:sz w:val="24"/>
          <w:szCs w:val="24"/>
          <w:highlight w:val="none"/>
        </w:rPr>
        <w:t>体</w:t>
      </w:r>
      <w:r>
        <w:rPr>
          <w:rFonts w:hint="eastAsia" w:ascii="宋体" w:hAnsi="宋体" w:cs="华文楷体"/>
          <w:color w:val="auto"/>
          <w:position w:val="-4"/>
          <w:sz w:val="24"/>
          <w:szCs w:val="24"/>
          <w:highlight w:val="none"/>
        </w:rPr>
        <w:t>牵</w:t>
      </w:r>
      <w:r>
        <w:rPr>
          <w:rFonts w:hint="eastAsia" w:ascii="宋体" w:hAnsi="宋体" w:cs="华文楷体"/>
          <w:color w:val="auto"/>
          <w:spacing w:val="-2"/>
          <w:position w:val="-4"/>
          <w:sz w:val="24"/>
          <w:szCs w:val="24"/>
          <w:highlight w:val="none"/>
        </w:rPr>
        <w:t>头</w:t>
      </w:r>
      <w:r>
        <w:rPr>
          <w:rFonts w:hint="eastAsia" w:ascii="宋体" w:hAnsi="宋体" w:cs="华文楷体"/>
          <w:color w:val="auto"/>
          <w:position w:val="-4"/>
          <w:sz w:val="24"/>
          <w:szCs w:val="24"/>
          <w:highlight w:val="none"/>
        </w:rPr>
        <w:t>人</w:t>
      </w:r>
      <w:r>
        <w:rPr>
          <w:rFonts w:hint="eastAsia" w:ascii="宋体" w:hAnsi="宋体" w:cs="华文楷体"/>
          <w:color w:val="auto"/>
          <w:spacing w:val="-2"/>
          <w:position w:val="-4"/>
          <w:sz w:val="24"/>
          <w:szCs w:val="24"/>
          <w:highlight w:val="none"/>
        </w:rPr>
        <w:t>名</w:t>
      </w:r>
      <w:r>
        <w:rPr>
          <w:rFonts w:hint="eastAsia" w:ascii="宋体" w:hAnsi="宋体" w:cs="华文楷体"/>
          <w:color w:val="auto"/>
          <w:position w:val="-4"/>
          <w:sz w:val="24"/>
          <w:szCs w:val="24"/>
          <w:highlight w:val="none"/>
        </w:rPr>
        <w:t>称</w:t>
      </w:r>
      <w:r>
        <w:rPr>
          <w:rFonts w:hint="eastAsia" w:ascii="宋体" w:hAnsi="宋体" w:cs="华文楷体"/>
          <w:color w:val="auto"/>
          <w:spacing w:val="-3"/>
          <w:position w:val="-4"/>
          <w:sz w:val="24"/>
          <w:szCs w:val="24"/>
          <w:highlight w:val="none"/>
        </w:rPr>
        <w:t>：</w:t>
      </w:r>
      <w:r>
        <w:rPr>
          <w:rFonts w:hint="eastAsia" w:ascii="宋体" w:hAnsi="宋体" w:cs="华文楷体"/>
          <w:color w:val="auto"/>
          <w:position w:val="-4"/>
          <w:sz w:val="24"/>
          <w:szCs w:val="24"/>
          <w:highlight w:val="none"/>
          <w:u w:val="single"/>
        </w:rPr>
        <w:t xml:space="preserve"> </w:t>
      </w:r>
      <w:r>
        <w:rPr>
          <w:rFonts w:hint="eastAsia" w:ascii="宋体" w:hAnsi="宋体" w:cs="华文楷体"/>
          <w:color w:val="auto"/>
          <w:spacing w:val="1"/>
          <w:position w:val="-4"/>
          <w:sz w:val="24"/>
          <w:szCs w:val="24"/>
          <w:highlight w:val="none"/>
          <w:u w:val="single"/>
        </w:rPr>
        <w:t xml:space="preserve"> </w:t>
      </w:r>
      <w:r>
        <w:rPr>
          <w:rFonts w:hint="eastAsia" w:ascii="宋体" w:hAnsi="宋体" w:cs="华文楷体"/>
          <w:color w:val="auto"/>
          <w:position w:val="-4"/>
          <w:sz w:val="24"/>
          <w:szCs w:val="24"/>
          <w:highlight w:val="none"/>
          <w:u w:val="single"/>
        </w:rPr>
        <w:tab/>
      </w:r>
      <w:r>
        <w:rPr>
          <w:rFonts w:hint="eastAsia" w:ascii="宋体" w:hAnsi="宋体" w:cs="华文楷体"/>
          <w:color w:val="auto"/>
          <w:position w:val="-4"/>
          <w:sz w:val="24"/>
          <w:szCs w:val="24"/>
          <w:highlight w:val="none"/>
        </w:rPr>
        <w:t>（盖</w:t>
      </w:r>
      <w:r>
        <w:rPr>
          <w:rFonts w:hint="eastAsia" w:ascii="宋体" w:hAnsi="宋体" w:cs="华文楷体"/>
          <w:color w:val="auto"/>
          <w:spacing w:val="-2"/>
          <w:position w:val="-4"/>
          <w:sz w:val="24"/>
          <w:szCs w:val="24"/>
          <w:highlight w:val="none"/>
        </w:rPr>
        <w:t>单</w:t>
      </w:r>
      <w:r>
        <w:rPr>
          <w:rFonts w:hint="eastAsia" w:ascii="宋体" w:hAnsi="宋体" w:cs="华文楷体"/>
          <w:color w:val="auto"/>
          <w:position w:val="-4"/>
          <w:sz w:val="24"/>
          <w:szCs w:val="24"/>
          <w:highlight w:val="none"/>
        </w:rPr>
        <w:t>位</w:t>
      </w:r>
      <w:r>
        <w:rPr>
          <w:rFonts w:hint="eastAsia" w:ascii="宋体" w:hAnsi="宋体" w:cs="华文楷体"/>
          <w:color w:val="auto"/>
          <w:spacing w:val="-2"/>
          <w:position w:val="-4"/>
          <w:sz w:val="24"/>
          <w:szCs w:val="24"/>
          <w:highlight w:val="none"/>
        </w:rPr>
        <w:t>章</w:t>
      </w:r>
      <w:r>
        <w:rPr>
          <w:rFonts w:hint="eastAsia" w:ascii="宋体" w:hAnsi="宋体" w:cs="华文楷体"/>
          <w:color w:val="auto"/>
          <w:position w:val="-4"/>
          <w:sz w:val="24"/>
          <w:szCs w:val="24"/>
          <w:highlight w:val="none"/>
        </w:rPr>
        <w:t>）</w:t>
      </w:r>
    </w:p>
    <w:p>
      <w:pPr>
        <w:tabs>
          <w:tab w:val="left" w:pos="6645"/>
        </w:tabs>
        <w:spacing w:line="360" w:lineRule="auto"/>
        <w:ind w:left="2511" w:right="-20"/>
        <w:jc w:val="left"/>
        <w:rPr>
          <w:rFonts w:ascii="宋体" w:hAnsi="宋体" w:cs="华文楷体"/>
          <w:color w:val="auto"/>
          <w:sz w:val="24"/>
          <w:szCs w:val="24"/>
          <w:highlight w:val="none"/>
        </w:rPr>
      </w:pPr>
      <w:r>
        <w:rPr>
          <w:rFonts w:hint="eastAsia" w:ascii="宋体" w:hAnsi="宋体" w:cs="华文楷体"/>
          <w:color w:val="auto"/>
          <w:position w:val="-2"/>
          <w:sz w:val="24"/>
          <w:szCs w:val="24"/>
          <w:highlight w:val="none"/>
        </w:rPr>
        <w:t>法定</w:t>
      </w:r>
      <w:r>
        <w:rPr>
          <w:rFonts w:hint="eastAsia" w:ascii="宋体" w:hAnsi="宋体" w:cs="华文楷体"/>
          <w:color w:val="auto"/>
          <w:spacing w:val="-2"/>
          <w:position w:val="-2"/>
          <w:sz w:val="24"/>
          <w:szCs w:val="24"/>
          <w:highlight w:val="none"/>
        </w:rPr>
        <w:t>代</w:t>
      </w:r>
      <w:r>
        <w:rPr>
          <w:rFonts w:hint="eastAsia" w:ascii="宋体" w:hAnsi="宋体" w:cs="华文楷体"/>
          <w:color w:val="auto"/>
          <w:position w:val="-2"/>
          <w:sz w:val="24"/>
          <w:szCs w:val="24"/>
          <w:highlight w:val="none"/>
        </w:rPr>
        <w:t>表</w:t>
      </w:r>
      <w:r>
        <w:rPr>
          <w:rFonts w:hint="eastAsia" w:ascii="宋体" w:hAnsi="宋体" w:cs="华文楷体"/>
          <w:color w:val="auto"/>
          <w:spacing w:val="-2"/>
          <w:position w:val="-2"/>
          <w:sz w:val="24"/>
          <w:szCs w:val="24"/>
          <w:highlight w:val="none"/>
        </w:rPr>
        <w:t>人</w:t>
      </w:r>
      <w:r>
        <w:rPr>
          <w:rFonts w:hint="eastAsia" w:ascii="宋体" w:hAnsi="宋体" w:cs="华文楷体"/>
          <w:color w:val="auto"/>
          <w:position w:val="-2"/>
          <w:sz w:val="24"/>
          <w:szCs w:val="24"/>
          <w:highlight w:val="none"/>
        </w:rPr>
        <w:t>或</w:t>
      </w:r>
      <w:r>
        <w:rPr>
          <w:rFonts w:hint="eastAsia" w:ascii="宋体" w:hAnsi="宋体" w:cs="华文楷体"/>
          <w:color w:val="auto"/>
          <w:spacing w:val="-2"/>
          <w:position w:val="-2"/>
          <w:sz w:val="24"/>
          <w:szCs w:val="24"/>
          <w:highlight w:val="none"/>
        </w:rPr>
        <w:t>其</w:t>
      </w:r>
      <w:r>
        <w:rPr>
          <w:rFonts w:hint="eastAsia" w:ascii="宋体" w:hAnsi="宋体" w:cs="华文楷体"/>
          <w:color w:val="auto"/>
          <w:position w:val="-2"/>
          <w:sz w:val="24"/>
          <w:szCs w:val="24"/>
          <w:highlight w:val="none"/>
        </w:rPr>
        <w:t>委</w:t>
      </w:r>
      <w:r>
        <w:rPr>
          <w:rFonts w:hint="eastAsia" w:ascii="宋体" w:hAnsi="宋体" w:cs="华文楷体"/>
          <w:color w:val="auto"/>
          <w:spacing w:val="-2"/>
          <w:position w:val="-2"/>
          <w:sz w:val="24"/>
          <w:szCs w:val="24"/>
          <w:highlight w:val="none"/>
        </w:rPr>
        <w:t>托</w:t>
      </w:r>
      <w:r>
        <w:rPr>
          <w:rFonts w:hint="eastAsia" w:ascii="宋体" w:hAnsi="宋体" w:cs="华文楷体"/>
          <w:color w:val="auto"/>
          <w:position w:val="-2"/>
          <w:sz w:val="24"/>
          <w:szCs w:val="24"/>
          <w:highlight w:val="none"/>
        </w:rPr>
        <w:t>代</w:t>
      </w:r>
      <w:r>
        <w:rPr>
          <w:rFonts w:hint="eastAsia" w:ascii="宋体" w:hAnsi="宋体" w:cs="华文楷体"/>
          <w:color w:val="auto"/>
          <w:spacing w:val="-2"/>
          <w:position w:val="-2"/>
          <w:sz w:val="24"/>
          <w:szCs w:val="24"/>
          <w:highlight w:val="none"/>
        </w:rPr>
        <w:t>理</w:t>
      </w:r>
      <w:r>
        <w:rPr>
          <w:rFonts w:hint="eastAsia" w:ascii="宋体" w:hAnsi="宋体" w:cs="华文楷体"/>
          <w:color w:val="auto"/>
          <w:position w:val="-2"/>
          <w:sz w:val="24"/>
          <w:szCs w:val="24"/>
          <w:highlight w:val="none"/>
        </w:rPr>
        <w:t>人：</w:t>
      </w:r>
      <w:r>
        <w:rPr>
          <w:rFonts w:hint="eastAsia" w:ascii="宋体" w:hAnsi="宋体" w:cs="华文楷体"/>
          <w:color w:val="auto"/>
          <w:position w:val="-2"/>
          <w:sz w:val="24"/>
          <w:szCs w:val="24"/>
          <w:highlight w:val="none"/>
          <w:u w:val="single"/>
        </w:rPr>
        <w:t xml:space="preserve"> </w:t>
      </w:r>
      <w:r>
        <w:rPr>
          <w:rFonts w:hint="eastAsia" w:ascii="宋体" w:hAnsi="宋体" w:cs="华文楷体"/>
          <w:color w:val="auto"/>
          <w:spacing w:val="1"/>
          <w:position w:val="-2"/>
          <w:sz w:val="24"/>
          <w:szCs w:val="24"/>
          <w:highlight w:val="none"/>
          <w:u w:val="single"/>
        </w:rPr>
        <w:t xml:space="preserve"> </w:t>
      </w:r>
      <w:r>
        <w:rPr>
          <w:rFonts w:hint="eastAsia" w:ascii="宋体" w:hAnsi="宋体" w:cs="华文楷体"/>
          <w:color w:val="auto"/>
          <w:position w:val="-2"/>
          <w:sz w:val="24"/>
          <w:szCs w:val="24"/>
          <w:highlight w:val="none"/>
          <w:u w:val="single"/>
        </w:rPr>
        <w:tab/>
      </w:r>
      <w:r>
        <w:rPr>
          <w:rFonts w:hint="eastAsia" w:ascii="宋体" w:hAnsi="宋体" w:cs="华文楷体"/>
          <w:color w:val="auto"/>
          <w:position w:val="-2"/>
          <w:sz w:val="24"/>
          <w:szCs w:val="24"/>
          <w:highlight w:val="none"/>
        </w:rPr>
        <w:t>（签</w:t>
      </w:r>
      <w:r>
        <w:rPr>
          <w:rFonts w:hint="eastAsia" w:ascii="宋体" w:hAnsi="宋体" w:cs="华文楷体"/>
          <w:color w:val="auto"/>
          <w:spacing w:val="-2"/>
          <w:position w:val="-2"/>
          <w:sz w:val="24"/>
          <w:szCs w:val="24"/>
          <w:highlight w:val="none"/>
        </w:rPr>
        <w:t>字或盖章</w:t>
      </w:r>
      <w:r>
        <w:rPr>
          <w:rFonts w:hint="eastAsia" w:ascii="宋体" w:hAnsi="宋体" w:cs="华文楷体"/>
          <w:color w:val="auto"/>
          <w:position w:val="-2"/>
          <w:sz w:val="24"/>
          <w:szCs w:val="24"/>
          <w:highlight w:val="none"/>
        </w:rPr>
        <w:t>）</w:t>
      </w:r>
    </w:p>
    <w:p>
      <w:pPr>
        <w:tabs>
          <w:tab w:val="left" w:pos="7240"/>
        </w:tabs>
        <w:spacing w:line="360" w:lineRule="auto"/>
        <w:ind w:left="2511" w:right="-20"/>
        <w:jc w:val="left"/>
        <w:rPr>
          <w:rFonts w:ascii="宋体" w:hAnsi="宋体" w:cs="华文楷体"/>
          <w:color w:val="auto"/>
          <w:sz w:val="24"/>
          <w:szCs w:val="24"/>
          <w:highlight w:val="none"/>
        </w:rPr>
      </w:pPr>
      <w:r>
        <w:rPr>
          <w:rFonts w:hint="eastAsia" w:ascii="宋体" w:hAnsi="宋体" w:cs="华文楷体"/>
          <w:color w:val="auto"/>
          <w:position w:val="-2"/>
          <w:sz w:val="24"/>
          <w:szCs w:val="24"/>
          <w:highlight w:val="none"/>
        </w:rPr>
        <w:t>联合</w:t>
      </w:r>
      <w:r>
        <w:rPr>
          <w:rFonts w:hint="eastAsia" w:ascii="宋体" w:hAnsi="宋体" w:cs="华文楷体"/>
          <w:color w:val="auto"/>
          <w:spacing w:val="-2"/>
          <w:position w:val="-2"/>
          <w:sz w:val="24"/>
          <w:szCs w:val="24"/>
          <w:highlight w:val="none"/>
        </w:rPr>
        <w:t>体</w:t>
      </w:r>
      <w:r>
        <w:rPr>
          <w:rFonts w:hint="eastAsia" w:ascii="宋体" w:hAnsi="宋体" w:cs="华文楷体"/>
          <w:color w:val="auto"/>
          <w:position w:val="-2"/>
          <w:sz w:val="24"/>
          <w:szCs w:val="24"/>
          <w:highlight w:val="none"/>
        </w:rPr>
        <w:t>成</w:t>
      </w:r>
      <w:r>
        <w:rPr>
          <w:rFonts w:hint="eastAsia" w:ascii="宋体" w:hAnsi="宋体" w:cs="华文楷体"/>
          <w:color w:val="auto"/>
          <w:spacing w:val="-2"/>
          <w:position w:val="-2"/>
          <w:sz w:val="24"/>
          <w:szCs w:val="24"/>
          <w:highlight w:val="none"/>
        </w:rPr>
        <w:t>员</w:t>
      </w:r>
      <w:r>
        <w:rPr>
          <w:rFonts w:hint="eastAsia" w:ascii="宋体" w:hAnsi="宋体" w:cs="华文楷体"/>
          <w:color w:val="auto"/>
          <w:position w:val="-2"/>
          <w:sz w:val="24"/>
          <w:szCs w:val="24"/>
          <w:highlight w:val="none"/>
        </w:rPr>
        <w:t>名</w:t>
      </w:r>
      <w:r>
        <w:rPr>
          <w:rFonts w:hint="eastAsia" w:ascii="宋体" w:hAnsi="宋体" w:cs="华文楷体"/>
          <w:color w:val="auto"/>
          <w:spacing w:val="-2"/>
          <w:position w:val="-2"/>
          <w:sz w:val="24"/>
          <w:szCs w:val="24"/>
          <w:highlight w:val="none"/>
        </w:rPr>
        <w:t>称</w:t>
      </w:r>
      <w:r>
        <w:rPr>
          <w:rFonts w:hint="eastAsia" w:ascii="宋体" w:hAnsi="宋体" w:cs="华文楷体"/>
          <w:color w:val="auto"/>
          <w:position w:val="-2"/>
          <w:sz w:val="24"/>
          <w:szCs w:val="24"/>
          <w:highlight w:val="none"/>
        </w:rPr>
        <w:t>：</w:t>
      </w:r>
      <w:r>
        <w:rPr>
          <w:rFonts w:hint="eastAsia" w:ascii="宋体" w:hAnsi="宋体" w:cs="华文楷体"/>
          <w:color w:val="auto"/>
          <w:position w:val="-2"/>
          <w:sz w:val="24"/>
          <w:szCs w:val="24"/>
          <w:highlight w:val="none"/>
          <w:u w:val="single"/>
        </w:rPr>
        <w:t xml:space="preserve"> </w:t>
      </w:r>
      <w:r>
        <w:rPr>
          <w:rFonts w:hint="eastAsia" w:ascii="宋体" w:hAnsi="宋体" w:cs="华文楷体"/>
          <w:color w:val="auto"/>
          <w:spacing w:val="1"/>
          <w:position w:val="-2"/>
          <w:sz w:val="24"/>
          <w:szCs w:val="24"/>
          <w:highlight w:val="none"/>
          <w:u w:val="single"/>
        </w:rPr>
        <w:t xml:space="preserve"> </w:t>
      </w:r>
      <w:r>
        <w:rPr>
          <w:rFonts w:hint="eastAsia" w:ascii="宋体" w:hAnsi="宋体" w:cs="华文楷体"/>
          <w:color w:val="auto"/>
          <w:position w:val="-2"/>
          <w:sz w:val="24"/>
          <w:szCs w:val="24"/>
          <w:highlight w:val="none"/>
          <w:u w:val="single"/>
        </w:rPr>
        <w:tab/>
      </w:r>
      <w:r>
        <w:rPr>
          <w:rFonts w:hint="eastAsia" w:ascii="宋体" w:hAnsi="宋体" w:cs="华文楷体"/>
          <w:color w:val="auto"/>
          <w:position w:val="-2"/>
          <w:sz w:val="24"/>
          <w:szCs w:val="24"/>
          <w:highlight w:val="none"/>
        </w:rPr>
        <w:t>（盖</w:t>
      </w:r>
      <w:r>
        <w:rPr>
          <w:rFonts w:hint="eastAsia" w:ascii="宋体" w:hAnsi="宋体" w:cs="华文楷体"/>
          <w:color w:val="auto"/>
          <w:spacing w:val="-2"/>
          <w:position w:val="-2"/>
          <w:sz w:val="24"/>
          <w:szCs w:val="24"/>
          <w:highlight w:val="none"/>
        </w:rPr>
        <w:t>单</w:t>
      </w:r>
      <w:r>
        <w:rPr>
          <w:rFonts w:hint="eastAsia" w:ascii="宋体" w:hAnsi="宋体" w:cs="华文楷体"/>
          <w:color w:val="auto"/>
          <w:position w:val="-2"/>
          <w:sz w:val="24"/>
          <w:szCs w:val="24"/>
          <w:highlight w:val="none"/>
        </w:rPr>
        <w:t>位</w:t>
      </w:r>
      <w:r>
        <w:rPr>
          <w:rFonts w:hint="eastAsia" w:ascii="宋体" w:hAnsi="宋体" w:cs="华文楷体"/>
          <w:color w:val="auto"/>
          <w:spacing w:val="-2"/>
          <w:position w:val="-2"/>
          <w:sz w:val="24"/>
          <w:szCs w:val="24"/>
          <w:highlight w:val="none"/>
        </w:rPr>
        <w:t>章</w:t>
      </w:r>
      <w:r>
        <w:rPr>
          <w:rFonts w:hint="eastAsia" w:ascii="宋体" w:hAnsi="宋体" w:cs="华文楷体"/>
          <w:color w:val="auto"/>
          <w:position w:val="-2"/>
          <w:sz w:val="24"/>
          <w:szCs w:val="24"/>
          <w:highlight w:val="none"/>
        </w:rPr>
        <w:t>）</w:t>
      </w:r>
    </w:p>
    <w:p>
      <w:pPr>
        <w:tabs>
          <w:tab w:val="left" w:pos="6180"/>
        </w:tabs>
        <w:spacing w:line="360" w:lineRule="auto"/>
        <w:ind w:left="2511" w:right="-20"/>
        <w:jc w:val="left"/>
        <w:rPr>
          <w:rFonts w:ascii="宋体" w:hAnsi="宋体" w:cs="华文楷体"/>
          <w:color w:val="auto"/>
          <w:position w:val="-2"/>
          <w:sz w:val="24"/>
          <w:szCs w:val="24"/>
          <w:highlight w:val="none"/>
        </w:rPr>
      </w:pPr>
      <w:r>
        <w:rPr>
          <w:rFonts w:hint="eastAsia" w:ascii="宋体" w:hAnsi="宋体" w:cs="华文楷体"/>
          <w:color w:val="auto"/>
          <w:position w:val="-2"/>
          <w:sz w:val="24"/>
          <w:szCs w:val="24"/>
          <w:highlight w:val="none"/>
        </w:rPr>
        <w:t>法定</w:t>
      </w:r>
      <w:r>
        <w:rPr>
          <w:rFonts w:hint="eastAsia" w:ascii="宋体" w:hAnsi="宋体" w:cs="华文楷体"/>
          <w:color w:val="auto"/>
          <w:spacing w:val="-2"/>
          <w:position w:val="-2"/>
          <w:sz w:val="24"/>
          <w:szCs w:val="24"/>
          <w:highlight w:val="none"/>
        </w:rPr>
        <w:t>代</w:t>
      </w:r>
      <w:r>
        <w:rPr>
          <w:rFonts w:hint="eastAsia" w:ascii="宋体" w:hAnsi="宋体" w:cs="华文楷体"/>
          <w:color w:val="auto"/>
          <w:position w:val="-2"/>
          <w:sz w:val="24"/>
          <w:szCs w:val="24"/>
          <w:highlight w:val="none"/>
        </w:rPr>
        <w:t>表</w:t>
      </w:r>
      <w:r>
        <w:rPr>
          <w:rFonts w:hint="eastAsia" w:ascii="宋体" w:hAnsi="宋体" w:cs="华文楷体"/>
          <w:color w:val="auto"/>
          <w:spacing w:val="-2"/>
          <w:position w:val="-2"/>
          <w:sz w:val="24"/>
          <w:szCs w:val="24"/>
          <w:highlight w:val="none"/>
        </w:rPr>
        <w:t>人</w:t>
      </w:r>
      <w:r>
        <w:rPr>
          <w:rFonts w:hint="eastAsia" w:ascii="宋体" w:hAnsi="宋体" w:cs="华文楷体"/>
          <w:color w:val="auto"/>
          <w:position w:val="-2"/>
          <w:sz w:val="24"/>
          <w:szCs w:val="24"/>
          <w:highlight w:val="none"/>
        </w:rPr>
        <w:t>或</w:t>
      </w:r>
      <w:r>
        <w:rPr>
          <w:rFonts w:hint="eastAsia" w:ascii="宋体" w:hAnsi="宋体" w:cs="华文楷体"/>
          <w:color w:val="auto"/>
          <w:spacing w:val="-2"/>
          <w:position w:val="-2"/>
          <w:sz w:val="24"/>
          <w:szCs w:val="24"/>
          <w:highlight w:val="none"/>
        </w:rPr>
        <w:t>其</w:t>
      </w:r>
      <w:r>
        <w:rPr>
          <w:rFonts w:hint="eastAsia" w:ascii="宋体" w:hAnsi="宋体" w:cs="华文楷体"/>
          <w:color w:val="auto"/>
          <w:position w:val="-2"/>
          <w:sz w:val="24"/>
          <w:szCs w:val="24"/>
          <w:highlight w:val="none"/>
        </w:rPr>
        <w:t>委</w:t>
      </w:r>
      <w:r>
        <w:rPr>
          <w:rFonts w:hint="eastAsia" w:ascii="宋体" w:hAnsi="宋体" w:cs="华文楷体"/>
          <w:color w:val="auto"/>
          <w:spacing w:val="-2"/>
          <w:position w:val="-2"/>
          <w:sz w:val="24"/>
          <w:szCs w:val="24"/>
          <w:highlight w:val="none"/>
        </w:rPr>
        <w:t>托</w:t>
      </w:r>
      <w:r>
        <w:rPr>
          <w:rFonts w:hint="eastAsia" w:ascii="宋体" w:hAnsi="宋体" w:cs="华文楷体"/>
          <w:color w:val="auto"/>
          <w:position w:val="-2"/>
          <w:sz w:val="24"/>
          <w:szCs w:val="24"/>
          <w:highlight w:val="none"/>
        </w:rPr>
        <w:t>代</w:t>
      </w:r>
      <w:r>
        <w:rPr>
          <w:rFonts w:hint="eastAsia" w:ascii="宋体" w:hAnsi="宋体" w:cs="华文楷体"/>
          <w:color w:val="auto"/>
          <w:spacing w:val="-2"/>
          <w:position w:val="-2"/>
          <w:sz w:val="24"/>
          <w:szCs w:val="24"/>
          <w:highlight w:val="none"/>
        </w:rPr>
        <w:t>理</w:t>
      </w:r>
      <w:r>
        <w:rPr>
          <w:rFonts w:hint="eastAsia" w:ascii="宋体" w:hAnsi="宋体" w:cs="华文楷体"/>
          <w:color w:val="auto"/>
          <w:position w:val="-2"/>
          <w:sz w:val="24"/>
          <w:szCs w:val="24"/>
          <w:highlight w:val="none"/>
        </w:rPr>
        <w:t>人：</w:t>
      </w:r>
      <w:r>
        <w:rPr>
          <w:rFonts w:hint="eastAsia" w:ascii="宋体" w:hAnsi="宋体" w:cs="华文楷体"/>
          <w:color w:val="auto"/>
          <w:position w:val="-2"/>
          <w:sz w:val="24"/>
          <w:szCs w:val="24"/>
          <w:highlight w:val="none"/>
          <w:u w:val="single"/>
        </w:rPr>
        <w:t xml:space="preserve"> </w:t>
      </w:r>
      <w:r>
        <w:rPr>
          <w:rFonts w:hint="eastAsia" w:ascii="宋体" w:hAnsi="宋体" w:cs="华文楷体"/>
          <w:color w:val="auto"/>
          <w:spacing w:val="1"/>
          <w:position w:val="-2"/>
          <w:sz w:val="24"/>
          <w:szCs w:val="24"/>
          <w:highlight w:val="none"/>
          <w:u w:val="single"/>
        </w:rPr>
        <w:t xml:space="preserve">     </w:t>
      </w:r>
      <w:r>
        <w:rPr>
          <w:rFonts w:hint="eastAsia" w:ascii="宋体" w:hAnsi="宋体" w:cs="华文楷体"/>
          <w:color w:val="auto"/>
          <w:position w:val="-2"/>
          <w:sz w:val="24"/>
          <w:szCs w:val="24"/>
          <w:highlight w:val="none"/>
          <w:u w:val="single"/>
        </w:rPr>
        <w:tab/>
      </w:r>
      <w:r>
        <w:rPr>
          <w:rFonts w:hint="eastAsia" w:ascii="宋体" w:hAnsi="宋体" w:cs="华文楷体"/>
          <w:color w:val="auto"/>
          <w:position w:val="-2"/>
          <w:sz w:val="24"/>
          <w:szCs w:val="24"/>
          <w:highlight w:val="none"/>
        </w:rPr>
        <w:t>（</w:t>
      </w:r>
      <w:r>
        <w:rPr>
          <w:rFonts w:hint="eastAsia" w:ascii="宋体" w:hAnsi="宋体" w:cs="华文楷体"/>
          <w:color w:val="auto"/>
          <w:spacing w:val="-2"/>
          <w:position w:val="-2"/>
          <w:sz w:val="24"/>
          <w:szCs w:val="24"/>
          <w:highlight w:val="none"/>
        </w:rPr>
        <w:t>签</w:t>
      </w:r>
      <w:r>
        <w:rPr>
          <w:rFonts w:hint="eastAsia" w:ascii="宋体" w:hAnsi="宋体" w:cs="华文楷体"/>
          <w:color w:val="auto"/>
          <w:position w:val="-2"/>
          <w:sz w:val="24"/>
          <w:szCs w:val="24"/>
          <w:highlight w:val="none"/>
        </w:rPr>
        <w:t>字或盖章）</w:t>
      </w:r>
    </w:p>
    <w:p>
      <w:pPr>
        <w:pStyle w:val="27"/>
        <w:spacing w:line="360" w:lineRule="auto"/>
        <w:ind w:firstLine="3600" w:firstLineChars="1500"/>
        <w:rPr>
          <w:rFonts w:ascii="宋体" w:hAnsi="宋体" w:cs="华文楷体"/>
          <w:color w:val="auto"/>
          <w:sz w:val="24"/>
          <w:highlight w:val="none"/>
        </w:rPr>
      </w:pPr>
      <w:r>
        <w:rPr>
          <w:rFonts w:hint="eastAsia" w:ascii="宋体" w:hAnsi="宋体" w:cs="华文楷体"/>
          <w:color w:val="auto"/>
          <w:kern w:val="44"/>
          <w:sz w:val="24"/>
          <w:highlight w:val="none"/>
        </w:rPr>
        <w:t>……（如有，投标人自行添加）</w:t>
      </w:r>
    </w:p>
    <w:p>
      <w:pPr>
        <w:widowControl/>
        <w:spacing w:line="360" w:lineRule="auto"/>
        <w:jc w:val="center"/>
        <w:rPr>
          <w:rFonts w:ascii="宋体" w:hAnsi="宋体" w:cs="华文楷体"/>
          <w:color w:val="auto"/>
          <w:sz w:val="24"/>
          <w:szCs w:val="24"/>
          <w:highlight w:val="none"/>
        </w:rPr>
      </w:pPr>
      <w:r>
        <w:rPr>
          <w:rFonts w:hint="eastAsia" w:ascii="宋体" w:hAnsi="宋体" w:cs="华文楷体"/>
          <w:color w:val="auto"/>
          <w:sz w:val="24"/>
          <w:szCs w:val="24"/>
          <w:highlight w:val="none"/>
        </w:rPr>
        <w:tab/>
      </w:r>
      <w:r>
        <w:rPr>
          <w:rFonts w:hint="eastAsia" w:ascii="宋体" w:hAnsi="宋体" w:cs="华文楷体"/>
          <w:color w:val="auto"/>
          <w:sz w:val="24"/>
          <w:szCs w:val="24"/>
          <w:highlight w:val="none"/>
        </w:rPr>
        <w:t>日期：</w:t>
      </w:r>
      <w:r>
        <w:rPr>
          <w:rFonts w:hint="eastAsia" w:ascii="宋体" w:hAnsi="宋体" w:cs="华文楷体"/>
          <w:color w:val="auto"/>
          <w:sz w:val="24"/>
          <w:szCs w:val="24"/>
          <w:highlight w:val="none"/>
          <w:u w:val="single"/>
        </w:rPr>
        <w:t xml:space="preserve">    </w:t>
      </w:r>
      <w:r>
        <w:rPr>
          <w:rFonts w:hint="eastAsia" w:ascii="宋体" w:hAnsi="宋体" w:cs="华文楷体"/>
          <w:color w:val="auto"/>
          <w:sz w:val="24"/>
          <w:szCs w:val="24"/>
          <w:highlight w:val="none"/>
        </w:rPr>
        <w:t>年</w:t>
      </w:r>
      <w:r>
        <w:rPr>
          <w:rFonts w:hint="eastAsia" w:ascii="宋体" w:hAnsi="宋体" w:cs="华文楷体"/>
          <w:color w:val="auto"/>
          <w:sz w:val="24"/>
          <w:szCs w:val="24"/>
          <w:highlight w:val="none"/>
          <w:u w:val="single"/>
        </w:rPr>
        <w:t xml:space="preserve">    </w:t>
      </w:r>
      <w:r>
        <w:rPr>
          <w:rFonts w:hint="eastAsia" w:ascii="宋体" w:hAnsi="宋体" w:cs="华文楷体"/>
          <w:color w:val="auto"/>
          <w:sz w:val="24"/>
          <w:szCs w:val="24"/>
          <w:highlight w:val="none"/>
        </w:rPr>
        <w:t>月</w:t>
      </w:r>
      <w:r>
        <w:rPr>
          <w:rFonts w:hint="eastAsia" w:ascii="宋体" w:hAnsi="宋体" w:cs="华文楷体"/>
          <w:color w:val="auto"/>
          <w:sz w:val="24"/>
          <w:szCs w:val="24"/>
          <w:highlight w:val="none"/>
          <w:u w:val="single"/>
        </w:rPr>
        <w:t xml:space="preserve">    </w:t>
      </w:r>
      <w:r>
        <w:rPr>
          <w:rFonts w:hint="eastAsia" w:ascii="宋体" w:hAnsi="宋体" w:cs="华文楷体"/>
          <w:color w:val="auto"/>
          <w:sz w:val="24"/>
          <w:szCs w:val="24"/>
          <w:highlight w:val="none"/>
        </w:rPr>
        <w:t>日</w:t>
      </w:r>
    </w:p>
    <w:p>
      <w:pPr>
        <w:pStyle w:val="12"/>
        <w:sectPr>
          <w:pgSz w:w="11906" w:h="16838"/>
          <w:pgMar w:top="1440" w:right="1080" w:bottom="1440" w:left="1080" w:header="851" w:footer="1020" w:gutter="0"/>
          <w:cols w:space="720" w:num="1"/>
          <w:docGrid w:type="lines" w:linePitch="312" w:charSpace="0"/>
        </w:sectPr>
      </w:pPr>
    </w:p>
    <w:p>
      <w:pPr>
        <w:widowControl/>
        <w:spacing w:line="360" w:lineRule="auto"/>
        <w:jc w:val="both"/>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（四）其他符合第二章第1.4.1条款规定的证明</w:t>
      </w:r>
    </w:p>
    <w:p>
      <w:pPr>
        <w:pStyle w:val="28"/>
        <w:ind w:left="0" w:leftChars="0" w:firstLine="0" w:firstLineChars="0"/>
        <w:jc w:val="center"/>
        <w:rPr>
          <w:rFonts w:ascii="宋体" w:hAnsi="宋体" w:cs="宋体"/>
          <w:b/>
          <w:bCs/>
          <w:kern w:val="0"/>
          <w:szCs w:val="21"/>
          <w:highlight w:val="none"/>
        </w:rPr>
      </w:pPr>
    </w:p>
    <w:p>
      <w:pPr>
        <w:pStyle w:val="28"/>
        <w:ind w:left="0" w:leftChars="0" w:firstLine="0" w:firstLineChars="0"/>
        <w:jc w:val="center"/>
        <w:rPr>
          <w:rFonts w:ascii="宋体" w:hAnsi="宋体" w:cs="宋体"/>
          <w:b/>
          <w:bCs/>
          <w:kern w:val="0"/>
          <w:szCs w:val="21"/>
          <w:highlight w:val="none"/>
        </w:rPr>
      </w:pPr>
    </w:p>
    <w:p>
      <w:pPr>
        <w:pStyle w:val="28"/>
        <w:ind w:left="0" w:leftChars="0" w:firstLine="0" w:firstLineChars="0"/>
        <w:jc w:val="center"/>
        <w:rPr>
          <w:rFonts w:ascii="宋体" w:hAnsi="宋体" w:cs="宋体"/>
          <w:b/>
          <w:bCs/>
          <w:kern w:val="0"/>
          <w:szCs w:val="21"/>
          <w:highlight w:val="none"/>
        </w:rPr>
      </w:pPr>
    </w:p>
    <w:p>
      <w:pPr>
        <w:pStyle w:val="5"/>
        <w:rPr>
          <w:color w:val="auto"/>
          <w:highlight w:val="none"/>
        </w:rPr>
      </w:pPr>
      <w:r>
        <w:rPr>
          <w:color w:val="auto"/>
          <w:highlight w:val="none"/>
        </w:rPr>
        <w:br w:type="page"/>
      </w:r>
      <w:bookmarkStart w:id="195" w:name="_Toc22112"/>
      <w:bookmarkStart w:id="196" w:name="_Toc20625"/>
      <w:bookmarkStart w:id="197" w:name="_Toc533357334"/>
      <w:r>
        <w:rPr>
          <w:rFonts w:hint="eastAsia"/>
          <w:color w:val="auto"/>
          <w:highlight w:val="none"/>
        </w:rPr>
        <w:t>六、类似项目业绩表</w:t>
      </w:r>
      <w:bookmarkEnd w:id="195"/>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741"/>
        <w:gridCol w:w="1054"/>
        <w:gridCol w:w="1356"/>
        <w:gridCol w:w="932"/>
        <w:gridCol w:w="1827"/>
        <w:gridCol w:w="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525" w:type="dxa"/>
            <w:vAlign w:val="center"/>
          </w:tcPr>
          <w:p>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序号</w:t>
            </w:r>
          </w:p>
        </w:tc>
        <w:tc>
          <w:tcPr>
            <w:tcW w:w="1741" w:type="dxa"/>
            <w:vAlign w:val="center"/>
          </w:tcPr>
          <w:p>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工程名称</w:t>
            </w:r>
          </w:p>
        </w:tc>
        <w:tc>
          <w:tcPr>
            <w:tcW w:w="1054" w:type="dxa"/>
            <w:vAlign w:val="center"/>
          </w:tcPr>
          <w:p>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建设单位</w:t>
            </w:r>
          </w:p>
        </w:tc>
        <w:tc>
          <w:tcPr>
            <w:tcW w:w="1356" w:type="dxa"/>
            <w:vAlign w:val="center"/>
          </w:tcPr>
          <w:p>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合同价（万元）</w:t>
            </w:r>
          </w:p>
        </w:tc>
        <w:tc>
          <w:tcPr>
            <w:tcW w:w="932" w:type="dxa"/>
            <w:vAlign w:val="center"/>
          </w:tcPr>
          <w:p>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起止时间</w:t>
            </w:r>
          </w:p>
        </w:tc>
        <w:tc>
          <w:tcPr>
            <w:tcW w:w="1827" w:type="dxa"/>
            <w:vAlign w:val="center"/>
          </w:tcPr>
          <w:p>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工程所在地址</w:t>
            </w:r>
          </w:p>
        </w:tc>
        <w:tc>
          <w:tcPr>
            <w:tcW w:w="870" w:type="dxa"/>
            <w:vAlign w:val="center"/>
          </w:tcPr>
          <w:p>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525" w:type="dxa"/>
            <w:vAlign w:val="center"/>
          </w:tcPr>
          <w:p>
            <w:pPr>
              <w:spacing w:line="240" w:lineRule="atLeast"/>
              <w:jc w:val="center"/>
              <w:rPr>
                <w:rFonts w:ascii="宋体" w:hAnsi="宋体"/>
                <w:color w:val="auto"/>
                <w:sz w:val="24"/>
                <w:highlight w:val="none"/>
              </w:rPr>
            </w:pPr>
          </w:p>
        </w:tc>
        <w:tc>
          <w:tcPr>
            <w:tcW w:w="1741" w:type="dxa"/>
            <w:vAlign w:val="center"/>
          </w:tcPr>
          <w:p>
            <w:pPr>
              <w:spacing w:line="240" w:lineRule="atLeast"/>
              <w:jc w:val="center"/>
              <w:rPr>
                <w:rFonts w:ascii="宋体" w:hAnsi="宋体"/>
                <w:color w:val="auto"/>
                <w:sz w:val="24"/>
                <w:highlight w:val="none"/>
              </w:rPr>
            </w:pPr>
          </w:p>
        </w:tc>
        <w:tc>
          <w:tcPr>
            <w:tcW w:w="1054" w:type="dxa"/>
            <w:vAlign w:val="center"/>
          </w:tcPr>
          <w:p>
            <w:pPr>
              <w:spacing w:line="240" w:lineRule="atLeast"/>
              <w:jc w:val="center"/>
              <w:rPr>
                <w:rFonts w:ascii="宋体" w:hAnsi="宋体"/>
                <w:color w:val="auto"/>
                <w:sz w:val="24"/>
                <w:highlight w:val="none"/>
              </w:rPr>
            </w:pPr>
          </w:p>
        </w:tc>
        <w:tc>
          <w:tcPr>
            <w:tcW w:w="1356" w:type="dxa"/>
            <w:vAlign w:val="center"/>
          </w:tcPr>
          <w:p>
            <w:pPr>
              <w:spacing w:line="240" w:lineRule="atLeast"/>
              <w:jc w:val="center"/>
              <w:rPr>
                <w:rFonts w:ascii="宋体" w:hAnsi="宋体"/>
                <w:color w:val="auto"/>
                <w:sz w:val="24"/>
                <w:highlight w:val="none"/>
              </w:rPr>
            </w:pPr>
          </w:p>
        </w:tc>
        <w:tc>
          <w:tcPr>
            <w:tcW w:w="932" w:type="dxa"/>
            <w:vAlign w:val="center"/>
          </w:tcPr>
          <w:p>
            <w:pPr>
              <w:spacing w:line="240" w:lineRule="atLeast"/>
              <w:jc w:val="center"/>
              <w:rPr>
                <w:rFonts w:ascii="宋体" w:hAnsi="宋体"/>
                <w:color w:val="auto"/>
                <w:sz w:val="24"/>
                <w:highlight w:val="none"/>
              </w:rPr>
            </w:pPr>
          </w:p>
        </w:tc>
        <w:tc>
          <w:tcPr>
            <w:tcW w:w="1827" w:type="dxa"/>
            <w:vAlign w:val="center"/>
          </w:tcPr>
          <w:p>
            <w:pPr>
              <w:spacing w:line="240" w:lineRule="atLeast"/>
              <w:jc w:val="center"/>
              <w:rPr>
                <w:rFonts w:ascii="宋体" w:hAnsi="宋体"/>
                <w:color w:val="auto"/>
                <w:sz w:val="24"/>
                <w:highlight w:val="none"/>
              </w:rPr>
            </w:pPr>
          </w:p>
        </w:tc>
        <w:tc>
          <w:tcPr>
            <w:tcW w:w="870" w:type="dxa"/>
            <w:vAlign w:val="center"/>
          </w:tcPr>
          <w:p>
            <w:pPr>
              <w:spacing w:line="240" w:lineRule="atLeast"/>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525" w:type="dxa"/>
            <w:vAlign w:val="center"/>
          </w:tcPr>
          <w:p>
            <w:pPr>
              <w:spacing w:line="240" w:lineRule="atLeast"/>
              <w:jc w:val="center"/>
              <w:rPr>
                <w:rFonts w:ascii="宋体" w:hAnsi="宋体"/>
                <w:color w:val="auto"/>
                <w:sz w:val="24"/>
                <w:highlight w:val="none"/>
              </w:rPr>
            </w:pPr>
          </w:p>
        </w:tc>
        <w:tc>
          <w:tcPr>
            <w:tcW w:w="1741" w:type="dxa"/>
            <w:vAlign w:val="center"/>
          </w:tcPr>
          <w:p>
            <w:pPr>
              <w:spacing w:line="240" w:lineRule="atLeast"/>
              <w:jc w:val="center"/>
              <w:rPr>
                <w:rFonts w:ascii="宋体" w:hAnsi="宋体"/>
                <w:color w:val="auto"/>
                <w:sz w:val="24"/>
                <w:highlight w:val="none"/>
              </w:rPr>
            </w:pPr>
          </w:p>
        </w:tc>
        <w:tc>
          <w:tcPr>
            <w:tcW w:w="1054" w:type="dxa"/>
            <w:vAlign w:val="center"/>
          </w:tcPr>
          <w:p>
            <w:pPr>
              <w:spacing w:line="240" w:lineRule="atLeast"/>
              <w:jc w:val="center"/>
              <w:rPr>
                <w:rFonts w:ascii="宋体" w:hAnsi="宋体"/>
                <w:color w:val="auto"/>
                <w:sz w:val="24"/>
                <w:highlight w:val="none"/>
              </w:rPr>
            </w:pPr>
          </w:p>
        </w:tc>
        <w:tc>
          <w:tcPr>
            <w:tcW w:w="1356" w:type="dxa"/>
            <w:vAlign w:val="center"/>
          </w:tcPr>
          <w:p>
            <w:pPr>
              <w:spacing w:line="240" w:lineRule="atLeast"/>
              <w:jc w:val="center"/>
              <w:rPr>
                <w:rFonts w:ascii="宋体" w:hAnsi="宋体"/>
                <w:color w:val="auto"/>
                <w:sz w:val="24"/>
                <w:highlight w:val="none"/>
              </w:rPr>
            </w:pPr>
          </w:p>
        </w:tc>
        <w:tc>
          <w:tcPr>
            <w:tcW w:w="932" w:type="dxa"/>
            <w:vAlign w:val="center"/>
          </w:tcPr>
          <w:p>
            <w:pPr>
              <w:spacing w:line="240" w:lineRule="atLeast"/>
              <w:jc w:val="center"/>
              <w:rPr>
                <w:rFonts w:ascii="宋体" w:hAnsi="宋体"/>
                <w:color w:val="auto"/>
                <w:sz w:val="24"/>
                <w:highlight w:val="none"/>
              </w:rPr>
            </w:pPr>
          </w:p>
        </w:tc>
        <w:tc>
          <w:tcPr>
            <w:tcW w:w="1827" w:type="dxa"/>
            <w:vAlign w:val="center"/>
          </w:tcPr>
          <w:p>
            <w:pPr>
              <w:spacing w:line="240" w:lineRule="atLeast"/>
              <w:jc w:val="center"/>
              <w:rPr>
                <w:rFonts w:ascii="宋体" w:hAnsi="宋体"/>
                <w:color w:val="auto"/>
                <w:sz w:val="24"/>
                <w:highlight w:val="none"/>
              </w:rPr>
            </w:pPr>
          </w:p>
        </w:tc>
        <w:tc>
          <w:tcPr>
            <w:tcW w:w="870" w:type="dxa"/>
            <w:vAlign w:val="center"/>
          </w:tcPr>
          <w:p>
            <w:pPr>
              <w:spacing w:line="240" w:lineRule="atLeast"/>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525" w:type="dxa"/>
            <w:vAlign w:val="center"/>
          </w:tcPr>
          <w:p>
            <w:pPr>
              <w:spacing w:line="240" w:lineRule="atLeast"/>
              <w:jc w:val="center"/>
              <w:rPr>
                <w:rFonts w:ascii="宋体" w:hAnsi="宋体"/>
                <w:color w:val="auto"/>
                <w:sz w:val="24"/>
                <w:highlight w:val="none"/>
              </w:rPr>
            </w:pPr>
          </w:p>
        </w:tc>
        <w:tc>
          <w:tcPr>
            <w:tcW w:w="1741" w:type="dxa"/>
            <w:vAlign w:val="center"/>
          </w:tcPr>
          <w:p>
            <w:pPr>
              <w:spacing w:line="240" w:lineRule="atLeast"/>
              <w:jc w:val="center"/>
              <w:rPr>
                <w:rFonts w:ascii="宋体" w:hAnsi="宋体"/>
                <w:color w:val="auto"/>
                <w:sz w:val="24"/>
                <w:highlight w:val="none"/>
              </w:rPr>
            </w:pPr>
          </w:p>
        </w:tc>
        <w:tc>
          <w:tcPr>
            <w:tcW w:w="1054" w:type="dxa"/>
            <w:vAlign w:val="center"/>
          </w:tcPr>
          <w:p>
            <w:pPr>
              <w:spacing w:line="240" w:lineRule="atLeast"/>
              <w:jc w:val="center"/>
              <w:rPr>
                <w:rFonts w:ascii="宋体" w:hAnsi="宋体"/>
                <w:color w:val="auto"/>
                <w:sz w:val="24"/>
                <w:highlight w:val="none"/>
              </w:rPr>
            </w:pPr>
          </w:p>
        </w:tc>
        <w:tc>
          <w:tcPr>
            <w:tcW w:w="1356" w:type="dxa"/>
            <w:vAlign w:val="center"/>
          </w:tcPr>
          <w:p>
            <w:pPr>
              <w:spacing w:line="240" w:lineRule="atLeast"/>
              <w:jc w:val="center"/>
              <w:rPr>
                <w:rFonts w:ascii="宋体" w:hAnsi="宋体"/>
                <w:color w:val="auto"/>
                <w:sz w:val="24"/>
                <w:highlight w:val="none"/>
              </w:rPr>
            </w:pPr>
          </w:p>
        </w:tc>
        <w:tc>
          <w:tcPr>
            <w:tcW w:w="932" w:type="dxa"/>
            <w:vAlign w:val="center"/>
          </w:tcPr>
          <w:p>
            <w:pPr>
              <w:spacing w:line="240" w:lineRule="atLeast"/>
              <w:jc w:val="center"/>
              <w:rPr>
                <w:rFonts w:ascii="宋体" w:hAnsi="宋体"/>
                <w:color w:val="auto"/>
                <w:sz w:val="24"/>
                <w:highlight w:val="none"/>
              </w:rPr>
            </w:pPr>
          </w:p>
        </w:tc>
        <w:tc>
          <w:tcPr>
            <w:tcW w:w="1827" w:type="dxa"/>
            <w:vAlign w:val="center"/>
          </w:tcPr>
          <w:p>
            <w:pPr>
              <w:spacing w:line="240" w:lineRule="atLeast"/>
              <w:jc w:val="center"/>
              <w:rPr>
                <w:rFonts w:ascii="宋体" w:hAnsi="宋体"/>
                <w:color w:val="auto"/>
                <w:sz w:val="24"/>
                <w:highlight w:val="none"/>
              </w:rPr>
            </w:pPr>
          </w:p>
        </w:tc>
        <w:tc>
          <w:tcPr>
            <w:tcW w:w="870" w:type="dxa"/>
            <w:vAlign w:val="center"/>
          </w:tcPr>
          <w:p>
            <w:pPr>
              <w:spacing w:line="240" w:lineRule="atLeast"/>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525" w:type="dxa"/>
            <w:vAlign w:val="center"/>
          </w:tcPr>
          <w:p>
            <w:pPr>
              <w:spacing w:line="240" w:lineRule="atLeast"/>
              <w:jc w:val="center"/>
              <w:rPr>
                <w:rFonts w:ascii="宋体" w:hAnsi="宋体"/>
                <w:color w:val="auto"/>
                <w:sz w:val="24"/>
                <w:highlight w:val="none"/>
              </w:rPr>
            </w:pPr>
          </w:p>
        </w:tc>
        <w:tc>
          <w:tcPr>
            <w:tcW w:w="1741" w:type="dxa"/>
            <w:vAlign w:val="center"/>
          </w:tcPr>
          <w:p>
            <w:pPr>
              <w:spacing w:line="240" w:lineRule="atLeast"/>
              <w:jc w:val="center"/>
              <w:rPr>
                <w:rFonts w:ascii="宋体" w:hAnsi="宋体"/>
                <w:color w:val="auto"/>
                <w:sz w:val="24"/>
                <w:highlight w:val="none"/>
              </w:rPr>
            </w:pPr>
          </w:p>
        </w:tc>
        <w:tc>
          <w:tcPr>
            <w:tcW w:w="1054" w:type="dxa"/>
            <w:vAlign w:val="center"/>
          </w:tcPr>
          <w:p>
            <w:pPr>
              <w:spacing w:line="240" w:lineRule="atLeast"/>
              <w:jc w:val="center"/>
              <w:rPr>
                <w:rFonts w:ascii="宋体" w:hAnsi="宋体"/>
                <w:color w:val="auto"/>
                <w:sz w:val="24"/>
                <w:highlight w:val="none"/>
              </w:rPr>
            </w:pPr>
          </w:p>
        </w:tc>
        <w:tc>
          <w:tcPr>
            <w:tcW w:w="1356" w:type="dxa"/>
            <w:vAlign w:val="center"/>
          </w:tcPr>
          <w:p>
            <w:pPr>
              <w:spacing w:line="240" w:lineRule="atLeast"/>
              <w:jc w:val="center"/>
              <w:rPr>
                <w:rFonts w:ascii="宋体" w:hAnsi="宋体"/>
                <w:color w:val="auto"/>
                <w:sz w:val="24"/>
                <w:highlight w:val="none"/>
              </w:rPr>
            </w:pPr>
          </w:p>
        </w:tc>
        <w:tc>
          <w:tcPr>
            <w:tcW w:w="932" w:type="dxa"/>
            <w:vAlign w:val="center"/>
          </w:tcPr>
          <w:p>
            <w:pPr>
              <w:spacing w:line="240" w:lineRule="atLeast"/>
              <w:jc w:val="center"/>
              <w:rPr>
                <w:rFonts w:ascii="宋体" w:hAnsi="宋体"/>
                <w:color w:val="auto"/>
                <w:sz w:val="24"/>
                <w:highlight w:val="none"/>
              </w:rPr>
            </w:pPr>
          </w:p>
        </w:tc>
        <w:tc>
          <w:tcPr>
            <w:tcW w:w="1827" w:type="dxa"/>
            <w:vAlign w:val="center"/>
          </w:tcPr>
          <w:p>
            <w:pPr>
              <w:spacing w:line="240" w:lineRule="atLeast"/>
              <w:jc w:val="center"/>
              <w:rPr>
                <w:rFonts w:ascii="宋体" w:hAnsi="宋体"/>
                <w:color w:val="auto"/>
                <w:sz w:val="24"/>
                <w:highlight w:val="none"/>
              </w:rPr>
            </w:pPr>
          </w:p>
        </w:tc>
        <w:tc>
          <w:tcPr>
            <w:tcW w:w="870" w:type="dxa"/>
            <w:vAlign w:val="center"/>
          </w:tcPr>
          <w:p>
            <w:pPr>
              <w:spacing w:line="240" w:lineRule="atLeast"/>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525" w:type="dxa"/>
            <w:vAlign w:val="center"/>
          </w:tcPr>
          <w:p>
            <w:pPr>
              <w:spacing w:line="240" w:lineRule="atLeast"/>
              <w:jc w:val="center"/>
              <w:rPr>
                <w:rFonts w:ascii="宋体" w:hAnsi="宋体"/>
                <w:color w:val="auto"/>
                <w:sz w:val="24"/>
                <w:highlight w:val="none"/>
              </w:rPr>
            </w:pPr>
          </w:p>
        </w:tc>
        <w:tc>
          <w:tcPr>
            <w:tcW w:w="1741" w:type="dxa"/>
            <w:vAlign w:val="center"/>
          </w:tcPr>
          <w:p>
            <w:pPr>
              <w:spacing w:line="240" w:lineRule="atLeast"/>
              <w:jc w:val="center"/>
              <w:rPr>
                <w:rFonts w:ascii="宋体" w:hAnsi="宋体"/>
                <w:color w:val="auto"/>
                <w:sz w:val="24"/>
                <w:highlight w:val="none"/>
              </w:rPr>
            </w:pPr>
          </w:p>
        </w:tc>
        <w:tc>
          <w:tcPr>
            <w:tcW w:w="1054" w:type="dxa"/>
            <w:vAlign w:val="center"/>
          </w:tcPr>
          <w:p>
            <w:pPr>
              <w:spacing w:line="240" w:lineRule="atLeast"/>
              <w:jc w:val="center"/>
              <w:rPr>
                <w:rFonts w:ascii="宋体" w:hAnsi="宋体"/>
                <w:color w:val="auto"/>
                <w:sz w:val="24"/>
                <w:highlight w:val="none"/>
              </w:rPr>
            </w:pPr>
          </w:p>
        </w:tc>
        <w:tc>
          <w:tcPr>
            <w:tcW w:w="1356" w:type="dxa"/>
            <w:vAlign w:val="center"/>
          </w:tcPr>
          <w:p>
            <w:pPr>
              <w:spacing w:line="240" w:lineRule="atLeast"/>
              <w:jc w:val="center"/>
              <w:rPr>
                <w:rFonts w:ascii="宋体" w:hAnsi="宋体"/>
                <w:color w:val="auto"/>
                <w:sz w:val="24"/>
                <w:highlight w:val="none"/>
              </w:rPr>
            </w:pPr>
          </w:p>
        </w:tc>
        <w:tc>
          <w:tcPr>
            <w:tcW w:w="932" w:type="dxa"/>
            <w:vAlign w:val="center"/>
          </w:tcPr>
          <w:p>
            <w:pPr>
              <w:spacing w:line="240" w:lineRule="atLeast"/>
              <w:jc w:val="center"/>
              <w:rPr>
                <w:rFonts w:ascii="宋体" w:hAnsi="宋体"/>
                <w:color w:val="auto"/>
                <w:sz w:val="24"/>
                <w:highlight w:val="none"/>
              </w:rPr>
            </w:pPr>
          </w:p>
        </w:tc>
        <w:tc>
          <w:tcPr>
            <w:tcW w:w="1827" w:type="dxa"/>
            <w:vAlign w:val="center"/>
          </w:tcPr>
          <w:p>
            <w:pPr>
              <w:spacing w:line="240" w:lineRule="atLeast"/>
              <w:jc w:val="center"/>
              <w:rPr>
                <w:rFonts w:ascii="宋体" w:hAnsi="宋体"/>
                <w:color w:val="auto"/>
                <w:sz w:val="24"/>
                <w:highlight w:val="none"/>
              </w:rPr>
            </w:pPr>
          </w:p>
        </w:tc>
        <w:tc>
          <w:tcPr>
            <w:tcW w:w="870" w:type="dxa"/>
            <w:vAlign w:val="center"/>
          </w:tcPr>
          <w:p>
            <w:pPr>
              <w:spacing w:line="240" w:lineRule="atLeast"/>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525" w:type="dxa"/>
            <w:vAlign w:val="center"/>
          </w:tcPr>
          <w:p>
            <w:pPr>
              <w:spacing w:line="240" w:lineRule="atLeast"/>
              <w:jc w:val="center"/>
              <w:rPr>
                <w:rFonts w:ascii="宋体" w:hAnsi="宋体"/>
                <w:color w:val="auto"/>
                <w:sz w:val="24"/>
                <w:highlight w:val="none"/>
              </w:rPr>
            </w:pPr>
          </w:p>
        </w:tc>
        <w:tc>
          <w:tcPr>
            <w:tcW w:w="1741" w:type="dxa"/>
            <w:vAlign w:val="center"/>
          </w:tcPr>
          <w:p>
            <w:pPr>
              <w:spacing w:line="240" w:lineRule="atLeast"/>
              <w:jc w:val="center"/>
              <w:rPr>
                <w:rFonts w:ascii="宋体" w:hAnsi="宋体"/>
                <w:color w:val="auto"/>
                <w:sz w:val="24"/>
                <w:highlight w:val="none"/>
              </w:rPr>
            </w:pPr>
          </w:p>
        </w:tc>
        <w:tc>
          <w:tcPr>
            <w:tcW w:w="1054" w:type="dxa"/>
            <w:vAlign w:val="center"/>
          </w:tcPr>
          <w:p>
            <w:pPr>
              <w:spacing w:line="240" w:lineRule="atLeast"/>
              <w:jc w:val="center"/>
              <w:rPr>
                <w:rFonts w:ascii="宋体" w:hAnsi="宋体"/>
                <w:color w:val="auto"/>
                <w:sz w:val="24"/>
                <w:highlight w:val="none"/>
              </w:rPr>
            </w:pPr>
          </w:p>
        </w:tc>
        <w:tc>
          <w:tcPr>
            <w:tcW w:w="1356" w:type="dxa"/>
            <w:vAlign w:val="center"/>
          </w:tcPr>
          <w:p>
            <w:pPr>
              <w:spacing w:line="240" w:lineRule="atLeast"/>
              <w:jc w:val="center"/>
              <w:rPr>
                <w:rFonts w:ascii="宋体" w:hAnsi="宋体"/>
                <w:color w:val="auto"/>
                <w:sz w:val="24"/>
                <w:highlight w:val="none"/>
              </w:rPr>
            </w:pPr>
          </w:p>
        </w:tc>
        <w:tc>
          <w:tcPr>
            <w:tcW w:w="932" w:type="dxa"/>
            <w:vAlign w:val="center"/>
          </w:tcPr>
          <w:p>
            <w:pPr>
              <w:spacing w:line="240" w:lineRule="atLeast"/>
              <w:jc w:val="center"/>
              <w:rPr>
                <w:rFonts w:ascii="宋体" w:hAnsi="宋体"/>
                <w:color w:val="auto"/>
                <w:sz w:val="24"/>
                <w:highlight w:val="none"/>
              </w:rPr>
            </w:pPr>
          </w:p>
        </w:tc>
        <w:tc>
          <w:tcPr>
            <w:tcW w:w="1827" w:type="dxa"/>
            <w:vAlign w:val="center"/>
          </w:tcPr>
          <w:p>
            <w:pPr>
              <w:spacing w:line="240" w:lineRule="atLeast"/>
              <w:jc w:val="center"/>
              <w:rPr>
                <w:rFonts w:ascii="宋体" w:hAnsi="宋体"/>
                <w:color w:val="auto"/>
                <w:sz w:val="24"/>
                <w:highlight w:val="none"/>
              </w:rPr>
            </w:pPr>
          </w:p>
        </w:tc>
        <w:tc>
          <w:tcPr>
            <w:tcW w:w="870" w:type="dxa"/>
            <w:vAlign w:val="center"/>
          </w:tcPr>
          <w:p>
            <w:pPr>
              <w:spacing w:line="240" w:lineRule="atLeast"/>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525" w:type="dxa"/>
            <w:vAlign w:val="center"/>
          </w:tcPr>
          <w:p>
            <w:pPr>
              <w:spacing w:line="240" w:lineRule="atLeast"/>
              <w:jc w:val="center"/>
              <w:rPr>
                <w:rFonts w:ascii="宋体" w:hAnsi="宋体"/>
                <w:color w:val="auto"/>
                <w:sz w:val="24"/>
                <w:highlight w:val="none"/>
              </w:rPr>
            </w:pPr>
          </w:p>
        </w:tc>
        <w:tc>
          <w:tcPr>
            <w:tcW w:w="1741" w:type="dxa"/>
            <w:vAlign w:val="center"/>
          </w:tcPr>
          <w:p>
            <w:pPr>
              <w:spacing w:line="240" w:lineRule="atLeast"/>
              <w:jc w:val="center"/>
              <w:rPr>
                <w:rFonts w:ascii="宋体" w:hAnsi="宋体"/>
                <w:color w:val="auto"/>
                <w:sz w:val="24"/>
                <w:highlight w:val="none"/>
              </w:rPr>
            </w:pPr>
          </w:p>
        </w:tc>
        <w:tc>
          <w:tcPr>
            <w:tcW w:w="1054" w:type="dxa"/>
            <w:vAlign w:val="center"/>
          </w:tcPr>
          <w:p>
            <w:pPr>
              <w:spacing w:line="240" w:lineRule="atLeast"/>
              <w:jc w:val="center"/>
              <w:rPr>
                <w:rFonts w:ascii="宋体" w:hAnsi="宋体"/>
                <w:color w:val="auto"/>
                <w:sz w:val="24"/>
                <w:highlight w:val="none"/>
              </w:rPr>
            </w:pPr>
          </w:p>
        </w:tc>
        <w:tc>
          <w:tcPr>
            <w:tcW w:w="1356" w:type="dxa"/>
            <w:vAlign w:val="center"/>
          </w:tcPr>
          <w:p>
            <w:pPr>
              <w:spacing w:line="240" w:lineRule="atLeast"/>
              <w:jc w:val="center"/>
              <w:rPr>
                <w:rFonts w:ascii="宋体" w:hAnsi="宋体"/>
                <w:color w:val="auto"/>
                <w:sz w:val="24"/>
                <w:highlight w:val="none"/>
              </w:rPr>
            </w:pPr>
          </w:p>
        </w:tc>
        <w:tc>
          <w:tcPr>
            <w:tcW w:w="932" w:type="dxa"/>
            <w:vAlign w:val="center"/>
          </w:tcPr>
          <w:p>
            <w:pPr>
              <w:spacing w:line="240" w:lineRule="atLeast"/>
              <w:jc w:val="center"/>
              <w:rPr>
                <w:rFonts w:ascii="宋体" w:hAnsi="宋体"/>
                <w:color w:val="auto"/>
                <w:sz w:val="24"/>
                <w:highlight w:val="none"/>
              </w:rPr>
            </w:pPr>
          </w:p>
        </w:tc>
        <w:tc>
          <w:tcPr>
            <w:tcW w:w="1827" w:type="dxa"/>
            <w:vAlign w:val="center"/>
          </w:tcPr>
          <w:p>
            <w:pPr>
              <w:spacing w:line="240" w:lineRule="atLeast"/>
              <w:jc w:val="center"/>
              <w:rPr>
                <w:rFonts w:ascii="宋体" w:hAnsi="宋体"/>
                <w:color w:val="auto"/>
                <w:sz w:val="24"/>
                <w:highlight w:val="none"/>
              </w:rPr>
            </w:pPr>
          </w:p>
        </w:tc>
        <w:tc>
          <w:tcPr>
            <w:tcW w:w="870" w:type="dxa"/>
            <w:vAlign w:val="center"/>
          </w:tcPr>
          <w:p>
            <w:pPr>
              <w:spacing w:line="240" w:lineRule="atLeast"/>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525" w:type="dxa"/>
            <w:vAlign w:val="center"/>
          </w:tcPr>
          <w:p>
            <w:pPr>
              <w:spacing w:line="240" w:lineRule="atLeast"/>
              <w:jc w:val="center"/>
              <w:rPr>
                <w:rFonts w:ascii="宋体" w:hAnsi="宋体"/>
                <w:color w:val="auto"/>
                <w:sz w:val="24"/>
                <w:highlight w:val="none"/>
              </w:rPr>
            </w:pPr>
          </w:p>
        </w:tc>
        <w:tc>
          <w:tcPr>
            <w:tcW w:w="1741" w:type="dxa"/>
            <w:vAlign w:val="center"/>
          </w:tcPr>
          <w:p>
            <w:pPr>
              <w:spacing w:line="240" w:lineRule="atLeast"/>
              <w:jc w:val="center"/>
              <w:rPr>
                <w:rFonts w:ascii="宋体" w:hAnsi="宋体"/>
                <w:color w:val="auto"/>
                <w:sz w:val="24"/>
                <w:highlight w:val="none"/>
              </w:rPr>
            </w:pPr>
          </w:p>
        </w:tc>
        <w:tc>
          <w:tcPr>
            <w:tcW w:w="1054" w:type="dxa"/>
            <w:vAlign w:val="center"/>
          </w:tcPr>
          <w:p>
            <w:pPr>
              <w:spacing w:line="240" w:lineRule="atLeast"/>
              <w:jc w:val="center"/>
              <w:rPr>
                <w:rFonts w:ascii="宋体" w:hAnsi="宋体"/>
                <w:color w:val="auto"/>
                <w:sz w:val="24"/>
                <w:highlight w:val="none"/>
              </w:rPr>
            </w:pPr>
          </w:p>
        </w:tc>
        <w:tc>
          <w:tcPr>
            <w:tcW w:w="1356" w:type="dxa"/>
            <w:vAlign w:val="center"/>
          </w:tcPr>
          <w:p>
            <w:pPr>
              <w:spacing w:line="240" w:lineRule="atLeast"/>
              <w:jc w:val="center"/>
              <w:rPr>
                <w:rFonts w:ascii="宋体" w:hAnsi="宋体"/>
                <w:color w:val="auto"/>
                <w:sz w:val="24"/>
                <w:highlight w:val="none"/>
              </w:rPr>
            </w:pPr>
          </w:p>
        </w:tc>
        <w:tc>
          <w:tcPr>
            <w:tcW w:w="932" w:type="dxa"/>
            <w:vAlign w:val="center"/>
          </w:tcPr>
          <w:p>
            <w:pPr>
              <w:spacing w:line="240" w:lineRule="atLeast"/>
              <w:jc w:val="center"/>
              <w:rPr>
                <w:rFonts w:ascii="宋体" w:hAnsi="宋体"/>
                <w:color w:val="auto"/>
                <w:sz w:val="24"/>
                <w:highlight w:val="none"/>
              </w:rPr>
            </w:pPr>
          </w:p>
        </w:tc>
        <w:tc>
          <w:tcPr>
            <w:tcW w:w="1827" w:type="dxa"/>
            <w:vAlign w:val="center"/>
          </w:tcPr>
          <w:p>
            <w:pPr>
              <w:spacing w:line="240" w:lineRule="atLeast"/>
              <w:jc w:val="center"/>
              <w:rPr>
                <w:rFonts w:ascii="宋体" w:hAnsi="宋体"/>
                <w:color w:val="auto"/>
                <w:sz w:val="24"/>
                <w:highlight w:val="none"/>
              </w:rPr>
            </w:pPr>
          </w:p>
        </w:tc>
        <w:tc>
          <w:tcPr>
            <w:tcW w:w="870" w:type="dxa"/>
            <w:vAlign w:val="center"/>
          </w:tcPr>
          <w:p>
            <w:pPr>
              <w:spacing w:line="240" w:lineRule="atLeast"/>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525" w:type="dxa"/>
            <w:vAlign w:val="center"/>
          </w:tcPr>
          <w:p>
            <w:pPr>
              <w:spacing w:line="240" w:lineRule="atLeast"/>
              <w:jc w:val="center"/>
              <w:rPr>
                <w:rFonts w:ascii="宋体" w:hAnsi="宋体"/>
                <w:color w:val="auto"/>
                <w:sz w:val="24"/>
                <w:highlight w:val="none"/>
              </w:rPr>
            </w:pPr>
          </w:p>
        </w:tc>
        <w:tc>
          <w:tcPr>
            <w:tcW w:w="1741" w:type="dxa"/>
            <w:vAlign w:val="center"/>
          </w:tcPr>
          <w:p>
            <w:pPr>
              <w:spacing w:line="240" w:lineRule="atLeast"/>
              <w:jc w:val="center"/>
              <w:rPr>
                <w:rFonts w:ascii="宋体" w:hAnsi="宋体"/>
                <w:color w:val="auto"/>
                <w:sz w:val="24"/>
                <w:highlight w:val="none"/>
              </w:rPr>
            </w:pPr>
          </w:p>
        </w:tc>
        <w:tc>
          <w:tcPr>
            <w:tcW w:w="1054" w:type="dxa"/>
            <w:vAlign w:val="center"/>
          </w:tcPr>
          <w:p>
            <w:pPr>
              <w:spacing w:line="240" w:lineRule="atLeast"/>
              <w:jc w:val="center"/>
              <w:rPr>
                <w:rFonts w:ascii="宋体" w:hAnsi="宋体"/>
                <w:color w:val="auto"/>
                <w:sz w:val="24"/>
                <w:highlight w:val="none"/>
              </w:rPr>
            </w:pPr>
          </w:p>
        </w:tc>
        <w:tc>
          <w:tcPr>
            <w:tcW w:w="1356" w:type="dxa"/>
            <w:vAlign w:val="center"/>
          </w:tcPr>
          <w:p>
            <w:pPr>
              <w:spacing w:line="240" w:lineRule="atLeast"/>
              <w:jc w:val="center"/>
              <w:rPr>
                <w:rFonts w:ascii="宋体" w:hAnsi="宋体"/>
                <w:color w:val="auto"/>
                <w:sz w:val="24"/>
                <w:highlight w:val="none"/>
              </w:rPr>
            </w:pPr>
          </w:p>
        </w:tc>
        <w:tc>
          <w:tcPr>
            <w:tcW w:w="932" w:type="dxa"/>
            <w:vAlign w:val="center"/>
          </w:tcPr>
          <w:p>
            <w:pPr>
              <w:spacing w:line="240" w:lineRule="atLeast"/>
              <w:jc w:val="center"/>
              <w:rPr>
                <w:rFonts w:ascii="宋体" w:hAnsi="宋体"/>
                <w:color w:val="auto"/>
                <w:sz w:val="24"/>
                <w:highlight w:val="none"/>
              </w:rPr>
            </w:pPr>
          </w:p>
        </w:tc>
        <w:tc>
          <w:tcPr>
            <w:tcW w:w="1827" w:type="dxa"/>
            <w:vAlign w:val="center"/>
          </w:tcPr>
          <w:p>
            <w:pPr>
              <w:spacing w:line="240" w:lineRule="atLeast"/>
              <w:jc w:val="center"/>
              <w:rPr>
                <w:rFonts w:ascii="宋体" w:hAnsi="宋体"/>
                <w:color w:val="auto"/>
                <w:sz w:val="24"/>
                <w:highlight w:val="none"/>
              </w:rPr>
            </w:pPr>
          </w:p>
        </w:tc>
        <w:tc>
          <w:tcPr>
            <w:tcW w:w="870" w:type="dxa"/>
            <w:vAlign w:val="center"/>
          </w:tcPr>
          <w:p>
            <w:pPr>
              <w:spacing w:line="240" w:lineRule="atLeast"/>
              <w:jc w:val="center"/>
              <w:rPr>
                <w:rFonts w:ascii="宋体" w:hAnsi="宋体"/>
                <w:color w:val="auto"/>
                <w:sz w:val="24"/>
                <w:highlight w:val="none"/>
              </w:rPr>
            </w:pPr>
          </w:p>
        </w:tc>
      </w:tr>
      <w:bookmarkEnd w:id="196"/>
      <w:bookmarkEnd w:id="197"/>
    </w:tbl>
    <w:p>
      <w:pPr>
        <w:rPr>
          <w:rFonts w:hint="eastAsia"/>
          <w:color w:val="auto"/>
          <w:highlight w:val="none"/>
        </w:rPr>
      </w:pPr>
      <w:r>
        <w:rPr>
          <w:rFonts w:hint="eastAsia"/>
          <w:color w:val="auto"/>
          <w:highlight w:val="none"/>
        </w:rPr>
        <w:br w:type="page"/>
      </w:r>
    </w:p>
    <w:p>
      <w:pPr>
        <w:pStyle w:val="5"/>
        <w:rPr>
          <w:color w:val="auto"/>
          <w:highlight w:val="none"/>
        </w:rPr>
      </w:pPr>
      <w:bookmarkStart w:id="198" w:name="_Toc16868"/>
      <w:r>
        <w:rPr>
          <w:rFonts w:hint="eastAsia"/>
          <w:color w:val="auto"/>
          <w:highlight w:val="none"/>
        </w:rPr>
        <w:t>七、拟投入本项目的检测</w:t>
      </w:r>
      <w:r>
        <w:rPr>
          <w:rFonts w:hint="eastAsia"/>
          <w:color w:val="auto"/>
          <w:highlight w:val="none"/>
          <w:lang w:val="en-US" w:eastAsia="zh-CN"/>
        </w:rPr>
        <w:t>监测</w:t>
      </w:r>
      <w:r>
        <w:rPr>
          <w:rFonts w:hint="eastAsia"/>
          <w:color w:val="auto"/>
          <w:highlight w:val="none"/>
        </w:rPr>
        <w:t>人员一览表</w:t>
      </w:r>
      <w:bookmarkEnd w:id="198"/>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939"/>
        <w:gridCol w:w="904"/>
        <w:gridCol w:w="1484"/>
        <w:gridCol w:w="1885"/>
        <w:gridCol w:w="883"/>
        <w:gridCol w:w="992"/>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4" w:hRule="atLeast"/>
          <w:jc w:val="center"/>
        </w:trPr>
        <w:tc>
          <w:tcPr>
            <w:tcW w:w="717" w:type="dxa"/>
            <w:vAlign w:val="center"/>
          </w:tcPr>
          <w:p>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序号</w:t>
            </w:r>
          </w:p>
        </w:tc>
        <w:tc>
          <w:tcPr>
            <w:tcW w:w="939" w:type="dxa"/>
            <w:vAlign w:val="center"/>
          </w:tcPr>
          <w:p>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姓名</w:t>
            </w:r>
          </w:p>
        </w:tc>
        <w:tc>
          <w:tcPr>
            <w:tcW w:w="904" w:type="dxa"/>
            <w:vAlign w:val="center"/>
          </w:tcPr>
          <w:p>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年龄</w:t>
            </w:r>
          </w:p>
        </w:tc>
        <w:tc>
          <w:tcPr>
            <w:tcW w:w="1484" w:type="dxa"/>
            <w:vAlign w:val="center"/>
          </w:tcPr>
          <w:p>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拟在本项目任职职位</w:t>
            </w:r>
          </w:p>
        </w:tc>
        <w:tc>
          <w:tcPr>
            <w:tcW w:w="1885" w:type="dxa"/>
            <w:vAlign w:val="center"/>
          </w:tcPr>
          <w:p>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毕业学校</w:t>
            </w:r>
            <w:r>
              <w:rPr>
                <w:rFonts w:ascii="宋体" w:hAnsi="宋体"/>
                <w:color w:val="auto"/>
                <w:sz w:val="24"/>
                <w:highlight w:val="none"/>
              </w:rPr>
              <w:t>/</w:t>
            </w:r>
            <w:r>
              <w:rPr>
                <w:rFonts w:hint="eastAsia" w:ascii="宋体" w:hAnsi="宋体"/>
                <w:color w:val="auto"/>
                <w:sz w:val="24"/>
                <w:highlight w:val="none"/>
              </w:rPr>
              <w:t>专业</w:t>
            </w:r>
          </w:p>
        </w:tc>
        <w:tc>
          <w:tcPr>
            <w:tcW w:w="883" w:type="dxa"/>
            <w:vAlign w:val="center"/>
          </w:tcPr>
          <w:p>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学历</w:t>
            </w:r>
          </w:p>
        </w:tc>
        <w:tc>
          <w:tcPr>
            <w:tcW w:w="992" w:type="dxa"/>
            <w:vAlign w:val="center"/>
          </w:tcPr>
          <w:p>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职称及专业</w:t>
            </w:r>
          </w:p>
        </w:tc>
        <w:tc>
          <w:tcPr>
            <w:tcW w:w="1276" w:type="dxa"/>
            <w:vAlign w:val="center"/>
          </w:tcPr>
          <w:p>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从事检测工作年限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17" w:type="dxa"/>
            <w:vAlign w:val="center"/>
          </w:tcPr>
          <w:p>
            <w:pPr>
              <w:jc w:val="center"/>
              <w:rPr>
                <w:rFonts w:ascii="宋体" w:hAnsi="宋体"/>
                <w:color w:val="auto"/>
                <w:sz w:val="22"/>
                <w:highlight w:val="none"/>
              </w:rPr>
            </w:pPr>
          </w:p>
        </w:tc>
        <w:tc>
          <w:tcPr>
            <w:tcW w:w="939" w:type="dxa"/>
            <w:vAlign w:val="center"/>
          </w:tcPr>
          <w:p>
            <w:pPr>
              <w:jc w:val="center"/>
              <w:rPr>
                <w:rFonts w:ascii="宋体" w:hAnsi="宋体"/>
                <w:color w:val="auto"/>
                <w:sz w:val="22"/>
                <w:highlight w:val="none"/>
              </w:rPr>
            </w:pPr>
          </w:p>
        </w:tc>
        <w:tc>
          <w:tcPr>
            <w:tcW w:w="904" w:type="dxa"/>
            <w:vAlign w:val="center"/>
          </w:tcPr>
          <w:p>
            <w:pPr>
              <w:jc w:val="center"/>
              <w:rPr>
                <w:rFonts w:ascii="宋体" w:hAnsi="宋体"/>
                <w:color w:val="auto"/>
                <w:sz w:val="22"/>
                <w:highlight w:val="none"/>
              </w:rPr>
            </w:pPr>
          </w:p>
        </w:tc>
        <w:tc>
          <w:tcPr>
            <w:tcW w:w="1484" w:type="dxa"/>
            <w:vAlign w:val="center"/>
          </w:tcPr>
          <w:p>
            <w:pPr>
              <w:jc w:val="center"/>
              <w:rPr>
                <w:rFonts w:ascii="宋体" w:hAnsi="宋体"/>
                <w:color w:val="auto"/>
                <w:sz w:val="22"/>
                <w:highlight w:val="none"/>
              </w:rPr>
            </w:pPr>
          </w:p>
        </w:tc>
        <w:tc>
          <w:tcPr>
            <w:tcW w:w="1885" w:type="dxa"/>
            <w:vAlign w:val="center"/>
          </w:tcPr>
          <w:p>
            <w:pPr>
              <w:jc w:val="center"/>
              <w:rPr>
                <w:rFonts w:ascii="宋体" w:hAnsi="宋体"/>
                <w:color w:val="auto"/>
                <w:sz w:val="22"/>
                <w:highlight w:val="none"/>
              </w:rPr>
            </w:pPr>
          </w:p>
        </w:tc>
        <w:tc>
          <w:tcPr>
            <w:tcW w:w="883" w:type="dxa"/>
            <w:vAlign w:val="center"/>
          </w:tcPr>
          <w:p>
            <w:pPr>
              <w:jc w:val="center"/>
              <w:rPr>
                <w:rFonts w:ascii="宋体" w:hAnsi="宋体"/>
                <w:color w:val="auto"/>
                <w:sz w:val="22"/>
                <w:highlight w:val="none"/>
              </w:rPr>
            </w:pPr>
          </w:p>
        </w:tc>
        <w:tc>
          <w:tcPr>
            <w:tcW w:w="992" w:type="dxa"/>
            <w:vAlign w:val="center"/>
          </w:tcPr>
          <w:p>
            <w:pPr>
              <w:jc w:val="center"/>
              <w:rPr>
                <w:rFonts w:ascii="宋体" w:hAnsi="宋体"/>
                <w:color w:val="auto"/>
                <w:sz w:val="22"/>
                <w:highlight w:val="none"/>
              </w:rPr>
            </w:pPr>
          </w:p>
        </w:tc>
        <w:tc>
          <w:tcPr>
            <w:tcW w:w="1276" w:type="dxa"/>
            <w:vAlign w:val="center"/>
          </w:tcPr>
          <w:p>
            <w:pPr>
              <w:jc w:val="center"/>
              <w:rPr>
                <w:rFonts w:ascii="宋体" w:hAnsi="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17" w:type="dxa"/>
            <w:vAlign w:val="center"/>
          </w:tcPr>
          <w:p>
            <w:pPr>
              <w:jc w:val="center"/>
              <w:rPr>
                <w:rFonts w:ascii="宋体" w:hAnsi="宋体"/>
                <w:color w:val="auto"/>
                <w:sz w:val="22"/>
                <w:highlight w:val="none"/>
              </w:rPr>
            </w:pPr>
          </w:p>
        </w:tc>
        <w:tc>
          <w:tcPr>
            <w:tcW w:w="939" w:type="dxa"/>
            <w:vAlign w:val="center"/>
          </w:tcPr>
          <w:p>
            <w:pPr>
              <w:jc w:val="center"/>
              <w:rPr>
                <w:rFonts w:ascii="宋体" w:hAnsi="宋体"/>
                <w:color w:val="auto"/>
                <w:sz w:val="22"/>
                <w:highlight w:val="none"/>
              </w:rPr>
            </w:pPr>
          </w:p>
        </w:tc>
        <w:tc>
          <w:tcPr>
            <w:tcW w:w="904" w:type="dxa"/>
            <w:vAlign w:val="center"/>
          </w:tcPr>
          <w:p>
            <w:pPr>
              <w:jc w:val="center"/>
              <w:rPr>
                <w:rFonts w:ascii="宋体" w:hAnsi="宋体"/>
                <w:color w:val="auto"/>
                <w:sz w:val="22"/>
                <w:highlight w:val="none"/>
              </w:rPr>
            </w:pPr>
          </w:p>
        </w:tc>
        <w:tc>
          <w:tcPr>
            <w:tcW w:w="1484" w:type="dxa"/>
            <w:vAlign w:val="center"/>
          </w:tcPr>
          <w:p>
            <w:pPr>
              <w:jc w:val="center"/>
              <w:rPr>
                <w:rFonts w:ascii="宋体" w:hAnsi="宋体"/>
                <w:color w:val="auto"/>
                <w:sz w:val="22"/>
                <w:highlight w:val="none"/>
              </w:rPr>
            </w:pPr>
          </w:p>
        </w:tc>
        <w:tc>
          <w:tcPr>
            <w:tcW w:w="1885" w:type="dxa"/>
            <w:vAlign w:val="center"/>
          </w:tcPr>
          <w:p>
            <w:pPr>
              <w:jc w:val="center"/>
              <w:rPr>
                <w:rFonts w:ascii="宋体" w:hAnsi="宋体"/>
                <w:color w:val="auto"/>
                <w:sz w:val="22"/>
                <w:highlight w:val="none"/>
              </w:rPr>
            </w:pPr>
          </w:p>
        </w:tc>
        <w:tc>
          <w:tcPr>
            <w:tcW w:w="883" w:type="dxa"/>
            <w:vAlign w:val="center"/>
          </w:tcPr>
          <w:p>
            <w:pPr>
              <w:jc w:val="center"/>
              <w:rPr>
                <w:rFonts w:ascii="宋体" w:hAnsi="宋体"/>
                <w:color w:val="auto"/>
                <w:sz w:val="22"/>
                <w:highlight w:val="none"/>
              </w:rPr>
            </w:pPr>
          </w:p>
        </w:tc>
        <w:tc>
          <w:tcPr>
            <w:tcW w:w="992" w:type="dxa"/>
            <w:vAlign w:val="center"/>
          </w:tcPr>
          <w:p>
            <w:pPr>
              <w:jc w:val="center"/>
              <w:rPr>
                <w:rFonts w:ascii="宋体" w:hAnsi="宋体"/>
                <w:color w:val="auto"/>
                <w:sz w:val="22"/>
                <w:highlight w:val="none"/>
              </w:rPr>
            </w:pPr>
          </w:p>
        </w:tc>
        <w:tc>
          <w:tcPr>
            <w:tcW w:w="1276" w:type="dxa"/>
            <w:vAlign w:val="center"/>
          </w:tcPr>
          <w:p>
            <w:pPr>
              <w:jc w:val="center"/>
              <w:rPr>
                <w:rFonts w:ascii="宋体" w:hAnsi="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17" w:type="dxa"/>
            <w:vAlign w:val="center"/>
          </w:tcPr>
          <w:p>
            <w:pPr>
              <w:jc w:val="center"/>
              <w:rPr>
                <w:rFonts w:ascii="宋体" w:hAnsi="宋体"/>
                <w:color w:val="auto"/>
                <w:sz w:val="22"/>
                <w:highlight w:val="none"/>
              </w:rPr>
            </w:pPr>
          </w:p>
        </w:tc>
        <w:tc>
          <w:tcPr>
            <w:tcW w:w="939" w:type="dxa"/>
            <w:vAlign w:val="center"/>
          </w:tcPr>
          <w:p>
            <w:pPr>
              <w:jc w:val="center"/>
              <w:rPr>
                <w:rFonts w:ascii="宋体" w:hAnsi="宋体"/>
                <w:color w:val="auto"/>
                <w:sz w:val="22"/>
                <w:highlight w:val="none"/>
              </w:rPr>
            </w:pPr>
          </w:p>
        </w:tc>
        <w:tc>
          <w:tcPr>
            <w:tcW w:w="904" w:type="dxa"/>
            <w:vAlign w:val="center"/>
          </w:tcPr>
          <w:p>
            <w:pPr>
              <w:jc w:val="center"/>
              <w:rPr>
                <w:rFonts w:ascii="宋体" w:hAnsi="宋体"/>
                <w:color w:val="auto"/>
                <w:sz w:val="22"/>
                <w:highlight w:val="none"/>
              </w:rPr>
            </w:pPr>
          </w:p>
        </w:tc>
        <w:tc>
          <w:tcPr>
            <w:tcW w:w="1484" w:type="dxa"/>
            <w:vAlign w:val="center"/>
          </w:tcPr>
          <w:p>
            <w:pPr>
              <w:jc w:val="center"/>
              <w:rPr>
                <w:rFonts w:ascii="宋体" w:hAnsi="宋体"/>
                <w:color w:val="auto"/>
                <w:sz w:val="22"/>
                <w:highlight w:val="none"/>
              </w:rPr>
            </w:pPr>
          </w:p>
        </w:tc>
        <w:tc>
          <w:tcPr>
            <w:tcW w:w="1885" w:type="dxa"/>
            <w:vAlign w:val="center"/>
          </w:tcPr>
          <w:p>
            <w:pPr>
              <w:jc w:val="center"/>
              <w:rPr>
                <w:rFonts w:ascii="宋体" w:hAnsi="宋体"/>
                <w:color w:val="auto"/>
                <w:sz w:val="22"/>
                <w:highlight w:val="none"/>
              </w:rPr>
            </w:pPr>
          </w:p>
        </w:tc>
        <w:tc>
          <w:tcPr>
            <w:tcW w:w="883" w:type="dxa"/>
            <w:vAlign w:val="center"/>
          </w:tcPr>
          <w:p>
            <w:pPr>
              <w:jc w:val="center"/>
              <w:rPr>
                <w:rFonts w:ascii="宋体" w:hAnsi="宋体"/>
                <w:color w:val="auto"/>
                <w:sz w:val="22"/>
                <w:highlight w:val="none"/>
              </w:rPr>
            </w:pPr>
          </w:p>
        </w:tc>
        <w:tc>
          <w:tcPr>
            <w:tcW w:w="992" w:type="dxa"/>
            <w:vAlign w:val="center"/>
          </w:tcPr>
          <w:p>
            <w:pPr>
              <w:jc w:val="center"/>
              <w:rPr>
                <w:rFonts w:ascii="宋体" w:hAnsi="宋体"/>
                <w:color w:val="auto"/>
                <w:sz w:val="22"/>
                <w:highlight w:val="none"/>
              </w:rPr>
            </w:pPr>
          </w:p>
        </w:tc>
        <w:tc>
          <w:tcPr>
            <w:tcW w:w="1276" w:type="dxa"/>
            <w:vAlign w:val="center"/>
          </w:tcPr>
          <w:p>
            <w:pPr>
              <w:jc w:val="center"/>
              <w:rPr>
                <w:rFonts w:ascii="宋体" w:hAnsi="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17" w:type="dxa"/>
            <w:vAlign w:val="center"/>
          </w:tcPr>
          <w:p>
            <w:pPr>
              <w:jc w:val="center"/>
              <w:rPr>
                <w:rFonts w:ascii="宋体" w:hAnsi="宋体"/>
                <w:color w:val="auto"/>
                <w:sz w:val="22"/>
                <w:highlight w:val="none"/>
              </w:rPr>
            </w:pPr>
          </w:p>
        </w:tc>
        <w:tc>
          <w:tcPr>
            <w:tcW w:w="939" w:type="dxa"/>
            <w:vAlign w:val="center"/>
          </w:tcPr>
          <w:p>
            <w:pPr>
              <w:jc w:val="center"/>
              <w:rPr>
                <w:rFonts w:ascii="宋体" w:hAnsi="宋体"/>
                <w:color w:val="auto"/>
                <w:sz w:val="22"/>
                <w:highlight w:val="none"/>
              </w:rPr>
            </w:pPr>
          </w:p>
        </w:tc>
        <w:tc>
          <w:tcPr>
            <w:tcW w:w="904" w:type="dxa"/>
            <w:vAlign w:val="center"/>
          </w:tcPr>
          <w:p>
            <w:pPr>
              <w:jc w:val="center"/>
              <w:rPr>
                <w:rFonts w:ascii="宋体" w:hAnsi="宋体"/>
                <w:color w:val="auto"/>
                <w:sz w:val="22"/>
                <w:highlight w:val="none"/>
              </w:rPr>
            </w:pPr>
          </w:p>
        </w:tc>
        <w:tc>
          <w:tcPr>
            <w:tcW w:w="1484" w:type="dxa"/>
            <w:vAlign w:val="center"/>
          </w:tcPr>
          <w:p>
            <w:pPr>
              <w:jc w:val="center"/>
              <w:rPr>
                <w:rFonts w:ascii="宋体" w:hAnsi="宋体"/>
                <w:color w:val="auto"/>
                <w:sz w:val="22"/>
                <w:highlight w:val="none"/>
              </w:rPr>
            </w:pPr>
          </w:p>
        </w:tc>
        <w:tc>
          <w:tcPr>
            <w:tcW w:w="1885" w:type="dxa"/>
            <w:vAlign w:val="center"/>
          </w:tcPr>
          <w:p>
            <w:pPr>
              <w:jc w:val="center"/>
              <w:rPr>
                <w:rFonts w:ascii="宋体" w:hAnsi="宋体"/>
                <w:color w:val="auto"/>
                <w:sz w:val="22"/>
                <w:highlight w:val="none"/>
              </w:rPr>
            </w:pPr>
          </w:p>
        </w:tc>
        <w:tc>
          <w:tcPr>
            <w:tcW w:w="883" w:type="dxa"/>
            <w:vAlign w:val="center"/>
          </w:tcPr>
          <w:p>
            <w:pPr>
              <w:jc w:val="center"/>
              <w:rPr>
                <w:rFonts w:ascii="宋体" w:hAnsi="宋体"/>
                <w:color w:val="auto"/>
                <w:sz w:val="22"/>
                <w:highlight w:val="none"/>
              </w:rPr>
            </w:pPr>
          </w:p>
        </w:tc>
        <w:tc>
          <w:tcPr>
            <w:tcW w:w="992" w:type="dxa"/>
            <w:vAlign w:val="center"/>
          </w:tcPr>
          <w:p>
            <w:pPr>
              <w:jc w:val="center"/>
              <w:rPr>
                <w:rFonts w:ascii="宋体" w:hAnsi="宋体"/>
                <w:color w:val="auto"/>
                <w:sz w:val="22"/>
                <w:highlight w:val="none"/>
              </w:rPr>
            </w:pPr>
          </w:p>
        </w:tc>
        <w:tc>
          <w:tcPr>
            <w:tcW w:w="1276" w:type="dxa"/>
            <w:vAlign w:val="center"/>
          </w:tcPr>
          <w:p>
            <w:pPr>
              <w:jc w:val="center"/>
              <w:rPr>
                <w:rFonts w:ascii="宋体" w:hAnsi="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17" w:type="dxa"/>
            <w:vAlign w:val="center"/>
          </w:tcPr>
          <w:p>
            <w:pPr>
              <w:jc w:val="center"/>
              <w:rPr>
                <w:rFonts w:ascii="宋体" w:hAnsi="宋体"/>
                <w:color w:val="auto"/>
                <w:sz w:val="22"/>
                <w:highlight w:val="none"/>
              </w:rPr>
            </w:pPr>
          </w:p>
        </w:tc>
        <w:tc>
          <w:tcPr>
            <w:tcW w:w="939" w:type="dxa"/>
            <w:vAlign w:val="center"/>
          </w:tcPr>
          <w:p>
            <w:pPr>
              <w:jc w:val="center"/>
              <w:rPr>
                <w:rFonts w:ascii="宋体" w:hAnsi="宋体"/>
                <w:color w:val="auto"/>
                <w:sz w:val="22"/>
                <w:highlight w:val="none"/>
              </w:rPr>
            </w:pPr>
          </w:p>
        </w:tc>
        <w:tc>
          <w:tcPr>
            <w:tcW w:w="904" w:type="dxa"/>
            <w:vAlign w:val="center"/>
          </w:tcPr>
          <w:p>
            <w:pPr>
              <w:jc w:val="center"/>
              <w:rPr>
                <w:rFonts w:ascii="宋体" w:hAnsi="宋体"/>
                <w:color w:val="auto"/>
                <w:sz w:val="22"/>
                <w:highlight w:val="none"/>
              </w:rPr>
            </w:pPr>
          </w:p>
        </w:tc>
        <w:tc>
          <w:tcPr>
            <w:tcW w:w="1484" w:type="dxa"/>
            <w:vAlign w:val="center"/>
          </w:tcPr>
          <w:p>
            <w:pPr>
              <w:jc w:val="center"/>
              <w:rPr>
                <w:rFonts w:ascii="宋体" w:hAnsi="宋体"/>
                <w:color w:val="auto"/>
                <w:sz w:val="22"/>
                <w:highlight w:val="none"/>
              </w:rPr>
            </w:pPr>
          </w:p>
        </w:tc>
        <w:tc>
          <w:tcPr>
            <w:tcW w:w="1885" w:type="dxa"/>
            <w:vAlign w:val="center"/>
          </w:tcPr>
          <w:p>
            <w:pPr>
              <w:jc w:val="center"/>
              <w:rPr>
                <w:rFonts w:ascii="宋体" w:hAnsi="宋体"/>
                <w:color w:val="auto"/>
                <w:sz w:val="22"/>
                <w:highlight w:val="none"/>
              </w:rPr>
            </w:pPr>
          </w:p>
        </w:tc>
        <w:tc>
          <w:tcPr>
            <w:tcW w:w="883" w:type="dxa"/>
            <w:vAlign w:val="center"/>
          </w:tcPr>
          <w:p>
            <w:pPr>
              <w:jc w:val="center"/>
              <w:rPr>
                <w:rFonts w:ascii="宋体" w:hAnsi="宋体"/>
                <w:color w:val="auto"/>
                <w:sz w:val="22"/>
                <w:highlight w:val="none"/>
              </w:rPr>
            </w:pPr>
          </w:p>
        </w:tc>
        <w:tc>
          <w:tcPr>
            <w:tcW w:w="992" w:type="dxa"/>
            <w:vAlign w:val="center"/>
          </w:tcPr>
          <w:p>
            <w:pPr>
              <w:jc w:val="center"/>
              <w:rPr>
                <w:rFonts w:ascii="宋体" w:hAnsi="宋体"/>
                <w:color w:val="auto"/>
                <w:sz w:val="22"/>
                <w:highlight w:val="none"/>
              </w:rPr>
            </w:pPr>
          </w:p>
        </w:tc>
        <w:tc>
          <w:tcPr>
            <w:tcW w:w="1276" w:type="dxa"/>
            <w:vAlign w:val="center"/>
          </w:tcPr>
          <w:p>
            <w:pPr>
              <w:jc w:val="center"/>
              <w:rPr>
                <w:rFonts w:ascii="宋体" w:hAnsi="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17" w:type="dxa"/>
            <w:vAlign w:val="center"/>
          </w:tcPr>
          <w:p>
            <w:pPr>
              <w:jc w:val="center"/>
              <w:rPr>
                <w:rFonts w:ascii="宋体" w:hAnsi="宋体"/>
                <w:color w:val="auto"/>
                <w:sz w:val="22"/>
                <w:highlight w:val="none"/>
              </w:rPr>
            </w:pPr>
          </w:p>
        </w:tc>
        <w:tc>
          <w:tcPr>
            <w:tcW w:w="939" w:type="dxa"/>
            <w:vAlign w:val="center"/>
          </w:tcPr>
          <w:p>
            <w:pPr>
              <w:jc w:val="center"/>
              <w:rPr>
                <w:rFonts w:ascii="宋体" w:hAnsi="宋体"/>
                <w:color w:val="auto"/>
                <w:sz w:val="22"/>
                <w:highlight w:val="none"/>
              </w:rPr>
            </w:pPr>
          </w:p>
        </w:tc>
        <w:tc>
          <w:tcPr>
            <w:tcW w:w="904" w:type="dxa"/>
            <w:vAlign w:val="center"/>
          </w:tcPr>
          <w:p>
            <w:pPr>
              <w:jc w:val="center"/>
              <w:rPr>
                <w:rFonts w:ascii="宋体" w:hAnsi="宋体"/>
                <w:color w:val="auto"/>
                <w:sz w:val="22"/>
                <w:highlight w:val="none"/>
              </w:rPr>
            </w:pPr>
          </w:p>
        </w:tc>
        <w:tc>
          <w:tcPr>
            <w:tcW w:w="1484" w:type="dxa"/>
            <w:vAlign w:val="center"/>
          </w:tcPr>
          <w:p>
            <w:pPr>
              <w:jc w:val="center"/>
              <w:rPr>
                <w:rFonts w:ascii="宋体" w:hAnsi="宋体"/>
                <w:color w:val="auto"/>
                <w:sz w:val="22"/>
                <w:highlight w:val="none"/>
              </w:rPr>
            </w:pPr>
          </w:p>
        </w:tc>
        <w:tc>
          <w:tcPr>
            <w:tcW w:w="1885" w:type="dxa"/>
            <w:vAlign w:val="center"/>
          </w:tcPr>
          <w:p>
            <w:pPr>
              <w:jc w:val="center"/>
              <w:rPr>
                <w:rFonts w:ascii="宋体" w:hAnsi="宋体"/>
                <w:color w:val="auto"/>
                <w:sz w:val="22"/>
                <w:highlight w:val="none"/>
              </w:rPr>
            </w:pPr>
          </w:p>
        </w:tc>
        <w:tc>
          <w:tcPr>
            <w:tcW w:w="883" w:type="dxa"/>
            <w:vAlign w:val="center"/>
          </w:tcPr>
          <w:p>
            <w:pPr>
              <w:jc w:val="center"/>
              <w:rPr>
                <w:rFonts w:ascii="宋体" w:hAnsi="宋体"/>
                <w:color w:val="auto"/>
                <w:sz w:val="22"/>
                <w:highlight w:val="none"/>
              </w:rPr>
            </w:pPr>
          </w:p>
        </w:tc>
        <w:tc>
          <w:tcPr>
            <w:tcW w:w="992" w:type="dxa"/>
            <w:vAlign w:val="center"/>
          </w:tcPr>
          <w:p>
            <w:pPr>
              <w:jc w:val="center"/>
              <w:rPr>
                <w:rFonts w:ascii="宋体" w:hAnsi="宋体"/>
                <w:color w:val="auto"/>
                <w:sz w:val="22"/>
                <w:highlight w:val="none"/>
              </w:rPr>
            </w:pPr>
          </w:p>
        </w:tc>
        <w:tc>
          <w:tcPr>
            <w:tcW w:w="1276" w:type="dxa"/>
            <w:vAlign w:val="center"/>
          </w:tcPr>
          <w:p>
            <w:pPr>
              <w:jc w:val="center"/>
              <w:rPr>
                <w:rFonts w:ascii="宋体" w:hAnsi="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17" w:type="dxa"/>
            <w:vAlign w:val="center"/>
          </w:tcPr>
          <w:p>
            <w:pPr>
              <w:jc w:val="center"/>
              <w:rPr>
                <w:rFonts w:ascii="宋体" w:hAnsi="宋体"/>
                <w:color w:val="auto"/>
                <w:sz w:val="22"/>
                <w:highlight w:val="none"/>
              </w:rPr>
            </w:pPr>
          </w:p>
        </w:tc>
        <w:tc>
          <w:tcPr>
            <w:tcW w:w="939" w:type="dxa"/>
            <w:vAlign w:val="center"/>
          </w:tcPr>
          <w:p>
            <w:pPr>
              <w:jc w:val="center"/>
              <w:rPr>
                <w:rFonts w:ascii="宋体" w:hAnsi="宋体"/>
                <w:color w:val="auto"/>
                <w:sz w:val="22"/>
                <w:highlight w:val="none"/>
              </w:rPr>
            </w:pPr>
          </w:p>
        </w:tc>
        <w:tc>
          <w:tcPr>
            <w:tcW w:w="904" w:type="dxa"/>
            <w:vAlign w:val="center"/>
          </w:tcPr>
          <w:p>
            <w:pPr>
              <w:jc w:val="center"/>
              <w:rPr>
                <w:rFonts w:ascii="宋体" w:hAnsi="宋体"/>
                <w:color w:val="auto"/>
                <w:sz w:val="22"/>
                <w:highlight w:val="none"/>
              </w:rPr>
            </w:pPr>
          </w:p>
        </w:tc>
        <w:tc>
          <w:tcPr>
            <w:tcW w:w="1484" w:type="dxa"/>
            <w:vAlign w:val="center"/>
          </w:tcPr>
          <w:p>
            <w:pPr>
              <w:jc w:val="center"/>
              <w:rPr>
                <w:rFonts w:ascii="宋体" w:hAnsi="宋体"/>
                <w:color w:val="auto"/>
                <w:sz w:val="22"/>
                <w:highlight w:val="none"/>
              </w:rPr>
            </w:pPr>
          </w:p>
        </w:tc>
        <w:tc>
          <w:tcPr>
            <w:tcW w:w="1885" w:type="dxa"/>
            <w:vAlign w:val="center"/>
          </w:tcPr>
          <w:p>
            <w:pPr>
              <w:jc w:val="center"/>
              <w:rPr>
                <w:rFonts w:ascii="宋体" w:hAnsi="宋体"/>
                <w:color w:val="auto"/>
                <w:sz w:val="22"/>
                <w:highlight w:val="none"/>
              </w:rPr>
            </w:pPr>
          </w:p>
        </w:tc>
        <w:tc>
          <w:tcPr>
            <w:tcW w:w="883" w:type="dxa"/>
            <w:vAlign w:val="center"/>
          </w:tcPr>
          <w:p>
            <w:pPr>
              <w:jc w:val="center"/>
              <w:rPr>
                <w:rFonts w:ascii="宋体" w:hAnsi="宋体"/>
                <w:color w:val="auto"/>
                <w:sz w:val="22"/>
                <w:highlight w:val="none"/>
              </w:rPr>
            </w:pPr>
          </w:p>
        </w:tc>
        <w:tc>
          <w:tcPr>
            <w:tcW w:w="992" w:type="dxa"/>
            <w:vAlign w:val="center"/>
          </w:tcPr>
          <w:p>
            <w:pPr>
              <w:jc w:val="center"/>
              <w:rPr>
                <w:rFonts w:ascii="宋体" w:hAnsi="宋体"/>
                <w:color w:val="auto"/>
                <w:sz w:val="22"/>
                <w:highlight w:val="none"/>
              </w:rPr>
            </w:pPr>
          </w:p>
        </w:tc>
        <w:tc>
          <w:tcPr>
            <w:tcW w:w="1276" w:type="dxa"/>
            <w:vAlign w:val="center"/>
          </w:tcPr>
          <w:p>
            <w:pPr>
              <w:jc w:val="center"/>
              <w:rPr>
                <w:rFonts w:ascii="宋体" w:hAnsi="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17" w:type="dxa"/>
            <w:vAlign w:val="center"/>
          </w:tcPr>
          <w:p>
            <w:pPr>
              <w:jc w:val="center"/>
              <w:rPr>
                <w:rFonts w:ascii="宋体" w:hAnsi="宋体"/>
                <w:color w:val="auto"/>
                <w:sz w:val="22"/>
                <w:highlight w:val="none"/>
              </w:rPr>
            </w:pPr>
          </w:p>
        </w:tc>
        <w:tc>
          <w:tcPr>
            <w:tcW w:w="939" w:type="dxa"/>
            <w:vAlign w:val="center"/>
          </w:tcPr>
          <w:p>
            <w:pPr>
              <w:jc w:val="center"/>
              <w:rPr>
                <w:rFonts w:ascii="宋体" w:hAnsi="宋体"/>
                <w:color w:val="auto"/>
                <w:sz w:val="22"/>
                <w:highlight w:val="none"/>
              </w:rPr>
            </w:pPr>
          </w:p>
        </w:tc>
        <w:tc>
          <w:tcPr>
            <w:tcW w:w="904" w:type="dxa"/>
            <w:vAlign w:val="center"/>
          </w:tcPr>
          <w:p>
            <w:pPr>
              <w:jc w:val="center"/>
              <w:rPr>
                <w:rFonts w:ascii="宋体" w:hAnsi="宋体"/>
                <w:color w:val="auto"/>
                <w:sz w:val="22"/>
                <w:highlight w:val="none"/>
              </w:rPr>
            </w:pPr>
          </w:p>
        </w:tc>
        <w:tc>
          <w:tcPr>
            <w:tcW w:w="1484" w:type="dxa"/>
            <w:vAlign w:val="center"/>
          </w:tcPr>
          <w:p>
            <w:pPr>
              <w:jc w:val="center"/>
              <w:rPr>
                <w:rFonts w:ascii="宋体" w:hAnsi="宋体"/>
                <w:color w:val="auto"/>
                <w:sz w:val="22"/>
                <w:highlight w:val="none"/>
              </w:rPr>
            </w:pPr>
          </w:p>
        </w:tc>
        <w:tc>
          <w:tcPr>
            <w:tcW w:w="1885" w:type="dxa"/>
            <w:vAlign w:val="center"/>
          </w:tcPr>
          <w:p>
            <w:pPr>
              <w:jc w:val="center"/>
              <w:rPr>
                <w:rFonts w:ascii="宋体" w:hAnsi="宋体"/>
                <w:color w:val="auto"/>
                <w:sz w:val="22"/>
                <w:highlight w:val="none"/>
              </w:rPr>
            </w:pPr>
          </w:p>
        </w:tc>
        <w:tc>
          <w:tcPr>
            <w:tcW w:w="883" w:type="dxa"/>
            <w:vAlign w:val="center"/>
          </w:tcPr>
          <w:p>
            <w:pPr>
              <w:jc w:val="center"/>
              <w:rPr>
                <w:rFonts w:ascii="宋体" w:hAnsi="宋体"/>
                <w:color w:val="auto"/>
                <w:sz w:val="22"/>
                <w:highlight w:val="none"/>
              </w:rPr>
            </w:pPr>
          </w:p>
        </w:tc>
        <w:tc>
          <w:tcPr>
            <w:tcW w:w="992" w:type="dxa"/>
            <w:vAlign w:val="center"/>
          </w:tcPr>
          <w:p>
            <w:pPr>
              <w:jc w:val="center"/>
              <w:rPr>
                <w:rFonts w:ascii="宋体" w:hAnsi="宋体"/>
                <w:color w:val="auto"/>
                <w:sz w:val="22"/>
                <w:highlight w:val="none"/>
              </w:rPr>
            </w:pPr>
          </w:p>
        </w:tc>
        <w:tc>
          <w:tcPr>
            <w:tcW w:w="1276" w:type="dxa"/>
            <w:vAlign w:val="center"/>
          </w:tcPr>
          <w:p>
            <w:pPr>
              <w:jc w:val="center"/>
              <w:rPr>
                <w:rFonts w:ascii="宋体" w:hAnsi="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17" w:type="dxa"/>
            <w:vAlign w:val="center"/>
          </w:tcPr>
          <w:p>
            <w:pPr>
              <w:jc w:val="center"/>
              <w:rPr>
                <w:rFonts w:ascii="宋体" w:hAnsi="宋体"/>
                <w:color w:val="auto"/>
                <w:sz w:val="22"/>
                <w:highlight w:val="none"/>
              </w:rPr>
            </w:pPr>
          </w:p>
        </w:tc>
        <w:tc>
          <w:tcPr>
            <w:tcW w:w="939" w:type="dxa"/>
            <w:vAlign w:val="center"/>
          </w:tcPr>
          <w:p>
            <w:pPr>
              <w:jc w:val="center"/>
              <w:rPr>
                <w:rFonts w:ascii="宋体" w:hAnsi="宋体"/>
                <w:color w:val="auto"/>
                <w:sz w:val="22"/>
                <w:highlight w:val="none"/>
              </w:rPr>
            </w:pPr>
          </w:p>
        </w:tc>
        <w:tc>
          <w:tcPr>
            <w:tcW w:w="904" w:type="dxa"/>
            <w:vAlign w:val="center"/>
          </w:tcPr>
          <w:p>
            <w:pPr>
              <w:jc w:val="center"/>
              <w:rPr>
                <w:rFonts w:ascii="宋体" w:hAnsi="宋体"/>
                <w:color w:val="auto"/>
                <w:sz w:val="22"/>
                <w:highlight w:val="none"/>
              </w:rPr>
            </w:pPr>
          </w:p>
        </w:tc>
        <w:tc>
          <w:tcPr>
            <w:tcW w:w="1484" w:type="dxa"/>
            <w:vAlign w:val="center"/>
          </w:tcPr>
          <w:p>
            <w:pPr>
              <w:jc w:val="center"/>
              <w:rPr>
                <w:rFonts w:ascii="宋体" w:hAnsi="宋体"/>
                <w:color w:val="auto"/>
                <w:sz w:val="22"/>
                <w:highlight w:val="none"/>
              </w:rPr>
            </w:pPr>
          </w:p>
        </w:tc>
        <w:tc>
          <w:tcPr>
            <w:tcW w:w="1885" w:type="dxa"/>
            <w:vAlign w:val="center"/>
          </w:tcPr>
          <w:p>
            <w:pPr>
              <w:jc w:val="center"/>
              <w:rPr>
                <w:rFonts w:ascii="宋体" w:hAnsi="宋体"/>
                <w:color w:val="auto"/>
                <w:sz w:val="22"/>
                <w:highlight w:val="none"/>
              </w:rPr>
            </w:pPr>
          </w:p>
        </w:tc>
        <w:tc>
          <w:tcPr>
            <w:tcW w:w="883" w:type="dxa"/>
            <w:vAlign w:val="center"/>
          </w:tcPr>
          <w:p>
            <w:pPr>
              <w:jc w:val="center"/>
              <w:rPr>
                <w:rFonts w:ascii="宋体" w:hAnsi="宋体"/>
                <w:color w:val="auto"/>
                <w:sz w:val="22"/>
                <w:highlight w:val="none"/>
              </w:rPr>
            </w:pPr>
          </w:p>
        </w:tc>
        <w:tc>
          <w:tcPr>
            <w:tcW w:w="992" w:type="dxa"/>
            <w:vAlign w:val="center"/>
          </w:tcPr>
          <w:p>
            <w:pPr>
              <w:jc w:val="center"/>
              <w:rPr>
                <w:rFonts w:ascii="宋体" w:hAnsi="宋体"/>
                <w:color w:val="auto"/>
                <w:sz w:val="22"/>
                <w:highlight w:val="none"/>
              </w:rPr>
            </w:pPr>
          </w:p>
        </w:tc>
        <w:tc>
          <w:tcPr>
            <w:tcW w:w="1276" w:type="dxa"/>
            <w:vAlign w:val="center"/>
          </w:tcPr>
          <w:p>
            <w:pPr>
              <w:jc w:val="center"/>
              <w:rPr>
                <w:rFonts w:ascii="宋体" w:hAnsi="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17" w:type="dxa"/>
            <w:vAlign w:val="center"/>
          </w:tcPr>
          <w:p>
            <w:pPr>
              <w:jc w:val="center"/>
              <w:rPr>
                <w:rFonts w:ascii="宋体" w:hAnsi="宋体"/>
                <w:color w:val="auto"/>
                <w:sz w:val="22"/>
                <w:highlight w:val="none"/>
              </w:rPr>
            </w:pPr>
          </w:p>
        </w:tc>
        <w:tc>
          <w:tcPr>
            <w:tcW w:w="939" w:type="dxa"/>
            <w:vAlign w:val="center"/>
          </w:tcPr>
          <w:p>
            <w:pPr>
              <w:jc w:val="center"/>
              <w:rPr>
                <w:rFonts w:ascii="宋体" w:hAnsi="宋体"/>
                <w:color w:val="auto"/>
                <w:sz w:val="22"/>
                <w:highlight w:val="none"/>
              </w:rPr>
            </w:pPr>
          </w:p>
        </w:tc>
        <w:tc>
          <w:tcPr>
            <w:tcW w:w="904" w:type="dxa"/>
            <w:vAlign w:val="center"/>
          </w:tcPr>
          <w:p>
            <w:pPr>
              <w:jc w:val="center"/>
              <w:rPr>
                <w:rFonts w:ascii="宋体" w:hAnsi="宋体"/>
                <w:color w:val="auto"/>
                <w:sz w:val="22"/>
                <w:highlight w:val="none"/>
              </w:rPr>
            </w:pPr>
          </w:p>
        </w:tc>
        <w:tc>
          <w:tcPr>
            <w:tcW w:w="1484" w:type="dxa"/>
            <w:vAlign w:val="center"/>
          </w:tcPr>
          <w:p>
            <w:pPr>
              <w:jc w:val="center"/>
              <w:rPr>
                <w:rFonts w:ascii="宋体" w:hAnsi="宋体"/>
                <w:color w:val="auto"/>
                <w:sz w:val="22"/>
                <w:highlight w:val="none"/>
              </w:rPr>
            </w:pPr>
          </w:p>
        </w:tc>
        <w:tc>
          <w:tcPr>
            <w:tcW w:w="1885" w:type="dxa"/>
            <w:vAlign w:val="center"/>
          </w:tcPr>
          <w:p>
            <w:pPr>
              <w:jc w:val="center"/>
              <w:rPr>
                <w:rFonts w:ascii="宋体" w:hAnsi="宋体"/>
                <w:color w:val="auto"/>
                <w:sz w:val="22"/>
                <w:highlight w:val="none"/>
              </w:rPr>
            </w:pPr>
          </w:p>
        </w:tc>
        <w:tc>
          <w:tcPr>
            <w:tcW w:w="883" w:type="dxa"/>
            <w:vAlign w:val="center"/>
          </w:tcPr>
          <w:p>
            <w:pPr>
              <w:jc w:val="center"/>
              <w:rPr>
                <w:rFonts w:ascii="宋体" w:hAnsi="宋体"/>
                <w:color w:val="auto"/>
                <w:sz w:val="22"/>
                <w:highlight w:val="none"/>
              </w:rPr>
            </w:pPr>
          </w:p>
        </w:tc>
        <w:tc>
          <w:tcPr>
            <w:tcW w:w="992" w:type="dxa"/>
            <w:vAlign w:val="center"/>
          </w:tcPr>
          <w:p>
            <w:pPr>
              <w:jc w:val="center"/>
              <w:rPr>
                <w:rFonts w:ascii="宋体" w:hAnsi="宋体"/>
                <w:color w:val="auto"/>
                <w:sz w:val="22"/>
                <w:highlight w:val="none"/>
              </w:rPr>
            </w:pPr>
          </w:p>
        </w:tc>
        <w:tc>
          <w:tcPr>
            <w:tcW w:w="1276" w:type="dxa"/>
            <w:vAlign w:val="center"/>
          </w:tcPr>
          <w:p>
            <w:pPr>
              <w:jc w:val="center"/>
              <w:rPr>
                <w:rFonts w:ascii="宋体" w:hAnsi="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17" w:type="dxa"/>
            <w:vAlign w:val="center"/>
          </w:tcPr>
          <w:p>
            <w:pPr>
              <w:jc w:val="center"/>
              <w:rPr>
                <w:rFonts w:ascii="宋体" w:hAnsi="宋体"/>
                <w:color w:val="auto"/>
                <w:sz w:val="22"/>
                <w:highlight w:val="none"/>
              </w:rPr>
            </w:pPr>
          </w:p>
        </w:tc>
        <w:tc>
          <w:tcPr>
            <w:tcW w:w="939" w:type="dxa"/>
            <w:vAlign w:val="center"/>
          </w:tcPr>
          <w:p>
            <w:pPr>
              <w:jc w:val="center"/>
              <w:rPr>
                <w:rFonts w:ascii="宋体" w:hAnsi="宋体"/>
                <w:color w:val="auto"/>
                <w:sz w:val="22"/>
                <w:highlight w:val="none"/>
              </w:rPr>
            </w:pPr>
          </w:p>
        </w:tc>
        <w:tc>
          <w:tcPr>
            <w:tcW w:w="904" w:type="dxa"/>
            <w:vAlign w:val="center"/>
          </w:tcPr>
          <w:p>
            <w:pPr>
              <w:jc w:val="center"/>
              <w:rPr>
                <w:rFonts w:ascii="宋体" w:hAnsi="宋体"/>
                <w:color w:val="auto"/>
                <w:sz w:val="22"/>
                <w:highlight w:val="none"/>
              </w:rPr>
            </w:pPr>
          </w:p>
        </w:tc>
        <w:tc>
          <w:tcPr>
            <w:tcW w:w="1484" w:type="dxa"/>
            <w:vAlign w:val="center"/>
          </w:tcPr>
          <w:p>
            <w:pPr>
              <w:jc w:val="center"/>
              <w:rPr>
                <w:rFonts w:ascii="宋体" w:hAnsi="宋体"/>
                <w:color w:val="auto"/>
                <w:sz w:val="22"/>
                <w:highlight w:val="none"/>
              </w:rPr>
            </w:pPr>
          </w:p>
        </w:tc>
        <w:tc>
          <w:tcPr>
            <w:tcW w:w="1885" w:type="dxa"/>
            <w:vAlign w:val="center"/>
          </w:tcPr>
          <w:p>
            <w:pPr>
              <w:jc w:val="center"/>
              <w:rPr>
                <w:rFonts w:ascii="宋体" w:hAnsi="宋体"/>
                <w:color w:val="auto"/>
                <w:sz w:val="22"/>
                <w:highlight w:val="none"/>
              </w:rPr>
            </w:pPr>
          </w:p>
        </w:tc>
        <w:tc>
          <w:tcPr>
            <w:tcW w:w="883" w:type="dxa"/>
            <w:vAlign w:val="center"/>
          </w:tcPr>
          <w:p>
            <w:pPr>
              <w:jc w:val="center"/>
              <w:rPr>
                <w:rFonts w:ascii="宋体" w:hAnsi="宋体"/>
                <w:color w:val="auto"/>
                <w:sz w:val="22"/>
                <w:highlight w:val="none"/>
              </w:rPr>
            </w:pPr>
          </w:p>
        </w:tc>
        <w:tc>
          <w:tcPr>
            <w:tcW w:w="992" w:type="dxa"/>
            <w:vAlign w:val="center"/>
          </w:tcPr>
          <w:p>
            <w:pPr>
              <w:jc w:val="center"/>
              <w:rPr>
                <w:rFonts w:ascii="宋体" w:hAnsi="宋体"/>
                <w:color w:val="auto"/>
                <w:sz w:val="22"/>
                <w:highlight w:val="none"/>
              </w:rPr>
            </w:pPr>
          </w:p>
        </w:tc>
        <w:tc>
          <w:tcPr>
            <w:tcW w:w="1276" w:type="dxa"/>
            <w:vAlign w:val="center"/>
          </w:tcPr>
          <w:p>
            <w:pPr>
              <w:jc w:val="center"/>
              <w:rPr>
                <w:rFonts w:ascii="宋体" w:hAnsi="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17" w:type="dxa"/>
            <w:vAlign w:val="center"/>
          </w:tcPr>
          <w:p>
            <w:pPr>
              <w:jc w:val="center"/>
              <w:rPr>
                <w:rFonts w:ascii="宋体" w:hAnsi="宋体"/>
                <w:color w:val="auto"/>
                <w:sz w:val="22"/>
                <w:highlight w:val="none"/>
              </w:rPr>
            </w:pPr>
          </w:p>
        </w:tc>
        <w:tc>
          <w:tcPr>
            <w:tcW w:w="939" w:type="dxa"/>
            <w:vAlign w:val="center"/>
          </w:tcPr>
          <w:p>
            <w:pPr>
              <w:jc w:val="center"/>
              <w:rPr>
                <w:rFonts w:ascii="宋体" w:hAnsi="宋体"/>
                <w:color w:val="auto"/>
                <w:sz w:val="22"/>
                <w:highlight w:val="none"/>
              </w:rPr>
            </w:pPr>
          </w:p>
        </w:tc>
        <w:tc>
          <w:tcPr>
            <w:tcW w:w="904" w:type="dxa"/>
            <w:vAlign w:val="center"/>
          </w:tcPr>
          <w:p>
            <w:pPr>
              <w:jc w:val="center"/>
              <w:rPr>
                <w:rFonts w:ascii="宋体" w:hAnsi="宋体"/>
                <w:color w:val="auto"/>
                <w:sz w:val="22"/>
                <w:highlight w:val="none"/>
              </w:rPr>
            </w:pPr>
          </w:p>
        </w:tc>
        <w:tc>
          <w:tcPr>
            <w:tcW w:w="1484" w:type="dxa"/>
            <w:vAlign w:val="center"/>
          </w:tcPr>
          <w:p>
            <w:pPr>
              <w:jc w:val="center"/>
              <w:rPr>
                <w:rFonts w:ascii="宋体" w:hAnsi="宋体"/>
                <w:color w:val="auto"/>
                <w:sz w:val="22"/>
                <w:highlight w:val="none"/>
              </w:rPr>
            </w:pPr>
          </w:p>
        </w:tc>
        <w:tc>
          <w:tcPr>
            <w:tcW w:w="1885" w:type="dxa"/>
            <w:vAlign w:val="center"/>
          </w:tcPr>
          <w:p>
            <w:pPr>
              <w:jc w:val="center"/>
              <w:rPr>
                <w:rFonts w:ascii="宋体" w:hAnsi="宋体"/>
                <w:color w:val="auto"/>
                <w:sz w:val="22"/>
                <w:highlight w:val="none"/>
              </w:rPr>
            </w:pPr>
          </w:p>
        </w:tc>
        <w:tc>
          <w:tcPr>
            <w:tcW w:w="883" w:type="dxa"/>
            <w:vAlign w:val="center"/>
          </w:tcPr>
          <w:p>
            <w:pPr>
              <w:jc w:val="center"/>
              <w:rPr>
                <w:rFonts w:ascii="宋体" w:hAnsi="宋体"/>
                <w:color w:val="auto"/>
                <w:sz w:val="22"/>
                <w:highlight w:val="none"/>
              </w:rPr>
            </w:pPr>
          </w:p>
        </w:tc>
        <w:tc>
          <w:tcPr>
            <w:tcW w:w="992" w:type="dxa"/>
            <w:vAlign w:val="center"/>
          </w:tcPr>
          <w:p>
            <w:pPr>
              <w:jc w:val="center"/>
              <w:rPr>
                <w:rFonts w:ascii="宋体" w:hAnsi="宋体"/>
                <w:color w:val="auto"/>
                <w:sz w:val="22"/>
                <w:highlight w:val="none"/>
              </w:rPr>
            </w:pPr>
          </w:p>
        </w:tc>
        <w:tc>
          <w:tcPr>
            <w:tcW w:w="1276" w:type="dxa"/>
            <w:vAlign w:val="center"/>
          </w:tcPr>
          <w:p>
            <w:pPr>
              <w:jc w:val="center"/>
              <w:rPr>
                <w:rFonts w:ascii="宋体" w:hAnsi="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17" w:type="dxa"/>
            <w:vAlign w:val="center"/>
          </w:tcPr>
          <w:p>
            <w:pPr>
              <w:jc w:val="center"/>
              <w:rPr>
                <w:rFonts w:ascii="宋体" w:hAnsi="宋体"/>
                <w:color w:val="auto"/>
                <w:sz w:val="22"/>
                <w:highlight w:val="none"/>
              </w:rPr>
            </w:pPr>
          </w:p>
        </w:tc>
        <w:tc>
          <w:tcPr>
            <w:tcW w:w="939" w:type="dxa"/>
            <w:vAlign w:val="center"/>
          </w:tcPr>
          <w:p>
            <w:pPr>
              <w:jc w:val="center"/>
              <w:rPr>
                <w:rFonts w:ascii="宋体" w:hAnsi="宋体"/>
                <w:color w:val="auto"/>
                <w:sz w:val="22"/>
                <w:highlight w:val="none"/>
              </w:rPr>
            </w:pPr>
          </w:p>
        </w:tc>
        <w:tc>
          <w:tcPr>
            <w:tcW w:w="904" w:type="dxa"/>
            <w:vAlign w:val="center"/>
          </w:tcPr>
          <w:p>
            <w:pPr>
              <w:jc w:val="center"/>
              <w:rPr>
                <w:rFonts w:ascii="宋体" w:hAnsi="宋体"/>
                <w:color w:val="auto"/>
                <w:sz w:val="22"/>
                <w:highlight w:val="none"/>
              </w:rPr>
            </w:pPr>
          </w:p>
        </w:tc>
        <w:tc>
          <w:tcPr>
            <w:tcW w:w="1484" w:type="dxa"/>
            <w:vAlign w:val="center"/>
          </w:tcPr>
          <w:p>
            <w:pPr>
              <w:jc w:val="center"/>
              <w:rPr>
                <w:rFonts w:ascii="宋体" w:hAnsi="宋体"/>
                <w:color w:val="auto"/>
                <w:sz w:val="22"/>
                <w:highlight w:val="none"/>
              </w:rPr>
            </w:pPr>
          </w:p>
        </w:tc>
        <w:tc>
          <w:tcPr>
            <w:tcW w:w="1885" w:type="dxa"/>
            <w:vAlign w:val="center"/>
          </w:tcPr>
          <w:p>
            <w:pPr>
              <w:jc w:val="center"/>
              <w:rPr>
                <w:rFonts w:ascii="宋体" w:hAnsi="宋体"/>
                <w:color w:val="auto"/>
                <w:sz w:val="22"/>
                <w:highlight w:val="none"/>
              </w:rPr>
            </w:pPr>
          </w:p>
        </w:tc>
        <w:tc>
          <w:tcPr>
            <w:tcW w:w="883" w:type="dxa"/>
            <w:vAlign w:val="center"/>
          </w:tcPr>
          <w:p>
            <w:pPr>
              <w:jc w:val="center"/>
              <w:rPr>
                <w:rFonts w:ascii="宋体" w:hAnsi="宋体"/>
                <w:color w:val="auto"/>
                <w:sz w:val="22"/>
                <w:highlight w:val="none"/>
              </w:rPr>
            </w:pPr>
          </w:p>
        </w:tc>
        <w:tc>
          <w:tcPr>
            <w:tcW w:w="992" w:type="dxa"/>
            <w:vAlign w:val="center"/>
          </w:tcPr>
          <w:p>
            <w:pPr>
              <w:jc w:val="center"/>
              <w:rPr>
                <w:rFonts w:ascii="宋体" w:hAnsi="宋体"/>
                <w:color w:val="auto"/>
                <w:sz w:val="22"/>
                <w:highlight w:val="none"/>
              </w:rPr>
            </w:pPr>
          </w:p>
        </w:tc>
        <w:tc>
          <w:tcPr>
            <w:tcW w:w="1276" w:type="dxa"/>
            <w:vAlign w:val="center"/>
          </w:tcPr>
          <w:p>
            <w:pPr>
              <w:jc w:val="center"/>
              <w:rPr>
                <w:rFonts w:ascii="宋体" w:hAnsi="宋体"/>
                <w:color w:val="auto"/>
                <w:sz w:val="22"/>
                <w:highlight w:val="none"/>
              </w:rPr>
            </w:pPr>
          </w:p>
        </w:tc>
      </w:tr>
    </w:tbl>
    <w:p>
      <w:pPr>
        <w:ind w:firstLine="480" w:firstLineChars="200"/>
        <w:rPr>
          <w:rFonts w:ascii="宋体" w:hAnsi="宋体"/>
          <w:color w:val="auto"/>
          <w:sz w:val="24"/>
          <w:highlight w:val="none"/>
        </w:rPr>
      </w:pPr>
    </w:p>
    <w:p>
      <w:pPr>
        <w:rPr>
          <w:rFonts w:ascii="宋体" w:hAnsi="宋体"/>
          <w:color w:val="auto"/>
          <w:highlight w:val="none"/>
        </w:rPr>
      </w:pPr>
      <w:r>
        <w:rPr>
          <w:rFonts w:ascii="宋体" w:hAnsi="宋体"/>
          <w:color w:val="auto"/>
          <w:sz w:val="24"/>
          <w:highlight w:val="none"/>
        </w:rPr>
        <w:br w:type="page"/>
      </w:r>
    </w:p>
    <w:p>
      <w:pPr>
        <w:pStyle w:val="5"/>
        <w:rPr>
          <w:color w:val="auto"/>
          <w:highlight w:val="none"/>
        </w:rPr>
      </w:pPr>
      <w:bookmarkStart w:id="199" w:name="_Toc26704"/>
      <w:r>
        <w:rPr>
          <w:rFonts w:hint="eastAsia"/>
          <w:color w:val="auto"/>
          <w:highlight w:val="none"/>
        </w:rPr>
        <w:t>八、拟投入本项目的检测</w:t>
      </w:r>
      <w:r>
        <w:rPr>
          <w:rFonts w:hint="eastAsia"/>
          <w:color w:val="auto"/>
          <w:highlight w:val="none"/>
          <w:lang w:val="en-US" w:eastAsia="zh-CN"/>
        </w:rPr>
        <w:t>监测</w:t>
      </w:r>
      <w:r>
        <w:rPr>
          <w:rFonts w:hint="eastAsia"/>
          <w:color w:val="auto"/>
          <w:highlight w:val="none"/>
        </w:rPr>
        <w:t>人员简历表</w:t>
      </w:r>
      <w:bookmarkEnd w:id="199"/>
    </w:p>
    <w:tbl>
      <w:tblPr>
        <w:tblStyle w:val="2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87"/>
        <w:gridCol w:w="180"/>
        <w:gridCol w:w="1295"/>
        <w:gridCol w:w="281"/>
        <w:gridCol w:w="763"/>
        <w:gridCol w:w="957"/>
        <w:gridCol w:w="407"/>
        <w:gridCol w:w="1200"/>
        <w:gridCol w:w="630"/>
        <w:gridCol w:w="202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5" w:hRule="atLeast"/>
          <w:jc w:val="center"/>
        </w:trPr>
        <w:tc>
          <w:tcPr>
            <w:tcW w:w="1367" w:type="dxa"/>
            <w:gridSpan w:val="2"/>
            <w:vAlign w:val="center"/>
          </w:tcPr>
          <w:p>
            <w:pPr>
              <w:snapToGrid w:val="0"/>
              <w:spacing w:line="0" w:lineRule="atLeast"/>
              <w:jc w:val="center"/>
              <w:rPr>
                <w:rFonts w:ascii="宋体" w:hAnsi="宋体"/>
                <w:color w:val="auto"/>
                <w:sz w:val="24"/>
                <w:highlight w:val="none"/>
              </w:rPr>
            </w:pPr>
            <w:r>
              <w:rPr>
                <w:rFonts w:hint="eastAsia" w:ascii="宋体" w:hAnsi="宋体"/>
                <w:color w:val="auto"/>
                <w:sz w:val="24"/>
                <w:highlight w:val="none"/>
              </w:rPr>
              <w:t>姓名</w:t>
            </w:r>
          </w:p>
        </w:tc>
        <w:tc>
          <w:tcPr>
            <w:tcW w:w="1295" w:type="dxa"/>
            <w:vAlign w:val="center"/>
          </w:tcPr>
          <w:p>
            <w:pPr>
              <w:snapToGrid w:val="0"/>
              <w:spacing w:line="0" w:lineRule="atLeast"/>
              <w:jc w:val="center"/>
              <w:rPr>
                <w:rFonts w:ascii="宋体" w:hAnsi="宋体"/>
                <w:color w:val="auto"/>
                <w:sz w:val="24"/>
                <w:highlight w:val="none"/>
              </w:rPr>
            </w:pPr>
          </w:p>
        </w:tc>
        <w:tc>
          <w:tcPr>
            <w:tcW w:w="1044" w:type="dxa"/>
            <w:gridSpan w:val="2"/>
            <w:vAlign w:val="center"/>
          </w:tcPr>
          <w:p>
            <w:pPr>
              <w:snapToGrid w:val="0"/>
              <w:spacing w:line="0" w:lineRule="atLeast"/>
              <w:jc w:val="center"/>
              <w:rPr>
                <w:rFonts w:ascii="宋体" w:hAnsi="宋体"/>
                <w:color w:val="auto"/>
                <w:sz w:val="24"/>
                <w:highlight w:val="none"/>
              </w:rPr>
            </w:pPr>
            <w:r>
              <w:rPr>
                <w:rFonts w:hint="eastAsia" w:ascii="宋体" w:hAnsi="宋体"/>
                <w:color w:val="auto"/>
                <w:sz w:val="24"/>
                <w:highlight w:val="none"/>
              </w:rPr>
              <w:t>年龄</w:t>
            </w:r>
          </w:p>
        </w:tc>
        <w:tc>
          <w:tcPr>
            <w:tcW w:w="1364" w:type="dxa"/>
            <w:gridSpan w:val="2"/>
            <w:vAlign w:val="center"/>
          </w:tcPr>
          <w:p>
            <w:pPr>
              <w:snapToGrid w:val="0"/>
              <w:spacing w:line="0" w:lineRule="atLeast"/>
              <w:jc w:val="center"/>
              <w:rPr>
                <w:rFonts w:ascii="宋体" w:hAnsi="宋体"/>
                <w:color w:val="auto"/>
                <w:sz w:val="24"/>
                <w:highlight w:val="none"/>
              </w:rPr>
            </w:pPr>
          </w:p>
        </w:tc>
        <w:tc>
          <w:tcPr>
            <w:tcW w:w="1830" w:type="dxa"/>
            <w:gridSpan w:val="2"/>
            <w:vAlign w:val="center"/>
          </w:tcPr>
          <w:p>
            <w:pPr>
              <w:snapToGrid w:val="0"/>
              <w:spacing w:line="0" w:lineRule="atLeast"/>
              <w:jc w:val="center"/>
              <w:rPr>
                <w:rFonts w:ascii="宋体" w:hAnsi="宋体"/>
                <w:color w:val="auto"/>
                <w:sz w:val="24"/>
                <w:highlight w:val="none"/>
              </w:rPr>
            </w:pPr>
            <w:r>
              <w:rPr>
                <w:rFonts w:hint="eastAsia" w:ascii="宋体" w:hAnsi="宋体"/>
                <w:color w:val="auto"/>
                <w:sz w:val="24"/>
                <w:highlight w:val="none"/>
              </w:rPr>
              <w:t>学历</w:t>
            </w:r>
          </w:p>
        </w:tc>
        <w:tc>
          <w:tcPr>
            <w:tcW w:w="2027" w:type="dxa"/>
          </w:tcPr>
          <w:p>
            <w:pPr>
              <w:snapToGrid w:val="0"/>
              <w:spacing w:line="0" w:lineRule="atLeast"/>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3" w:hRule="atLeast"/>
          <w:jc w:val="center"/>
        </w:trPr>
        <w:tc>
          <w:tcPr>
            <w:tcW w:w="1367" w:type="dxa"/>
            <w:gridSpan w:val="2"/>
            <w:vAlign w:val="center"/>
          </w:tcPr>
          <w:p>
            <w:pPr>
              <w:snapToGrid w:val="0"/>
              <w:spacing w:line="0" w:lineRule="atLeast"/>
              <w:jc w:val="center"/>
              <w:rPr>
                <w:rFonts w:ascii="宋体" w:hAnsi="宋体"/>
                <w:color w:val="auto"/>
                <w:sz w:val="24"/>
                <w:highlight w:val="none"/>
              </w:rPr>
            </w:pPr>
            <w:r>
              <w:rPr>
                <w:rFonts w:hint="eastAsia" w:ascii="宋体" w:hAnsi="宋体"/>
                <w:color w:val="auto"/>
                <w:sz w:val="24"/>
                <w:highlight w:val="none"/>
              </w:rPr>
              <w:t>技术职称</w:t>
            </w:r>
          </w:p>
        </w:tc>
        <w:tc>
          <w:tcPr>
            <w:tcW w:w="1295" w:type="dxa"/>
            <w:vAlign w:val="center"/>
          </w:tcPr>
          <w:p>
            <w:pPr>
              <w:snapToGrid w:val="0"/>
              <w:spacing w:line="0" w:lineRule="atLeast"/>
              <w:jc w:val="center"/>
              <w:rPr>
                <w:rFonts w:ascii="宋体" w:hAnsi="宋体"/>
                <w:color w:val="auto"/>
                <w:sz w:val="24"/>
                <w:highlight w:val="none"/>
              </w:rPr>
            </w:pPr>
          </w:p>
        </w:tc>
        <w:tc>
          <w:tcPr>
            <w:tcW w:w="1044" w:type="dxa"/>
            <w:gridSpan w:val="2"/>
            <w:vAlign w:val="center"/>
          </w:tcPr>
          <w:p>
            <w:pPr>
              <w:snapToGrid w:val="0"/>
              <w:spacing w:line="0" w:lineRule="atLeast"/>
              <w:jc w:val="center"/>
              <w:rPr>
                <w:rFonts w:ascii="宋体" w:hAnsi="宋体"/>
                <w:color w:val="auto"/>
                <w:sz w:val="24"/>
                <w:highlight w:val="none"/>
              </w:rPr>
            </w:pPr>
            <w:r>
              <w:rPr>
                <w:rFonts w:hint="eastAsia" w:ascii="宋体" w:hAnsi="宋体"/>
                <w:color w:val="auto"/>
                <w:sz w:val="24"/>
                <w:highlight w:val="none"/>
              </w:rPr>
              <w:t>职务</w:t>
            </w:r>
          </w:p>
        </w:tc>
        <w:tc>
          <w:tcPr>
            <w:tcW w:w="1364" w:type="dxa"/>
            <w:gridSpan w:val="2"/>
            <w:vAlign w:val="center"/>
          </w:tcPr>
          <w:p>
            <w:pPr>
              <w:snapToGrid w:val="0"/>
              <w:spacing w:line="0" w:lineRule="atLeast"/>
              <w:jc w:val="center"/>
              <w:rPr>
                <w:rFonts w:ascii="宋体" w:hAnsi="宋体"/>
                <w:color w:val="auto"/>
                <w:sz w:val="24"/>
                <w:highlight w:val="none"/>
              </w:rPr>
            </w:pPr>
          </w:p>
        </w:tc>
        <w:tc>
          <w:tcPr>
            <w:tcW w:w="1830" w:type="dxa"/>
            <w:gridSpan w:val="2"/>
            <w:vAlign w:val="center"/>
          </w:tcPr>
          <w:p>
            <w:pPr>
              <w:snapToGrid w:val="0"/>
              <w:spacing w:line="0" w:lineRule="atLeast"/>
              <w:jc w:val="center"/>
              <w:rPr>
                <w:rFonts w:ascii="宋体" w:hAnsi="宋体"/>
                <w:color w:val="auto"/>
                <w:sz w:val="24"/>
                <w:highlight w:val="none"/>
              </w:rPr>
            </w:pPr>
            <w:r>
              <w:rPr>
                <w:rFonts w:hint="eastAsia" w:ascii="宋体" w:hAnsi="宋体"/>
                <w:color w:val="auto"/>
                <w:sz w:val="24"/>
                <w:highlight w:val="none"/>
              </w:rPr>
              <w:t>在本项目担任职务</w:t>
            </w:r>
          </w:p>
        </w:tc>
        <w:tc>
          <w:tcPr>
            <w:tcW w:w="2027" w:type="dxa"/>
          </w:tcPr>
          <w:p>
            <w:pPr>
              <w:snapToGrid w:val="0"/>
              <w:spacing w:line="0" w:lineRule="atLeast"/>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9" w:hRule="atLeast"/>
          <w:jc w:val="center"/>
        </w:trPr>
        <w:tc>
          <w:tcPr>
            <w:tcW w:w="1367" w:type="dxa"/>
            <w:gridSpan w:val="2"/>
            <w:vAlign w:val="center"/>
          </w:tcPr>
          <w:p>
            <w:pPr>
              <w:snapToGrid w:val="0"/>
              <w:spacing w:line="0" w:lineRule="atLeast"/>
              <w:jc w:val="center"/>
              <w:rPr>
                <w:rFonts w:ascii="宋体" w:hAnsi="宋体"/>
                <w:color w:val="auto"/>
                <w:sz w:val="24"/>
                <w:highlight w:val="none"/>
              </w:rPr>
            </w:pPr>
            <w:r>
              <w:rPr>
                <w:rFonts w:hint="eastAsia" w:ascii="宋体" w:hAnsi="宋体"/>
                <w:color w:val="auto"/>
                <w:sz w:val="24"/>
                <w:highlight w:val="none"/>
              </w:rPr>
              <w:t>毕业学校</w:t>
            </w:r>
          </w:p>
        </w:tc>
        <w:tc>
          <w:tcPr>
            <w:tcW w:w="3703" w:type="dxa"/>
            <w:gridSpan w:val="5"/>
            <w:vAlign w:val="center"/>
          </w:tcPr>
          <w:p>
            <w:pPr>
              <w:snapToGrid w:val="0"/>
              <w:spacing w:line="0" w:lineRule="atLeast"/>
              <w:jc w:val="center"/>
              <w:rPr>
                <w:rFonts w:ascii="宋体" w:hAnsi="宋体"/>
                <w:color w:val="auto"/>
                <w:sz w:val="24"/>
                <w:highlight w:val="none"/>
              </w:rPr>
            </w:pPr>
            <w:r>
              <w:rPr>
                <w:rFonts w:hint="eastAsia" w:ascii="宋体" w:hAnsi="宋体"/>
                <w:color w:val="auto"/>
                <w:sz w:val="24"/>
                <w:highlight w:val="none"/>
              </w:rPr>
              <w:t>毕业于      学校     专业</w:t>
            </w:r>
          </w:p>
        </w:tc>
        <w:tc>
          <w:tcPr>
            <w:tcW w:w="1830" w:type="dxa"/>
            <w:gridSpan w:val="2"/>
            <w:vAlign w:val="center"/>
          </w:tcPr>
          <w:p>
            <w:pPr>
              <w:snapToGrid w:val="0"/>
              <w:spacing w:line="0" w:lineRule="atLeast"/>
              <w:jc w:val="center"/>
              <w:rPr>
                <w:rFonts w:ascii="宋体" w:hAnsi="宋体"/>
                <w:color w:val="auto"/>
                <w:sz w:val="24"/>
                <w:highlight w:val="none"/>
              </w:rPr>
            </w:pPr>
            <w:r>
              <w:rPr>
                <w:rFonts w:hint="eastAsia" w:ascii="宋体" w:hAnsi="宋体"/>
                <w:color w:val="auto"/>
                <w:position w:val="-30"/>
                <w:sz w:val="24"/>
                <w:highlight w:val="none"/>
              </w:rPr>
              <w:t>从事检测工作年限</w:t>
            </w:r>
          </w:p>
        </w:tc>
        <w:tc>
          <w:tcPr>
            <w:tcW w:w="2027" w:type="dxa"/>
          </w:tcPr>
          <w:p>
            <w:pPr>
              <w:snapToGrid w:val="0"/>
              <w:spacing w:line="0" w:lineRule="atLeast"/>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3" w:hRule="atLeast"/>
          <w:jc w:val="center"/>
        </w:trPr>
        <w:tc>
          <w:tcPr>
            <w:tcW w:w="2943" w:type="dxa"/>
            <w:gridSpan w:val="4"/>
            <w:vAlign w:val="center"/>
          </w:tcPr>
          <w:p>
            <w:pPr>
              <w:snapToGrid w:val="0"/>
              <w:spacing w:line="0" w:lineRule="atLeast"/>
              <w:jc w:val="center"/>
              <w:rPr>
                <w:rFonts w:ascii="宋体" w:hAnsi="宋体"/>
                <w:color w:val="auto"/>
                <w:sz w:val="24"/>
                <w:highlight w:val="none"/>
              </w:rPr>
            </w:pPr>
            <w:r>
              <w:rPr>
                <w:rFonts w:hint="eastAsia" w:ascii="宋体" w:hAnsi="宋体"/>
                <w:color w:val="auto"/>
                <w:sz w:val="24"/>
                <w:highlight w:val="none"/>
              </w:rPr>
              <w:t>执业资格证号或注册证号</w:t>
            </w:r>
          </w:p>
        </w:tc>
        <w:tc>
          <w:tcPr>
            <w:tcW w:w="5984" w:type="dxa"/>
            <w:gridSpan w:val="6"/>
          </w:tcPr>
          <w:p>
            <w:pPr>
              <w:snapToGrid w:val="0"/>
              <w:spacing w:line="0" w:lineRule="atLeast"/>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jc w:val="center"/>
        </w:trPr>
        <w:tc>
          <w:tcPr>
            <w:tcW w:w="8927" w:type="dxa"/>
            <w:gridSpan w:val="10"/>
          </w:tcPr>
          <w:p>
            <w:pPr>
              <w:snapToGrid w:val="0"/>
              <w:spacing w:line="0" w:lineRule="atLeast"/>
              <w:jc w:val="center"/>
              <w:rPr>
                <w:rFonts w:ascii="宋体" w:hAnsi="宋体"/>
                <w:color w:val="auto"/>
                <w:sz w:val="24"/>
                <w:highlight w:val="none"/>
              </w:rPr>
            </w:pPr>
            <w:r>
              <w:rPr>
                <w:rFonts w:hint="eastAsia" w:ascii="宋体" w:hAnsi="宋体"/>
                <w:color w:val="auto"/>
                <w:sz w:val="24"/>
                <w:highlight w:val="none"/>
              </w:rPr>
              <w:t>主要业绩经历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1187" w:type="dxa"/>
          </w:tcPr>
          <w:p>
            <w:pPr>
              <w:snapToGrid w:val="0"/>
              <w:spacing w:line="0" w:lineRule="atLeast"/>
              <w:jc w:val="center"/>
              <w:rPr>
                <w:rFonts w:ascii="宋体" w:hAnsi="宋体"/>
                <w:color w:val="auto"/>
                <w:sz w:val="24"/>
                <w:highlight w:val="none"/>
              </w:rPr>
            </w:pPr>
            <w:r>
              <w:rPr>
                <w:rFonts w:hint="eastAsia" w:ascii="宋体" w:hAnsi="宋体"/>
                <w:color w:val="auto"/>
                <w:sz w:val="24"/>
                <w:highlight w:val="none"/>
              </w:rPr>
              <w:t>时间</w:t>
            </w:r>
          </w:p>
        </w:tc>
        <w:tc>
          <w:tcPr>
            <w:tcW w:w="3476" w:type="dxa"/>
            <w:gridSpan w:val="5"/>
          </w:tcPr>
          <w:p>
            <w:pPr>
              <w:snapToGrid w:val="0"/>
              <w:spacing w:line="0" w:lineRule="atLeast"/>
              <w:jc w:val="center"/>
              <w:rPr>
                <w:rFonts w:ascii="宋体" w:hAnsi="宋体"/>
                <w:color w:val="auto"/>
                <w:sz w:val="24"/>
                <w:highlight w:val="none"/>
              </w:rPr>
            </w:pPr>
            <w:r>
              <w:rPr>
                <w:rFonts w:hint="eastAsia" w:ascii="宋体" w:hAnsi="宋体"/>
                <w:color w:val="auto"/>
                <w:sz w:val="24"/>
                <w:highlight w:val="none"/>
              </w:rPr>
              <w:t>参加过的主要工作</w:t>
            </w:r>
          </w:p>
        </w:tc>
        <w:tc>
          <w:tcPr>
            <w:tcW w:w="1607" w:type="dxa"/>
            <w:gridSpan w:val="2"/>
          </w:tcPr>
          <w:p>
            <w:pPr>
              <w:snapToGrid w:val="0"/>
              <w:spacing w:line="0" w:lineRule="atLeast"/>
              <w:jc w:val="center"/>
              <w:rPr>
                <w:rFonts w:ascii="宋体" w:hAnsi="宋体"/>
                <w:color w:val="auto"/>
                <w:sz w:val="24"/>
                <w:highlight w:val="none"/>
              </w:rPr>
            </w:pPr>
            <w:r>
              <w:rPr>
                <w:rFonts w:hint="eastAsia" w:ascii="宋体" w:hAnsi="宋体"/>
                <w:color w:val="auto"/>
                <w:sz w:val="24"/>
                <w:highlight w:val="none"/>
              </w:rPr>
              <w:t>担任何职</w:t>
            </w:r>
          </w:p>
        </w:tc>
        <w:tc>
          <w:tcPr>
            <w:tcW w:w="2657" w:type="dxa"/>
            <w:gridSpan w:val="2"/>
          </w:tcPr>
          <w:p>
            <w:pPr>
              <w:snapToGrid w:val="0"/>
              <w:spacing w:line="0" w:lineRule="atLeast"/>
              <w:jc w:val="center"/>
              <w:rPr>
                <w:rFonts w:ascii="宋体" w:hAnsi="宋体"/>
                <w:color w:val="auto"/>
                <w:sz w:val="24"/>
                <w:highlight w:val="none"/>
              </w:rPr>
            </w:pPr>
            <w:r>
              <w:rPr>
                <w:rFonts w:hint="eastAsia" w:ascii="宋体" w:hAnsi="宋体"/>
                <w:color w:val="auto"/>
                <w:sz w:val="24"/>
                <w:highlight w:val="none"/>
              </w:rPr>
              <w:t>获得的奖励情况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87" w:type="dxa"/>
          </w:tcPr>
          <w:p>
            <w:pPr>
              <w:snapToGrid w:val="0"/>
              <w:spacing w:line="0" w:lineRule="atLeast"/>
              <w:rPr>
                <w:rFonts w:ascii="宋体" w:hAnsi="宋体"/>
                <w:color w:val="auto"/>
                <w:sz w:val="24"/>
                <w:highlight w:val="none"/>
              </w:rPr>
            </w:pPr>
          </w:p>
        </w:tc>
        <w:tc>
          <w:tcPr>
            <w:tcW w:w="3476" w:type="dxa"/>
            <w:gridSpan w:val="5"/>
          </w:tcPr>
          <w:p>
            <w:pPr>
              <w:snapToGrid w:val="0"/>
              <w:spacing w:line="0" w:lineRule="atLeast"/>
              <w:rPr>
                <w:rFonts w:ascii="宋体" w:hAnsi="宋体"/>
                <w:color w:val="auto"/>
                <w:sz w:val="24"/>
                <w:highlight w:val="none"/>
              </w:rPr>
            </w:pPr>
          </w:p>
        </w:tc>
        <w:tc>
          <w:tcPr>
            <w:tcW w:w="1607" w:type="dxa"/>
            <w:gridSpan w:val="2"/>
          </w:tcPr>
          <w:p>
            <w:pPr>
              <w:snapToGrid w:val="0"/>
              <w:spacing w:line="0" w:lineRule="atLeast"/>
              <w:rPr>
                <w:rFonts w:ascii="宋体" w:hAnsi="宋体"/>
                <w:color w:val="auto"/>
                <w:sz w:val="24"/>
                <w:highlight w:val="none"/>
              </w:rPr>
            </w:pPr>
          </w:p>
        </w:tc>
        <w:tc>
          <w:tcPr>
            <w:tcW w:w="2657" w:type="dxa"/>
            <w:gridSpan w:val="2"/>
          </w:tcPr>
          <w:p>
            <w:pPr>
              <w:snapToGrid w:val="0"/>
              <w:spacing w:line="0" w:lineRule="atLeast"/>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87" w:type="dxa"/>
          </w:tcPr>
          <w:p>
            <w:pPr>
              <w:snapToGrid w:val="0"/>
              <w:spacing w:line="0" w:lineRule="atLeast"/>
              <w:rPr>
                <w:rFonts w:ascii="宋体" w:hAnsi="宋体"/>
                <w:color w:val="auto"/>
                <w:sz w:val="24"/>
                <w:highlight w:val="none"/>
              </w:rPr>
            </w:pPr>
          </w:p>
        </w:tc>
        <w:tc>
          <w:tcPr>
            <w:tcW w:w="3476" w:type="dxa"/>
            <w:gridSpan w:val="5"/>
          </w:tcPr>
          <w:p>
            <w:pPr>
              <w:snapToGrid w:val="0"/>
              <w:spacing w:line="0" w:lineRule="atLeast"/>
              <w:rPr>
                <w:rFonts w:ascii="宋体" w:hAnsi="宋体"/>
                <w:color w:val="auto"/>
                <w:sz w:val="24"/>
                <w:highlight w:val="none"/>
              </w:rPr>
            </w:pPr>
          </w:p>
        </w:tc>
        <w:tc>
          <w:tcPr>
            <w:tcW w:w="1607" w:type="dxa"/>
            <w:gridSpan w:val="2"/>
          </w:tcPr>
          <w:p>
            <w:pPr>
              <w:snapToGrid w:val="0"/>
              <w:spacing w:line="0" w:lineRule="atLeast"/>
              <w:rPr>
                <w:rFonts w:ascii="宋体" w:hAnsi="宋体"/>
                <w:color w:val="auto"/>
                <w:sz w:val="24"/>
                <w:highlight w:val="none"/>
              </w:rPr>
            </w:pPr>
          </w:p>
        </w:tc>
        <w:tc>
          <w:tcPr>
            <w:tcW w:w="2657" w:type="dxa"/>
            <w:gridSpan w:val="2"/>
          </w:tcPr>
          <w:p>
            <w:pPr>
              <w:snapToGrid w:val="0"/>
              <w:spacing w:line="0" w:lineRule="atLeast"/>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87" w:type="dxa"/>
          </w:tcPr>
          <w:p>
            <w:pPr>
              <w:snapToGrid w:val="0"/>
              <w:spacing w:line="0" w:lineRule="atLeast"/>
              <w:rPr>
                <w:rFonts w:ascii="宋体" w:hAnsi="宋体"/>
                <w:color w:val="auto"/>
                <w:sz w:val="24"/>
                <w:highlight w:val="none"/>
              </w:rPr>
            </w:pPr>
          </w:p>
        </w:tc>
        <w:tc>
          <w:tcPr>
            <w:tcW w:w="3476" w:type="dxa"/>
            <w:gridSpan w:val="5"/>
          </w:tcPr>
          <w:p>
            <w:pPr>
              <w:snapToGrid w:val="0"/>
              <w:spacing w:line="0" w:lineRule="atLeast"/>
              <w:rPr>
                <w:rFonts w:ascii="宋体" w:hAnsi="宋体"/>
                <w:color w:val="auto"/>
                <w:sz w:val="24"/>
                <w:highlight w:val="none"/>
              </w:rPr>
            </w:pPr>
          </w:p>
        </w:tc>
        <w:tc>
          <w:tcPr>
            <w:tcW w:w="1607" w:type="dxa"/>
            <w:gridSpan w:val="2"/>
          </w:tcPr>
          <w:p>
            <w:pPr>
              <w:snapToGrid w:val="0"/>
              <w:spacing w:line="0" w:lineRule="atLeast"/>
              <w:rPr>
                <w:rFonts w:ascii="宋体" w:hAnsi="宋体"/>
                <w:color w:val="auto"/>
                <w:sz w:val="24"/>
                <w:highlight w:val="none"/>
              </w:rPr>
            </w:pPr>
          </w:p>
        </w:tc>
        <w:tc>
          <w:tcPr>
            <w:tcW w:w="2657" w:type="dxa"/>
            <w:gridSpan w:val="2"/>
          </w:tcPr>
          <w:p>
            <w:pPr>
              <w:snapToGrid w:val="0"/>
              <w:spacing w:line="0" w:lineRule="atLeast"/>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87" w:type="dxa"/>
          </w:tcPr>
          <w:p>
            <w:pPr>
              <w:snapToGrid w:val="0"/>
              <w:spacing w:line="0" w:lineRule="atLeast"/>
              <w:rPr>
                <w:rFonts w:ascii="宋体" w:hAnsi="宋体"/>
                <w:color w:val="auto"/>
                <w:sz w:val="24"/>
                <w:highlight w:val="none"/>
              </w:rPr>
            </w:pPr>
          </w:p>
        </w:tc>
        <w:tc>
          <w:tcPr>
            <w:tcW w:w="3476" w:type="dxa"/>
            <w:gridSpan w:val="5"/>
          </w:tcPr>
          <w:p>
            <w:pPr>
              <w:snapToGrid w:val="0"/>
              <w:spacing w:line="0" w:lineRule="atLeast"/>
              <w:rPr>
                <w:rFonts w:ascii="宋体" w:hAnsi="宋体"/>
                <w:color w:val="auto"/>
                <w:sz w:val="24"/>
                <w:highlight w:val="none"/>
              </w:rPr>
            </w:pPr>
          </w:p>
        </w:tc>
        <w:tc>
          <w:tcPr>
            <w:tcW w:w="1607" w:type="dxa"/>
            <w:gridSpan w:val="2"/>
          </w:tcPr>
          <w:p>
            <w:pPr>
              <w:snapToGrid w:val="0"/>
              <w:spacing w:line="0" w:lineRule="atLeast"/>
              <w:rPr>
                <w:rFonts w:ascii="宋体" w:hAnsi="宋体"/>
                <w:color w:val="auto"/>
                <w:sz w:val="24"/>
                <w:highlight w:val="none"/>
              </w:rPr>
            </w:pPr>
          </w:p>
        </w:tc>
        <w:tc>
          <w:tcPr>
            <w:tcW w:w="2657" w:type="dxa"/>
            <w:gridSpan w:val="2"/>
          </w:tcPr>
          <w:p>
            <w:pPr>
              <w:snapToGrid w:val="0"/>
              <w:spacing w:line="0" w:lineRule="atLeast"/>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87" w:type="dxa"/>
          </w:tcPr>
          <w:p>
            <w:pPr>
              <w:snapToGrid w:val="0"/>
              <w:spacing w:line="0" w:lineRule="atLeast"/>
              <w:rPr>
                <w:rFonts w:ascii="宋体" w:hAnsi="宋体"/>
                <w:color w:val="auto"/>
                <w:sz w:val="24"/>
                <w:highlight w:val="none"/>
              </w:rPr>
            </w:pPr>
          </w:p>
        </w:tc>
        <w:tc>
          <w:tcPr>
            <w:tcW w:w="3476" w:type="dxa"/>
            <w:gridSpan w:val="5"/>
          </w:tcPr>
          <w:p>
            <w:pPr>
              <w:snapToGrid w:val="0"/>
              <w:spacing w:line="0" w:lineRule="atLeast"/>
              <w:rPr>
                <w:rFonts w:ascii="宋体" w:hAnsi="宋体"/>
                <w:color w:val="auto"/>
                <w:sz w:val="24"/>
                <w:highlight w:val="none"/>
              </w:rPr>
            </w:pPr>
          </w:p>
        </w:tc>
        <w:tc>
          <w:tcPr>
            <w:tcW w:w="1607" w:type="dxa"/>
            <w:gridSpan w:val="2"/>
          </w:tcPr>
          <w:p>
            <w:pPr>
              <w:snapToGrid w:val="0"/>
              <w:spacing w:line="0" w:lineRule="atLeast"/>
              <w:rPr>
                <w:rFonts w:ascii="宋体" w:hAnsi="宋体"/>
                <w:color w:val="auto"/>
                <w:sz w:val="24"/>
                <w:highlight w:val="none"/>
              </w:rPr>
            </w:pPr>
          </w:p>
        </w:tc>
        <w:tc>
          <w:tcPr>
            <w:tcW w:w="2657" w:type="dxa"/>
            <w:gridSpan w:val="2"/>
          </w:tcPr>
          <w:p>
            <w:pPr>
              <w:snapToGrid w:val="0"/>
              <w:spacing w:line="0" w:lineRule="atLeast"/>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87" w:type="dxa"/>
          </w:tcPr>
          <w:p>
            <w:pPr>
              <w:snapToGrid w:val="0"/>
              <w:spacing w:line="0" w:lineRule="atLeast"/>
              <w:rPr>
                <w:rFonts w:ascii="宋体" w:hAnsi="宋体"/>
                <w:color w:val="auto"/>
                <w:sz w:val="24"/>
                <w:highlight w:val="none"/>
              </w:rPr>
            </w:pPr>
          </w:p>
        </w:tc>
        <w:tc>
          <w:tcPr>
            <w:tcW w:w="3476" w:type="dxa"/>
            <w:gridSpan w:val="5"/>
          </w:tcPr>
          <w:p>
            <w:pPr>
              <w:snapToGrid w:val="0"/>
              <w:spacing w:line="0" w:lineRule="atLeast"/>
              <w:rPr>
                <w:rFonts w:ascii="宋体" w:hAnsi="宋体"/>
                <w:color w:val="auto"/>
                <w:sz w:val="24"/>
                <w:highlight w:val="none"/>
              </w:rPr>
            </w:pPr>
          </w:p>
        </w:tc>
        <w:tc>
          <w:tcPr>
            <w:tcW w:w="1607" w:type="dxa"/>
            <w:gridSpan w:val="2"/>
          </w:tcPr>
          <w:p>
            <w:pPr>
              <w:snapToGrid w:val="0"/>
              <w:spacing w:line="0" w:lineRule="atLeast"/>
              <w:rPr>
                <w:rFonts w:ascii="宋体" w:hAnsi="宋体"/>
                <w:color w:val="auto"/>
                <w:sz w:val="24"/>
                <w:highlight w:val="none"/>
              </w:rPr>
            </w:pPr>
          </w:p>
        </w:tc>
        <w:tc>
          <w:tcPr>
            <w:tcW w:w="2657" w:type="dxa"/>
            <w:gridSpan w:val="2"/>
          </w:tcPr>
          <w:p>
            <w:pPr>
              <w:snapToGrid w:val="0"/>
              <w:spacing w:line="0" w:lineRule="atLeast"/>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87" w:type="dxa"/>
          </w:tcPr>
          <w:p>
            <w:pPr>
              <w:snapToGrid w:val="0"/>
              <w:spacing w:line="0" w:lineRule="atLeast"/>
              <w:rPr>
                <w:rFonts w:ascii="宋体" w:hAnsi="宋体"/>
                <w:color w:val="auto"/>
                <w:sz w:val="24"/>
                <w:highlight w:val="none"/>
              </w:rPr>
            </w:pPr>
          </w:p>
        </w:tc>
        <w:tc>
          <w:tcPr>
            <w:tcW w:w="3476" w:type="dxa"/>
            <w:gridSpan w:val="5"/>
          </w:tcPr>
          <w:p>
            <w:pPr>
              <w:snapToGrid w:val="0"/>
              <w:spacing w:line="0" w:lineRule="atLeast"/>
              <w:rPr>
                <w:rFonts w:ascii="宋体" w:hAnsi="宋体"/>
                <w:color w:val="auto"/>
                <w:sz w:val="24"/>
                <w:highlight w:val="none"/>
              </w:rPr>
            </w:pPr>
          </w:p>
        </w:tc>
        <w:tc>
          <w:tcPr>
            <w:tcW w:w="1607" w:type="dxa"/>
            <w:gridSpan w:val="2"/>
          </w:tcPr>
          <w:p>
            <w:pPr>
              <w:snapToGrid w:val="0"/>
              <w:spacing w:line="0" w:lineRule="atLeast"/>
              <w:rPr>
                <w:rFonts w:ascii="宋体" w:hAnsi="宋体"/>
                <w:color w:val="auto"/>
                <w:sz w:val="24"/>
                <w:highlight w:val="none"/>
              </w:rPr>
            </w:pPr>
          </w:p>
        </w:tc>
        <w:tc>
          <w:tcPr>
            <w:tcW w:w="2657" w:type="dxa"/>
            <w:gridSpan w:val="2"/>
          </w:tcPr>
          <w:p>
            <w:pPr>
              <w:snapToGrid w:val="0"/>
              <w:spacing w:line="0" w:lineRule="atLeast"/>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87" w:type="dxa"/>
          </w:tcPr>
          <w:p>
            <w:pPr>
              <w:snapToGrid w:val="0"/>
              <w:spacing w:line="0" w:lineRule="atLeast"/>
              <w:rPr>
                <w:rFonts w:ascii="宋体" w:hAnsi="宋体"/>
                <w:color w:val="auto"/>
                <w:sz w:val="24"/>
                <w:highlight w:val="none"/>
              </w:rPr>
            </w:pPr>
          </w:p>
        </w:tc>
        <w:tc>
          <w:tcPr>
            <w:tcW w:w="3476" w:type="dxa"/>
            <w:gridSpan w:val="5"/>
          </w:tcPr>
          <w:p>
            <w:pPr>
              <w:snapToGrid w:val="0"/>
              <w:spacing w:line="0" w:lineRule="atLeast"/>
              <w:rPr>
                <w:rFonts w:ascii="宋体" w:hAnsi="宋体"/>
                <w:color w:val="auto"/>
                <w:sz w:val="24"/>
                <w:highlight w:val="none"/>
              </w:rPr>
            </w:pPr>
          </w:p>
        </w:tc>
        <w:tc>
          <w:tcPr>
            <w:tcW w:w="1607" w:type="dxa"/>
            <w:gridSpan w:val="2"/>
          </w:tcPr>
          <w:p>
            <w:pPr>
              <w:snapToGrid w:val="0"/>
              <w:spacing w:line="0" w:lineRule="atLeast"/>
              <w:rPr>
                <w:rFonts w:ascii="宋体" w:hAnsi="宋体"/>
                <w:color w:val="auto"/>
                <w:sz w:val="24"/>
                <w:highlight w:val="none"/>
              </w:rPr>
            </w:pPr>
          </w:p>
        </w:tc>
        <w:tc>
          <w:tcPr>
            <w:tcW w:w="2657" w:type="dxa"/>
            <w:gridSpan w:val="2"/>
          </w:tcPr>
          <w:p>
            <w:pPr>
              <w:snapToGrid w:val="0"/>
              <w:spacing w:line="0" w:lineRule="atLeast"/>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87" w:type="dxa"/>
          </w:tcPr>
          <w:p>
            <w:pPr>
              <w:snapToGrid w:val="0"/>
              <w:spacing w:line="0" w:lineRule="atLeast"/>
              <w:rPr>
                <w:rFonts w:ascii="宋体" w:hAnsi="宋体"/>
                <w:color w:val="auto"/>
                <w:sz w:val="24"/>
                <w:highlight w:val="none"/>
              </w:rPr>
            </w:pPr>
          </w:p>
        </w:tc>
        <w:tc>
          <w:tcPr>
            <w:tcW w:w="3476" w:type="dxa"/>
            <w:gridSpan w:val="5"/>
          </w:tcPr>
          <w:p>
            <w:pPr>
              <w:snapToGrid w:val="0"/>
              <w:spacing w:line="0" w:lineRule="atLeast"/>
              <w:rPr>
                <w:rFonts w:ascii="宋体" w:hAnsi="宋体"/>
                <w:color w:val="auto"/>
                <w:sz w:val="24"/>
                <w:highlight w:val="none"/>
              </w:rPr>
            </w:pPr>
          </w:p>
        </w:tc>
        <w:tc>
          <w:tcPr>
            <w:tcW w:w="1607" w:type="dxa"/>
            <w:gridSpan w:val="2"/>
          </w:tcPr>
          <w:p>
            <w:pPr>
              <w:snapToGrid w:val="0"/>
              <w:spacing w:line="0" w:lineRule="atLeast"/>
              <w:rPr>
                <w:rFonts w:ascii="宋体" w:hAnsi="宋体"/>
                <w:color w:val="auto"/>
                <w:sz w:val="24"/>
                <w:highlight w:val="none"/>
              </w:rPr>
            </w:pPr>
          </w:p>
        </w:tc>
        <w:tc>
          <w:tcPr>
            <w:tcW w:w="2657" w:type="dxa"/>
            <w:gridSpan w:val="2"/>
          </w:tcPr>
          <w:p>
            <w:pPr>
              <w:snapToGrid w:val="0"/>
              <w:spacing w:line="0" w:lineRule="atLeast"/>
              <w:rPr>
                <w:rFonts w:ascii="宋体" w:hAnsi="宋体"/>
                <w:color w:val="auto"/>
                <w:sz w:val="24"/>
                <w:highlight w:val="none"/>
              </w:rPr>
            </w:pPr>
          </w:p>
        </w:tc>
      </w:tr>
    </w:tbl>
    <w:p>
      <w:pPr>
        <w:widowControl/>
        <w:jc w:val="left"/>
        <w:rPr>
          <w:rFonts w:ascii="宋体" w:hAnsi="宋体"/>
          <w:color w:val="auto"/>
          <w:sz w:val="24"/>
          <w:highlight w:val="none"/>
        </w:rPr>
      </w:pPr>
    </w:p>
    <w:p>
      <w:pPr>
        <w:rPr>
          <w:rFonts w:ascii="宋体" w:hAnsi="宋体"/>
          <w:color w:val="auto"/>
          <w:sz w:val="24"/>
          <w:highlight w:val="none"/>
        </w:rPr>
      </w:pPr>
    </w:p>
    <w:p>
      <w:pPr>
        <w:pStyle w:val="5"/>
        <w:rPr>
          <w:color w:val="auto"/>
          <w:highlight w:val="none"/>
        </w:rPr>
      </w:pPr>
      <w:r>
        <w:rPr>
          <w:color w:val="auto"/>
          <w:sz w:val="24"/>
          <w:highlight w:val="none"/>
        </w:rPr>
        <w:br w:type="page"/>
      </w:r>
      <w:bookmarkStart w:id="200" w:name="_Toc11350"/>
      <w:r>
        <w:rPr>
          <w:rFonts w:hint="eastAsia"/>
          <w:color w:val="auto"/>
          <w:highlight w:val="none"/>
        </w:rPr>
        <w:t>九、拟投入本项目的主要检测</w:t>
      </w:r>
      <w:r>
        <w:rPr>
          <w:rFonts w:hint="eastAsia"/>
          <w:color w:val="auto"/>
          <w:highlight w:val="none"/>
          <w:lang w:val="en-US" w:eastAsia="zh-CN"/>
        </w:rPr>
        <w:t>监测</w:t>
      </w:r>
      <w:r>
        <w:rPr>
          <w:rFonts w:hint="eastAsia"/>
          <w:color w:val="auto"/>
          <w:highlight w:val="none"/>
        </w:rPr>
        <w:t>仪器设备一览表</w:t>
      </w:r>
      <w:bookmarkEnd w:id="200"/>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793"/>
        <w:gridCol w:w="900"/>
        <w:gridCol w:w="992"/>
        <w:gridCol w:w="1785"/>
        <w:gridCol w:w="1116"/>
        <w:gridCol w:w="1341"/>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636" w:type="dxa"/>
            <w:vMerge w:val="restart"/>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1793" w:type="dxa"/>
            <w:vMerge w:val="restart"/>
            <w:vAlign w:val="center"/>
          </w:tcPr>
          <w:p>
            <w:pPr>
              <w:jc w:val="center"/>
              <w:rPr>
                <w:rFonts w:ascii="宋体" w:hAnsi="宋体"/>
                <w:color w:val="auto"/>
                <w:szCs w:val="21"/>
                <w:highlight w:val="none"/>
              </w:rPr>
            </w:pPr>
            <w:r>
              <w:rPr>
                <w:rFonts w:hint="eastAsia" w:ascii="宋体" w:hAnsi="宋体"/>
                <w:color w:val="auto"/>
                <w:szCs w:val="21"/>
                <w:highlight w:val="none"/>
              </w:rPr>
              <w:t>设备名称</w:t>
            </w:r>
          </w:p>
        </w:tc>
        <w:tc>
          <w:tcPr>
            <w:tcW w:w="900" w:type="dxa"/>
            <w:vMerge w:val="restart"/>
            <w:vAlign w:val="center"/>
          </w:tcPr>
          <w:p>
            <w:pPr>
              <w:jc w:val="center"/>
              <w:rPr>
                <w:rFonts w:ascii="宋体" w:hAnsi="宋体"/>
                <w:color w:val="auto"/>
                <w:szCs w:val="21"/>
                <w:highlight w:val="none"/>
              </w:rPr>
            </w:pPr>
            <w:r>
              <w:rPr>
                <w:rFonts w:hint="eastAsia" w:ascii="宋体" w:hAnsi="宋体"/>
                <w:color w:val="auto"/>
                <w:szCs w:val="21"/>
                <w:highlight w:val="none"/>
              </w:rPr>
              <w:t>本项目</w:t>
            </w:r>
          </w:p>
          <w:p>
            <w:pPr>
              <w:jc w:val="center"/>
              <w:rPr>
                <w:rFonts w:ascii="宋体" w:hAnsi="宋体"/>
                <w:color w:val="auto"/>
                <w:szCs w:val="21"/>
                <w:highlight w:val="none"/>
              </w:rPr>
            </w:pPr>
            <w:r>
              <w:rPr>
                <w:rFonts w:hint="eastAsia" w:ascii="宋体" w:hAnsi="宋体"/>
                <w:color w:val="auto"/>
                <w:szCs w:val="21"/>
                <w:highlight w:val="none"/>
              </w:rPr>
              <w:t>数量基本要求</w:t>
            </w:r>
          </w:p>
        </w:tc>
        <w:tc>
          <w:tcPr>
            <w:tcW w:w="6314" w:type="dxa"/>
            <w:gridSpan w:val="5"/>
            <w:vAlign w:val="center"/>
          </w:tcPr>
          <w:p>
            <w:pPr>
              <w:jc w:val="center"/>
              <w:rPr>
                <w:rFonts w:ascii="宋体" w:hAnsi="宋体"/>
                <w:color w:val="auto"/>
                <w:szCs w:val="21"/>
                <w:highlight w:val="none"/>
              </w:rPr>
            </w:pPr>
            <w:r>
              <w:rPr>
                <w:rFonts w:hint="eastAsia" w:ascii="宋体" w:hAnsi="宋体"/>
                <w:color w:val="auto"/>
                <w:szCs w:val="21"/>
                <w:highlight w:val="none"/>
              </w:rPr>
              <w:t>投标人填写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36" w:type="dxa"/>
            <w:vMerge w:val="continue"/>
            <w:vAlign w:val="center"/>
          </w:tcPr>
          <w:p>
            <w:pPr>
              <w:jc w:val="center"/>
              <w:rPr>
                <w:rFonts w:ascii="宋体" w:hAnsi="宋体"/>
                <w:color w:val="auto"/>
                <w:szCs w:val="21"/>
                <w:highlight w:val="none"/>
              </w:rPr>
            </w:pPr>
          </w:p>
        </w:tc>
        <w:tc>
          <w:tcPr>
            <w:tcW w:w="1793" w:type="dxa"/>
            <w:vMerge w:val="continue"/>
            <w:vAlign w:val="center"/>
          </w:tcPr>
          <w:p>
            <w:pPr>
              <w:jc w:val="center"/>
              <w:rPr>
                <w:rFonts w:ascii="宋体" w:hAnsi="宋体"/>
                <w:color w:val="auto"/>
                <w:szCs w:val="21"/>
                <w:highlight w:val="none"/>
              </w:rPr>
            </w:pPr>
          </w:p>
        </w:tc>
        <w:tc>
          <w:tcPr>
            <w:tcW w:w="900" w:type="dxa"/>
            <w:vMerge w:val="continue"/>
            <w:vAlign w:val="center"/>
          </w:tcPr>
          <w:p>
            <w:pPr>
              <w:jc w:val="center"/>
              <w:rPr>
                <w:rFonts w:ascii="宋体" w:hAnsi="宋体"/>
                <w:color w:val="auto"/>
                <w:szCs w:val="21"/>
                <w:highlight w:val="none"/>
              </w:rPr>
            </w:pPr>
          </w:p>
        </w:tc>
        <w:tc>
          <w:tcPr>
            <w:tcW w:w="992" w:type="dxa"/>
            <w:vAlign w:val="center"/>
          </w:tcPr>
          <w:p>
            <w:pPr>
              <w:jc w:val="center"/>
              <w:rPr>
                <w:rFonts w:ascii="宋体" w:hAnsi="宋体"/>
                <w:color w:val="auto"/>
                <w:szCs w:val="21"/>
                <w:highlight w:val="none"/>
              </w:rPr>
            </w:pPr>
            <w:r>
              <w:rPr>
                <w:rFonts w:hint="eastAsia" w:ascii="宋体" w:hAnsi="宋体"/>
                <w:color w:val="auto"/>
                <w:szCs w:val="21"/>
                <w:highlight w:val="none"/>
              </w:rPr>
              <w:t>数量</w:t>
            </w:r>
          </w:p>
        </w:tc>
        <w:tc>
          <w:tcPr>
            <w:tcW w:w="1785" w:type="dxa"/>
            <w:vAlign w:val="center"/>
          </w:tcPr>
          <w:p>
            <w:pPr>
              <w:jc w:val="center"/>
              <w:rPr>
                <w:rFonts w:ascii="宋体" w:hAnsi="宋体"/>
                <w:color w:val="auto"/>
                <w:szCs w:val="21"/>
                <w:highlight w:val="none"/>
              </w:rPr>
            </w:pPr>
            <w:r>
              <w:rPr>
                <w:rFonts w:hint="eastAsia" w:ascii="宋体" w:hAnsi="宋体"/>
                <w:color w:val="auto"/>
                <w:szCs w:val="21"/>
                <w:highlight w:val="none"/>
              </w:rPr>
              <w:t>检定</w:t>
            </w:r>
            <w:r>
              <w:rPr>
                <w:rFonts w:ascii="宋体" w:hAnsi="宋体"/>
                <w:color w:val="auto"/>
                <w:szCs w:val="21"/>
                <w:highlight w:val="none"/>
              </w:rPr>
              <w:t>/</w:t>
            </w:r>
            <w:r>
              <w:rPr>
                <w:rFonts w:hint="eastAsia" w:ascii="宋体" w:hAnsi="宋体"/>
                <w:color w:val="auto"/>
                <w:szCs w:val="21"/>
                <w:highlight w:val="none"/>
              </w:rPr>
              <w:t>校准机构</w:t>
            </w:r>
          </w:p>
        </w:tc>
        <w:tc>
          <w:tcPr>
            <w:tcW w:w="1116" w:type="dxa"/>
            <w:vAlign w:val="center"/>
          </w:tcPr>
          <w:p>
            <w:pPr>
              <w:jc w:val="center"/>
              <w:rPr>
                <w:rFonts w:ascii="宋体" w:hAnsi="宋体"/>
                <w:color w:val="auto"/>
                <w:szCs w:val="21"/>
                <w:highlight w:val="none"/>
              </w:rPr>
            </w:pPr>
            <w:r>
              <w:rPr>
                <w:rFonts w:hint="eastAsia" w:ascii="宋体" w:hAnsi="宋体"/>
                <w:color w:val="auto"/>
                <w:szCs w:val="21"/>
                <w:highlight w:val="none"/>
              </w:rPr>
              <w:t>有效期</w:t>
            </w:r>
          </w:p>
        </w:tc>
        <w:tc>
          <w:tcPr>
            <w:tcW w:w="1341" w:type="dxa"/>
            <w:vAlign w:val="center"/>
          </w:tcPr>
          <w:p>
            <w:pPr>
              <w:jc w:val="center"/>
              <w:rPr>
                <w:rFonts w:ascii="宋体" w:hAnsi="宋体"/>
                <w:color w:val="auto"/>
                <w:szCs w:val="21"/>
                <w:highlight w:val="none"/>
              </w:rPr>
            </w:pPr>
            <w:r>
              <w:rPr>
                <w:rFonts w:hint="eastAsia" w:ascii="宋体" w:hAnsi="宋体"/>
                <w:color w:val="auto"/>
                <w:szCs w:val="21"/>
                <w:highlight w:val="none"/>
              </w:rPr>
              <w:t>检定</w:t>
            </w:r>
            <w:r>
              <w:rPr>
                <w:rFonts w:ascii="宋体" w:hAnsi="宋体"/>
                <w:color w:val="auto"/>
                <w:szCs w:val="21"/>
                <w:highlight w:val="none"/>
              </w:rPr>
              <w:t>/</w:t>
            </w:r>
            <w:r>
              <w:rPr>
                <w:rFonts w:hint="eastAsia" w:ascii="宋体" w:hAnsi="宋体"/>
                <w:color w:val="auto"/>
                <w:szCs w:val="21"/>
                <w:highlight w:val="none"/>
              </w:rPr>
              <w:t>校准周期</w:t>
            </w:r>
          </w:p>
        </w:tc>
        <w:tc>
          <w:tcPr>
            <w:tcW w:w="1080" w:type="dxa"/>
            <w:vAlign w:val="center"/>
          </w:tcPr>
          <w:p>
            <w:pPr>
              <w:jc w:val="center"/>
              <w:rPr>
                <w:rFonts w:ascii="宋体" w:hAnsi="宋体"/>
                <w:color w:val="auto"/>
                <w:szCs w:val="21"/>
                <w:highlight w:val="none"/>
              </w:rPr>
            </w:pPr>
            <w:r>
              <w:rPr>
                <w:rFonts w:hint="eastAsia" w:ascii="宋体" w:hAnsi="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vAlign w:val="center"/>
          </w:tcPr>
          <w:p>
            <w:pPr>
              <w:spacing w:line="240" w:lineRule="exact"/>
              <w:jc w:val="center"/>
              <w:rPr>
                <w:rFonts w:ascii="宋体" w:hAnsi="宋体"/>
                <w:color w:val="auto"/>
                <w:szCs w:val="21"/>
                <w:highlight w:val="none"/>
              </w:rPr>
            </w:pPr>
            <w:r>
              <w:rPr>
                <w:rFonts w:ascii="宋体" w:hAnsi="宋体"/>
                <w:color w:val="auto"/>
                <w:szCs w:val="21"/>
                <w:highlight w:val="none"/>
              </w:rPr>
              <w:t>1</w:t>
            </w:r>
          </w:p>
        </w:tc>
        <w:tc>
          <w:tcPr>
            <w:tcW w:w="1793" w:type="dxa"/>
            <w:vAlign w:val="center"/>
          </w:tcPr>
          <w:p>
            <w:pPr>
              <w:spacing w:line="240" w:lineRule="exact"/>
              <w:jc w:val="center"/>
              <w:rPr>
                <w:rFonts w:ascii="宋体" w:hAnsi="宋体"/>
                <w:color w:val="auto"/>
                <w:szCs w:val="21"/>
                <w:highlight w:val="none"/>
              </w:rPr>
            </w:pPr>
          </w:p>
        </w:tc>
        <w:tc>
          <w:tcPr>
            <w:tcW w:w="900" w:type="dxa"/>
            <w:vAlign w:val="center"/>
          </w:tcPr>
          <w:p>
            <w:pPr>
              <w:spacing w:line="240" w:lineRule="exact"/>
              <w:jc w:val="center"/>
              <w:rPr>
                <w:rFonts w:ascii="宋体" w:hAnsi="宋体"/>
                <w:color w:val="auto"/>
                <w:szCs w:val="21"/>
                <w:highlight w:val="none"/>
              </w:rPr>
            </w:pPr>
          </w:p>
        </w:tc>
        <w:tc>
          <w:tcPr>
            <w:tcW w:w="992" w:type="dxa"/>
            <w:vAlign w:val="center"/>
          </w:tcPr>
          <w:p>
            <w:pPr>
              <w:spacing w:line="240" w:lineRule="exact"/>
              <w:jc w:val="center"/>
              <w:rPr>
                <w:rFonts w:ascii="宋体" w:hAnsi="宋体"/>
                <w:color w:val="auto"/>
                <w:szCs w:val="21"/>
                <w:highlight w:val="none"/>
              </w:rPr>
            </w:pPr>
          </w:p>
        </w:tc>
        <w:tc>
          <w:tcPr>
            <w:tcW w:w="1785" w:type="dxa"/>
            <w:vAlign w:val="center"/>
          </w:tcPr>
          <w:p>
            <w:pPr>
              <w:spacing w:line="240" w:lineRule="exact"/>
              <w:jc w:val="center"/>
              <w:rPr>
                <w:rFonts w:ascii="宋体" w:hAnsi="宋体"/>
                <w:color w:val="auto"/>
                <w:szCs w:val="21"/>
                <w:highlight w:val="none"/>
              </w:rPr>
            </w:pPr>
          </w:p>
        </w:tc>
        <w:tc>
          <w:tcPr>
            <w:tcW w:w="1116" w:type="dxa"/>
            <w:vAlign w:val="center"/>
          </w:tcPr>
          <w:p>
            <w:pPr>
              <w:spacing w:line="240" w:lineRule="exact"/>
              <w:jc w:val="center"/>
              <w:rPr>
                <w:rFonts w:ascii="宋体" w:hAnsi="宋体"/>
                <w:color w:val="auto"/>
                <w:szCs w:val="21"/>
                <w:highlight w:val="none"/>
              </w:rPr>
            </w:pPr>
          </w:p>
        </w:tc>
        <w:tc>
          <w:tcPr>
            <w:tcW w:w="1341" w:type="dxa"/>
            <w:vAlign w:val="center"/>
          </w:tcPr>
          <w:p>
            <w:pPr>
              <w:spacing w:line="240" w:lineRule="exact"/>
              <w:jc w:val="center"/>
              <w:rPr>
                <w:rFonts w:ascii="宋体" w:hAnsi="宋体"/>
                <w:color w:val="auto"/>
                <w:szCs w:val="21"/>
                <w:highlight w:val="none"/>
              </w:rPr>
            </w:pPr>
          </w:p>
        </w:tc>
        <w:tc>
          <w:tcPr>
            <w:tcW w:w="1080" w:type="dxa"/>
            <w:vAlign w:val="center"/>
          </w:tcPr>
          <w:p>
            <w:pPr>
              <w:spacing w:line="2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vAlign w:val="center"/>
          </w:tcPr>
          <w:p>
            <w:pPr>
              <w:spacing w:line="240" w:lineRule="exact"/>
              <w:jc w:val="center"/>
              <w:rPr>
                <w:rFonts w:ascii="宋体" w:hAnsi="宋体"/>
                <w:color w:val="auto"/>
                <w:szCs w:val="21"/>
                <w:highlight w:val="none"/>
              </w:rPr>
            </w:pPr>
            <w:r>
              <w:rPr>
                <w:rFonts w:ascii="宋体" w:hAnsi="宋体"/>
                <w:color w:val="auto"/>
                <w:szCs w:val="21"/>
                <w:highlight w:val="none"/>
              </w:rPr>
              <w:t>2</w:t>
            </w:r>
          </w:p>
        </w:tc>
        <w:tc>
          <w:tcPr>
            <w:tcW w:w="1793" w:type="dxa"/>
            <w:vAlign w:val="center"/>
          </w:tcPr>
          <w:p>
            <w:pPr>
              <w:spacing w:line="240" w:lineRule="exact"/>
              <w:jc w:val="center"/>
              <w:rPr>
                <w:rFonts w:ascii="宋体" w:hAnsi="宋体"/>
                <w:color w:val="auto"/>
                <w:szCs w:val="21"/>
                <w:highlight w:val="none"/>
              </w:rPr>
            </w:pPr>
          </w:p>
        </w:tc>
        <w:tc>
          <w:tcPr>
            <w:tcW w:w="900" w:type="dxa"/>
            <w:vAlign w:val="center"/>
          </w:tcPr>
          <w:p>
            <w:pPr>
              <w:jc w:val="center"/>
              <w:rPr>
                <w:rFonts w:ascii="宋体" w:hAnsi="宋体"/>
                <w:color w:val="auto"/>
                <w:szCs w:val="21"/>
                <w:highlight w:val="none"/>
              </w:rPr>
            </w:pPr>
          </w:p>
        </w:tc>
        <w:tc>
          <w:tcPr>
            <w:tcW w:w="992" w:type="dxa"/>
            <w:vAlign w:val="center"/>
          </w:tcPr>
          <w:p>
            <w:pPr>
              <w:spacing w:line="240" w:lineRule="exact"/>
              <w:jc w:val="center"/>
              <w:rPr>
                <w:rFonts w:ascii="宋体" w:hAnsi="宋体"/>
                <w:color w:val="auto"/>
                <w:szCs w:val="21"/>
                <w:highlight w:val="none"/>
              </w:rPr>
            </w:pPr>
          </w:p>
        </w:tc>
        <w:tc>
          <w:tcPr>
            <w:tcW w:w="1785" w:type="dxa"/>
            <w:vAlign w:val="center"/>
          </w:tcPr>
          <w:p>
            <w:pPr>
              <w:spacing w:line="240" w:lineRule="exact"/>
              <w:jc w:val="center"/>
              <w:rPr>
                <w:rFonts w:ascii="宋体" w:hAnsi="宋体"/>
                <w:color w:val="auto"/>
                <w:szCs w:val="21"/>
                <w:highlight w:val="none"/>
              </w:rPr>
            </w:pPr>
          </w:p>
        </w:tc>
        <w:tc>
          <w:tcPr>
            <w:tcW w:w="1116" w:type="dxa"/>
            <w:vAlign w:val="center"/>
          </w:tcPr>
          <w:p>
            <w:pPr>
              <w:spacing w:line="240" w:lineRule="exact"/>
              <w:jc w:val="center"/>
              <w:rPr>
                <w:rFonts w:ascii="宋体" w:hAnsi="宋体"/>
                <w:color w:val="auto"/>
                <w:szCs w:val="21"/>
                <w:highlight w:val="none"/>
              </w:rPr>
            </w:pPr>
          </w:p>
        </w:tc>
        <w:tc>
          <w:tcPr>
            <w:tcW w:w="1341" w:type="dxa"/>
            <w:vAlign w:val="center"/>
          </w:tcPr>
          <w:p>
            <w:pPr>
              <w:spacing w:line="240" w:lineRule="exact"/>
              <w:jc w:val="center"/>
              <w:rPr>
                <w:rFonts w:ascii="宋体" w:hAnsi="宋体"/>
                <w:color w:val="auto"/>
                <w:szCs w:val="21"/>
                <w:highlight w:val="none"/>
              </w:rPr>
            </w:pPr>
          </w:p>
        </w:tc>
        <w:tc>
          <w:tcPr>
            <w:tcW w:w="1080" w:type="dxa"/>
            <w:vAlign w:val="center"/>
          </w:tcPr>
          <w:p>
            <w:pPr>
              <w:spacing w:line="240" w:lineRule="exact"/>
              <w:jc w:val="center"/>
              <w:rPr>
                <w:rFonts w:ascii="宋体" w:hAnsi="宋体"/>
                <w: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vAlign w:val="center"/>
          </w:tcPr>
          <w:p>
            <w:pPr>
              <w:spacing w:line="240" w:lineRule="exact"/>
              <w:jc w:val="center"/>
              <w:rPr>
                <w:rFonts w:ascii="宋体" w:hAnsi="宋体"/>
                <w:color w:val="auto"/>
                <w:szCs w:val="21"/>
                <w:highlight w:val="none"/>
              </w:rPr>
            </w:pPr>
            <w:r>
              <w:rPr>
                <w:rFonts w:ascii="宋体" w:hAnsi="宋体"/>
                <w:color w:val="auto"/>
                <w:szCs w:val="21"/>
                <w:highlight w:val="none"/>
              </w:rPr>
              <w:t>3</w:t>
            </w:r>
          </w:p>
        </w:tc>
        <w:tc>
          <w:tcPr>
            <w:tcW w:w="1793" w:type="dxa"/>
            <w:vAlign w:val="center"/>
          </w:tcPr>
          <w:p>
            <w:pPr>
              <w:spacing w:line="240" w:lineRule="exact"/>
              <w:jc w:val="center"/>
              <w:rPr>
                <w:rFonts w:ascii="宋体" w:hAnsi="宋体"/>
                <w:color w:val="auto"/>
                <w:szCs w:val="21"/>
                <w:highlight w:val="none"/>
              </w:rPr>
            </w:pPr>
          </w:p>
        </w:tc>
        <w:tc>
          <w:tcPr>
            <w:tcW w:w="900" w:type="dxa"/>
            <w:vAlign w:val="center"/>
          </w:tcPr>
          <w:p>
            <w:pPr>
              <w:jc w:val="center"/>
              <w:rPr>
                <w:rFonts w:ascii="宋体" w:hAnsi="宋体"/>
                <w:color w:val="auto"/>
                <w:szCs w:val="21"/>
                <w:highlight w:val="none"/>
              </w:rPr>
            </w:pPr>
          </w:p>
        </w:tc>
        <w:tc>
          <w:tcPr>
            <w:tcW w:w="992" w:type="dxa"/>
            <w:vAlign w:val="center"/>
          </w:tcPr>
          <w:p>
            <w:pPr>
              <w:spacing w:line="240" w:lineRule="exact"/>
              <w:jc w:val="center"/>
              <w:rPr>
                <w:rFonts w:ascii="宋体" w:hAnsi="宋体"/>
                <w:color w:val="auto"/>
                <w:szCs w:val="21"/>
                <w:highlight w:val="none"/>
              </w:rPr>
            </w:pPr>
          </w:p>
        </w:tc>
        <w:tc>
          <w:tcPr>
            <w:tcW w:w="1785" w:type="dxa"/>
            <w:vAlign w:val="center"/>
          </w:tcPr>
          <w:p>
            <w:pPr>
              <w:spacing w:line="240" w:lineRule="exact"/>
              <w:jc w:val="center"/>
              <w:rPr>
                <w:rFonts w:ascii="宋体" w:hAnsi="宋体"/>
                <w:color w:val="auto"/>
                <w:szCs w:val="21"/>
                <w:highlight w:val="none"/>
              </w:rPr>
            </w:pPr>
          </w:p>
        </w:tc>
        <w:tc>
          <w:tcPr>
            <w:tcW w:w="1116" w:type="dxa"/>
            <w:vAlign w:val="center"/>
          </w:tcPr>
          <w:p>
            <w:pPr>
              <w:spacing w:line="240" w:lineRule="exact"/>
              <w:jc w:val="center"/>
              <w:rPr>
                <w:rFonts w:ascii="宋体" w:hAnsi="宋体"/>
                <w:color w:val="auto"/>
                <w:szCs w:val="21"/>
                <w:highlight w:val="none"/>
              </w:rPr>
            </w:pPr>
          </w:p>
        </w:tc>
        <w:tc>
          <w:tcPr>
            <w:tcW w:w="1341" w:type="dxa"/>
            <w:vAlign w:val="center"/>
          </w:tcPr>
          <w:p>
            <w:pPr>
              <w:spacing w:line="240" w:lineRule="exact"/>
              <w:jc w:val="center"/>
              <w:rPr>
                <w:rFonts w:ascii="宋体" w:hAnsi="宋体"/>
                <w:color w:val="auto"/>
                <w:szCs w:val="21"/>
                <w:highlight w:val="none"/>
              </w:rPr>
            </w:pPr>
          </w:p>
        </w:tc>
        <w:tc>
          <w:tcPr>
            <w:tcW w:w="1080" w:type="dxa"/>
            <w:vAlign w:val="center"/>
          </w:tcPr>
          <w:p>
            <w:pPr>
              <w:spacing w:line="2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vAlign w:val="center"/>
          </w:tcPr>
          <w:p>
            <w:pPr>
              <w:spacing w:line="240" w:lineRule="exact"/>
              <w:jc w:val="center"/>
              <w:rPr>
                <w:rFonts w:ascii="宋体" w:hAnsi="宋体"/>
                <w:color w:val="auto"/>
                <w:szCs w:val="21"/>
                <w:highlight w:val="none"/>
              </w:rPr>
            </w:pPr>
            <w:r>
              <w:rPr>
                <w:rFonts w:ascii="宋体" w:hAnsi="宋体"/>
                <w:color w:val="auto"/>
                <w:szCs w:val="21"/>
                <w:highlight w:val="none"/>
              </w:rPr>
              <w:t>4</w:t>
            </w:r>
          </w:p>
        </w:tc>
        <w:tc>
          <w:tcPr>
            <w:tcW w:w="1793" w:type="dxa"/>
            <w:vAlign w:val="center"/>
          </w:tcPr>
          <w:p>
            <w:pPr>
              <w:spacing w:line="240" w:lineRule="exact"/>
              <w:jc w:val="center"/>
              <w:rPr>
                <w:rFonts w:ascii="宋体" w:hAnsi="宋体"/>
                <w:color w:val="auto"/>
                <w:szCs w:val="21"/>
                <w:highlight w:val="none"/>
              </w:rPr>
            </w:pPr>
          </w:p>
        </w:tc>
        <w:tc>
          <w:tcPr>
            <w:tcW w:w="900" w:type="dxa"/>
            <w:vAlign w:val="center"/>
          </w:tcPr>
          <w:p>
            <w:pPr>
              <w:jc w:val="center"/>
              <w:rPr>
                <w:rFonts w:ascii="宋体" w:hAnsi="宋体"/>
                <w:color w:val="auto"/>
                <w:szCs w:val="21"/>
                <w:highlight w:val="none"/>
              </w:rPr>
            </w:pPr>
          </w:p>
        </w:tc>
        <w:tc>
          <w:tcPr>
            <w:tcW w:w="992" w:type="dxa"/>
            <w:vAlign w:val="center"/>
          </w:tcPr>
          <w:p>
            <w:pPr>
              <w:spacing w:line="240" w:lineRule="exact"/>
              <w:jc w:val="center"/>
              <w:rPr>
                <w:rFonts w:ascii="宋体" w:hAnsi="宋体"/>
                <w:color w:val="auto"/>
                <w:szCs w:val="21"/>
                <w:highlight w:val="none"/>
              </w:rPr>
            </w:pPr>
          </w:p>
        </w:tc>
        <w:tc>
          <w:tcPr>
            <w:tcW w:w="1785" w:type="dxa"/>
            <w:vAlign w:val="center"/>
          </w:tcPr>
          <w:p>
            <w:pPr>
              <w:spacing w:line="240" w:lineRule="exact"/>
              <w:jc w:val="center"/>
              <w:rPr>
                <w:rFonts w:ascii="宋体" w:hAnsi="宋体"/>
                <w:color w:val="auto"/>
                <w:szCs w:val="21"/>
                <w:highlight w:val="none"/>
              </w:rPr>
            </w:pPr>
          </w:p>
        </w:tc>
        <w:tc>
          <w:tcPr>
            <w:tcW w:w="1116" w:type="dxa"/>
            <w:vAlign w:val="center"/>
          </w:tcPr>
          <w:p>
            <w:pPr>
              <w:spacing w:line="240" w:lineRule="exact"/>
              <w:jc w:val="center"/>
              <w:rPr>
                <w:rFonts w:ascii="宋体" w:hAnsi="宋体"/>
                <w:color w:val="auto"/>
                <w:szCs w:val="21"/>
                <w:highlight w:val="none"/>
              </w:rPr>
            </w:pPr>
          </w:p>
        </w:tc>
        <w:tc>
          <w:tcPr>
            <w:tcW w:w="1341" w:type="dxa"/>
            <w:vAlign w:val="center"/>
          </w:tcPr>
          <w:p>
            <w:pPr>
              <w:spacing w:line="240" w:lineRule="exact"/>
              <w:jc w:val="center"/>
              <w:rPr>
                <w:rFonts w:ascii="宋体" w:hAnsi="宋体"/>
                <w:color w:val="auto"/>
                <w:szCs w:val="21"/>
                <w:highlight w:val="none"/>
              </w:rPr>
            </w:pPr>
          </w:p>
        </w:tc>
        <w:tc>
          <w:tcPr>
            <w:tcW w:w="1080" w:type="dxa"/>
            <w:vAlign w:val="center"/>
          </w:tcPr>
          <w:p>
            <w:pPr>
              <w:spacing w:line="2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vAlign w:val="center"/>
          </w:tcPr>
          <w:p>
            <w:pPr>
              <w:spacing w:line="240" w:lineRule="exact"/>
              <w:jc w:val="center"/>
              <w:rPr>
                <w:rFonts w:ascii="宋体" w:hAnsi="宋体"/>
                <w:color w:val="auto"/>
                <w:szCs w:val="21"/>
                <w:highlight w:val="none"/>
              </w:rPr>
            </w:pPr>
            <w:r>
              <w:rPr>
                <w:rFonts w:ascii="宋体" w:hAnsi="宋体"/>
                <w:color w:val="auto"/>
                <w:szCs w:val="21"/>
                <w:highlight w:val="none"/>
              </w:rPr>
              <w:t>5</w:t>
            </w:r>
          </w:p>
        </w:tc>
        <w:tc>
          <w:tcPr>
            <w:tcW w:w="1793" w:type="dxa"/>
            <w:vAlign w:val="center"/>
          </w:tcPr>
          <w:p>
            <w:pPr>
              <w:spacing w:line="240" w:lineRule="exact"/>
              <w:jc w:val="center"/>
              <w:rPr>
                <w:rFonts w:ascii="宋体" w:hAnsi="宋体"/>
                <w:color w:val="auto"/>
                <w:szCs w:val="21"/>
                <w:highlight w:val="none"/>
              </w:rPr>
            </w:pPr>
          </w:p>
        </w:tc>
        <w:tc>
          <w:tcPr>
            <w:tcW w:w="900" w:type="dxa"/>
            <w:vAlign w:val="center"/>
          </w:tcPr>
          <w:p>
            <w:pPr>
              <w:jc w:val="center"/>
              <w:rPr>
                <w:rFonts w:ascii="宋体" w:hAnsi="宋体"/>
                <w:color w:val="auto"/>
                <w:szCs w:val="21"/>
                <w:highlight w:val="none"/>
              </w:rPr>
            </w:pPr>
          </w:p>
        </w:tc>
        <w:tc>
          <w:tcPr>
            <w:tcW w:w="992" w:type="dxa"/>
            <w:vAlign w:val="center"/>
          </w:tcPr>
          <w:p>
            <w:pPr>
              <w:spacing w:line="240" w:lineRule="exact"/>
              <w:jc w:val="center"/>
              <w:rPr>
                <w:rFonts w:ascii="宋体" w:hAnsi="宋体"/>
                <w:color w:val="auto"/>
                <w:szCs w:val="21"/>
                <w:highlight w:val="none"/>
              </w:rPr>
            </w:pPr>
          </w:p>
        </w:tc>
        <w:tc>
          <w:tcPr>
            <w:tcW w:w="1785" w:type="dxa"/>
            <w:vAlign w:val="center"/>
          </w:tcPr>
          <w:p>
            <w:pPr>
              <w:spacing w:line="240" w:lineRule="exact"/>
              <w:jc w:val="center"/>
              <w:rPr>
                <w:rFonts w:ascii="宋体" w:hAnsi="宋体"/>
                <w:color w:val="auto"/>
                <w:szCs w:val="21"/>
                <w:highlight w:val="none"/>
              </w:rPr>
            </w:pPr>
          </w:p>
        </w:tc>
        <w:tc>
          <w:tcPr>
            <w:tcW w:w="1116" w:type="dxa"/>
            <w:vAlign w:val="center"/>
          </w:tcPr>
          <w:p>
            <w:pPr>
              <w:spacing w:line="240" w:lineRule="exact"/>
              <w:jc w:val="center"/>
              <w:rPr>
                <w:rFonts w:ascii="宋体" w:hAnsi="宋体"/>
                <w:color w:val="auto"/>
                <w:szCs w:val="21"/>
                <w:highlight w:val="none"/>
              </w:rPr>
            </w:pPr>
          </w:p>
        </w:tc>
        <w:tc>
          <w:tcPr>
            <w:tcW w:w="1341" w:type="dxa"/>
            <w:vAlign w:val="center"/>
          </w:tcPr>
          <w:p>
            <w:pPr>
              <w:spacing w:line="240" w:lineRule="exact"/>
              <w:jc w:val="center"/>
              <w:rPr>
                <w:rFonts w:ascii="宋体" w:hAnsi="宋体"/>
                <w:color w:val="auto"/>
                <w:szCs w:val="21"/>
                <w:highlight w:val="none"/>
              </w:rPr>
            </w:pPr>
          </w:p>
        </w:tc>
        <w:tc>
          <w:tcPr>
            <w:tcW w:w="1080" w:type="dxa"/>
            <w:vAlign w:val="center"/>
          </w:tcPr>
          <w:p>
            <w:pPr>
              <w:spacing w:line="2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vAlign w:val="center"/>
          </w:tcPr>
          <w:p>
            <w:pPr>
              <w:spacing w:line="240" w:lineRule="exact"/>
              <w:jc w:val="center"/>
              <w:rPr>
                <w:rFonts w:ascii="宋体" w:hAnsi="宋体"/>
                <w:color w:val="auto"/>
                <w:szCs w:val="21"/>
                <w:highlight w:val="none"/>
              </w:rPr>
            </w:pPr>
            <w:r>
              <w:rPr>
                <w:rFonts w:ascii="宋体" w:hAnsi="宋体"/>
                <w:color w:val="auto"/>
                <w:szCs w:val="21"/>
                <w:highlight w:val="none"/>
              </w:rPr>
              <w:t>6</w:t>
            </w:r>
          </w:p>
        </w:tc>
        <w:tc>
          <w:tcPr>
            <w:tcW w:w="1793" w:type="dxa"/>
            <w:vAlign w:val="center"/>
          </w:tcPr>
          <w:p>
            <w:pPr>
              <w:spacing w:line="240" w:lineRule="exact"/>
              <w:jc w:val="center"/>
              <w:rPr>
                <w:rFonts w:ascii="宋体" w:hAnsi="宋体"/>
                <w:color w:val="auto"/>
                <w:szCs w:val="21"/>
                <w:highlight w:val="none"/>
              </w:rPr>
            </w:pPr>
          </w:p>
        </w:tc>
        <w:tc>
          <w:tcPr>
            <w:tcW w:w="900" w:type="dxa"/>
            <w:vAlign w:val="center"/>
          </w:tcPr>
          <w:p>
            <w:pPr>
              <w:jc w:val="center"/>
              <w:rPr>
                <w:rFonts w:ascii="宋体" w:hAnsi="宋体"/>
                <w:color w:val="auto"/>
                <w:szCs w:val="21"/>
                <w:highlight w:val="none"/>
              </w:rPr>
            </w:pPr>
          </w:p>
        </w:tc>
        <w:tc>
          <w:tcPr>
            <w:tcW w:w="992" w:type="dxa"/>
            <w:vAlign w:val="center"/>
          </w:tcPr>
          <w:p>
            <w:pPr>
              <w:spacing w:line="240" w:lineRule="exact"/>
              <w:jc w:val="center"/>
              <w:rPr>
                <w:rFonts w:ascii="宋体" w:hAnsi="宋体"/>
                <w:color w:val="auto"/>
                <w:szCs w:val="21"/>
                <w:highlight w:val="none"/>
              </w:rPr>
            </w:pPr>
          </w:p>
        </w:tc>
        <w:tc>
          <w:tcPr>
            <w:tcW w:w="1785" w:type="dxa"/>
            <w:vAlign w:val="center"/>
          </w:tcPr>
          <w:p>
            <w:pPr>
              <w:spacing w:line="240" w:lineRule="exact"/>
              <w:jc w:val="center"/>
              <w:rPr>
                <w:rFonts w:ascii="宋体" w:hAnsi="宋体"/>
                <w:color w:val="auto"/>
                <w:szCs w:val="21"/>
                <w:highlight w:val="none"/>
              </w:rPr>
            </w:pPr>
          </w:p>
        </w:tc>
        <w:tc>
          <w:tcPr>
            <w:tcW w:w="1116" w:type="dxa"/>
            <w:vAlign w:val="center"/>
          </w:tcPr>
          <w:p>
            <w:pPr>
              <w:spacing w:line="240" w:lineRule="exact"/>
              <w:jc w:val="center"/>
              <w:rPr>
                <w:rFonts w:ascii="宋体" w:hAnsi="宋体"/>
                <w:color w:val="auto"/>
                <w:szCs w:val="21"/>
                <w:highlight w:val="none"/>
              </w:rPr>
            </w:pPr>
          </w:p>
        </w:tc>
        <w:tc>
          <w:tcPr>
            <w:tcW w:w="1341" w:type="dxa"/>
            <w:vAlign w:val="center"/>
          </w:tcPr>
          <w:p>
            <w:pPr>
              <w:spacing w:line="240" w:lineRule="exact"/>
              <w:jc w:val="center"/>
              <w:rPr>
                <w:rFonts w:ascii="宋体" w:hAnsi="宋体"/>
                <w:color w:val="auto"/>
                <w:szCs w:val="21"/>
                <w:highlight w:val="none"/>
              </w:rPr>
            </w:pPr>
          </w:p>
        </w:tc>
        <w:tc>
          <w:tcPr>
            <w:tcW w:w="1080" w:type="dxa"/>
            <w:vAlign w:val="center"/>
          </w:tcPr>
          <w:p>
            <w:pPr>
              <w:spacing w:line="2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vAlign w:val="center"/>
          </w:tcPr>
          <w:p>
            <w:pPr>
              <w:spacing w:line="240" w:lineRule="exact"/>
              <w:jc w:val="center"/>
              <w:rPr>
                <w:rFonts w:ascii="宋体" w:hAnsi="宋体"/>
                <w:color w:val="auto"/>
                <w:szCs w:val="21"/>
                <w:highlight w:val="none"/>
              </w:rPr>
            </w:pPr>
            <w:r>
              <w:rPr>
                <w:rFonts w:ascii="宋体" w:hAnsi="宋体"/>
                <w:color w:val="auto"/>
                <w:szCs w:val="21"/>
                <w:highlight w:val="none"/>
              </w:rPr>
              <w:t>7</w:t>
            </w:r>
          </w:p>
        </w:tc>
        <w:tc>
          <w:tcPr>
            <w:tcW w:w="1793" w:type="dxa"/>
            <w:vAlign w:val="center"/>
          </w:tcPr>
          <w:p>
            <w:pPr>
              <w:spacing w:line="240" w:lineRule="exact"/>
              <w:jc w:val="center"/>
              <w:rPr>
                <w:rFonts w:ascii="宋体" w:hAnsi="宋体"/>
                <w:color w:val="auto"/>
                <w:szCs w:val="21"/>
                <w:highlight w:val="none"/>
              </w:rPr>
            </w:pPr>
          </w:p>
        </w:tc>
        <w:tc>
          <w:tcPr>
            <w:tcW w:w="900" w:type="dxa"/>
            <w:vAlign w:val="center"/>
          </w:tcPr>
          <w:p>
            <w:pPr>
              <w:jc w:val="center"/>
              <w:rPr>
                <w:rFonts w:ascii="宋体" w:hAnsi="宋体"/>
                <w:color w:val="auto"/>
                <w:szCs w:val="21"/>
                <w:highlight w:val="none"/>
              </w:rPr>
            </w:pPr>
          </w:p>
        </w:tc>
        <w:tc>
          <w:tcPr>
            <w:tcW w:w="992" w:type="dxa"/>
            <w:vAlign w:val="center"/>
          </w:tcPr>
          <w:p>
            <w:pPr>
              <w:spacing w:line="240" w:lineRule="exact"/>
              <w:jc w:val="center"/>
              <w:rPr>
                <w:rFonts w:ascii="宋体" w:hAnsi="宋体"/>
                <w:color w:val="auto"/>
                <w:szCs w:val="21"/>
                <w:highlight w:val="none"/>
              </w:rPr>
            </w:pPr>
          </w:p>
        </w:tc>
        <w:tc>
          <w:tcPr>
            <w:tcW w:w="1785" w:type="dxa"/>
            <w:vAlign w:val="center"/>
          </w:tcPr>
          <w:p>
            <w:pPr>
              <w:spacing w:line="240" w:lineRule="exact"/>
              <w:jc w:val="center"/>
              <w:rPr>
                <w:rFonts w:ascii="宋体" w:hAnsi="宋体"/>
                <w:color w:val="auto"/>
                <w:szCs w:val="21"/>
                <w:highlight w:val="none"/>
              </w:rPr>
            </w:pPr>
          </w:p>
        </w:tc>
        <w:tc>
          <w:tcPr>
            <w:tcW w:w="1116" w:type="dxa"/>
            <w:vAlign w:val="center"/>
          </w:tcPr>
          <w:p>
            <w:pPr>
              <w:spacing w:line="240" w:lineRule="exact"/>
              <w:jc w:val="center"/>
              <w:rPr>
                <w:rFonts w:ascii="宋体" w:hAnsi="宋体"/>
                <w:color w:val="auto"/>
                <w:szCs w:val="21"/>
                <w:highlight w:val="none"/>
              </w:rPr>
            </w:pPr>
          </w:p>
        </w:tc>
        <w:tc>
          <w:tcPr>
            <w:tcW w:w="1341" w:type="dxa"/>
            <w:vAlign w:val="center"/>
          </w:tcPr>
          <w:p>
            <w:pPr>
              <w:spacing w:line="240" w:lineRule="exact"/>
              <w:jc w:val="center"/>
              <w:rPr>
                <w:rFonts w:ascii="宋体" w:hAnsi="宋体"/>
                <w:color w:val="auto"/>
                <w:szCs w:val="21"/>
                <w:highlight w:val="none"/>
              </w:rPr>
            </w:pPr>
          </w:p>
        </w:tc>
        <w:tc>
          <w:tcPr>
            <w:tcW w:w="1080" w:type="dxa"/>
            <w:vAlign w:val="center"/>
          </w:tcPr>
          <w:p>
            <w:pPr>
              <w:spacing w:line="2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vAlign w:val="center"/>
          </w:tcPr>
          <w:p>
            <w:pPr>
              <w:spacing w:line="240" w:lineRule="exact"/>
              <w:jc w:val="center"/>
              <w:rPr>
                <w:rFonts w:ascii="宋体" w:hAnsi="宋体"/>
                <w:color w:val="auto"/>
                <w:szCs w:val="21"/>
                <w:highlight w:val="none"/>
              </w:rPr>
            </w:pPr>
            <w:r>
              <w:rPr>
                <w:rFonts w:ascii="宋体" w:hAnsi="宋体"/>
                <w:color w:val="auto"/>
                <w:szCs w:val="21"/>
                <w:highlight w:val="none"/>
              </w:rPr>
              <w:t>8</w:t>
            </w:r>
          </w:p>
        </w:tc>
        <w:tc>
          <w:tcPr>
            <w:tcW w:w="1793" w:type="dxa"/>
            <w:vAlign w:val="center"/>
          </w:tcPr>
          <w:p>
            <w:pPr>
              <w:spacing w:line="240" w:lineRule="exact"/>
              <w:jc w:val="center"/>
              <w:rPr>
                <w:rFonts w:ascii="宋体" w:hAnsi="宋体"/>
                <w:color w:val="auto"/>
                <w:szCs w:val="21"/>
                <w:highlight w:val="none"/>
              </w:rPr>
            </w:pPr>
          </w:p>
        </w:tc>
        <w:tc>
          <w:tcPr>
            <w:tcW w:w="900" w:type="dxa"/>
            <w:vAlign w:val="center"/>
          </w:tcPr>
          <w:p>
            <w:pPr>
              <w:jc w:val="center"/>
              <w:rPr>
                <w:rFonts w:ascii="宋体" w:hAnsi="宋体"/>
                <w:color w:val="auto"/>
                <w:szCs w:val="21"/>
                <w:highlight w:val="none"/>
              </w:rPr>
            </w:pPr>
          </w:p>
        </w:tc>
        <w:tc>
          <w:tcPr>
            <w:tcW w:w="992" w:type="dxa"/>
            <w:vAlign w:val="center"/>
          </w:tcPr>
          <w:p>
            <w:pPr>
              <w:spacing w:line="240" w:lineRule="exact"/>
              <w:jc w:val="center"/>
              <w:rPr>
                <w:rFonts w:ascii="宋体" w:hAnsi="宋体"/>
                <w:color w:val="auto"/>
                <w:szCs w:val="21"/>
                <w:highlight w:val="none"/>
              </w:rPr>
            </w:pPr>
          </w:p>
        </w:tc>
        <w:tc>
          <w:tcPr>
            <w:tcW w:w="1785" w:type="dxa"/>
            <w:vAlign w:val="center"/>
          </w:tcPr>
          <w:p>
            <w:pPr>
              <w:spacing w:line="240" w:lineRule="exact"/>
              <w:jc w:val="center"/>
              <w:rPr>
                <w:rFonts w:ascii="宋体" w:hAnsi="宋体"/>
                <w:color w:val="auto"/>
                <w:szCs w:val="21"/>
                <w:highlight w:val="none"/>
              </w:rPr>
            </w:pPr>
          </w:p>
        </w:tc>
        <w:tc>
          <w:tcPr>
            <w:tcW w:w="1116" w:type="dxa"/>
            <w:vAlign w:val="center"/>
          </w:tcPr>
          <w:p>
            <w:pPr>
              <w:spacing w:line="240" w:lineRule="exact"/>
              <w:jc w:val="center"/>
              <w:rPr>
                <w:rFonts w:ascii="宋体" w:hAnsi="宋体"/>
                <w:color w:val="auto"/>
                <w:szCs w:val="21"/>
                <w:highlight w:val="none"/>
              </w:rPr>
            </w:pPr>
          </w:p>
        </w:tc>
        <w:tc>
          <w:tcPr>
            <w:tcW w:w="1341" w:type="dxa"/>
            <w:vAlign w:val="center"/>
          </w:tcPr>
          <w:p>
            <w:pPr>
              <w:spacing w:line="240" w:lineRule="exact"/>
              <w:jc w:val="center"/>
              <w:rPr>
                <w:rFonts w:ascii="宋体" w:hAnsi="宋体"/>
                <w:color w:val="auto"/>
                <w:szCs w:val="21"/>
                <w:highlight w:val="none"/>
              </w:rPr>
            </w:pPr>
          </w:p>
        </w:tc>
        <w:tc>
          <w:tcPr>
            <w:tcW w:w="1080" w:type="dxa"/>
            <w:vAlign w:val="center"/>
          </w:tcPr>
          <w:p>
            <w:pPr>
              <w:spacing w:line="2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vAlign w:val="center"/>
          </w:tcPr>
          <w:p>
            <w:pPr>
              <w:spacing w:line="240" w:lineRule="exact"/>
              <w:jc w:val="center"/>
              <w:rPr>
                <w:rFonts w:ascii="宋体" w:hAnsi="宋体"/>
                <w:color w:val="auto"/>
                <w:szCs w:val="21"/>
                <w:highlight w:val="none"/>
              </w:rPr>
            </w:pPr>
            <w:r>
              <w:rPr>
                <w:rFonts w:ascii="宋体" w:hAnsi="宋体"/>
                <w:color w:val="auto"/>
                <w:szCs w:val="21"/>
                <w:highlight w:val="none"/>
              </w:rPr>
              <w:t>9</w:t>
            </w:r>
          </w:p>
        </w:tc>
        <w:tc>
          <w:tcPr>
            <w:tcW w:w="1793" w:type="dxa"/>
            <w:vAlign w:val="center"/>
          </w:tcPr>
          <w:p>
            <w:pPr>
              <w:spacing w:line="240" w:lineRule="exact"/>
              <w:jc w:val="center"/>
              <w:rPr>
                <w:rFonts w:ascii="宋体" w:hAnsi="宋体"/>
                <w:color w:val="auto"/>
                <w:szCs w:val="21"/>
                <w:highlight w:val="none"/>
              </w:rPr>
            </w:pPr>
          </w:p>
        </w:tc>
        <w:tc>
          <w:tcPr>
            <w:tcW w:w="900" w:type="dxa"/>
            <w:vAlign w:val="center"/>
          </w:tcPr>
          <w:p>
            <w:pPr>
              <w:jc w:val="center"/>
              <w:rPr>
                <w:rFonts w:ascii="宋体" w:hAnsi="宋体"/>
                <w:color w:val="auto"/>
                <w:szCs w:val="21"/>
                <w:highlight w:val="none"/>
              </w:rPr>
            </w:pPr>
          </w:p>
        </w:tc>
        <w:tc>
          <w:tcPr>
            <w:tcW w:w="992" w:type="dxa"/>
            <w:vAlign w:val="center"/>
          </w:tcPr>
          <w:p>
            <w:pPr>
              <w:spacing w:line="240" w:lineRule="exact"/>
              <w:jc w:val="center"/>
              <w:rPr>
                <w:rFonts w:ascii="宋体" w:hAnsi="宋体"/>
                <w:color w:val="auto"/>
                <w:szCs w:val="21"/>
                <w:highlight w:val="none"/>
              </w:rPr>
            </w:pPr>
          </w:p>
        </w:tc>
        <w:tc>
          <w:tcPr>
            <w:tcW w:w="1785" w:type="dxa"/>
            <w:vAlign w:val="center"/>
          </w:tcPr>
          <w:p>
            <w:pPr>
              <w:spacing w:line="240" w:lineRule="exact"/>
              <w:jc w:val="center"/>
              <w:rPr>
                <w:rFonts w:ascii="宋体" w:hAnsi="宋体"/>
                <w:color w:val="auto"/>
                <w:szCs w:val="21"/>
                <w:highlight w:val="none"/>
              </w:rPr>
            </w:pPr>
          </w:p>
        </w:tc>
        <w:tc>
          <w:tcPr>
            <w:tcW w:w="1116" w:type="dxa"/>
            <w:vAlign w:val="center"/>
          </w:tcPr>
          <w:p>
            <w:pPr>
              <w:spacing w:line="240" w:lineRule="exact"/>
              <w:jc w:val="center"/>
              <w:rPr>
                <w:rFonts w:ascii="宋体" w:hAnsi="宋体"/>
                <w:color w:val="auto"/>
                <w:szCs w:val="21"/>
                <w:highlight w:val="none"/>
              </w:rPr>
            </w:pPr>
          </w:p>
        </w:tc>
        <w:tc>
          <w:tcPr>
            <w:tcW w:w="1341" w:type="dxa"/>
            <w:vAlign w:val="center"/>
          </w:tcPr>
          <w:p>
            <w:pPr>
              <w:spacing w:line="240" w:lineRule="exact"/>
              <w:jc w:val="center"/>
              <w:rPr>
                <w:rFonts w:ascii="宋体" w:hAnsi="宋体"/>
                <w:color w:val="auto"/>
                <w:szCs w:val="21"/>
                <w:highlight w:val="none"/>
              </w:rPr>
            </w:pPr>
          </w:p>
        </w:tc>
        <w:tc>
          <w:tcPr>
            <w:tcW w:w="1080" w:type="dxa"/>
            <w:vAlign w:val="center"/>
          </w:tcPr>
          <w:p>
            <w:pPr>
              <w:spacing w:line="2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vAlign w:val="center"/>
          </w:tcPr>
          <w:p>
            <w:pPr>
              <w:spacing w:line="240" w:lineRule="exact"/>
              <w:jc w:val="center"/>
              <w:rPr>
                <w:rFonts w:ascii="宋体" w:hAnsi="宋体"/>
                <w:color w:val="auto"/>
                <w:szCs w:val="21"/>
                <w:highlight w:val="none"/>
              </w:rPr>
            </w:pPr>
            <w:r>
              <w:rPr>
                <w:rFonts w:ascii="宋体" w:hAnsi="宋体"/>
                <w:color w:val="auto"/>
                <w:szCs w:val="21"/>
                <w:highlight w:val="none"/>
              </w:rPr>
              <w:t>10</w:t>
            </w:r>
          </w:p>
        </w:tc>
        <w:tc>
          <w:tcPr>
            <w:tcW w:w="1793" w:type="dxa"/>
            <w:vAlign w:val="center"/>
          </w:tcPr>
          <w:p>
            <w:pPr>
              <w:spacing w:line="240" w:lineRule="exact"/>
              <w:jc w:val="center"/>
              <w:rPr>
                <w:rFonts w:ascii="宋体" w:hAnsi="宋体"/>
                <w:color w:val="auto"/>
                <w:szCs w:val="21"/>
                <w:highlight w:val="none"/>
              </w:rPr>
            </w:pPr>
          </w:p>
        </w:tc>
        <w:tc>
          <w:tcPr>
            <w:tcW w:w="900" w:type="dxa"/>
            <w:vAlign w:val="center"/>
          </w:tcPr>
          <w:p>
            <w:pPr>
              <w:jc w:val="center"/>
              <w:rPr>
                <w:rFonts w:ascii="宋体" w:hAnsi="宋体"/>
                <w:color w:val="auto"/>
                <w:szCs w:val="21"/>
                <w:highlight w:val="none"/>
              </w:rPr>
            </w:pPr>
          </w:p>
        </w:tc>
        <w:tc>
          <w:tcPr>
            <w:tcW w:w="992" w:type="dxa"/>
            <w:vAlign w:val="center"/>
          </w:tcPr>
          <w:p>
            <w:pPr>
              <w:spacing w:line="240" w:lineRule="exact"/>
              <w:jc w:val="center"/>
              <w:rPr>
                <w:rFonts w:ascii="宋体" w:hAnsi="宋体"/>
                <w:color w:val="auto"/>
                <w:szCs w:val="21"/>
                <w:highlight w:val="none"/>
              </w:rPr>
            </w:pPr>
          </w:p>
        </w:tc>
        <w:tc>
          <w:tcPr>
            <w:tcW w:w="1785" w:type="dxa"/>
            <w:vAlign w:val="center"/>
          </w:tcPr>
          <w:p>
            <w:pPr>
              <w:spacing w:line="240" w:lineRule="exact"/>
              <w:jc w:val="center"/>
              <w:rPr>
                <w:rFonts w:ascii="宋体" w:hAnsi="宋体"/>
                <w:color w:val="auto"/>
                <w:szCs w:val="21"/>
                <w:highlight w:val="none"/>
              </w:rPr>
            </w:pPr>
          </w:p>
        </w:tc>
        <w:tc>
          <w:tcPr>
            <w:tcW w:w="1116" w:type="dxa"/>
            <w:vAlign w:val="center"/>
          </w:tcPr>
          <w:p>
            <w:pPr>
              <w:spacing w:line="240" w:lineRule="exact"/>
              <w:jc w:val="center"/>
              <w:rPr>
                <w:rFonts w:ascii="宋体" w:hAnsi="宋体"/>
                <w:color w:val="auto"/>
                <w:szCs w:val="21"/>
                <w:highlight w:val="none"/>
              </w:rPr>
            </w:pPr>
          </w:p>
        </w:tc>
        <w:tc>
          <w:tcPr>
            <w:tcW w:w="1341" w:type="dxa"/>
            <w:vAlign w:val="center"/>
          </w:tcPr>
          <w:p>
            <w:pPr>
              <w:spacing w:line="240" w:lineRule="exact"/>
              <w:jc w:val="center"/>
              <w:rPr>
                <w:rFonts w:ascii="宋体" w:hAnsi="宋体"/>
                <w:color w:val="auto"/>
                <w:szCs w:val="21"/>
                <w:highlight w:val="none"/>
              </w:rPr>
            </w:pPr>
          </w:p>
        </w:tc>
        <w:tc>
          <w:tcPr>
            <w:tcW w:w="1080" w:type="dxa"/>
            <w:vAlign w:val="center"/>
          </w:tcPr>
          <w:p>
            <w:pPr>
              <w:spacing w:line="240" w:lineRule="exact"/>
              <w:jc w:val="center"/>
              <w:rPr>
                <w:rFonts w:ascii="宋体" w:hAnsi="宋体"/>
                <w:color w:val="auto"/>
                <w:szCs w:val="21"/>
                <w:highlight w:val="none"/>
              </w:rPr>
            </w:pPr>
          </w:p>
        </w:tc>
      </w:tr>
    </w:tbl>
    <w:p>
      <w:pPr>
        <w:snapToGrid w:val="0"/>
        <w:spacing w:line="360" w:lineRule="auto"/>
        <w:ind w:right="-97" w:rightChars="-46"/>
        <w:rPr>
          <w:rFonts w:ascii="宋体" w:hAnsi="宋体"/>
          <w:color w:val="auto"/>
          <w:sz w:val="24"/>
          <w:highlight w:val="none"/>
        </w:rPr>
      </w:pPr>
    </w:p>
    <w:p>
      <w:pPr>
        <w:pStyle w:val="5"/>
        <w:rPr>
          <w:color w:val="auto"/>
          <w:highlight w:val="none"/>
        </w:rPr>
      </w:pPr>
      <w:r>
        <w:rPr>
          <w:color w:val="auto"/>
          <w:highlight w:val="none"/>
        </w:rPr>
        <w:br w:type="page"/>
      </w:r>
      <w:bookmarkStart w:id="201" w:name="_Toc20161"/>
      <w:bookmarkStart w:id="202" w:name="_Toc528170367"/>
      <w:bookmarkStart w:id="203" w:name="_Toc532390645"/>
      <w:bookmarkStart w:id="204" w:name="_Toc533334237"/>
      <w:bookmarkStart w:id="205" w:name="_Toc9171"/>
      <w:r>
        <w:rPr>
          <w:rFonts w:hint="eastAsia"/>
          <w:color w:val="auto"/>
          <w:highlight w:val="none"/>
        </w:rPr>
        <w:t>十、</w:t>
      </w:r>
      <w:bookmarkEnd w:id="201"/>
      <w:bookmarkEnd w:id="202"/>
      <w:bookmarkEnd w:id="203"/>
      <w:bookmarkEnd w:id="204"/>
      <w:r>
        <w:rPr>
          <w:rFonts w:hint="eastAsia"/>
          <w:color w:val="auto"/>
          <w:highlight w:val="none"/>
        </w:rPr>
        <w:t>检测</w:t>
      </w:r>
      <w:r>
        <w:rPr>
          <w:rFonts w:hint="eastAsia"/>
          <w:color w:val="auto"/>
          <w:highlight w:val="none"/>
          <w:lang w:val="en-US" w:eastAsia="zh-CN"/>
        </w:rPr>
        <w:t>监测</w:t>
      </w:r>
      <w:r>
        <w:rPr>
          <w:rFonts w:hint="eastAsia"/>
          <w:color w:val="auto"/>
          <w:highlight w:val="none"/>
        </w:rPr>
        <w:t>方案</w:t>
      </w:r>
      <w:bookmarkEnd w:id="205"/>
    </w:p>
    <w:p>
      <w:pPr>
        <w:pStyle w:val="5"/>
        <w:rPr>
          <w:color w:val="auto"/>
          <w:highlight w:val="none"/>
        </w:rPr>
      </w:pPr>
      <w:bookmarkStart w:id="206" w:name="_Toc30307"/>
      <w:bookmarkStart w:id="207" w:name="_Toc533334238"/>
      <w:r>
        <w:rPr>
          <w:rFonts w:hint="eastAsia"/>
          <w:b w:val="0"/>
          <w:bCs/>
          <w:color w:val="auto"/>
          <w:highlight w:val="none"/>
          <w:lang w:val="en-US" w:eastAsia="zh-CN"/>
        </w:rPr>
        <w:t>格式自定。</w:t>
      </w:r>
      <w:r>
        <w:rPr>
          <w:color w:val="auto"/>
          <w:highlight w:val="none"/>
        </w:rPr>
        <w:br w:type="page"/>
      </w:r>
      <w:r>
        <w:rPr>
          <w:rFonts w:hint="eastAsia"/>
          <w:color w:val="auto"/>
          <w:highlight w:val="none"/>
        </w:rPr>
        <w:t>十一、其他资料</w:t>
      </w:r>
      <w:bookmarkEnd w:id="206"/>
      <w:bookmarkEnd w:id="207"/>
    </w:p>
    <w:p>
      <w:pPr>
        <w:spacing w:line="360" w:lineRule="auto"/>
        <w:ind w:firstLine="480" w:firstLineChars="200"/>
        <w:jc w:val="left"/>
        <w:rPr>
          <w:rFonts w:ascii="宋体" w:hAnsi="宋体"/>
          <w:color w:val="auto"/>
          <w:sz w:val="24"/>
          <w:szCs w:val="24"/>
          <w:highlight w:val="none"/>
        </w:rPr>
      </w:pPr>
      <w:r>
        <w:rPr>
          <w:rFonts w:hint="eastAsia" w:ascii="宋体" w:hAnsi="宋体"/>
          <w:color w:val="auto"/>
          <w:sz w:val="24"/>
          <w:highlight w:val="none"/>
        </w:rPr>
        <w:t>投标人须知前附表规定的其他资料，</w:t>
      </w:r>
      <w:r>
        <w:rPr>
          <w:rFonts w:hint="eastAsia" w:ascii="宋体" w:hAnsi="宋体"/>
          <w:color w:val="auto"/>
          <w:sz w:val="24"/>
          <w:szCs w:val="24"/>
          <w:highlight w:val="none"/>
        </w:rPr>
        <w:t>投标人认为有必要提交的其他资料，格式自定。</w:t>
      </w:r>
    </w:p>
    <w:p>
      <w:pPr>
        <w:snapToGrid w:val="0"/>
        <w:spacing w:line="360" w:lineRule="auto"/>
        <w:ind w:right="-97" w:rightChars="-46"/>
        <w:rPr>
          <w:rFonts w:ascii="宋体" w:hAnsi="宋体"/>
          <w:color w:val="auto"/>
          <w:sz w:val="24"/>
          <w:szCs w:val="18"/>
          <w:highlight w:val="none"/>
        </w:rPr>
      </w:pPr>
    </w:p>
    <w:p>
      <w:pPr>
        <w:rPr>
          <w:color w:val="auto"/>
          <w:highlight w:val="none"/>
        </w:rPr>
      </w:pPr>
    </w:p>
    <w:p>
      <w:pPr>
        <w:rPr>
          <w:color w:val="auto"/>
          <w:highlight w:val="none"/>
        </w:rPr>
      </w:pPr>
    </w:p>
    <w:p>
      <w:pPr>
        <w:pStyle w:val="4"/>
        <w:rPr>
          <w:color w:val="auto"/>
          <w:highlight w:val="none"/>
        </w:rPr>
      </w:pPr>
    </w:p>
    <w:p>
      <w:pPr>
        <w:rPr>
          <w:color w:val="auto"/>
          <w:highlight w:val="none"/>
        </w:rPr>
      </w:pPr>
    </w:p>
    <w:p>
      <w:pPr>
        <w:pStyle w:val="4"/>
        <w:rPr>
          <w:color w:val="auto"/>
          <w:highlight w:val="none"/>
        </w:rPr>
      </w:pPr>
    </w:p>
    <w:p>
      <w:pPr>
        <w:rPr>
          <w:color w:val="auto"/>
          <w:highlight w:val="none"/>
        </w:rPr>
      </w:pPr>
    </w:p>
    <w:p>
      <w:pPr>
        <w:pStyle w:val="4"/>
        <w:rPr>
          <w:color w:val="auto"/>
          <w:highlight w:val="none"/>
        </w:rPr>
      </w:pPr>
    </w:p>
    <w:p>
      <w:pPr>
        <w:rPr>
          <w:color w:val="auto"/>
          <w:highlight w:val="none"/>
        </w:rPr>
      </w:pPr>
    </w:p>
    <w:p>
      <w:pPr>
        <w:pStyle w:val="4"/>
        <w:rPr>
          <w:color w:val="auto"/>
          <w:highlight w:val="none"/>
        </w:rPr>
      </w:pPr>
    </w:p>
    <w:p>
      <w:pPr>
        <w:rPr>
          <w:color w:val="auto"/>
          <w:highlight w:val="none"/>
        </w:rPr>
      </w:pPr>
    </w:p>
    <w:p>
      <w:pPr>
        <w:pStyle w:val="4"/>
        <w:rPr>
          <w:color w:val="auto"/>
          <w:highlight w:val="none"/>
        </w:rPr>
      </w:pPr>
    </w:p>
    <w:p>
      <w:pPr>
        <w:rPr>
          <w:color w:val="auto"/>
          <w:highlight w:val="none"/>
        </w:rPr>
      </w:pPr>
    </w:p>
    <w:p>
      <w:pPr>
        <w:pStyle w:val="4"/>
        <w:rPr>
          <w:color w:val="auto"/>
          <w:highlight w:val="none"/>
        </w:rPr>
      </w:pPr>
    </w:p>
    <w:p>
      <w:pPr>
        <w:rPr>
          <w:color w:val="auto"/>
          <w:highlight w:val="none"/>
        </w:rPr>
      </w:pPr>
    </w:p>
    <w:p>
      <w:pPr>
        <w:pStyle w:val="4"/>
        <w:rPr>
          <w:color w:val="auto"/>
          <w:highlight w:val="none"/>
        </w:rPr>
      </w:pPr>
    </w:p>
    <w:p>
      <w:pPr>
        <w:rPr>
          <w:color w:val="auto"/>
          <w:highlight w:val="none"/>
        </w:rPr>
      </w:pPr>
    </w:p>
    <w:p>
      <w:pPr>
        <w:pStyle w:val="4"/>
        <w:rPr>
          <w:color w:val="auto"/>
          <w:highlight w:val="none"/>
        </w:rPr>
      </w:pPr>
    </w:p>
    <w:p>
      <w:pPr>
        <w:rPr>
          <w:color w:val="auto"/>
          <w:highlight w:val="none"/>
        </w:rPr>
      </w:pPr>
    </w:p>
    <w:p>
      <w:pPr>
        <w:pStyle w:val="4"/>
        <w:rPr>
          <w:color w:val="auto"/>
          <w:highlight w:val="none"/>
        </w:rPr>
      </w:pPr>
    </w:p>
    <w:p>
      <w:pPr>
        <w:rPr>
          <w:color w:val="auto"/>
          <w:highlight w:val="none"/>
        </w:rPr>
      </w:pPr>
    </w:p>
    <w:p>
      <w:pPr>
        <w:pStyle w:val="4"/>
        <w:rPr>
          <w:color w:val="auto"/>
          <w:highlight w:val="none"/>
        </w:rPr>
      </w:pPr>
    </w:p>
    <w:p>
      <w:pPr>
        <w:rPr>
          <w:color w:val="auto"/>
          <w:highlight w:val="none"/>
        </w:rPr>
      </w:pPr>
    </w:p>
    <w:p>
      <w:pPr>
        <w:pStyle w:val="4"/>
        <w:rPr>
          <w:color w:val="auto"/>
          <w:highlight w:val="none"/>
        </w:rPr>
      </w:pPr>
    </w:p>
    <w:p>
      <w:pPr>
        <w:rPr>
          <w:color w:val="auto"/>
          <w:highlight w:val="none"/>
        </w:rPr>
      </w:pPr>
    </w:p>
    <w:p>
      <w:pPr>
        <w:pStyle w:val="4"/>
        <w:rPr>
          <w:color w:val="auto"/>
          <w:highlight w:val="none"/>
        </w:rPr>
      </w:pPr>
    </w:p>
    <w:p>
      <w:pPr>
        <w:rPr>
          <w:color w:val="auto"/>
          <w:highlight w:val="none"/>
        </w:rPr>
      </w:pPr>
    </w:p>
    <w:p>
      <w:pPr>
        <w:pStyle w:val="4"/>
        <w:rPr>
          <w:color w:val="auto"/>
          <w:highlight w:val="none"/>
        </w:rPr>
      </w:pPr>
    </w:p>
    <w:p>
      <w:pPr>
        <w:rPr>
          <w:color w:val="auto"/>
          <w:highlight w:val="none"/>
        </w:rPr>
      </w:pPr>
    </w:p>
    <w:p>
      <w:pPr>
        <w:rPr>
          <w:color w:val="auto"/>
          <w:highlight w:val="none"/>
        </w:rPr>
      </w:pPr>
    </w:p>
    <w:p>
      <w:pPr>
        <w:pStyle w:val="4"/>
        <w:rPr>
          <w:color w:val="auto"/>
          <w:highlight w:val="none"/>
        </w:rPr>
      </w:pPr>
    </w:p>
    <w:p>
      <w:pPr>
        <w:pStyle w:val="3"/>
        <w:keepNext w:val="0"/>
        <w:keepLines w:val="0"/>
        <w:adjustRightInd w:val="0"/>
        <w:snapToGrid w:val="0"/>
        <w:spacing w:before="0" w:after="0" w:line="360" w:lineRule="auto"/>
        <w:jc w:val="center"/>
        <w:rPr>
          <w:color w:val="auto"/>
          <w:highlight w:val="none"/>
        </w:rPr>
      </w:pPr>
      <w:bookmarkStart w:id="208" w:name="_Toc2184"/>
      <w:bookmarkStart w:id="209" w:name="_Toc31327"/>
      <w:r>
        <w:rPr>
          <w:rFonts w:hint="eastAsia" w:cs="宋体"/>
          <w:color w:val="auto"/>
          <w:highlight w:val="none"/>
        </w:rPr>
        <w:t>第七章</w:t>
      </w:r>
      <w:r>
        <w:rPr>
          <w:color w:val="auto"/>
          <w:highlight w:val="none"/>
        </w:rPr>
        <w:t xml:space="preserve">  </w:t>
      </w:r>
      <w:r>
        <w:rPr>
          <w:rFonts w:hint="eastAsia" w:cs="宋体"/>
          <w:color w:val="auto"/>
          <w:highlight w:val="none"/>
          <w:lang w:val="en-US" w:eastAsia="zh-CN"/>
        </w:rPr>
        <w:t>第三方检测</w:t>
      </w:r>
      <w:r>
        <w:rPr>
          <w:rFonts w:hint="eastAsia" w:cs="宋体"/>
          <w:color w:val="auto"/>
          <w:highlight w:val="none"/>
        </w:rPr>
        <w:t>清单及综合单价限价表</w:t>
      </w:r>
      <w:bookmarkEnd w:id="208"/>
      <w:bookmarkEnd w:id="209"/>
    </w:p>
    <w:p>
      <w:pPr>
        <w:widowControl/>
        <w:spacing w:line="360" w:lineRule="auto"/>
        <w:jc w:val="center"/>
        <w:rPr>
          <w:rFonts w:hint="eastAsia" w:eastAsia="宋体"/>
          <w:color w:val="auto"/>
          <w:sz w:val="28"/>
          <w:szCs w:val="28"/>
          <w:highlight w:val="none"/>
          <w:lang w:eastAsia="zh-CN"/>
        </w:rPr>
      </w:pPr>
      <w:r>
        <w:rPr>
          <w:rFonts w:hint="eastAsia" w:ascii="宋体" w:hAnsi="宋体" w:cs="宋体"/>
          <w:color w:val="auto"/>
          <w:kern w:val="0"/>
          <w:sz w:val="28"/>
          <w:szCs w:val="28"/>
          <w:highlight w:val="none"/>
          <w:lang w:eastAsia="zh-CN" w:bidi="ar"/>
        </w:rPr>
        <w:t>（</w:t>
      </w:r>
      <w:r>
        <w:rPr>
          <w:rFonts w:hint="eastAsia" w:ascii="宋体" w:hAnsi="宋体" w:cs="宋体"/>
          <w:color w:val="auto"/>
          <w:kern w:val="0"/>
          <w:sz w:val="28"/>
          <w:szCs w:val="28"/>
          <w:highlight w:val="none"/>
          <w:lang w:bidi="ar"/>
        </w:rPr>
        <w:t>另册</w:t>
      </w:r>
      <w:r>
        <w:rPr>
          <w:rFonts w:hint="eastAsia" w:ascii="宋体" w:hAnsi="宋体" w:cs="宋体"/>
          <w:color w:val="auto"/>
          <w:kern w:val="0"/>
          <w:sz w:val="28"/>
          <w:szCs w:val="28"/>
          <w:highlight w:val="none"/>
          <w:lang w:eastAsia="zh-CN" w:bidi="ar"/>
        </w:rPr>
        <w:t>）</w:t>
      </w:r>
    </w:p>
    <w:p>
      <w:pPr>
        <w:rPr>
          <w:color w:val="auto"/>
          <w:highlight w:val="none"/>
        </w:rPr>
      </w:pPr>
    </w:p>
    <w:sectPr>
      <w:pgSz w:w="11906" w:h="16838"/>
      <w:pgMar w:top="1440" w:right="1080" w:bottom="1440" w:left="1080" w:header="851" w:footer="10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2"/>
      <w:rPr>
        <w:rStyle w:val="31"/>
      </w:rPr>
    </w:pPr>
    <w:r>
      <w:fldChar w:fldCharType="begin"/>
    </w:r>
    <w:r>
      <w:rPr>
        <w:rStyle w:val="31"/>
      </w:rPr>
      <w:instrText xml:space="preserve">PAGE  </w:instrText>
    </w:r>
    <w:r>
      <w:fldChar w:fldCharType="separate"/>
    </w:r>
    <w:r>
      <w:rPr>
        <w:rStyle w:val="31"/>
      </w:rPr>
      <w:t>42</w:t>
    </w:r>
    <w:r>
      <w:fldChar w:fldCharType="end"/>
    </w:r>
  </w:p>
  <w:p>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pPr>
                            <w:pStyle w:val="21"/>
                          </w:pPr>
                          <w:r>
                            <w:fldChar w:fldCharType="begin"/>
                          </w:r>
                          <w:r>
                            <w:instrText xml:space="preserve"> PAGE  \* MERGEFORMAT </w:instrText>
                          </w:r>
                          <w:r>
                            <w:fldChar w:fldCharType="separate"/>
                          </w:r>
                          <w:r>
                            <w:t>2</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61312;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LW7l30AAAAAIBAAAPAAAAAAAAAAEAIAAAACIAAABkcnMvZG93&#10;bnJldi54bWxQSwECFAAUAAAACACHTuJA3kI7qQgCAAABBAAADgAAAAAAAAABACAAAAAfAQAAZHJz&#10;L2Uyb0RvYy54bWxQSwUGAAAAAAYABgBZAQAAmQUAAAAA&#10;">
              <v:fill on="f" focussize="0,0"/>
              <v:stroke on="f"/>
              <v:imagedata o:title=""/>
              <o:lock v:ext="edit" aspectratio="f"/>
              <v:textbox inset="0mm,0mm,0mm,0mm" style="mso-fit-shape-to-text:t;">
                <w:txbxContent>
                  <w:p>
                    <w:pPr>
                      <w:pStyle w:val="2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6205" cy="139700"/>
              <wp:effectExtent l="0" t="0" r="635" b="0"/>
              <wp:wrapNone/>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wps:spPr>
                    <wps:txbx>
                      <w:txbxContent>
                        <w:p>
                          <w:pPr>
                            <w:pStyle w:val="21"/>
                          </w:pPr>
                          <w:r>
                            <w:fldChar w:fldCharType="begin"/>
                          </w:r>
                          <w:r>
                            <w:instrText xml:space="preserve"> PAGE  \* MERGEFORMAT </w:instrText>
                          </w:r>
                          <w:r>
                            <w:fldChar w:fldCharType="separate"/>
                          </w:r>
                          <w:r>
                            <w:t>71</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9.15pt;mso-position-horizontal:center;mso-position-horizontal-relative:margin;mso-wrap-style:none;z-index:251660288;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AYulhTQAAAAAwEAAA8AAAAAAAAAAQAgAAAAIgAAAGRycy9k&#10;b3ducmV2LnhtbFBLAQIUABQAAAAIAIdO4kDZIiAvCgIAAAIEAAAOAAAAAAAAAAEAIAAAAB8BAABk&#10;cnMvZTJvRG9jLnhtbFBLBQYAAAAABgAGAFkBAACbBQAAAAA=&#10;">
              <v:fill on="f" focussize="0,0"/>
              <v:stroke on="f"/>
              <v:imagedata o:title=""/>
              <o:lock v:ext="edit" aspectratio="f"/>
              <v:textbox inset="0mm,0mm,0mm,0mm" style="mso-fit-shape-to-text:t;">
                <w:txbxContent>
                  <w:p>
                    <w:pPr>
                      <w:pStyle w:val="21"/>
                    </w:pPr>
                    <w:r>
                      <w:fldChar w:fldCharType="begin"/>
                    </w:r>
                    <w:r>
                      <w:instrText xml:space="preserve"> PAGE  \* MERGEFORMAT </w:instrText>
                    </w:r>
                    <w:r>
                      <w:fldChar w:fldCharType="separate"/>
                    </w:r>
                    <w:r>
                      <w:t>71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1A1299"/>
    <w:multiLevelType w:val="singleLevel"/>
    <w:tmpl w:val="C21A1299"/>
    <w:lvl w:ilvl="0" w:tentative="0">
      <w:start w:val="2"/>
      <w:numFmt w:val="decimal"/>
      <w:suff w:val="nothing"/>
      <w:lvlText w:val="%1、"/>
      <w:lvlJc w:val="left"/>
    </w:lvl>
  </w:abstractNum>
  <w:abstractNum w:abstractNumId="1">
    <w:nsid w:val="0000000A"/>
    <w:multiLevelType w:val="singleLevel"/>
    <w:tmpl w:val="0000000A"/>
    <w:lvl w:ilvl="0" w:tentative="0">
      <w:start w:val="5"/>
      <w:numFmt w:val="chineseCounting"/>
      <w:suff w:val="space"/>
      <w:lvlText w:val="第%1章"/>
      <w:lvlJc w:val="left"/>
      <w:rPr>
        <w:rFonts w:hint="eastAsia"/>
      </w:rPr>
    </w:lvl>
  </w:abstractNum>
  <w:abstractNum w:abstractNumId="2">
    <w:nsid w:val="3FB37080"/>
    <w:multiLevelType w:val="multilevel"/>
    <w:tmpl w:val="3FB3708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AyMGU3Y2JhMTFlODM0YTE1MzU3NGRmZjU2ZTlhZjYifQ=="/>
    <w:docVar w:name="KSO_WPS_MARK_KEY" w:val="b0bf2640-3d60-42aa-b136-eeee4212a3fa"/>
  </w:docVars>
  <w:rsids>
    <w:rsidRoot w:val="00FE62DA"/>
    <w:rsid w:val="000006B6"/>
    <w:rsid w:val="000D61AF"/>
    <w:rsid w:val="0062447B"/>
    <w:rsid w:val="00D14A10"/>
    <w:rsid w:val="00D16259"/>
    <w:rsid w:val="00FE62DA"/>
    <w:rsid w:val="02073418"/>
    <w:rsid w:val="03100615"/>
    <w:rsid w:val="0360057C"/>
    <w:rsid w:val="03976B21"/>
    <w:rsid w:val="0442414A"/>
    <w:rsid w:val="04C069F6"/>
    <w:rsid w:val="08500666"/>
    <w:rsid w:val="09265ECA"/>
    <w:rsid w:val="09F61D78"/>
    <w:rsid w:val="0BF551D9"/>
    <w:rsid w:val="0C1B6DD9"/>
    <w:rsid w:val="0E967BE9"/>
    <w:rsid w:val="0F8A0499"/>
    <w:rsid w:val="10790FE5"/>
    <w:rsid w:val="1133168B"/>
    <w:rsid w:val="11756697"/>
    <w:rsid w:val="118F2448"/>
    <w:rsid w:val="13184396"/>
    <w:rsid w:val="13376A27"/>
    <w:rsid w:val="149D016E"/>
    <w:rsid w:val="15DE0AB3"/>
    <w:rsid w:val="16781D3E"/>
    <w:rsid w:val="173E0892"/>
    <w:rsid w:val="17DC0D8C"/>
    <w:rsid w:val="19CC7DD5"/>
    <w:rsid w:val="1F93219A"/>
    <w:rsid w:val="1FE176E4"/>
    <w:rsid w:val="228D5B38"/>
    <w:rsid w:val="229F2797"/>
    <w:rsid w:val="29437F8A"/>
    <w:rsid w:val="2ADA66CC"/>
    <w:rsid w:val="2B6B355A"/>
    <w:rsid w:val="2BE24BE5"/>
    <w:rsid w:val="2C155C0E"/>
    <w:rsid w:val="2E293BF2"/>
    <w:rsid w:val="2EED4C20"/>
    <w:rsid w:val="31CE3E35"/>
    <w:rsid w:val="322621C8"/>
    <w:rsid w:val="33184235"/>
    <w:rsid w:val="3335650D"/>
    <w:rsid w:val="341E587B"/>
    <w:rsid w:val="34A97864"/>
    <w:rsid w:val="38284018"/>
    <w:rsid w:val="3ABC6EFF"/>
    <w:rsid w:val="3C914A94"/>
    <w:rsid w:val="3D424389"/>
    <w:rsid w:val="3D5E3808"/>
    <w:rsid w:val="3E5844CD"/>
    <w:rsid w:val="3EFE4C27"/>
    <w:rsid w:val="3F397087"/>
    <w:rsid w:val="3FB812C0"/>
    <w:rsid w:val="3FBC5057"/>
    <w:rsid w:val="40C6334F"/>
    <w:rsid w:val="41BB0BAE"/>
    <w:rsid w:val="42D76B03"/>
    <w:rsid w:val="444C631A"/>
    <w:rsid w:val="44EF5CB1"/>
    <w:rsid w:val="45554194"/>
    <w:rsid w:val="46DF0E9A"/>
    <w:rsid w:val="49310669"/>
    <w:rsid w:val="4ABF7FCF"/>
    <w:rsid w:val="4AFA62A3"/>
    <w:rsid w:val="4B9569C6"/>
    <w:rsid w:val="4C1C6CBA"/>
    <w:rsid w:val="4D0F7DE6"/>
    <w:rsid w:val="4EFF65A6"/>
    <w:rsid w:val="4F4C1097"/>
    <w:rsid w:val="4F7505EE"/>
    <w:rsid w:val="522147FD"/>
    <w:rsid w:val="52540C46"/>
    <w:rsid w:val="5454243B"/>
    <w:rsid w:val="550912D6"/>
    <w:rsid w:val="558943A7"/>
    <w:rsid w:val="59AC10B0"/>
    <w:rsid w:val="5B8E4B8A"/>
    <w:rsid w:val="5CD749CB"/>
    <w:rsid w:val="5D6454EE"/>
    <w:rsid w:val="5D6A0965"/>
    <w:rsid w:val="60EE26D2"/>
    <w:rsid w:val="615D7134"/>
    <w:rsid w:val="62F73C67"/>
    <w:rsid w:val="633A772C"/>
    <w:rsid w:val="634700C4"/>
    <w:rsid w:val="6464541D"/>
    <w:rsid w:val="64A70DF2"/>
    <w:rsid w:val="664939B5"/>
    <w:rsid w:val="668313EA"/>
    <w:rsid w:val="67987ECC"/>
    <w:rsid w:val="67CE4268"/>
    <w:rsid w:val="6930520D"/>
    <w:rsid w:val="69B85878"/>
    <w:rsid w:val="6A4E7D25"/>
    <w:rsid w:val="6B1033F6"/>
    <w:rsid w:val="6B5F0BCD"/>
    <w:rsid w:val="6B802450"/>
    <w:rsid w:val="6B951295"/>
    <w:rsid w:val="6C3167E1"/>
    <w:rsid w:val="6C4B29D3"/>
    <w:rsid w:val="6C4C513B"/>
    <w:rsid w:val="6D1A412B"/>
    <w:rsid w:val="6D5270DA"/>
    <w:rsid w:val="6DB13F00"/>
    <w:rsid w:val="6F125A01"/>
    <w:rsid w:val="717D653A"/>
    <w:rsid w:val="721233A1"/>
    <w:rsid w:val="72161114"/>
    <w:rsid w:val="723759C7"/>
    <w:rsid w:val="72DC25D7"/>
    <w:rsid w:val="73D439C3"/>
    <w:rsid w:val="74567C09"/>
    <w:rsid w:val="758B3E18"/>
    <w:rsid w:val="7682521B"/>
    <w:rsid w:val="769E4D7B"/>
    <w:rsid w:val="775E6FEA"/>
    <w:rsid w:val="78CA446B"/>
    <w:rsid w:val="795A0E6B"/>
    <w:rsid w:val="79FD0B98"/>
    <w:rsid w:val="7A584103"/>
    <w:rsid w:val="7C217A0A"/>
    <w:rsid w:val="7CE02C9B"/>
    <w:rsid w:val="7D4C540E"/>
    <w:rsid w:val="7F600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nhideWhenUsed="0" w:uiPriority="0"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iPriority="0" w:semiHidden="0"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35"/>
    <w:qFormat/>
    <w:uiPriority w:val="0"/>
    <w:pPr>
      <w:keepNext/>
      <w:keepLines/>
      <w:spacing w:line="576" w:lineRule="auto"/>
      <w:jc w:val="center"/>
      <w:outlineLvl w:val="0"/>
    </w:pPr>
    <w:rPr>
      <w:rFonts w:ascii="宋体" w:hAnsi="宋体"/>
      <w:b/>
      <w:kern w:val="44"/>
      <w:sz w:val="44"/>
      <w:szCs w:val="20"/>
    </w:rPr>
  </w:style>
  <w:style w:type="paragraph" w:styleId="4">
    <w:name w:val="heading 2"/>
    <w:basedOn w:val="1"/>
    <w:next w:val="1"/>
    <w:link w:val="36"/>
    <w:qFormat/>
    <w:uiPriority w:val="0"/>
    <w:pPr>
      <w:keepNext/>
      <w:keepLines/>
      <w:spacing w:line="412" w:lineRule="auto"/>
      <w:jc w:val="center"/>
      <w:outlineLvl w:val="1"/>
    </w:pPr>
    <w:rPr>
      <w:rFonts w:ascii="Arial" w:hAnsi="Arial"/>
      <w:b/>
      <w:sz w:val="24"/>
      <w:szCs w:val="20"/>
    </w:rPr>
  </w:style>
  <w:style w:type="paragraph" w:styleId="5">
    <w:name w:val="heading 3"/>
    <w:basedOn w:val="1"/>
    <w:next w:val="1"/>
    <w:link w:val="37"/>
    <w:qFormat/>
    <w:uiPriority w:val="0"/>
    <w:pPr>
      <w:keepNext/>
      <w:keepLines/>
      <w:spacing w:line="360" w:lineRule="auto"/>
      <w:jc w:val="left"/>
      <w:outlineLvl w:val="2"/>
    </w:pPr>
    <w:rPr>
      <w:rFonts w:ascii="宋体" w:hAnsi="宋体"/>
      <w:b/>
      <w:sz w:val="28"/>
      <w:szCs w:val="28"/>
    </w:rPr>
  </w:style>
  <w:style w:type="paragraph" w:styleId="6">
    <w:name w:val="heading 4"/>
    <w:basedOn w:val="1"/>
    <w:next w:val="1"/>
    <w:link w:val="38"/>
    <w:qFormat/>
    <w:uiPriority w:val="0"/>
    <w:pPr>
      <w:keepNext/>
      <w:keepLines/>
      <w:jc w:val="center"/>
      <w:outlineLvl w:val="3"/>
    </w:pPr>
    <w:rPr>
      <w:rFonts w:ascii="Cambria" w:hAnsi="Cambria"/>
      <w:b/>
      <w:bCs/>
      <w:sz w:val="28"/>
      <w:szCs w:val="28"/>
    </w:rPr>
  </w:style>
  <w:style w:type="paragraph" w:styleId="7">
    <w:name w:val="heading 5"/>
    <w:basedOn w:val="1"/>
    <w:next w:val="1"/>
    <w:link w:val="39"/>
    <w:qFormat/>
    <w:uiPriority w:val="0"/>
    <w:pPr>
      <w:keepNext/>
      <w:keepLines/>
      <w:spacing w:line="376" w:lineRule="auto"/>
      <w:outlineLvl w:val="4"/>
    </w:pPr>
    <w:rPr>
      <w:b/>
      <w:bCs/>
      <w:sz w:val="24"/>
      <w:szCs w:val="24"/>
    </w:rPr>
  </w:style>
  <w:style w:type="paragraph" w:styleId="8">
    <w:name w:val="heading 7"/>
    <w:basedOn w:val="1"/>
    <w:next w:val="2"/>
    <w:link w:val="40"/>
    <w:qFormat/>
    <w:uiPriority w:val="0"/>
    <w:pPr>
      <w:keepNext/>
      <w:keepLines/>
      <w:spacing w:before="240" w:after="64" w:line="320" w:lineRule="auto"/>
      <w:outlineLvl w:val="6"/>
    </w:pPr>
    <w:rPr>
      <w:b/>
      <w:kern w:val="0"/>
      <w:sz w:val="24"/>
      <w:szCs w:val="20"/>
    </w:rPr>
  </w:style>
  <w:style w:type="character" w:default="1" w:styleId="30">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pPr>
    <w:rPr>
      <w:rFonts w:ascii="Calibri" w:hAnsi="Calibri"/>
    </w:rPr>
  </w:style>
  <w:style w:type="paragraph" w:styleId="9">
    <w:name w:val="Document Map"/>
    <w:basedOn w:val="1"/>
    <w:link w:val="43"/>
    <w:qFormat/>
    <w:uiPriority w:val="0"/>
    <w:rPr>
      <w:rFonts w:ascii="宋体" w:hAnsi="Calibri"/>
      <w:sz w:val="18"/>
      <w:szCs w:val="18"/>
    </w:rPr>
  </w:style>
  <w:style w:type="paragraph" w:styleId="10">
    <w:name w:val="annotation text"/>
    <w:basedOn w:val="1"/>
    <w:link w:val="44"/>
    <w:qFormat/>
    <w:uiPriority w:val="0"/>
    <w:pPr>
      <w:jc w:val="left"/>
    </w:pPr>
    <w:rPr>
      <w:rFonts w:ascii="Calibri" w:hAnsi="Calibri"/>
    </w:rPr>
  </w:style>
  <w:style w:type="paragraph" w:styleId="11">
    <w:name w:val="Body Text 3"/>
    <w:basedOn w:val="1"/>
    <w:link w:val="45"/>
    <w:qFormat/>
    <w:uiPriority w:val="0"/>
    <w:rPr>
      <w:rFonts w:ascii="宋体" w:hAnsi="Calibri"/>
      <w:sz w:val="24"/>
    </w:rPr>
  </w:style>
  <w:style w:type="paragraph" w:styleId="12">
    <w:name w:val="Body Text"/>
    <w:basedOn w:val="1"/>
    <w:next w:val="13"/>
    <w:link w:val="46"/>
    <w:qFormat/>
    <w:uiPriority w:val="0"/>
    <w:rPr>
      <w:szCs w:val="20"/>
    </w:rPr>
  </w:style>
  <w:style w:type="paragraph" w:styleId="13">
    <w:name w:val="Body Text 2"/>
    <w:basedOn w:val="1"/>
    <w:unhideWhenUsed/>
    <w:qFormat/>
    <w:uiPriority w:val="0"/>
    <w:pPr>
      <w:spacing w:line="240" w:lineRule="auto"/>
    </w:pPr>
    <w:rPr>
      <w:rFonts w:ascii="Calibri" w:hAnsi="Calibri"/>
      <w:kern w:val="0"/>
      <w:sz w:val="44"/>
      <w:szCs w:val="24"/>
    </w:rPr>
  </w:style>
  <w:style w:type="paragraph" w:styleId="14">
    <w:name w:val="Body Text Indent"/>
    <w:basedOn w:val="1"/>
    <w:next w:val="15"/>
    <w:link w:val="47"/>
    <w:qFormat/>
    <w:uiPriority w:val="0"/>
    <w:pPr>
      <w:autoSpaceDE w:val="0"/>
      <w:autoSpaceDN w:val="0"/>
      <w:adjustRightInd w:val="0"/>
      <w:spacing w:line="0" w:lineRule="atLeast"/>
      <w:ind w:firstLine="525"/>
    </w:pPr>
    <w:rPr>
      <w:rFonts w:ascii="宋体" w:hAnsi="宋体"/>
      <w:color w:val="000000"/>
      <w:kern w:val="0"/>
      <w:sz w:val="20"/>
      <w:szCs w:val="24"/>
    </w:rPr>
  </w:style>
  <w:style w:type="paragraph" w:styleId="15">
    <w:name w:val="envelope return"/>
    <w:basedOn w:val="1"/>
    <w:qFormat/>
    <w:uiPriority w:val="0"/>
    <w:pPr>
      <w:snapToGrid w:val="0"/>
    </w:pPr>
    <w:rPr>
      <w:rFonts w:ascii="Arial" w:hAnsi="Arial" w:cs="Arial"/>
    </w:rPr>
  </w:style>
  <w:style w:type="paragraph" w:styleId="16">
    <w:name w:val="toc 3"/>
    <w:basedOn w:val="1"/>
    <w:next w:val="1"/>
    <w:qFormat/>
    <w:uiPriority w:val="39"/>
    <w:pPr>
      <w:ind w:left="840" w:leftChars="400"/>
    </w:pPr>
    <w:rPr>
      <w:rFonts w:ascii="Calibri" w:hAnsi="Calibri"/>
    </w:rPr>
  </w:style>
  <w:style w:type="paragraph" w:styleId="17">
    <w:name w:val="Plain Text"/>
    <w:basedOn w:val="1"/>
    <w:next w:val="1"/>
    <w:link w:val="48"/>
    <w:qFormat/>
    <w:uiPriority w:val="0"/>
    <w:rPr>
      <w:rFonts w:ascii="宋体" w:hAnsi="Calibri"/>
      <w:sz w:val="22"/>
    </w:rPr>
  </w:style>
  <w:style w:type="paragraph" w:styleId="18">
    <w:name w:val="Date"/>
    <w:basedOn w:val="1"/>
    <w:next w:val="1"/>
    <w:link w:val="49"/>
    <w:qFormat/>
    <w:uiPriority w:val="0"/>
    <w:pPr>
      <w:ind w:left="100" w:leftChars="2500"/>
    </w:pPr>
    <w:rPr>
      <w:rFonts w:ascii="Calibri" w:hAnsi="Calibri"/>
    </w:rPr>
  </w:style>
  <w:style w:type="paragraph" w:styleId="19">
    <w:name w:val="Body Text Indent 2"/>
    <w:basedOn w:val="1"/>
    <w:link w:val="50"/>
    <w:qFormat/>
    <w:uiPriority w:val="0"/>
    <w:pPr>
      <w:spacing w:line="480" w:lineRule="auto"/>
      <w:ind w:left="420" w:leftChars="200"/>
    </w:pPr>
    <w:rPr>
      <w:szCs w:val="24"/>
    </w:rPr>
  </w:style>
  <w:style w:type="paragraph" w:styleId="20">
    <w:name w:val="Balloon Text"/>
    <w:basedOn w:val="1"/>
    <w:link w:val="51"/>
    <w:qFormat/>
    <w:uiPriority w:val="0"/>
    <w:rPr>
      <w:rFonts w:ascii="Calibri" w:hAnsi="Calibri"/>
      <w:sz w:val="18"/>
      <w:szCs w:val="18"/>
    </w:rPr>
  </w:style>
  <w:style w:type="paragraph" w:styleId="21">
    <w:name w:val="footer"/>
    <w:basedOn w:val="1"/>
    <w:link w:val="42"/>
    <w:unhideWhenUsed/>
    <w:qFormat/>
    <w:uiPriority w:val="99"/>
    <w:pPr>
      <w:tabs>
        <w:tab w:val="center" w:pos="4153"/>
        <w:tab w:val="right" w:pos="8306"/>
      </w:tabs>
      <w:snapToGrid w:val="0"/>
      <w:jc w:val="left"/>
    </w:pPr>
    <w:rPr>
      <w:sz w:val="18"/>
      <w:szCs w:val="18"/>
    </w:rPr>
  </w:style>
  <w:style w:type="paragraph" w:styleId="22">
    <w:name w:val="header"/>
    <w:basedOn w:val="1"/>
    <w:link w:val="41"/>
    <w:unhideWhenUsed/>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rPr>
      <w:rFonts w:ascii="Calibri" w:hAnsi="Calibri"/>
    </w:rPr>
  </w:style>
  <w:style w:type="paragraph" w:styleId="24">
    <w:name w:val="toc 2"/>
    <w:basedOn w:val="1"/>
    <w:next w:val="1"/>
    <w:qFormat/>
    <w:uiPriority w:val="39"/>
    <w:pPr>
      <w:ind w:left="420" w:leftChars="200"/>
    </w:pPr>
    <w:rPr>
      <w:rFonts w:ascii="Calibri" w:hAnsi="Calibri"/>
    </w:rPr>
  </w:style>
  <w:style w:type="paragraph" w:styleId="25">
    <w:name w:val="Normal (Web)"/>
    <w:basedOn w:val="1"/>
    <w:qFormat/>
    <w:uiPriority w:val="0"/>
    <w:pPr>
      <w:widowControl/>
      <w:spacing w:before="100" w:beforeLines="0" w:beforeAutospacing="1" w:after="100" w:afterLines="0" w:afterAutospacing="1"/>
      <w:jc w:val="left"/>
    </w:pPr>
    <w:rPr>
      <w:rFonts w:ascii="宋体" w:hAnsi="宋体" w:cs="宋体"/>
      <w:color w:val="000000"/>
      <w:kern w:val="0"/>
      <w:sz w:val="24"/>
      <w:szCs w:val="20"/>
    </w:rPr>
  </w:style>
  <w:style w:type="paragraph" w:styleId="26">
    <w:name w:val="annotation subject"/>
    <w:basedOn w:val="10"/>
    <w:next w:val="10"/>
    <w:link w:val="52"/>
    <w:qFormat/>
    <w:uiPriority w:val="0"/>
    <w:rPr>
      <w:b/>
      <w:bCs/>
    </w:rPr>
  </w:style>
  <w:style w:type="paragraph" w:styleId="27">
    <w:name w:val="Body Text First Indent"/>
    <w:basedOn w:val="12"/>
    <w:next w:val="1"/>
    <w:link w:val="53"/>
    <w:qFormat/>
    <w:uiPriority w:val="0"/>
    <w:pPr>
      <w:spacing w:line="312" w:lineRule="auto"/>
      <w:ind w:firstLine="420"/>
    </w:pPr>
    <w:rPr>
      <w:rFonts w:ascii="Calibri" w:hAnsi="Calibri"/>
      <w:szCs w:val="24"/>
    </w:rPr>
  </w:style>
  <w:style w:type="paragraph" w:styleId="28">
    <w:name w:val="Body Text First Indent 2"/>
    <w:basedOn w:val="1"/>
    <w:link w:val="54"/>
    <w:qFormat/>
    <w:uiPriority w:val="0"/>
    <w:pPr>
      <w:autoSpaceDE/>
      <w:autoSpaceDN/>
      <w:adjustRightInd/>
      <w:spacing w:after="120" w:line="240" w:lineRule="auto"/>
      <w:ind w:left="420" w:leftChars="200" w:firstLine="420" w:firstLineChars="200"/>
    </w:pPr>
    <w:rPr>
      <w:rFonts w:ascii="Times New Roman" w:hAnsi="Times New Roman"/>
      <w:color w:val="auto"/>
      <w:kern w:val="2"/>
      <w:sz w:val="21"/>
    </w:rPr>
  </w:style>
  <w:style w:type="character" w:styleId="31">
    <w:name w:val="page number"/>
    <w:qFormat/>
    <w:uiPriority w:val="0"/>
    <w:rPr>
      <w:rFonts w:ascii="Calibri" w:hAnsi="Calibri" w:eastAsia="宋体" w:cs="Times New Roman"/>
    </w:rPr>
  </w:style>
  <w:style w:type="character" w:styleId="32">
    <w:name w:val="FollowedHyperlink"/>
    <w:qFormat/>
    <w:uiPriority w:val="0"/>
    <w:rPr>
      <w:rFonts w:ascii="Times New Roman" w:hAnsi="Times New Roman" w:eastAsia="楷体_GB2312" w:cs="Times New Roman"/>
      <w:color w:val="000000"/>
      <w:u w:val="none"/>
    </w:rPr>
  </w:style>
  <w:style w:type="character" w:styleId="33">
    <w:name w:val="Hyperlink"/>
    <w:qFormat/>
    <w:uiPriority w:val="99"/>
    <w:rPr>
      <w:rFonts w:ascii="Calibri" w:hAnsi="Calibri" w:eastAsia="宋体" w:cs="Times New Roman"/>
      <w:color w:val="0000FF"/>
      <w:u w:val="single"/>
    </w:rPr>
  </w:style>
  <w:style w:type="character" w:styleId="34">
    <w:name w:val="annotation reference"/>
    <w:qFormat/>
    <w:uiPriority w:val="0"/>
    <w:rPr>
      <w:rFonts w:ascii="Calibri" w:hAnsi="Calibri" w:eastAsia="宋体" w:cs="Times New Roman"/>
      <w:sz w:val="21"/>
      <w:szCs w:val="21"/>
    </w:rPr>
  </w:style>
  <w:style w:type="character" w:customStyle="1" w:styleId="35">
    <w:name w:val="标题 1 字符"/>
    <w:basedOn w:val="30"/>
    <w:link w:val="3"/>
    <w:qFormat/>
    <w:uiPriority w:val="0"/>
    <w:rPr>
      <w:rFonts w:ascii="宋体" w:hAnsi="宋体" w:eastAsia="宋体" w:cs="Times New Roman"/>
      <w:b/>
      <w:kern w:val="44"/>
      <w:sz w:val="44"/>
      <w:szCs w:val="20"/>
    </w:rPr>
  </w:style>
  <w:style w:type="character" w:customStyle="1" w:styleId="36">
    <w:name w:val="标题 2 字符"/>
    <w:basedOn w:val="30"/>
    <w:link w:val="4"/>
    <w:qFormat/>
    <w:uiPriority w:val="0"/>
    <w:rPr>
      <w:rFonts w:ascii="Arial" w:hAnsi="Arial" w:eastAsia="宋体" w:cs="Times New Roman"/>
      <w:b/>
      <w:sz w:val="24"/>
      <w:szCs w:val="20"/>
    </w:rPr>
  </w:style>
  <w:style w:type="character" w:customStyle="1" w:styleId="37">
    <w:name w:val="标题 3 字符"/>
    <w:basedOn w:val="30"/>
    <w:link w:val="5"/>
    <w:qFormat/>
    <w:uiPriority w:val="0"/>
    <w:rPr>
      <w:rFonts w:ascii="宋体" w:hAnsi="宋体" w:eastAsia="宋体" w:cs="Times New Roman"/>
      <w:b/>
      <w:sz w:val="28"/>
      <w:szCs w:val="28"/>
    </w:rPr>
  </w:style>
  <w:style w:type="character" w:customStyle="1" w:styleId="38">
    <w:name w:val="标题 4 字符"/>
    <w:basedOn w:val="30"/>
    <w:link w:val="6"/>
    <w:qFormat/>
    <w:uiPriority w:val="0"/>
    <w:rPr>
      <w:rFonts w:ascii="Cambria" w:hAnsi="Cambria" w:eastAsia="宋体" w:cs="Times New Roman"/>
      <w:b/>
      <w:bCs/>
      <w:sz w:val="28"/>
      <w:szCs w:val="28"/>
    </w:rPr>
  </w:style>
  <w:style w:type="character" w:customStyle="1" w:styleId="39">
    <w:name w:val="标题 5 字符"/>
    <w:basedOn w:val="30"/>
    <w:link w:val="7"/>
    <w:qFormat/>
    <w:uiPriority w:val="0"/>
    <w:rPr>
      <w:rFonts w:ascii="Times New Roman" w:hAnsi="Times New Roman" w:eastAsia="宋体" w:cs="Times New Roman"/>
      <w:b/>
      <w:bCs/>
      <w:sz w:val="24"/>
      <w:szCs w:val="24"/>
    </w:rPr>
  </w:style>
  <w:style w:type="character" w:customStyle="1" w:styleId="40">
    <w:name w:val="标题 7 字符"/>
    <w:basedOn w:val="30"/>
    <w:link w:val="8"/>
    <w:qFormat/>
    <w:uiPriority w:val="0"/>
    <w:rPr>
      <w:rFonts w:ascii="Times New Roman" w:hAnsi="Times New Roman" w:eastAsia="宋体" w:cs="Times New Roman"/>
      <w:b/>
      <w:kern w:val="0"/>
      <w:sz w:val="24"/>
      <w:szCs w:val="20"/>
    </w:rPr>
  </w:style>
  <w:style w:type="character" w:customStyle="1" w:styleId="41">
    <w:name w:val="页眉 字符"/>
    <w:basedOn w:val="30"/>
    <w:link w:val="22"/>
    <w:qFormat/>
    <w:uiPriority w:val="0"/>
    <w:rPr>
      <w:rFonts w:ascii="Times New Roman" w:hAnsi="Times New Roman" w:eastAsia="宋体" w:cs="Times New Roman"/>
      <w:sz w:val="18"/>
      <w:szCs w:val="18"/>
    </w:rPr>
  </w:style>
  <w:style w:type="character" w:customStyle="1" w:styleId="42">
    <w:name w:val="页脚 字符"/>
    <w:basedOn w:val="30"/>
    <w:link w:val="21"/>
    <w:qFormat/>
    <w:uiPriority w:val="99"/>
    <w:rPr>
      <w:rFonts w:ascii="Times New Roman" w:hAnsi="Times New Roman" w:eastAsia="宋体" w:cs="Times New Roman"/>
      <w:sz w:val="18"/>
      <w:szCs w:val="18"/>
    </w:rPr>
  </w:style>
  <w:style w:type="character" w:customStyle="1" w:styleId="43">
    <w:name w:val="文档结构图 字符"/>
    <w:basedOn w:val="30"/>
    <w:link w:val="9"/>
    <w:qFormat/>
    <w:uiPriority w:val="0"/>
    <w:rPr>
      <w:rFonts w:ascii="宋体" w:hAnsi="Calibri" w:eastAsia="宋体" w:cs="Times New Roman"/>
      <w:sz w:val="18"/>
      <w:szCs w:val="18"/>
    </w:rPr>
  </w:style>
  <w:style w:type="character" w:customStyle="1" w:styleId="44">
    <w:name w:val="批注文字 字符"/>
    <w:basedOn w:val="30"/>
    <w:link w:val="10"/>
    <w:qFormat/>
    <w:uiPriority w:val="0"/>
    <w:rPr>
      <w:rFonts w:ascii="Calibri" w:hAnsi="Calibri" w:eastAsia="宋体" w:cs="Times New Roman"/>
    </w:rPr>
  </w:style>
  <w:style w:type="character" w:customStyle="1" w:styleId="45">
    <w:name w:val="正文文本 3 字符"/>
    <w:basedOn w:val="30"/>
    <w:link w:val="11"/>
    <w:qFormat/>
    <w:uiPriority w:val="0"/>
    <w:rPr>
      <w:rFonts w:ascii="宋体" w:hAnsi="Calibri" w:eastAsia="宋体" w:cs="Times New Roman"/>
      <w:sz w:val="24"/>
    </w:rPr>
  </w:style>
  <w:style w:type="character" w:customStyle="1" w:styleId="46">
    <w:name w:val="正文文本 字符"/>
    <w:basedOn w:val="30"/>
    <w:link w:val="12"/>
    <w:qFormat/>
    <w:uiPriority w:val="0"/>
    <w:rPr>
      <w:rFonts w:ascii="Times New Roman" w:hAnsi="Times New Roman" w:eastAsia="宋体" w:cs="Times New Roman"/>
      <w:szCs w:val="20"/>
    </w:rPr>
  </w:style>
  <w:style w:type="character" w:customStyle="1" w:styleId="47">
    <w:name w:val="正文文本缩进 字符"/>
    <w:basedOn w:val="30"/>
    <w:link w:val="14"/>
    <w:qFormat/>
    <w:uiPriority w:val="0"/>
    <w:rPr>
      <w:rFonts w:ascii="宋体" w:hAnsi="宋体" w:eastAsia="宋体" w:cs="Times New Roman"/>
      <w:color w:val="000000"/>
      <w:kern w:val="0"/>
      <w:sz w:val="20"/>
      <w:szCs w:val="24"/>
    </w:rPr>
  </w:style>
  <w:style w:type="character" w:customStyle="1" w:styleId="48">
    <w:name w:val="纯文本 字符"/>
    <w:basedOn w:val="30"/>
    <w:link w:val="17"/>
    <w:qFormat/>
    <w:uiPriority w:val="0"/>
    <w:rPr>
      <w:rFonts w:ascii="宋体" w:hAnsi="Calibri" w:eastAsia="宋体" w:cs="Times New Roman"/>
      <w:sz w:val="22"/>
    </w:rPr>
  </w:style>
  <w:style w:type="character" w:customStyle="1" w:styleId="49">
    <w:name w:val="日期 字符"/>
    <w:basedOn w:val="30"/>
    <w:link w:val="18"/>
    <w:qFormat/>
    <w:uiPriority w:val="0"/>
    <w:rPr>
      <w:rFonts w:ascii="Calibri" w:hAnsi="Calibri" w:eastAsia="宋体" w:cs="Times New Roman"/>
    </w:rPr>
  </w:style>
  <w:style w:type="character" w:customStyle="1" w:styleId="50">
    <w:name w:val="正文文本缩进 2 字符"/>
    <w:basedOn w:val="30"/>
    <w:link w:val="19"/>
    <w:qFormat/>
    <w:uiPriority w:val="0"/>
    <w:rPr>
      <w:rFonts w:ascii="Times New Roman" w:hAnsi="Times New Roman" w:eastAsia="宋体" w:cs="Times New Roman"/>
      <w:szCs w:val="24"/>
    </w:rPr>
  </w:style>
  <w:style w:type="character" w:customStyle="1" w:styleId="51">
    <w:name w:val="批注框文本 字符"/>
    <w:basedOn w:val="30"/>
    <w:link w:val="20"/>
    <w:qFormat/>
    <w:uiPriority w:val="0"/>
    <w:rPr>
      <w:rFonts w:ascii="Calibri" w:hAnsi="Calibri" w:eastAsia="宋体" w:cs="Times New Roman"/>
      <w:sz w:val="18"/>
      <w:szCs w:val="18"/>
    </w:rPr>
  </w:style>
  <w:style w:type="character" w:customStyle="1" w:styleId="52">
    <w:name w:val="批注主题 字符"/>
    <w:basedOn w:val="44"/>
    <w:link w:val="26"/>
    <w:qFormat/>
    <w:uiPriority w:val="0"/>
    <w:rPr>
      <w:rFonts w:ascii="Calibri" w:hAnsi="Calibri" w:eastAsia="宋体" w:cs="Times New Roman"/>
      <w:b/>
      <w:bCs/>
    </w:rPr>
  </w:style>
  <w:style w:type="character" w:customStyle="1" w:styleId="53">
    <w:name w:val="正文首行缩进 字符"/>
    <w:basedOn w:val="46"/>
    <w:link w:val="27"/>
    <w:qFormat/>
    <w:uiPriority w:val="0"/>
    <w:rPr>
      <w:rFonts w:ascii="Calibri" w:hAnsi="Calibri" w:eastAsia="宋体" w:cs="Times New Roman"/>
      <w:szCs w:val="24"/>
    </w:rPr>
  </w:style>
  <w:style w:type="character" w:customStyle="1" w:styleId="54">
    <w:name w:val="正文首行缩进 2 字符"/>
    <w:basedOn w:val="47"/>
    <w:link w:val="28"/>
    <w:qFormat/>
    <w:uiPriority w:val="0"/>
    <w:rPr>
      <w:rFonts w:ascii="Times New Roman" w:hAnsi="Times New Roman" w:eastAsia="宋体" w:cs="Times New Roman"/>
      <w:color w:val="000000"/>
      <w:kern w:val="0"/>
      <w:sz w:val="20"/>
      <w:szCs w:val="24"/>
    </w:rPr>
  </w:style>
  <w:style w:type="character" w:customStyle="1" w:styleId="55">
    <w:name w:val="datagrid-sort-icon3"/>
    <w:basedOn w:val="30"/>
    <w:qFormat/>
    <w:uiPriority w:val="0"/>
    <w:rPr>
      <w:rFonts w:ascii="Calibri" w:hAnsi="Calibri" w:eastAsia="宋体" w:cs="Times New Roman"/>
    </w:rPr>
  </w:style>
  <w:style w:type="paragraph" w:customStyle="1" w:styleId="56">
    <w:name w:val="_Style 3"/>
    <w:basedOn w:val="1"/>
    <w:qFormat/>
    <w:uiPriority w:val="0"/>
    <w:pPr>
      <w:spacing w:line="360" w:lineRule="auto"/>
      <w:jc w:val="center"/>
    </w:pPr>
    <w:rPr>
      <w:szCs w:val="20"/>
    </w:rPr>
  </w:style>
  <w:style w:type="paragraph" w:customStyle="1" w:styleId="57">
    <w:name w:val="列出段落1"/>
    <w:basedOn w:val="1"/>
    <w:qFormat/>
    <w:uiPriority w:val="0"/>
    <w:pPr>
      <w:ind w:firstLine="420" w:firstLineChars="200"/>
    </w:pPr>
    <w:rPr>
      <w:szCs w:val="24"/>
    </w:rPr>
  </w:style>
  <w:style w:type="paragraph" w:customStyle="1" w:styleId="58">
    <w:name w:val="列表段落1"/>
    <w:basedOn w:val="1"/>
    <w:qFormat/>
    <w:uiPriority w:val="0"/>
    <w:pPr>
      <w:ind w:firstLine="420" w:firstLineChars="200"/>
    </w:pPr>
    <w:rPr>
      <w:szCs w:val="24"/>
    </w:rPr>
  </w:style>
  <w:style w:type="paragraph" w:customStyle="1" w:styleId="59">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
    <w:name w:val="Revision"/>
    <w:qFormat/>
    <w:uiPriority w:val="0"/>
    <w:rPr>
      <w:rFonts w:ascii="Times New Roman" w:hAnsi="Times New Roman" w:eastAsia="宋体" w:cs="Times New Roman"/>
      <w:kern w:val="2"/>
      <w:sz w:val="21"/>
      <w:szCs w:val="22"/>
      <w:lang w:val="en-US" w:eastAsia="zh-CN" w:bidi="ar-SA"/>
    </w:rPr>
  </w:style>
  <w:style w:type="paragraph" w:customStyle="1" w:styleId="61">
    <w:name w:val="公文正文"/>
    <w:qFormat/>
    <w:uiPriority w:val="0"/>
    <w:pPr>
      <w:widowControl w:val="0"/>
      <w:spacing w:line="360" w:lineRule="auto"/>
      <w:ind w:firstLine="629"/>
      <w:jc w:val="both"/>
    </w:pPr>
    <w:rPr>
      <w:rFonts w:ascii="仿宋_GB2312" w:hAnsi="Calisto MT" w:eastAsia="仿宋_GB2312" w:cs="Times New Roman"/>
      <w:color w:val="000000"/>
      <w:kern w:val="0"/>
      <w:sz w:val="32"/>
      <w:szCs w:val="20"/>
      <w:lang w:val="en-US" w:eastAsia="zh-CN" w:bidi="ar-SA"/>
    </w:rPr>
  </w:style>
  <w:style w:type="paragraph" w:customStyle="1" w:styleId="62">
    <w:name w:val="List Paragraph"/>
    <w:basedOn w:val="1"/>
    <w:qFormat/>
    <w:uiPriority w:val="0"/>
    <w:pPr>
      <w:ind w:firstLine="420" w:firstLineChars="200"/>
    </w:pPr>
    <w:rPr>
      <w:rFonts w:ascii="Times New Roman" w:hAnsi="Times New Roman" w:eastAsia="宋体" w:cs="Times New Roman"/>
      <w:szCs w:val="24"/>
    </w:rPr>
  </w:style>
  <w:style w:type="paragraph" w:customStyle="1" w:styleId="63">
    <w:name w:val="文一"/>
    <w:basedOn w:val="1"/>
    <w:qFormat/>
    <w:uiPriority w:val="0"/>
    <w:pPr>
      <w:topLinePunct/>
      <w:ind w:firstLine="200"/>
    </w:pPr>
    <w:rPr>
      <w:rFonts w:eastAsia="Times New Roman"/>
      <w:spacing w:val="4"/>
      <w:sz w:val="24"/>
      <w:szCs w:val="24"/>
    </w:rPr>
  </w:style>
  <w:style w:type="paragraph" w:customStyle="1" w:styleId="64">
    <w:name w:val="列表段落2"/>
    <w:basedOn w:val="1"/>
    <w:qFormat/>
    <w:uiPriority w:val="0"/>
    <w:pPr>
      <w:ind w:firstLine="420" w:firstLineChars="200"/>
    </w:pPr>
    <w:rPr>
      <w:szCs w:val="24"/>
    </w:rPr>
  </w:style>
  <w:style w:type="paragraph" w:customStyle="1" w:styleId="65">
    <w:name w:val="p0"/>
    <w:basedOn w:val="1"/>
    <w:qFormat/>
    <w:uiPriority w:val="0"/>
    <w:pPr>
      <w:widowControl/>
    </w:pPr>
    <w:rPr>
      <w:kern w:val="0"/>
      <w:szCs w:val="21"/>
    </w:rPr>
  </w:style>
  <w:style w:type="paragraph" w:customStyle="1" w:styleId="66">
    <w:name w:val="正文缩进1"/>
    <w:basedOn w:val="1"/>
    <w:qFormat/>
    <w:uiPriority w:val="0"/>
    <w:pPr>
      <w:ind w:firstLine="420" w:firstLineChars="200"/>
    </w:pPr>
  </w:style>
  <w:style w:type="table" w:customStyle="1" w:styleId="67">
    <w:name w:val="Table Normal"/>
    <w:semiHidden/>
    <w:unhideWhenUsed/>
    <w:qFormat/>
    <w:uiPriority w:val="0"/>
    <w:tblPr>
      <w:tblCellMar>
        <w:top w:w="0" w:type="dxa"/>
        <w:left w:w="0" w:type="dxa"/>
        <w:bottom w:w="0" w:type="dxa"/>
        <w:right w:w="0" w:type="dxa"/>
      </w:tblCellMar>
    </w:tblPr>
  </w:style>
  <w:style w:type="paragraph" w:customStyle="1" w:styleId="68">
    <w:name w:val="样式 宋体 行距: 1.5 倍行距"/>
    <w:basedOn w:val="1"/>
    <w:qFormat/>
    <w:uiPriority w:val="0"/>
    <w:pPr>
      <w:jc w:val="center"/>
    </w:pPr>
    <w:rPr>
      <w: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65</Pages>
  <Words>31147</Words>
  <Characters>33380</Characters>
  <Lines>306</Lines>
  <Paragraphs>86</Paragraphs>
  <TotalTime>54</TotalTime>
  <ScaleCrop>false</ScaleCrop>
  <LinksUpToDate>false</LinksUpToDate>
  <CharactersWithSpaces>34214</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2022-07-04T09:19:00Z</dcterms:created>
  <dc:creator>Admin</dc:creator>
  <cp:lastModifiedBy>kb</cp:lastModifiedBy>
  <cp:lastPrinted>2023-08-15T01:31:00Z</cp:lastPrinted>
  <dcterms:modified xsi:type="dcterms:W3CDTF">2023-08-15T03:28:32Z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0675B30F84C14711A0480ED4E49C0585_13</vt:lpwstr>
  </property>
</Properties>
</file>