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left="359" w:leftChars="171"/>
        <w:jc w:val="left"/>
        <w:rPr>
          <w:rFonts w:ascii="宋体"/>
          <w:b/>
          <w:bCs/>
          <w:color w:val="auto"/>
          <w:spacing w:val="40"/>
          <w:sz w:val="44"/>
          <w:szCs w:val="44"/>
          <w:highlight w:val="none"/>
        </w:rPr>
      </w:pPr>
    </w:p>
    <w:p>
      <w:pPr>
        <w:spacing w:line="360" w:lineRule="auto"/>
        <w:rPr>
          <w:rFonts w:ascii="宋体"/>
          <w:b/>
          <w:bCs/>
          <w:color w:val="auto"/>
          <w:spacing w:val="40"/>
          <w:sz w:val="44"/>
          <w:szCs w:val="44"/>
          <w:highlight w:val="none"/>
        </w:rPr>
      </w:pPr>
    </w:p>
    <w:p>
      <w:pPr>
        <w:spacing w:line="360" w:lineRule="auto"/>
        <w:ind w:left="359" w:leftChars="171"/>
        <w:jc w:val="center"/>
        <w:rPr>
          <w:rFonts w:hint="eastAsia" w:ascii="宋体" w:eastAsia="宋体"/>
          <w:b/>
          <w:bCs/>
          <w:color w:val="auto"/>
          <w:spacing w:val="40"/>
          <w:sz w:val="44"/>
          <w:szCs w:val="44"/>
          <w:highlight w:val="none"/>
          <w:lang w:eastAsia="zh-CN"/>
        </w:rPr>
      </w:pPr>
      <w:r>
        <w:rPr>
          <w:rFonts w:hint="eastAsia"/>
          <w:color w:val="auto"/>
          <w:sz w:val="36"/>
          <w:highlight w:val="none"/>
          <w:u w:val="single"/>
          <w:lang w:eastAsia="zh-CN"/>
        </w:rPr>
        <w:t>三期基础设施二期项目-启程路（贤达路至沿江大道）建设工程</w:t>
      </w: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947" w:firstLineChars="0"/>
        <w:textAlignment w:val="auto"/>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rPr>
        <w:t>广州花都汽车城发展有限公司</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color w:val="auto"/>
          <w:sz w:val="30"/>
          <w:szCs w:val="30"/>
          <w:highlight w:val="none"/>
          <w:u w:val="single"/>
          <w:lang w:eastAsia="zh-CN"/>
        </w:rPr>
        <w:t>正信伟业工程咨询管理有限公司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color w:val="auto"/>
          <w:sz w:val="32"/>
          <w:highlight w:val="none"/>
          <w:u w:val="single"/>
        </w:rPr>
        <w:t xml:space="preserve"> </w:t>
      </w:r>
      <w:r>
        <w:rPr>
          <w:rFonts w:hint="eastAsia"/>
          <w:color w:val="auto"/>
          <w:sz w:val="32"/>
          <w:highlight w:val="none"/>
          <w:u w:val="single"/>
          <w:lang w:val="en-US" w:eastAsia="zh-CN"/>
        </w:rPr>
        <w:t>2023</w:t>
      </w:r>
      <w:r>
        <w:rPr>
          <w:color w:val="auto"/>
          <w:sz w:val="32"/>
          <w:highlight w:val="none"/>
          <w:u w:val="single"/>
        </w:rPr>
        <w:t xml:space="preserve"> </w:t>
      </w:r>
      <w:r>
        <w:rPr>
          <w:rFonts w:hint="eastAsia"/>
          <w:color w:val="auto"/>
          <w:sz w:val="32"/>
          <w:highlight w:val="none"/>
        </w:rPr>
        <w:t>年</w:t>
      </w:r>
      <w:r>
        <w:rPr>
          <w:color w:val="auto"/>
          <w:sz w:val="32"/>
          <w:highlight w:val="none"/>
          <w:u w:val="single"/>
        </w:rPr>
        <w:t xml:space="preserve"> </w:t>
      </w:r>
      <w:r>
        <w:rPr>
          <w:rFonts w:hint="eastAsia"/>
          <w:color w:val="auto"/>
          <w:sz w:val="32"/>
          <w:highlight w:val="none"/>
          <w:u w:val="single"/>
          <w:lang w:val="en-US" w:eastAsia="zh-CN"/>
        </w:rPr>
        <w:t xml:space="preserve"> </w:t>
      </w:r>
      <w:r>
        <w:rPr>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u w:val="single"/>
          <w:lang w:val="en-US" w:eastAsia="zh-CN"/>
        </w:rPr>
        <w:t xml:space="preserve"> </w:t>
      </w:r>
      <w:r>
        <w:rPr>
          <w:rFonts w:hint="eastAsia"/>
          <w:color w:val="auto"/>
          <w:sz w:val="32"/>
          <w:highlight w:val="none"/>
          <w:u w:val="single"/>
        </w:rPr>
        <w:t xml:space="preserve"> </w:t>
      </w:r>
      <w:r>
        <w:rPr>
          <w:rFonts w:hint="eastAsia"/>
          <w:color w:val="auto"/>
          <w:sz w:val="32"/>
          <w:highlight w:val="none"/>
        </w:rPr>
        <w:t>日</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_Toc31454 </w:instrText>
      </w:r>
      <w:r>
        <w:rPr>
          <w:color w:val="auto"/>
          <w:highlight w:val="none"/>
        </w:rPr>
        <w:fldChar w:fldCharType="separate"/>
      </w:r>
      <w:r>
        <w:rPr>
          <w:rFonts w:hint="eastAsia"/>
          <w:bCs/>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_Toc31454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_Toc21128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_Toc21128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_Toc16679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_Toc16679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_Toc29222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_Toc29222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_Toc9540 </w:instrText>
      </w:r>
      <w:r>
        <w:rPr>
          <w:color w:val="auto"/>
          <w:highlight w:val="none"/>
        </w:rPr>
        <w:fldChar w:fldCharType="separate"/>
      </w:r>
      <w:r>
        <w:rPr>
          <w:rFonts w:hint="eastAsia"/>
          <w:bCs/>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_Toc9540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_Toc19846 </w:instrText>
      </w:r>
      <w:r>
        <w:rPr>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_Toc19846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_Toc19926 </w:instrText>
      </w:r>
      <w:r>
        <w:rPr>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_Toc19926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_Toc22367 </w:instrText>
      </w:r>
      <w:r>
        <w:rPr>
          <w:color w:val="auto"/>
          <w:highlight w:val="none"/>
        </w:rPr>
        <w:fldChar w:fldCharType="separate"/>
      </w:r>
      <w:r>
        <w:rPr>
          <w:rFonts w:hint="eastAsia"/>
          <w:bCs/>
          <w:color w:val="auto"/>
          <w:highlight w:val="none"/>
        </w:rPr>
        <w:t>第三章</w:t>
      </w:r>
      <w:r>
        <w:rPr>
          <w:bCs/>
          <w:color w:val="auto"/>
          <w:highlight w:val="none"/>
        </w:rPr>
        <w:t xml:space="preserve">  </w:t>
      </w:r>
      <w:r>
        <w:rPr>
          <w:rFonts w:hint="eastAsia"/>
          <w:bCs/>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_Toc22367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_Toc24646 </w:instrText>
      </w:r>
      <w:r>
        <w:rPr>
          <w:color w:val="auto"/>
          <w:highlight w:val="none"/>
        </w:rPr>
        <w:fldChar w:fldCharType="separate"/>
      </w:r>
      <w:r>
        <w:rPr>
          <w:rFonts w:hint="eastAsia"/>
          <w:bCs/>
          <w:color w:val="auto"/>
          <w:highlight w:val="none"/>
        </w:rPr>
        <w:t>第四章</w:t>
      </w:r>
      <w:r>
        <w:rPr>
          <w:bCs/>
          <w:color w:val="auto"/>
          <w:highlight w:val="none"/>
        </w:rPr>
        <w:t xml:space="preserve">  </w:t>
      </w:r>
      <w:r>
        <w:rPr>
          <w:rFonts w:hint="eastAsia"/>
          <w:bCs/>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_Toc24646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_Toc19178 </w:instrText>
      </w:r>
      <w:r>
        <w:rPr>
          <w:color w:val="auto"/>
          <w:highlight w:val="none"/>
        </w:rPr>
        <w:fldChar w:fldCharType="separate"/>
      </w:r>
      <w:r>
        <w:rPr>
          <w:rFonts w:hint="eastAsia"/>
          <w:bCs/>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_Toc19178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_Toc6934 </w:instrText>
      </w:r>
      <w:r>
        <w:rPr>
          <w:color w:val="auto"/>
          <w:highlight w:val="none"/>
        </w:rPr>
        <w:fldChar w:fldCharType="separate"/>
      </w:r>
      <w:r>
        <w:rPr>
          <w:rFonts w:hint="eastAsia"/>
          <w:bCs/>
          <w:color w:val="auto"/>
          <w:highlight w:val="none"/>
          <w:lang w:val="en-US" w:eastAsia="zh-CN"/>
        </w:rPr>
        <w:t>第六章</w:t>
      </w:r>
      <w:r>
        <w:rPr>
          <w:rFonts w:hint="eastAsia"/>
          <w:bCs/>
          <w:color w:val="auto"/>
          <w:highlight w:val="none"/>
        </w:rPr>
        <w:t xml:space="preserve"> 图纸及勘察资料</w:t>
      </w:r>
      <w:r>
        <w:rPr>
          <w:color w:val="auto"/>
          <w:highlight w:val="none"/>
        </w:rPr>
        <w:tab/>
      </w:r>
      <w:r>
        <w:rPr>
          <w:color w:val="auto"/>
          <w:highlight w:val="none"/>
        </w:rPr>
        <w:fldChar w:fldCharType="begin"/>
      </w:r>
      <w:r>
        <w:rPr>
          <w:color w:val="auto"/>
          <w:highlight w:val="none"/>
        </w:rPr>
        <w:instrText xml:space="preserve"> PAGEREF _Toc6934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_Toc19885 </w:instrText>
      </w:r>
      <w:r>
        <w:rPr>
          <w:color w:val="auto"/>
          <w:highlight w:val="none"/>
        </w:rPr>
        <w:fldChar w:fldCharType="separate"/>
      </w:r>
      <w:r>
        <w:rPr>
          <w:rFonts w:hint="eastAsia"/>
          <w:bCs/>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_Toc19885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6"/>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_Toc3065 </w:instrText>
      </w:r>
      <w:r>
        <w:rPr>
          <w:color w:val="auto"/>
          <w:highlight w:val="none"/>
        </w:rPr>
        <w:fldChar w:fldCharType="separate"/>
      </w:r>
      <w:r>
        <w:rPr>
          <w:rFonts w:hint="eastAsia"/>
          <w:color w:val="auto"/>
          <w:highlight w:val="none"/>
          <w:lang w:val="en-US" w:eastAsia="zh-CN"/>
        </w:rPr>
        <w:t>第八章  最高投标限价</w:t>
      </w:r>
      <w:r>
        <w:rPr>
          <w:color w:val="auto"/>
          <w:highlight w:val="none"/>
        </w:rPr>
        <w:tab/>
      </w:r>
      <w:r>
        <w:rPr>
          <w:color w:val="auto"/>
          <w:highlight w:val="none"/>
        </w:rPr>
        <w:fldChar w:fldCharType="begin"/>
      </w:r>
      <w:r>
        <w:rPr>
          <w:color w:val="auto"/>
          <w:highlight w:val="none"/>
        </w:rPr>
        <w:instrText xml:space="preserve"> PAGEREF _Toc3065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4"/>
        <w:rPr>
          <w:color w:val="auto"/>
          <w:highlight w:val="none"/>
        </w:rPr>
      </w:pPr>
      <w:r>
        <w:rPr>
          <w:color w:val="auto"/>
          <w:highlight w:val="none"/>
        </w:rPr>
        <w:fldChar w:fldCharType="end"/>
      </w:r>
      <w:bookmarkStart w:id="0" w:name="_Toc2272545"/>
    </w:p>
    <w:p>
      <w:pPr>
        <w:rPr>
          <w:color w:val="auto"/>
          <w:highlight w:val="none"/>
        </w:rPr>
      </w:pPr>
      <w:r>
        <w:rPr>
          <w:color w:val="auto"/>
          <w:highlight w:val="none"/>
        </w:rPr>
        <w:br w:type="page"/>
      </w:r>
    </w:p>
    <w:p>
      <w:pPr>
        <w:pStyle w:val="4"/>
        <w:jc w:val="center"/>
        <w:rPr>
          <w:rFonts w:hint="eastAsia"/>
          <w:b/>
          <w:bCs/>
          <w:color w:val="auto"/>
          <w:highlight w:val="none"/>
        </w:rPr>
      </w:pPr>
      <w:bookmarkStart w:id="1" w:name="_Toc31454"/>
      <w:r>
        <w:rPr>
          <w:rFonts w:hint="eastAsia"/>
          <w:b/>
          <w:bCs/>
          <w:color w:val="auto"/>
          <w:highlight w:val="none"/>
        </w:rPr>
        <w:t>第一章  投标须知</w:t>
      </w:r>
      <w:bookmarkEnd w:id="0"/>
      <w:bookmarkEnd w:id="1"/>
    </w:p>
    <w:p>
      <w:pPr>
        <w:pStyle w:val="5"/>
        <w:rPr>
          <w:color w:val="auto"/>
          <w:highlight w:val="none"/>
        </w:rPr>
      </w:pPr>
      <w:bookmarkStart w:id="2" w:name="_Toc2272546"/>
      <w:bookmarkStart w:id="3" w:name="_Toc21128"/>
      <w:r>
        <w:rPr>
          <w:rFonts w:hint="eastAsia"/>
          <w:color w:val="auto"/>
          <w:highlight w:val="none"/>
        </w:rPr>
        <w:t>一、投标须知前附表</w:t>
      </w:r>
      <w:bookmarkEnd w:id="2"/>
      <w:bookmarkEnd w:id="3"/>
    </w:p>
    <w:p>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广州花都汽车城发展有限公司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正信伟业工程咨询管理有限公司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中国恩菲工程技术有限公司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s="宋体"/>
                <w:color w:val="auto"/>
                <w:szCs w:val="21"/>
                <w:highlight w:val="none"/>
                <w:u w:val="single"/>
              </w:rPr>
              <w:t xml:space="preserve"> /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三期基础设施二期项目-启程路（贤达路至沿江大道）建设工程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包工、包料、包质量、包安全生产、包文明施工、包工期、包承包范围内工程验收通过、包移交、包结算、包资料整理、包施工管理和现场整体组织、包保修等。综合单价包干、项目措施费按实结算。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w:t>
            </w:r>
            <w:r>
              <w:rPr>
                <w:rFonts w:hint="eastAsia" w:ascii="宋体" w:hAnsi="宋体"/>
                <w:color w:val="auto"/>
                <w:szCs w:val="21"/>
                <w:highlight w:val="none"/>
                <w:lang w:val="en-US" w:eastAsia="zh-CN"/>
              </w:rPr>
              <w:t>工</w:t>
            </w:r>
            <w:r>
              <w:rPr>
                <w:rFonts w:hint="eastAsia" w:ascii="宋体" w:hAnsi="宋体"/>
                <w:color w:val="auto"/>
                <w:szCs w:val="21"/>
                <w:highlight w:val="none"/>
              </w:rPr>
              <w:t>期：</w:t>
            </w:r>
            <w:r>
              <w:rPr>
                <w:rFonts w:hint="eastAsia" w:ascii="宋体" w:hAnsi="宋体"/>
                <w:color w:val="auto"/>
                <w:szCs w:val="21"/>
                <w:highlight w:val="none"/>
                <w:u w:val="single"/>
                <w:lang w:val="en-US" w:eastAsia="zh-CN"/>
              </w:rPr>
              <w:t>190</w:t>
            </w:r>
            <w:r>
              <w:rPr>
                <w:rFonts w:hint="eastAsia" w:ascii="宋体" w:hAnsi="宋体"/>
                <w:color w:val="auto"/>
                <w:szCs w:val="21"/>
                <w:highlight w:val="non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120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如投标有效期内发生异议或投诉的，则投标有效期自动延长至异议或投诉处理结束后120日历天。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hint="eastAsia"/>
                <w:color w:val="auto"/>
                <w:highlight w:val="none"/>
              </w:rPr>
            </w:pPr>
            <w:r>
              <w:rPr>
                <w:rFonts w:hint="eastAsia"/>
                <w:color w:val="auto"/>
                <w:highlight w:val="none"/>
              </w:rPr>
              <w:t>金额：</w:t>
            </w:r>
            <w:r>
              <w:rPr>
                <w:rFonts w:hint="eastAsia" w:eastAsia="宋体"/>
                <w:color w:val="auto"/>
                <w:highlight w:val="none"/>
                <w:u w:val="single"/>
                <w:lang w:val="en-US" w:eastAsia="zh-CN"/>
              </w:rPr>
              <w:t>30</w:t>
            </w:r>
            <w:r>
              <w:rPr>
                <w:rFonts w:hint="eastAsia"/>
                <w:color w:val="auto"/>
                <w:highlight w:val="none"/>
                <w:u w:val="single"/>
              </w:rPr>
              <w:t>万元人民币，</w:t>
            </w:r>
            <w:r>
              <w:rPr>
                <w:rFonts w:hint="eastAsia"/>
                <w:color w:val="auto"/>
                <w:highlight w:val="none"/>
              </w:rPr>
              <w:t>缴纳时间</w:t>
            </w:r>
            <w:r>
              <w:rPr>
                <w:rFonts w:hint="eastAsia"/>
                <w:color w:val="auto"/>
                <w:highlight w:val="none"/>
                <w:u w:val="single"/>
              </w:rPr>
              <w:t>在投标截止时间之前。</w:t>
            </w:r>
          </w:p>
          <w:p>
            <w:pPr>
              <w:ind w:firstLine="420" w:firstLineChars="200"/>
              <w:rPr>
                <w:rFonts w:hint="eastAsia"/>
                <w:color w:val="auto"/>
                <w:highlight w:val="none"/>
              </w:rPr>
            </w:pPr>
            <w:r>
              <w:rPr>
                <w:rFonts w:hint="eastAsia"/>
                <w:color w:val="auto"/>
                <w:highlight w:val="none"/>
              </w:rPr>
              <w:t>投标保证金可采用现金或者支票、银行保函（含电子保函）、保证保险、专业担保公司担保等的形式，须在递交投标文件截止时间前完成缴纳。</w:t>
            </w:r>
          </w:p>
          <w:p>
            <w:pPr>
              <w:ind w:firstLine="420" w:firstLineChars="200"/>
              <w:rPr>
                <w:rFonts w:hint="eastAsia"/>
                <w:color w:val="auto"/>
                <w:highlight w:val="none"/>
              </w:rPr>
            </w:pPr>
            <w:r>
              <w:rPr>
                <w:rFonts w:hint="eastAsia"/>
                <w:color w:val="auto"/>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ind w:firstLine="420" w:firstLineChars="200"/>
              <w:rPr>
                <w:rFonts w:hint="eastAsia"/>
                <w:color w:val="auto"/>
                <w:highlight w:val="none"/>
              </w:rPr>
            </w:pPr>
            <w:r>
              <w:rPr>
                <w:rFonts w:hint="eastAsia"/>
                <w:color w:val="auto"/>
                <w:highlight w:val="none"/>
              </w:rPr>
              <w:t>投标人需在交易系统中将汇入投标保证金与投标项目进行绑定，绑定成功后才能被认定为完成缴交投标保证金义务。</w:t>
            </w:r>
          </w:p>
          <w:p>
            <w:pPr>
              <w:ind w:firstLine="420" w:firstLineChars="200"/>
              <w:rPr>
                <w:rFonts w:hint="eastAsia"/>
                <w:color w:val="auto"/>
                <w:highlight w:val="none"/>
              </w:rPr>
            </w:pPr>
            <w:r>
              <w:rPr>
                <w:rFonts w:hint="eastAsia"/>
                <w:color w:val="auto"/>
                <w:highlight w:val="none"/>
              </w:rPr>
              <w:t>收款单位：广州交易集团有限公司，开户银行：中国建设银行广州天润路支行，银行账号：44001583404059333333；</w:t>
            </w:r>
          </w:p>
          <w:p>
            <w:pPr>
              <w:ind w:firstLine="420" w:firstLineChars="200"/>
              <w:rPr>
                <w:rFonts w:hint="eastAsia"/>
                <w:color w:val="auto"/>
                <w:highlight w:val="none"/>
              </w:rPr>
            </w:pPr>
            <w:r>
              <w:rPr>
                <w:rFonts w:hint="eastAsia"/>
                <w:color w:val="auto"/>
                <w:highlight w:val="none"/>
              </w:rPr>
              <w:t xml:space="preserve"> 2、如采用非电子形式的投标保函或投标保证保险或专业担保公司担保提交投标保证金的，在开标前不强制要求投标人提交纸质原件，由中标候选人在中标候选人公示前提交并在网上公示，但投标人应在投标文件中提交投标保函或投标保证保险扫描件并加盖投标人印章。银行保函或专业担保公司担保需开具给招标人，银行保函或专业担保公司担保有效期不少于投标有效期。保证保险需开具给招标人（受益人也必须是招标人），保证保险有效期不少于投标有效期。</w:t>
            </w:r>
          </w:p>
          <w:p>
            <w:pPr>
              <w:ind w:firstLine="420" w:firstLineChars="200"/>
              <w:rPr>
                <w:rFonts w:hint="eastAsia" w:eastAsia="宋体"/>
                <w:color w:val="auto"/>
                <w:highlight w:val="none"/>
                <w:lang w:eastAsia="zh-CN"/>
              </w:rPr>
            </w:pPr>
            <w:r>
              <w:rPr>
                <w:rFonts w:hint="eastAsia"/>
                <w:color w:val="auto"/>
                <w:highlight w:val="none"/>
              </w:rPr>
              <w:t>3、如采用电子投标保函方式提交投标保证金，具体操作详见广州公共资源交易中心电子保函操作指引</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szCs w:val="21"/>
                <w:highlight w:val="none"/>
              </w:rPr>
            </w:pPr>
            <w:r>
              <w:rPr>
                <w:rFonts w:hint="eastAsia" w:ascii="宋体" w:hAnsi="宋体"/>
                <w:color w:val="auto"/>
                <w:szCs w:val="21"/>
                <w:highlight w:val="none"/>
              </w:rPr>
              <w:t>自行踏勘，投标人不进行踏勘的，视为已熟知现场条件，自行承担相关风险。现场详细地点：详见招标公告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1.方式：网上答疑。</w:t>
            </w:r>
          </w:p>
          <w:p>
            <w:pPr>
              <w:rPr>
                <w:rFonts w:ascii="宋体" w:hAnsi="宋体" w:cs="宋体"/>
                <w:color w:val="auto"/>
                <w:szCs w:val="21"/>
                <w:highlight w:val="none"/>
              </w:rPr>
            </w:pPr>
            <w:r>
              <w:rPr>
                <w:rFonts w:hint="eastAsia" w:ascii="宋体" w:hAnsi="宋体" w:cs="宋体"/>
                <w:color w:val="auto"/>
                <w:szCs w:val="21"/>
                <w:highlight w:val="none"/>
              </w:rPr>
              <w:t>2.疑问提交时间：</w:t>
            </w:r>
            <w:r>
              <w:rPr>
                <w:rFonts w:hint="eastAsia" w:ascii="宋体" w:hAnsi="宋体" w:cs="宋体"/>
                <w:color w:val="auto"/>
                <w:szCs w:val="21"/>
                <w:highlight w:val="none"/>
                <w:u w:val="single"/>
              </w:rPr>
              <w:t>递交投标文件截止时间18天前提出</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3.形式：投标人的疑问通过</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Style w:val="112"/>
                <w:rFonts w:hint="eastAsia" w:ascii="宋体" w:hAnsi="宋体"/>
                <w:color w:val="auto"/>
                <w:szCs w:val="21"/>
                <w:highlight w:val="none"/>
              </w:rPr>
              <w:t>4.</w:t>
            </w:r>
            <w:r>
              <w:rPr>
                <w:rFonts w:hint="eastAsia" w:ascii="宋体" w:hAnsi="宋体" w:cs="宋体"/>
                <w:color w:val="auto"/>
                <w:szCs w:val="21"/>
                <w:highlight w:val="none"/>
              </w:rPr>
              <w:t>具体要求：按照交易平台关于全流程电子化项目的相关指南进行操作，详见：广州公共资源交易中心网站发布的最新版操作指引。提问一律不得署名。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投标文件的签署</w:t>
            </w:r>
          </w:p>
        </w:tc>
        <w:tc>
          <w:tcPr>
            <w:tcW w:w="5857" w:type="dxa"/>
            <w:tcBorders>
              <w:top w:val="single" w:color="auto" w:sz="4" w:space="0"/>
              <w:left w:val="single" w:color="auto" w:sz="4" w:space="0"/>
              <w:bottom w:val="single" w:color="auto" w:sz="4" w:space="0"/>
              <w:right w:val="double" w:color="auto" w:sz="4" w:space="0"/>
            </w:tcBorders>
            <w:vAlign w:val="center"/>
          </w:tcPr>
          <w:p>
            <w:pPr>
              <w:rPr>
                <w:rStyle w:val="112"/>
                <w:rFonts w:hint="eastAsia" w:ascii="宋体" w:hAnsi="宋体"/>
                <w:color w:val="auto"/>
                <w:szCs w:val="21"/>
                <w:highlight w:val="none"/>
              </w:rPr>
            </w:pPr>
            <w:r>
              <w:rPr>
                <w:rStyle w:val="112"/>
                <w:rFonts w:hint="eastAsia" w:ascii="宋体" w:hAnsi="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联合体投标的，</w:t>
            </w:r>
            <w:r>
              <w:rPr>
                <w:rStyle w:val="112"/>
                <w:rFonts w:hint="eastAsia" w:ascii="宋体" w:hAnsi="宋体"/>
                <w:color w:val="auto"/>
                <w:szCs w:val="21"/>
                <w:highlight w:val="none"/>
                <w:lang w:val="en-US" w:eastAsia="zh-CN"/>
              </w:rPr>
              <w:t>除</w:t>
            </w:r>
            <w:r>
              <w:rPr>
                <w:rStyle w:val="112"/>
                <w:rFonts w:hint="eastAsia" w:ascii="宋体" w:hAnsi="宋体"/>
                <w:color w:val="auto"/>
                <w:szCs w:val="21"/>
                <w:highlight w:val="none"/>
              </w:rPr>
              <w:t>联合体协议需联合体各方同时盖章</w:t>
            </w:r>
            <w:r>
              <w:rPr>
                <w:rStyle w:val="112"/>
                <w:rFonts w:hint="eastAsia" w:ascii="宋体" w:hAnsi="宋体"/>
                <w:color w:val="auto"/>
                <w:szCs w:val="21"/>
                <w:highlight w:val="none"/>
                <w:lang w:val="en-US" w:eastAsia="zh-CN"/>
              </w:rPr>
              <w:t>外</w:t>
            </w:r>
            <w:r>
              <w:rPr>
                <w:rStyle w:val="112"/>
                <w:rFonts w:hint="eastAsia" w:ascii="宋体" w:hAnsi="宋体"/>
                <w:color w:val="auto"/>
                <w:szCs w:val="21"/>
                <w:highlight w:val="none"/>
              </w:rPr>
              <w:t>，其他</w:t>
            </w:r>
            <w:r>
              <w:rPr>
                <w:rStyle w:val="112"/>
                <w:rFonts w:hint="eastAsia" w:ascii="宋体" w:hAnsi="宋体"/>
                <w:color w:val="auto"/>
                <w:szCs w:val="21"/>
                <w:highlight w:val="none"/>
                <w:lang w:val="en-US" w:eastAsia="zh-CN"/>
              </w:rPr>
              <w:t>投标文件</w:t>
            </w:r>
            <w:r>
              <w:rPr>
                <w:rStyle w:val="112"/>
                <w:rFonts w:hint="eastAsia" w:ascii="宋体" w:hAnsi="宋体"/>
                <w:color w:val="auto"/>
                <w:szCs w:val="21"/>
                <w:highlight w:val="none"/>
              </w:rPr>
              <w:t>由联合体主办方出具</w:t>
            </w:r>
            <w:r>
              <w:rPr>
                <w:rStyle w:val="112"/>
                <w:rFonts w:hint="eastAsia" w:ascii="宋体" w:hAnsi="宋体"/>
                <w:color w:val="auto"/>
                <w:szCs w:val="21"/>
                <w:highlight w:val="none"/>
                <w:lang w:val="en-US" w:eastAsia="zh-CN"/>
              </w:rPr>
              <w:t>并签署</w:t>
            </w:r>
            <w:r>
              <w:rPr>
                <w:rStyle w:val="112"/>
                <w:rFonts w:hint="eastAsia" w:ascii="宋体" w:hAnsi="宋体"/>
                <w:color w:val="auto"/>
                <w:szCs w:val="21"/>
                <w:highlight w:val="none"/>
              </w:rPr>
              <w:t>，其中“单位”或</w:t>
            </w:r>
            <w:r>
              <w:rPr>
                <w:rStyle w:val="112"/>
                <w:rFonts w:hint="eastAsia" w:ascii="宋体" w:hAnsi="宋体"/>
                <w:color w:val="auto"/>
                <w:szCs w:val="21"/>
                <w:highlight w:val="none"/>
                <w:lang w:eastAsia="zh-CN"/>
              </w:rPr>
              <w:t>“</w:t>
            </w:r>
            <w:r>
              <w:rPr>
                <w:rStyle w:val="112"/>
                <w:rFonts w:hint="eastAsia" w:ascii="宋体" w:hAnsi="宋体"/>
                <w:color w:val="auto"/>
                <w:szCs w:val="21"/>
                <w:highlight w:val="none"/>
              </w:rPr>
              <w:t>投标人</w:t>
            </w:r>
            <w:r>
              <w:rPr>
                <w:rStyle w:val="112"/>
                <w:rFonts w:hint="eastAsia" w:ascii="宋体" w:hAnsi="宋体"/>
                <w:color w:val="auto"/>
                <w:szCs w:val="21"/>
                <w:highlight w:val="none"/>
                <w:lang w:eastAsia="zh-CN"/>
              </w:rPr>
              <w:t>”</w:t>
            </w:r>
            <w:r>
              <w:rPr>
                <w:rStyle w:val="112"/>
                <w:rFonts w:hint="eastAsia" w:ascii="宋体" w:hAnsi="宋体"/>
                <w:color w:val="auto"/>
                <w:szCs w:val="21"/>
                <w:highlight w:val="none"/>
              </w:rPr>
              <w:t>一栏可只填写联合体主办方名称。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u w:val="single"/>
                <w:lang w:val="en-US" w:eastAsia="zh-CN"/>
              </w:rPr>
              <w:t>2023</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lang w:val="en-US" w:eastAsia="zh-CN"/>
              </w:rPr>
              <w:t>分</w:t>
            </w:r>
            <w:r>
              <w:rPr>
                <w:rFonts w:hint="eastAsia" w:ascii="宋体" w:hAnsi="宋体"/>
                <w:color w:val="auto"/>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分（与投标截止时间为同一时间），地点：</w:t>
            </w:r>
            <w:r>
              <w:rPr>
                <w:rFonts w:hint="eastAsia" w:ascii="宋体" w:hAnsi="宋体"/>
                <w:color w:val="auto"/>
                <w:szCs w:val="21"/>
                <w:highlight w:val="none"/>
                <w:u w:val="single"/>
              </w:rPr>
              <w:t>广州公共资源交易中心花都交易部。</w:t>
            </w:r>
            <w:r>
              <w:rPr>
                <w:rFonts w:hint="eastAsia" w:ascii="宋体" w:hAnsi="宋体"/>
                <w:b w:val="0"/>
                <w:bCs w:val="0"/>
                <w:color w:val="auto"/>
                <w:szCs w:val="21"/>
                <w:highlight w:val="none"/>
                <w:u w:val="none"/>
              </w:rPr>
              <w:t>投标人也可选择参加在线开标，具体按照交易平台相关指南进行操作。详见：</w:t>
            </w:r>
            <w:r>
              <w:rPr>
                <w:rFonts w:hint="eastAsia" w:ascii="宋体" w:hAnsi="宋体"/>
                <w:b w:val="0"/>
                <w:bCs w:val="0"/>
                <w:color w:val="auto"/>
                <w:szCs w:val="21"/>
                <w:highlight w:val="none"/>
                <w:u w:val="single"/>
              </w:rPr>
              <w:t>广州公共资源交易中心网站发布的最新版操作指引</w:t>
            </w:r>
            <w:r>
              <w:rPr>
                <w:rFonts w:hint="eastAsia" w:ascii="宋体" w:hAnsi="宋体"/>
                <w:b w:val="0"/>
                <w:bCs w:val="0"/>
                <w:color w:val="auto"/>
                <w:szCs w:val="21"/>
                <w:highlight w:val="none"/>
                <w:u w:val="none"/>
              </w:rPr>
              <w:t>。</w:t>
            </w:r>
          </w:p>
          <w:p>
            <w:pPr>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numPr>
                <w:ilvl w:val="0"/>
                <w:numId w:val="3"/>
              </w:numPr>
              <w:rPr>
                <w:rFonts w:hint="eastAsia" w:ascii="宋体" w:hAnsi="宋体" w:cs="宋体"/>
                <w:color w:val="auto"/>
                <w:highlight w:val="none"/>
              </w:rPr>
            </w:pPr>
            <w:r>
              <w:rPr>
                <w:rFonts w:hint="eastAsia" w:ascii="宋体" w:hAnsi="宋体" w:cs="宋体"/>
                <w:color w:val="auto"/>
                <w:szCs w:val="21"/>
                <w:highlight w:val="none"/>
              </w:rPr>
              <w:t>递交投标文件备用光盘</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U盘时间：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分；递交地点：</w:t>
            </w:r>
            <w:r>
              <w:rPr>
                <w:rFonts w:hint="eastAsia" w:ascii="宋体" w:hAnsi="宋体" w:cs="宋体"/>
                <w:color w:val="auto"/>
                <w:highlight w:val="none"/>
              </w:rPr>
              <w:t>广州公共资源交易中心</w:t>
            </w:r>
            <w:r>
              <w:rPr>
                <w:rFonts w:hint="eastAsia" w:ascii="宋体" w:hAnsi="宋体"/>
                <w:color w:val="auto"/>
                <w:szCs w:val="21"/>
                <w:highlight w:val="none"/>
                <w:u w:val="single"/>
              </w:rPr>
              <w:t>花都交易部。</w:t>
            </w:r>
            <w:r>
              <w:rPr>
                <w:rFonts w:hint="eastAsia" w:ascii="宋体" w:hAnsi="宋体" w:cs="宋体"/>
                <w:color w:val="auto"/>
                <w:highlight w:val="none"/>
              </w:rPr>
              <w:t>(投标文件截止时间前15分钟至投标文件截止时间）</w:t>
            </w:r>
          </w:p>
          <w:p>
            <w:pPr>
              <w:rPr>
                <w:rFonts w:hint="eastAsia"/>
                <w:color w:val="auto"/>
                <w:highlight w:val="none"/>
              </w:rPr>
            </w:pPr>
            <w:r>
              <w:rPr>
                <w:rFonts w:hint="eastAsia" w:ascii="宋体" w:hAnsi="宋体" w:cs="宋体"/>
                <w:color w:val="auto"/>
                <w:szCs w:val="21"/>
                <w:highlight w:val="none"/>
              </w:rPr>
              <w:t>3、本项目不设置项目负责人签到。</w:t>
            </w:r>
          </w:p>
          <w:p>
            <w:pPr>
              <w:rPr>
                <w:rFonts w:ascii="宋体" w:hAnsi="宋体"/>
                <w:color w:val="auto"/>
                <w:szCs w:val="21"/>
                <w:highlight w:val="none"/>
              </w:rPr>
            </w:pPr>
            <w:r>
              <w:rPr>
                <w:rFonts w:hint="eastAsia" w:ascii="宋体" w:hAnsi="宋体" w:cs="宋体"/>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color w:val="auto"/>
                <w:szCs w:val="21"/>
                <w:highlight w:val="none"/>
              </w:rPr>
            </w:pPr>
            <w:r>
              <w:rPr>
                <w:rFonts w:hint="eastAsia" w:ascii="宋体" w:hAnsi="宋体" w:cs="宋体"/>
                <w:color w:val="auto"/>
                <w:highlight w:val="none"/>
              </w:rPr>
              <w:t>方式一：选取方法办法七（适合综合评分法四，技术标与经济标同时开启）；投标人总得分（满分100）=技术得分×技术得分权重（20%）＋经济得分×经济得分权重（80%）。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color w:val="auto"/>
                <w:highlight w:val="none"/>
              </w:rPr>
            </w:pPr>
            <w:r>
              <w:rPr>
                <w:rFonts w:hint="eastAsia"/>
                <w:color w:val="auto"/>
                <w:highlight w:val="none"/>
              </w:rPr>
              <w:t>方式一：中标人提供的履约保证金为中标价款的10%。</w:t>
            </w:r>
          </w:p>
          <w:p>
            <w:pPr>
              <w:pStyle w:val="35"/>
              <w:spacing w:after="0"/>
              <w:ind w:firstLine="0"/>
              <w:rPr>
                <w:rFonts w:ascii="宋体" w:hAnsi="宋体"/>
                <w:color w:val="auto"/>
                <w:highlight w:val="none"/>
              </w:rPr>
            </w:pPr>
            <w:r>
              <w:rPr>
                <w:rFonts w:hint="eastAsia" w:ascii="宋体" w:hAnsi="宋体" w:cs="宋体"/>
                <w:color w:val="auto"/>
                <w:szCs w:val="21"/>
                <w:highlight w:val="none"/>
                <w:u w:val="single"/>
              </w:rPr>
              <w:t>中标人的履约担保可采用以现金、银行保函、保证保险、专业担保公司担保等的形式提供。联合体中标的，其履约担保由联合体各方或者联合体中主办方的名义提交</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rPr>
              <w:t>90181768.62</w:t>
            </w:r>
            <w:r>
              <w:rPr>
                <w:rFonts w:hint="eastAsia" w:ascii="宋体" w:hAnsi="宋体"/>
                <w:color w:val="auto"/>
                <w:szCs w:val="21"/>
                <w:highlight w:val="none"/>
              </w:rPr>
              <w:t>元，投标</w:t>
            </w:r>
            <w:r>
              <w:rPr>
                <w:rFonts w:hint="eastAsia" w:ascii="宋体" w:hAnsi="宋体"/>
                <w:color w:val="auto"/>
                <w:szCs w:val="21"/>
                <w:highlight w:val="none"/>
                <w:lang w:val="en-US" w:eastAsia="zh-CN"/>
              </w:rPr>
              <w:t>报</w:t>
            </w:r>
            <w:r>
              <w:rPr>
                <w:rFonts w:hint="eastAsia" w:ascii="宋体" w:hAnsi="宋体"/>
                <w:color w:val="auto"/>
                <w:szCs w:val="21"/>
                <w:highlight w:val="none"/>
              </w:rPr>
              <w:t>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2881509.68</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元，暂估价为</w:t>
            </w:r>
            <w:r>
              <w:rPr>
                <w:rFonts w:hint="eastAsia" w:ascii="宋体" w:hAnsi="宋体"/>
                <w:color w:val="auto"/>
                <w:szCs w:val="21"/>
                <w:highlight w:val="none"/>
                <w:u w:val="single"/>
              </w:rPr>
              <w:t>1856600</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s="宋体"/>
                <w:color w:val="auto"/>
                <w:szCs w:val="21"/>
                <w:highlight w:val="none"/>
                <w:u w:val="single"/>
                <w:lang w:val="en-US" w:eastAsia="zh-CN"/>
              </w:rPr>
              <w:t>85672680.19</w:t>
            </w:r>
            <w:r>
              <w:rPr>
                <w:rFonts w:hint="eastAsia" w:ascii="宋体" w:hAnsi="宋体" w:cs="宋体"/>
                <w:color w:val="auto"/>
                <w:szCs w:val="21"/>
                <w:highlight w:val="none"/>
                <w:u w:val="single"/>
              </w:rPr>
              <w:t>元（最高投标限价的</w:t>
            </w:r>
            <w:r>
              <w:rPr>
                <w:rFonts w:hint="eastAsia" w:ascii="宋体" w:hAnsi="宋体" w:cs="宋体"/>
                <w:color w:val="auto"/>
                <w:szCs w:val="21"/>
                <w:highlight w:val="none"/>
                <w:u w:val="single"/>
                <w:lang w:val="en-US" w:eastAsia="zh-CN"/>
              </w:rPr>
              <w:t>95%</w:t>
            </w:r>
            <w:r>
              <w:rPr>
                <w:rFonts w:hint="eastAsia" w:ascii="宋体" w:hAnsi="宋体" w:cs="宋体"/>
                <w:color w:val="auto"/>
                <w:szCs w:val="21"/>
                <w:highlight w:val="none"/>
                <w:u w:val="singl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r>
              <w:rPr>
                <w:rFonts w:hint="eastAsia" w:ascii="宋体" w:hAnsi="宋体"/>
                <w:color w:val="auto"/>
                <w:kern w:val="2"/>
                <w:sz w:val="21"/>
                <w:szCs w:val="22"/>
                <w:highlight w:val="none"/>
              </w:rPr>
              <w:t>评标委员会人数为5人，从广东省综合评标评审专家库中抽取。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Times New Roman" w:hAnsi="Times New Roman"/>
                <w:color w:val="auto"/>
                <w:szCs w:val="21"/>
                <w:highlight w:val="none"/>
                <w:u w:val="single"/>
              </w:rPr>
              <w:t>按</w:t>
            </w:r>
            <w:r>
              <w:rPr>
                <w:rFonts w:hint="eastAsia" w:ascii="宋体" w:hAnsi="宋体" w:cs="宋体"/>
                <w:bCs/>
                <w:color w:val="auto"/>
                <w:szCs w:val="21"/>
                <w:highlight w:val="none"/>
                <w:u w:val="single"/>
              </w:rPr>
              <w:t>招标文件及</w:t>
            </w:r>
            <w:r>
              <w:rPr>
                <w:rFonts w:hint="eastAsia" w:ascii="Times New Roman" w:hAnsi="Times New Roman"/>
                <w:color w:val="auto"/>
                <w:szCs w:val="21"/>
                <w:highlight w:val="none"/>
                <w:u w:val="single"/>
              </w:rPr>
              <w:t>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不允许；</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□允许：分包内容要要求：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lang w:val="en-US" w:eastAsia="zh-CN"/>
              </w:rPr>
              <w:t>/</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或U盘，下同）</w:t>
            </w:r>
            <w:r>
              <w:rPr>
                <w:rFonts w:hint="eastAsia" w:ascii="宋体" w:hAnsi="宋体" w:cs="Courier New"/>
                <w:color w:val="auto"/>
                <w:szCs w:val="21"/>
                <w:highlight w:val="none"/>
              </w:rPr>
              <w:t>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或U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w:t>
            </w:r>
          </w:p>
        </w:tc>
        <w:tc>
          <w:tcPr>
            <w:tcW w:w="8648" w:type="dxa"/>
            <w:gridSpan w:val="3"/>
            <w:tcBorders>
              <w:top w:val="single" w:color="auto" w:sz="4" w:space="0"/>
              <w:left w:val="single" w:color="auto" w:sz="4" w:space="0"/>
              <w:bottom w:val="double" w:color="auto" w:sz="4" w:space="0"/>
              <w:right w:val="double" w:color="auto" w:sz="4" w:space="0"/>
            </w:tcBorders>
            <w:vAlign w:val="center"/>
          </w:tcPr>
          <w:p>
            <w:pPr>
              <w:numPr>
                <w:ilvl w:val="0"/>
                <w:numId w:val="4"/>
              </w:numPr>
              <w:jc w:val="left"/>
              <w:rPr>
                <w:rFonts w:hint="eastAsia" w:ascii="宋体" w:hAnsi="宋体"/>
                <w:color w:val="auto"/>
                <w:szCs w:val="21"/>
                <w:highlight w:val="none"/>
                <w:u w:val="single"/>
              </w:rPr>
            </w:pPr>
            <w:r>
              <w:rPr>
                <w:rFonts w:hint="eastAsia" w:ascii="宋体" w:hAnsi="宋体"/>
                <w:color w:val="auto"/>
                <w:szCs w:val="21"/>
                <w:highlight w:val="none"/>
                <w:u w:val="single"/>
              </w:rPr>
              <w:t>中标人代缴公共资源交易服务费，其费用包含在中标人投标报价中，交易中心向中标人开具增值税发票。</w:t>
            </w:r>
          </w:p>
          <w:p>
            <w:pPr>
              <w:rPr>
                <w:rFonts w:hint="eastAsia" w:ascii="宋体" w:hAnsi="宋体" w:cs="Courier New"/>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本项目招标代理服务费由中标人支付，</w:t>
            </w:r>
            <w:r>
              <w:rPr>
                <w:rFonts w:hint="eastAsia" w:ascii="宋体" w:hAnsi="宋体" w:cs="宋体"/>
                <w:color w:val="auto"/>
                <w:szCs w:val="21"/>
                <w:highlight w:val="none"/>
                <w:u w:val="single"/>
              </w:rPr>
              <w:t>金额以招标人与招标代理机构签订的招标代理合同为准</w:t>
            </w:r>
            <w:r>
              <w:rPr>
                <w:rFonts w:hint="eastAsia" w:ascii="宋体" w:hAnsi="宋体"/>
                <w:color w:val="auto"/>
                <w:szCs w:val="21"/>
                <w:highlight w:val="none"/>
                <w:u w:val="single"/>
              </w:rPr>
              <w:t>。</w:t>
            </w:r>
          </w:p>
        </w:tc>
      </w:tr>
    </w:tbl>
    <w:p>
      <w:pPr>
        <w:spacing w:line="480" w:lineRule="auto"/>
        <w:rPr>
          <w:rFonts w:ascii="宋体"/>
          <w:strike/>
          <w:dstrike w:val="0"/>
          <w:color w:val="auto"/>
          <w:sz w:val="24"/>
          <w:highlight w:val="none"/>
        </w:rPr>
      </w:pPr>
      <w:r>
        <w:rPr>
          <w:rFonts w:hint="eastAsia" w:ascii="宋体" w:hAnsi="宋体"/>
          <w:strike/>
          <w:dstrike w:val="0"/>
          <w:color w:val="auto"/>
          <w:sz w:val="24"/>
          <w:highlight w:val="none"/>
        </w:rPr>
        <w:t>注：企业</w:t>
      </w:r>
      <w:r>
        <w:rPr>
          <w:rFonts w:hint="eastAsia" w:ascii="宋体" w:hAnsi="宋体" w:cs="宋体"/>
          <w:strike/>
          <w:dstrike w:val="0"/>
          <w:color w:val="auto"/>
          <w:kern w:val="0"/>
          <w:sz w:val="24"/>
          <w:highlight w:val="none"/>
        </w:rPr>
        <w:t>综合诚信评价得分即</w:t>
      </w:r>
      <w:r>
        <w:rPr>
          <w:rFonts w:hint="eastAsia" w:ascii="宋体" w:hAnsi="宋体"/>
          <w:strike/>
          <w:dstrike w:val="0"/>
          <w:color w:val="auto"/>
          <w:sz w:val="24"/>
          <w:highlight w:val="none"/>
        </w:rPr>
        <w:t>企业</w:t>
      </w:r>
      <w:r>
        <w:rPr>
          <w:rFonts w:hint="eastAsia" w:ascii="宋体" w:hAnsi="宋体" w:cs="宋体"/>
          <w:strike/>
          <w:dstrike w:val="0"/>
          <w:color w:val="auto"/>
          <w:kern w:val="0"/>
          <w:sz w:val="24"/>
          <w:highlight w:val="none"/>
        </w:rPr>
        <w:t>综合诚信评价</w:t>
      </w:r>
      <w:r>
        <w:rPr>
          <w:rFonts w:ascii="宋体" w:hAnsi="宋体" w:cs="宋体"/>
          <w:strike/>
          <w:dstrike w:val="0"/>
          <w:color w:val="auto"/>
          <w:kern w:val="0"/>
          <w:sz w:val="24"/>
          <w:highlight w:val="none"/>
        </w:rPr>
        <w:t>60</w:t>
      </w:r>
      <w:r>
        <w:rPr>
          <w:rFonts w:hint="eastAsia" w:ascii="宋体" w:hAnsi="宋体" w:cs="宋体"/>
          <w:strike/>
          <w:dstrike w:val="0"/>
          <w:color w:val="auto"/>
          <w:kern w:val="0"/>
          <w:sz w:val="24"/>
          <w:highlight w:val="none"/>
        </w:rPr>
        <w:t>日诚信分，以下同。</w:t>
      </w:r>
    </w:p>
    <w:p>
      <w:pPr>
        <w:pStyle w:val="5"/>
        <w:rPr>
          <w:color w:val="auto"/>
          <w:highlight w:val="none"/>
        </w:rPr>
      </w:pPr>
      <w:r>
        <w:rPr>
          <w:color w:val="auto"/>
          <w:highlight w:val="none"/>
        </w:rPr>
        <w:br w:type="page"/>
      </w:r>
      <w:bookmarkStart w:id="4" w:name="_Toc2272547"/>
      <w:bookmarkStart w:id="5" w:name="_Toc16679"/>
      <w:r>
        <w:rPr>
          <w:rFonts w:hint="eastAsia"/>
          <w:color w:val="auto"/>
          <w:highlight w:val="none"/>
        </w:rPr>
        <w:t>二、投标须知修改表</w:t>
      </w:r>
      <w:bookmarkEnd w:id="4"/>
      <w:bookmarkEnd w:id="5"/>
    </w:p>
    <w:p>
      <w:pPr>
        <w:pStyle w:val="3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u w:val="single"/>
        </w:rPr>
      </w:pPr>
      <w:r>
        <w:rPr>
          <w:rFonts w:hint="eastAsia" w:ascii="宋体" w:hAnsi="宋体" w:cs="宋体"/>
          <w:b/>
          <w:color w:val="auto"/>
          <w:szCs w:val="21"/>
          <w:highlight w:val="none"/>
        </w:rPr>
        <w:t>现文：2.5</w:t>
      </w: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val="en-US" w:eastAsia="zh-CN"/>
        </w:rPr>
        <w:t>5.1</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1"/>
          <w:szCs w:val="21"/>
          <w:highlight w:val="none"/>
          <w:u w:val="single"/>
        </w:rPr>
        <w:t>投标人不进行踏勘的，视为已熟知现场条件，自行承担相关风险</w:t>
      </w:r>
      <w:r>
        <w:rPr>
          <w:rFonts w:hint="eastAsia" w:ascii="宋体" w:hAnsi="宋体" w:cs="宋体"/>
          <w:color w:val="auto"/>
          <w:sz w:val="21"/>
          <w:szCs w:val="21"/>
          <w:highlight w:val="none"/>
        </w:rPr>
        <w:t>。一旦中标，这种考察即被认为其结果已在中标文件中得到充分反映。</w:t>
      </w:r>
      <w:r>
        <w:rPr>
          <w:rFonts w:hint="eastAsia" w:ascii="宋体" w:hAnsi="宋体" w:cs="宋体"/>
          <w:color w:val="auto"/>
          <w:sz w:val="21"/>
          <w:szCs w:val="21"/>
          <w:highlight w:val="none"/>
          <w:u w:val="single"/>
        </w:rPr>
        <w:t>招标人不受理因投标人缺乏对现场条件的了解或掌握而提出的任何索赔。</w:t>
      </w:r>
      <w:r>
        <w:rPr>
          <w:rFonts w:hint="eastAsia" w:ascii="宋体" w:hAnsi="宋体" w:cs="宋体"/>
          <w:color w:val="auto"/>
          <w:sz w:val="21"/>
          <w:szCs w:val="21"/>
          <w:highlight w:val="none"/>
        </w:rPr>
        <w:t>考察现场的费用由投标人自己承担</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7.1</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第五章  </w:t>
      </w:r>
      <w:r>
        <w:rPr>
          <w:rFonts w:hint="eastAsia" w:ascii="宋体" w:hAnsi="宋体" w:cs="宋体"/>
          <w:color w:val="auto"/>
          <w:szCs w:val="21"/>
          <w:highlight w:val="none"/>
        </w:rPr>
        <w:t>技术条件（工程建设标准）（另册）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第八章  最高投标限价</w:t>
      </w:r>
      <w:r>
        <w:rPr>
          <w:rFonts w:hint="eastAsia" w:ascii="宋体" w:hAnsi="宋体" w:cs="宋体"/>
          <w:color w:val="auto"/>
          <w:szCs w:val="21"/>
          <w:highlight w:val="none"/>
          <w:u w:val="single"/>
        </w:rPr>
        <w:t>（另册）</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Cs w:val="21"/>
          <w:highlight w:val="none"/>
          <w:u w:val="none"/>
        </w:rPr>
      </w:pPr>
      <w:r>
        <w:rPr>
          <w:rFonts w:hint="eastAsia" w:ascii="宋体" w:hAnsi="宋体" w:cs="宋体"/>
          <w:color w:val="auto"/>
          <w:szCs w:val="21"/>
          <w:highlight w:val="none"/>
          <w:u w:val="none"/>
        </w:rPr>
        <w:t>注：招标人应在技术条件（工程建设标准）中明确施工现场建筑垃圾源头减量的具体要求和建筑垃圾综合利用产品的使用要求。</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8.1投标人若对招标文件（包括招标图纸）中有疑问，</w:t>
      </w:r>
      <w:r>
        <w:rPr>
          <w:rFonts w:hint="eastAsia" w:ascii="宋体" w:hAnsi="宋体" w:cs="宋体"/>
          <w:color w:val="auto"/>
          <w:szCs w:val="21"/>
          <w:highlight w:val="none"/>
          <w:u w:val="single"/>
        </w:rPr>
        <w:t>可在规定的时间内通过广州公共资源交易中心网站进入提问区域将问题提交给招标人或招标代理人，提交问题时一律不得署名</w:t>
      </w:r>
      <w:r>
        <w:rPr>
          <w:rFonts w:hint="eastAsia" w:ascii="宋体" w:hAnsi="宋体" w:cs="宋体"/>
          <w:color w:val="auto"/>
          <w:szCs w:val="21"/>
          <w:highlight w:val="none"/>
        </w:rPr>
        <w:t>，提交形式见本须知前附表第16项。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交易平台发布，视作已发放给所有投标人。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条款号：8.4                  修改类型：修改</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13" w:firstLineChars="196"/>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（3）其他辅助说明资料。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11.2投标文件技术标部分主要包括下列内容: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11.2.2 资格审查文件：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（提交原件扫描件，格式见本招标文件第四章 “技术标投标文件格式”格式4）</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（3）企业营业执照（</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（5）建筑施工企业安全生产许可证（</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（6）项目负责人（</w:t>
      </w:r>
      <w:r>
        <w:rPr>
          <w:rFonts w:hint="eastAsia" w:ascii="宋体" w:hAnsi="宋体" w:cs="宋体"/>
          <w:bCs/>
          <w:color w:val="auto"/>
          <w:szCs w:val="21"/>
          <w:highlight w:val="none"/>
        </w:rPr>
        <w:t>按网上投标登记时选择拟投标的项目负责人</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（7）专职安全员（</w:t>
      </w:r>
      <w:r>
        <w:rPr>
          <w:rFonts w:hint="eastAsia" w:ascii="宋体" w:hAnsi="宋体" w:cs="宋体"/>
          <w:bCs/>
          <w:color w:val="auto"/>
          <w:szCs w:val="21"/>
          <w:highlight w:val="none"/>
        </w:rPr>
        <w:t>按网上投标登记时选择拟投标的专职安全员</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rPr>
        <w:t>拟委托技术负责人的</w:t>
      </w:r>
      <w:r>
        <w:rPr>
          <w:rFonts w:hint="eastAsia" w:ascii="宋体" w:hAnsi="宋体" w:cs="宋体"/>
          <w:bCs/>
          <w:color w:val="auto"/>
          <w:szCs w:val="21"/>
          <w:highlight w:val="none"/>
          <w:u w:val="single"/>
        </w:rPr>
        <w:t>职称证书（提交原件扫描件）</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u w:val="single"/>
        </w:rPr>
        <w:t>拟委派项目负责人的建造师注册证书</w:t>
      </w:r>
      <w:r>
        <w:rPr>
          <w:rFonts w:hint="eastAsia" w:ascii="宋体" w:hAnsi="宋体" w:cs="宋体"/>
          <w:bCs/>
          <w:color w:val="auto"/>
          <w:szCs w:val="21"/>
          <w:highlight w:val="none"/>
        </w:rPr>
        <w:t>（取自平台内上传件）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bCs/>
          <w:color w:val="auto"/>
          <w:szCs w:val="21"/>
          <w:highlight w:val="none"/>
        </w:rPr>
        <w:t>项目负责人安全培训考核合格证明或在有效期内的安全考核合格证书（B类）或建筑施工企业项目负责人安全生产考核合格证书（取自平台内上传件）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专职安全员须具有在有效期内的安全考核合格证书（C类）或建筑施工企业专职安全生产管理人员安全生产考核合格证书（取自平台内上传件）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u w:val="single"/>
        </w:rPr>
        <w:t>企业信用档案</w:t>
      </w:r>
      <w:r>
        <w:rPr>
          <w:rFonts w:hint="eastAsia" w:ascii="宋体" w:hAnsi="宋体" w:cs="宋体"/>
          <w:color w:val="auto"/>
          <w:szCs w:val="21"/>
          <w:highlight w:val="none"/>
          <w:u w:val="single"/>
        </w:rPr>
        <w:t>取自投标截止时间投标人在</w:t>
      </w:r>
      <w:r>
        <w:rPr>
          <w:rFonts w:hint="eastAsia" w:ascii="宋体" w:hAnsi="宋体" w:cs="宋体"/>
          <w:bCs/>
          <w:color w:val="auto"/>
          <w:szCs w:val="21"/>
          <w:highlight w:val="none"/>
          <w:u w:val="single"/>
        </w:rPr>
        <w:t>平台内</w:t>
      </w:r>
      <w:r>
        <w:rPr>
          <w:rFonts w:hint="eastAsia" w:ascii="宋体" w:hAnsi="宋体" w:cs="宋体"/>
          <w:color w:val="auto"/>
          <w:szCs w:val="21"/>
          <w:highlight w:val="none"/>
          <w:u w:val="single"/>
        </w:rPr>
        <w:t>的信息，投标人无需提交相关资料，若招标人延长投标登记时间，</w:t>
      </w:r>
      <w:r>
        <w:rPr>
          <w:rFonts w:hint="eastAsia" w:ascii="宋体" w:hAnsi="宋体" w:cs="宋体"/>
          <w:bCs/>
          <w:color w:val="auto"/>
          <w:szCs w:val="21"/>
          <w:highlight w:val="none"/>
          <w:u w:val="single"/>
        </w:rPr>
        <w:t>信用档案</w:t>
      </w:r>
      <w:r>
        <w:rPr>
          <w:rFonts w:hint="eastAsia" w:ascii="宋体" w:hAnsi="宋体" w:cs="宋体"/>
          <w:color w:val="auto"/>
          <w:szCs w:val="21"/>
          <w:highlight w:val="none"/>
          <w:u w:val="single"/>
        </w:rPr>
        <w:t>信息的评审时点也相应延长</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cs="宋体"/>
          <w:bCs/>
          <w:color w:val="auto"/>
          <w:szCs w:val="21"/>
          <w:highlight w:val="none"/>
        </w:rPr>
        <w:t>（13）</w:t>
      </w:r>
      <w:r>
        <w:rPr>
          <w:rFonts w:hint="eastAsia" w:ascii="宋体" w:hAnsi="宋体" w:cs="宋体"/>
          <w:color w:val="auto"/>
          <w:szCs w:val="21"/>
          <w:highlight w:val="none"/>
          <w:u w:val="single"/>
        </w:rPr>
        <w:t>投标人认为应提供的其他资料</w:t>
      </w:r>
      <w:r>
        <w:rPr>
          <w:rFonts w:hint="eastAsia" w:ascii="宋体" w:hAnsi="宋体" w:cs="宋体"/>
          <w:color w:val="auto"/>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）投标人应详细列出该施工组织机构中主要成员的名单、简历资料、职务职称和在本项目中拟担任的职务等资料，并附上有关证明材料扫描件</w:t>
      </w:r>
      <w:r>
        <w:rPr>
          <w:rFonts w:hint="eastAsia" w:ascii="宋体" w:hAnsi="宋体" w:cs="宋体"/>
          <w:bCs/>
          <w:color w:val="auto"/>
          <w:szCs w:val="21"/>
          <w:highlight w:val="none"/>
          <w:u w:val="single"/>
        </w:rPr>
        <w:t>（格式见</w:t>
      </w:r>
      <w:r>
        <w:rPr>
          <w:rFonts w:hint="eastAsia" w:ascii="宋体" w:hAnsi="宋体" w:cs="宋体"/>
          <w:bCs/>
          <w:color w:val="auto"/>
          <w:szCs w:val="21"/>
          <w:highlight w:val="none"/>
          <w:u w:val="single"/>
          <w:lang w:val="en-US" w:eastAsia="zh-CN"/>
        </w:rPr>
        <w:t>招标公告附件《施工项目管理团队人员信息表》</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kern w:val="0"/>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）其他辅助说明资料。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11.2.4</w:t>
      </w:r>
      <w:r>
        <w:rPr>
          <w:rFonts w:hint="eastAsia" w:ascii="宋体" w:hAnsi="宋体" w:cs="宋体"/>
          <w:bCs/>
          <w:color w:val="auto"/>
          <w:szCs w:val="21"/>
          <w:highlight w:val="none"/>
          <w:u w:val="single"/>
        </w:rPr>
        <w:t>投标函</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提交原件扫描件，格式见本招标文件第四章 “技术标投标文件格式”格式3</w:t>
      </w:r>
      <w:r>
        <w:rPr>
          <w:rFonts w:hint="eastAsia" w:ascii="宋体" w:hAnsi="宋体" w:cs="宋体"/>
          <w:bCs/>
          <w:color w:val="auto"/>
          <w:szCs w:val="21"/>
          <w:highlight w:val="none"/>
        </w:rPr>
        <w:t>)</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11.2.5</w:t>
      </w:r>
      <w:r>
        <w:rPr>
          <w:rFonts w:hint="eastAsia" w:ascii="宋体" w:hAnsi="宋体" w:cs="宋体"/>
          <w:color w:val="auto"/>
          <w:szCs w:val="21"/>
          <w:highlight w:val="none"/>
          <w:u w:val="single"/>
        </w:rPr>
        <w:t>《响应招标文件所附施工组织设计要点的承诺书》（</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11.2.6</w:t>
      </w:r>
      <w:r>
        <w:rPr>
          <w:rFonts w:hint="eastAsia" w:ascii="宋体" w:hAnsi="宋体" w:cs="宋体"/>
          <w:color w:val="auto"/>
          <w:szCs w:val="21"/>
          <w:highlight w:val="none"/>
          <w:u w:val="single"/>
        </w:rPr>
        <w:t>危险性较大的分部分项工程清单及超过一定规模的危险性较大的分部分项工程清单（</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6</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11.2.7</w:t>
      </w:r>
      <w:r>
        <w:rPr>
          <w:rFonts w:hint="eastAsia" w:ascii="宋体" w:hAnsi="宋体" w:cs="宋体"/>
          <w:color w:val="auto"/>
          <w:szCs w:val="21"/>
          <w:highlight w:val="none"/>
          <w:u w:val="single"/>
          <w:lang w:eastAsia="zh-CN"/>
        </w:rPr>
        <w:t>企业类似工程业绩</w:t>
      </w:r>
      <w:r>
        <w:rPr>
          <w:rFonts w:hint="eastAsia" w:ascii="宋体" w:hAnsi="宋体" w:cs="宋体"/>
          <w:color w:val="auto"/>
          <w:szCs w:val="21"/>
          <w:highlight w:val="none"/>
          <w:u w:val="single"/>
        </w:rPr>
        <w:t>（格式见本招标文件第四章 “技术标投标文件格式”格式</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11.2.8</w:t>
      </w:r>
      <w:r>
        <w:rPr>
          <w:rFonts w:hint="eastAsia" w:ascii="宋体" w:hAnsi="宋体" w:cs="宋体"/>
          <w:color w:val="auto"/>
          <w:szCs w:val="21"/>
          <w:highlight w:val="none"/>
          <w:u w:val="single"/>
        </w:rPr>
        <w:t>企业相关资料：奖项、第三方评价证明资料等（格式见本招标文件第四章 “技术标投标文件格式”格式</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按照</w:t>
      </w:r>
      <w:r>
        <w:rPr>
          <w:rFonts w:hint="eastAsia" w:ascii="宋体" w:hAnsi="宋体" w:cs="宋体"/>
          <w:bCs/>
          <w:color w:val="auto"/>
          <w:szCs w:val="21"/>
          <w:highlight w:val="none"/>
          <w:u w:val="single"/>
        </w:rPr>
        <w:t>招标文件要求</w:t>
      </w:r>
      <w:r>
        <w:rPr>
          <w:rFonts w:hint="eastAsia" w:ascii="宋体" w:hAnsi="宋体" w:cs="宋体"/>
          <w:color w:val="auto"/>
          <w:szCs w:val="21"/>
          <w:highlight w:val="none"/>
          <w:u w:val="single"/>
        </w:rPr>
        <w:t>填写的《参与编制技术标投标文件人员名单》（格式见本招标文件第四章 “技术标投标文件格式”格式</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u w:val="single"/>
        </w:rPr>
        <w:t>投标人认为应该提供的其他资料。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ascii="宋体"/>
          <w:color w:val="auto"/>
          <w:szCs w:val="21"/>
          <w:highlight w:val="none"/>
        </w:rPr>
      </w:pPr>
      <w:r>
        <w:rPr>
          <w:rFonts w:hint="eastAsia" w:ascii="宋体" w:hAnsi="宋体" w:cs="宋体"/>
          <w:b/>
          <w:color w:val="auto"/>
          <w:szCs w:val="21"/>
          <w:highlight w:val="none"/>
        </w:rPr>
        <w:t>原文：</w:t>
      </w: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（3）工程项目投标报价汇总表；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hAnsi="宋体"/>
          <w:color w:val="auto"/>
          <w:szCs w:val="21"/>
          <w:highlight w:val="none"/>
        </w:rPr>
      </w:pPr>
      <w:r>
        <w:rPr>
          <w:rFonts w:hint="eastAsia" w:ascii="宋体" w:hAnsi="宋体"/>
          <w:color w:val="auto"/>
          <w:szCs w:val="21"/>
          <w:highlight w:val="none"/>
        </w:rPr>
        <w:t>（4）单项工程投标报价汇总表；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（5）单位工程投标报价汇总表；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（6）分部分项工程清单与计价表；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（7）单价措施项目清单与计价表；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（8）总价措施项目清单与计价表；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（9）综合单价分析表；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（10）其他项目清单与计价汇总表；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（11）暂列金额明细表；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（12）材料（工程设备）暂估价明细表；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（13）专业工程暂估价明细表；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（14）计日工表；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（15）总承包服务计价表；</w:t>
      </w:r>
    </w:p>
    <w:p>
      <w:pPr>
        <w:keepNext w:val="0"/>
        <w:keepLines w:val="0"/>
        <w:pageBreakBefore w:val="0"/>
        <w:widowControl w:val="0"/>
        <w:kinsoku/>
        <w:wordWrap/>
        <w:overflowPunct/>
        <w:topLinePunct w:val="0"/>
        <w:autoSpaceDE/>
        <w:autoSpaceDN/>
        <w:bidi w:val="0"/>
        <w:adjustRightInd/>
        <w:snapToGrid/>
        <w:spacing w:line="360" w:lineRule="auto"/>
        <w:ind w:firstLine="495" w:firstLineChars="236"/>
        <w:textAlignment w:val="auto"/>
        <w:rPr>
          <w:rFonts w:ascii="宋体"/>
          <w:color w:val="auto"/>
          <w:szCs w:val="21"/>
          <w:highlight w:val="none"/>
        </w:rPr>
      </w:pPr>
      <w:r>
        <w:rPr>
          <w:rFonts w:hint="eastAsia" w:ascii="宋体" w:hAnsi="宋体"/>
          <w:color w:val="auto"/>
          <w:szCs w:val="21"/>
          <w:highlight w:val="none"/>
        </w:rPr>
        <w:t>（16）规费和税金项目计价表；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highlight w:val="none"/>
        </w:rPr>
      </w:pPr>
      <w:r>
        <w:rPr>
          <w:rFonts w:hint="eastAsia" w:ascii="宋体" w:hAnsi="宋体"/>
          <w:color w:val="auto"/>
          <w:szCs w:val="21"/>
          <w:highlight w:val="none"/>
        </w:rPr>
        <w:t xml:space="preserve"> （17）人工、主要材料和设备一览表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olor w:val="auto"/>
          <w:szCs w:val="21"/>
          <w:highlight w:val="none"/>
        </w:rPr>
        <w:t>11.3.</w:t>
      </w:r>
      <w:r>
        <w:rPr>
          <w:rFonts w:hint="eastAsia" w:ascii="宋体" w:hAnsi="宋体"/>
          <w:color w:val="auto"/>
          <w:szCs w:val="21"/>
          <w:highlight w:val="none"/>
        </w:rPr>
        <w:t>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w:t>
      </w:r>
      <w:r>
        <w:rPr>
          <w:rFonts w:hint="eastAsia"/>
          <w:color w:val="auto"/>
          <w:szCs w:val="21"/>
          <w:highlight w:val="none"/>
          <w:u w:val="single"/>
        </w:rPr>
        <w:t>投标报价的工程量清单的组成、格式等由广州公共资源交易中心的投标文件管理软件自动生成</w:t>
      </w:r>
      <w:r>
        <w:rPr>
          <w:rFonts w:hint="eastAsia" w:ascii="宋体"/>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11.3.3 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11.3.3 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r>
        <w:rPr>
          <w:rFonts w:hint="eastAsia" w:ascii="宋体" w:hAnsi="宋体" w:cs="宋体"/>
          <w:color w:val="auto"/>
          <w:szCs w:val="21"/>
          <w:highlight w:val="none"/>
          <w:u w:val="single"/>
        </w:rPr>
        <w:t>（格式见本招标文件第四章 “经济标投标文件格式”格式3）</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bCs w:val="0"/>
          <w:color w:val="auto"/>
          <w:szCs w:val="21"/>
          <w:highlight w:val="none"/>
        </w:rPr>
      </w:pPr>
      <w:r>
        <w:rPr>
          <w:rFonts w:hint="eastAsia" w:ascii="宋体" w:hAnsi="宋体" w:cs="宋体"/>
          <w:b/>
          <w:bCs w:val="0"/>
          <w:color w:val="auto"/>
          <w:szCs w:val="21"/>
          <w:highlight w:val="none"/>
        </w:rPr>
        <w:t>条款号：11.3.5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11.3.5 </w:t>
      </w:r>
      <w:r>
        <w:rPr>
          <w:rFonts w:hint="eastAsia" w:ascii="宋体" w:hAnsi="宋体" w:cs="宋体"/>
          <w:bCs/>
          <w:color w:val="auto"/>
          <w:szCs w:val="21"/>
          <w:highlight w:val="none"/>
          <w:u w:val="single"/>
        </w:rPr>
        <w:t>对投标文件编制的承诺</w:t>
      </w:r>
      <w:r>
        <w:rPr>
          <w:rFonts w:hint="eastAsia" w:ascii="宋体" w:hAnsi="宋体" w:cs="宋体"/>
          <w:color w:val="auto"/>
          <w:szCs w:val="21"/>
          <w:highlight w:val="none"/>
          <w:u w:val="single"/>
        </w:rPr>
        <w:t>（格式见本招标文件第四章 “经济标投标文件格式”格式4）</w:t>
      </w:r>
      <w:r>
        <w:rPr>
          <w:rFonts w:hint="eastAsia" w:ascii="宋体" w:hAnsi="宋体" w:cs="宋体"/>
          <w:color w:val="auto"/>
          <w:szCs w:val="21"/>
          <w:highlight w:val="none"/>
        </w:rPr>
        <w:t>。</w:t>
      </w:r>
    </w:p>
    <w:p>
      <w:pPr>
        <w:keepNext w:val="0"/>
        <w:keepLines w:val="0"/>
        <w:pageBreakBefore w:val="0"/>
        <w:widowControl w:val="0"/>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条款号：12.1                 修改类型：修改</w:t>
      </w:r>
    </w:p>
    <w:p>
      <w:pPr>
        <w:keepNext w:val="0"/>
        <w:keepLines w:val="0"/>
        <w:pageBreakBefore w:val="0"/>
        <w:widowControl w:val="0"/>
        <w:pBdr>
          <w:bottom w:val="single" w:color="auto" w:sz="6" w:space="1"/>
        </w:pBdr>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12.1 投标文件包括本须知第11条中规定的内容，投标人提交的投标文件应当使用招标文件所提供的投标文件全部格式（表格可以按同样格式扩展）。</w:t>
      </w:r>
    </w:p>
    <w:p>
      <w:pPr>
        <w:keepNext w:val="0"/>
        <w:keepLines w:val="0"/>
        <w:pageBreakBefore w:val="0"/>
        <w:widowControl w:val="0"/>
        <w:pBdr>
          <w:bottom w:val="single" w:color="auto" w:sz="6" w:space="1"/>
        </w:pBdr>
        <w:tabs>
          <w:tab w:val="left" w:pos="1125"/>
        </w:tabs>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12.1 投标文件包括本须知第11条中规定的内容，</w:t>
      </w:r>
      <w:r>
        <w:rPr>
          <w:rFonts w:hint="eastAsia" w:ascii="宋体" w:hAnsi="宋体" w:cs="宋体"/>
          <w:color w:val="auto"/>
          <w:szCs w:val="21"/>
          <w:highlight w:val="none"/>
          <w:u w:val="single"/>
        </w:rPr>
        <w:t>投标文件格式按招标文件第四章《投标文件格式》。其中：技术标格式2</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广州建设工程施工招标投标书</w:t>
      </w:r>
      <w:r>
        <w:rPr>
          <w:rFonts w:hint="eastAsia" w:ascii="宋体" w:hAnsi="宋体" w:cs="宋体"/>
          <w:color w:val="auto"/>
          <w:szCs w:val="21"/>
          <w:highlight w:val="none"/>
          <w:u w:val="single"/>
        </w:rPr>
        <w:t>、格式3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投标函和经济标格式2工程量清单计价表必须按招标文件规定的格式进行编制外，其余格式仅供参考</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12.2 </w:t>
      </w:r>
      <w:r>
        <w:rPr>
          <w:rFonts w:hint="eastAsia" w:ascii="宋体" w:hAnsi="宋体" w:cs="宋体"/>
          <w:b/>
          <w:color w:val="auto"/>
          <w:szCs w:val="21"/>
          <w:highlight w:val="none"/>
        </w:rPr>
        <w:t xml:space="preserve">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Style w:val="35"/>
        <w:keepNext w:val="0"/>
        <w:keepLines w:val="0"/>
        <w:pageBreakBefore w:val="0"/>
        <w:widowControl w:val="0"/>
        <w:pBdr>
          <w:bottom w:val="single" w:color="auto" w:sz="6" w:space="1"/>
        </w:pBdr>
        <w:kinsoku/>
        <w:wordWrap/>
        <w:overflowPunct/>
        <w:topLinePunct w:val="0"/>
        <w:autoSpaceDE/>
        <w:autoSpaceDN/>
        <w:bidi w:val="0"/>
        <w:adjustRightInd/>
        <w:snapToGrid/>
        <w:spacing w:after="0" w:line="360" w:lineRule="auto"/>
        <w:ind w:firstLine="422" w:firstLineChars="200"/>
        <w:textAlignment w:val="auto"/>
        <w:rPr>
          <w:rFonts w:hint="eastAsia" w:ascii="宋体" w:hAnsi="宋体" w:cs="宋体"/>
          <w:color w:val="auto"/>
          <w:sz w:val="21"/>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r>
        <w:rPr>
          <w:rFonts w:hint="eastAsia" w:ascii="宋体" w:hAnsi="宋体" w:cs="仿宋"/>
          <w:b/>
          <w:color w:val="auto"/>
          <w:szCs w:val="21"/>
          <w:highlight w:val="none"/>
        </w:rPr>
        <w:t>条款号：13.3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13.3</w:t>
      </w:r>
      <w:r>
        <w:rPr>
          <w:rFonts w:hint="eastAsia" w:ascii="宋体" w:hAnsi="宋体" w:cs="仿宋"/>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rPr>
      </w:pPr>
      <w:r>
        <w:rPr>
          <w:rFonts w:hint="eastAsia" w:ascii="宋体" w:hAnsi="宋体" w:cs="仿宋"/>
          <w:b/>
          <w:color w:val="auto"/>
          <w:szCs w:val="21"/>
          <w:highlight w:val="none"/>
        </w:rPr>
        <w:t>现文：13.3</w:t>
      </w:r>
      <w:r>
        <w:rPr>
          <w:rFonts w:hint="eastAsia" w:ascii="宋体" w:hAnsi="宋体" w:cs="仿宋"/>
          <w:color w:val="auto"/>
          <w:szCs w:val="21"/>
          <w:highlight w:val="none"/>
        </w:rPr>
        <w:t>投标人的投标总报价，应是按照投标须知前附表第8项的工期要求，在投标须知前附表第3项的建设地点，完成投标须知前附表第7项的招标范围内已由招标人</w:t>
      </w:r>
      <w:r>
        <w:rPr>
          <w:rFonts w:hint="eastAsia" w:ascii="宋体" w:hAnsi="宋体" w:cs="仿宋"/>
          <w:color w:val="auto"/>
          <w:szCs w:val="21"/>
          <w:highlight w:val="none"/>
          <w:u w:val="single"/>
        </w:rPr>
        <w:t>提供的招标图纸（包括有关于本项目招标的相关资料）及</w:t>
      </w:r>
      <w:r>
        <w:rPr>
          <w:rFonts w:hint="eastAsia" w:ascii="宋体" w:hAnsi="宋体" w:cs="仿宋"/>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color w:val="auto"/>
          <w:szCs w:val="21"/>
          <w:highlight w:val="none"/>
          <w:u w:val="single"/>
        </w:rPr>
        <w:t>费率</w:t>
      </w:r>
      <w:r>
        <w:rPr>
          <w:rFonts w:hint="eastAsia" w:ascii="宋体" w:hAnsi="宋体" w:cs="仿宋"/>
          <w:color w:val="auto"/>
          <w:szCs w:val="21"/>
          <w:highlight w:val="none"/>
        </w:rPr>
        <w:t>、暂列金额、暂估价、安全防护文明施工措施费等非竞争性项目明列了单价或合价的金额的，投标人应按照明列的单价或合价的金额报价，未按照规定金额报价的，由评标委员会按照招标文件规定的金额进行修正。</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w:t>
      </w:r>
      <w:r>
        <w:rPr>
          <w:rFonts w:hint="eastAsia" w:ascii="宋体" w:hAnsi="宋体" w:cs="宋体"/>
          <w:i w:val="0"/>
          <w:iCs w:val="0"/>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w:t>
      </w:r>
      <w:r>
        <w:rPr>
          <w:rFonts w:hint="eastAsia" w:ascii="宋体" w:hAnsi="宋体" w:cs="宋体"/>
          <w:i w:val="0"/>
          <w:iCs w:val="0"/>
          <w:color w:val="auto"/>
          <w:szCs w:val="21"/>
          <w:highlight w:val="none"/>
          <w:u w:val="single"/>
          <w:lang w:eastAsia="zh-CN"/>
        </w:rPr>
        <w:t>，</w:t>
      </w:r>
      <w:r>
        <w:rPr>
          <w:rFonts w:hint="eastAsia" w:ascii="宋体" w:hAnsi="宋体" w:cs="宋体"/>
          <w:i w:val="0"/>
          <w:iCs w:val="0"/>
          <w:color w:val="auto"/>
          <w:szCs w:val="21"/>
          <w:highlight w:val="none"/>
          <w:u w:val="single"/>
          <w:lang w:val="en-US" w:eastAsia="zh-CN"/>
        </w:rPr>
        <w:t>除</w:t>
      </w:r>
      <w:r>
        <w:rPr>
          <w:rFonts w:hint="eastAsia" w:ascii="宋体" w:hAnsi="宋体" w:cs="宋体"/>
          <w:color w:val="auto"/>
          <w:szCs w:val="21"/>
          <w:highlight w:val="none"/>
          <w:u w:val="single"/>
        </w:rPr>
        <w:t>合同条款</w:t>
      </w:r>
      <w:r>
        <w:rPr>
          <w:rFonts w:hint="eastAsia" w:ascii="宋体" w:hAnsi="宋体" w:cs="宋体"/>
          <w:color w:val="auto"/>
          <w:szCs w:val="21"/>
          <w:highlight w:val="none"/>
          <w:u w:val="single"/>
          <w:lang w:val="en-US" w:eastAsia="zh-CN"/>
        </w:rPr>
        <w:t>另有</w:t>
      </w:r>
      <w:r>
        <w:rPr>
          <w:rFonts w:hint="eastAsia" w:ascii="宋体" w:hAnsi="宋体" w:cs="宋体"/>
          <w:color w:val="auto"/>
          <w:szCs w:val="21"/>
          <w:highlight w:val="none"/>
          <w:u w:val="single"/>
        </w:rPr>
        <w:t>约定</w:t>
      </w:r>
      <w:r>
        <w:rPr>
          <w:rFonts w:hint="eastAsia" w:ascii="宋体" w:hAnsi="宋体" w:cs="宋体"/>
          <w:color w:val="auto"/>
          <w:szCs w:val="21"/>
          <w:highlight w:val="none"/>
          <w:u w:val="single"/>
          <w:lang w:val="en-US" w:eastAsia="zh-CN"/>
        </w:rPr>
        <w:t>外，</w:t>
      </w:r>
      <w:r>
        <w:rPr>
          <w:rFonts w:hint="eastAsia" w:ascii="宋体" w:hAnsi="宋体" w:cs="宋体"/>
          <w:i w:val="0"/>
          <w:iCs w:val="0"/>
          <w:color w:val="auto"/>
          <w:szCs w:val="21"/>
          <w:highlight w:val="none"/>
          <w:u w:val="single"/>
        </w:rPr>
        <w:t>在工程结算时不得变更</w:t>
      </w:r>
      <w:r>
        <w:rPr>
          <w:rFonts w:hint="eastAsia" w:ascii="宋体" w:hAnsi="宋体" w:cs="宋体"/>
          <w:i w:val="0"/>
          <w:iCs w:val="0"/>
          <w:strike w:val="0"/>
          <w:dstrike w:val="0"/>
          <w:color w:val="auto"/>
          <w:szCs w:val="21"/>
          <w:highlight w:val="none"/>
          <w:u w:val="single"/>
        </w:rPr>
        <w:t>，即在施工过程中即使工程量清单项目的工程量发生变更，中标投标文件列出的综合单价和措施项目费也不发生改变</w:t>
      </w:r>
      <w:r>
        <w:rPr>
          <w:rFonts w:hint="eastAsia" w:ascii="宋体" w:hAnsi="宋体" w:cs="宋体"/>
          <w:i w:val="0"/>
          <w:iCs w:val="0"/>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13.5</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13.5.1</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13.5.2</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13.5.3</w:t>
      </w:r>
      <w:r>
        <w:rPr>
          <w:rFonts w:hint="eastAsia" w:ascii="宋体" w:hAnsi="宋体" w:cs="宋体"/>
          <w:b/>
          <w:color w:val="auto"/>
          <w:szCs w:val="21"/>
          <w:highlight w:val="none"/>
        </w:rPr>
        <w:t xml:space="preserve">  </w:t>
      </w:r>
      <w:r>
        <w:rPr>
          <w:rFonts w:hint="eastAsia" w:ascii="宋体" w:hAnsi="宋体" w:cs="宋体"/>
          <w:color w:val="auto"/>
          <w:szCs w:val="21"/>
          <w:highlight w:val="none"/>
        </w:rPr>
        <w:t>13.5.4</w:t>
      </w:r>
      <w:r>
        <w:rPr>
          <w:rFonts w:hint="eastAsia" w:ascii="宋体" w:hAnsi="宋体" w:cs="宋体"/>
          <w:b/>
          <w:color w:val="auto"/>
          <w:szCs w:val="21"/>
          <w:highlight w:val="none"/>
        </w:rPr>
        <w:t xml:space="preserve">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13.5工程项目实施期间……，中标后双方协商约定。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现文：</w:t>
      </w:r>
      <w:r>
        <w:rPr>
          <w:rFonts w:hint="eastAsia" w:ascii="宋体" w:hAnsi="宋体" w:cs="宋体"/>
          <w:color w:val="auto"/>
          <w:kern w:val="0"/>
          <w:szCs w:val="21"/>
          <w:highlight w:val="none"/>
        </w:rPr>
        <w:t>13.5</w:t>
      </w:r>
      <w:r>
        <w:rPr>
          <w:rFonts w:hint="eastAsia" w:ascii="宋体" w:hAnsi="宋体" w:cs="宋体"/>
          <w:color w:val="auto"/>
          <w:kern w:val="0"/>
          <w:szCs w:val="21"/>
          <w:highlight w:val="none"/>
          <w:u w:val="single"/>
        </w:rPr>
        <w:t>变更结算方式按招标文件及施工合同相关规定执行。</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bookmarkStart w:id="6" w:name="_Hlk98175267"/>
      <w:r>
        <w:rPr>
          <w:rFonts w:hint="eastAsia" w:ascii="宋体" w:hAnsi="宋体" w:cs="仿宋"/>
          <w:b/>
          <w:color w:val="auto"/>
          <w:szCs w:val="21"/>
          <w:highlight w:val="none"/>
        </w:rPr>
        <w:t>条款号：16.4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16.4如有下列情况之一的，招标人可以不予退还投标保证金（是否退还投标保证金由招标人在招标文件中规定）：</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16.4.1因投标人原因造成投标文件未解密的；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16.4.2投标人在投标有效期内撤销投标文件；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16.4.3中标人未能在规定期限内按要求提交履约担保；</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16.4.4中标人未能在规定期限内签署合同协议。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现文：</w:t>
      </w:r>
      <w:r>
        <w:rPr>
          <w:rFonts w:hint="eastAsia" w:ascii="宋体" w:hAnsi="宋体" w:cs="仿宋"/>
          <w:bCs/>
          <w:color w:val="auto"/>
          <w:szCs w:val="21"/>
          <w:highlight w:val="none"/>
          <w:u w:val="single"/>
        </w:rPr>
        <w:t>16.4如有下列情况之一的，招标人不予退还投标保证金：</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16.4.1因投标人原因造成投标文件未解密的；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16.4.2投标人在投标有效期内撤销投标文件；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16.4.3中标人未能在规定期限内按要求提交履约担保；</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仿宋"/>
          <w:bCs/>
          <w:color w:val="auto"/>
          <w:szCs w:val="21"/>
          <w:highlight w:val="none"/>
        </w:rPr>
      </w:pPr>
      <w:r>
        <w:rPr>
          <w:rFonts w:hint="eastAsia" w:ascii="宋体" w:hAnsi="宋体" w:cs="仿宋"/>
          <w:bCs/>
          <w:color w:val="auto"/>
          <w:szCs w:val="21"/>
          <w:highlight w:val="none"/>
        </w:rPr>
        <w:t>16.4.4中标人未能在规定期限内签署合同协议。</w:t>
      </w:r>
      <w:bookmarkEnd w:id="6"/>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
          <w:color w:val="auto"/>
          <w:szCs w:val="21"/>
          <w:highlight w:val="none"/>
        </w:rPr>
      </w:pPr>
      <w:r>
        <w:rPr>
          <w:rFonts w:hint="eastAsia" w:ascii="宋体" w:hAnsi="宋体" w:cs="仿宋"/>
          <w:b/>
          <w:color w:val="auto"/>
          <w:szCs w:val="21"/>
          <w:highlight w:val="none"/>
        </w:rPr>
        <w:t>条款号：16.5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rPr>
      </w:pPr>
      <w:r>
        <w:rPr>
          <w:rFonts w:hint="eastAsia" w:ascii="宋体" w:hAnsi="宋体" w:cs="仿宋"/>
          <w:b/>
          <w:color w:val="auto"/>
          <w:szCs w:val="21"/>
          <w:highlight w:val="none"/>
        </w:rPr>
        <w:t>原文：</w:t>
      </w:r>
      <w:r>
        <w:rPr>
          <w:rFonts w:hint="eastAsia" w:ascii="宋体" w:hAnsi="宋体" w:cs="仿宋"/>
          <w:bCs/>
          <w:color w:val="auto"/>
          <w:szCs w:val="21"/>
          <w:highlight w:val="none"/>
        </w:rPr>
        <w:t>16.5投标人如存在下列情况之一的，将被拒绝在一定时期内参与招标人后续工程投标（拒绝时限需在招标文件中明确）：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16.5.1投标人存在16.4条款所列情形且投标人提交的保函、担保或保证保险无法兑付的；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16.5.3按招标文件要求免于提供投标保证金的投标人存在16.4条款所列情形，且未按招标人要求补交投标保证金的；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16.5.3按招标文件要求免于提供投标保证金的投标人存在16.4条款所列情形的。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注：16.5.3款由招标人二选一，需在招标文件中明确。</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仿宋"/>
          <w:bCs/>
          <w:color w:val="auto"/>
          <w:szCs w:val="21"/>
          <w:highlight w:val="none"/>
          <w:u w:val="single"/>
        </w:rPr>
      </w:pPr>
      <w:r>
        <w:rPr>
          <w:rFonts w:hint="eastAsia" w:ascii="宋体" w:hAnsi="宋体" w:cs="仿宋"/>
          <w:b/>
          <w:color w:val="auto"/>
          <w:szCs w:val="21"/>
          <w:highlight w:val="none"/>
        </w:rPr>
        <w:t>现文：</w:t>
      </w:r>
      <w:r>
        <w:rPr>
          <w:rFonts w:hint="eastAsia" w:ascii="宋体" w:hAnsi="宋体" w:cs="仿宋"/>
          <w:bCs/>
          <w:color w:val="auto"/>
          <w:szCs w:val="21"/>
          <w:highlight w:val="none"/>
          <w:u w:val="single"/>
        </w:rPr>
        <w:t>16.5</w:t>
      </w:r>
      <w:r>
        <w:rPr>
          <w:rFonts w:hint="eastAsia" w:ascii="宋体" w:hAnsi="宋体" w:cs="宋体"/>
          <w:color w:val="auto"/>
          <w:szCs w:val="21"/>
          <w:highlight w:val="none"/>
          <w:u w:val="single"/>
        </w:rPr>
        <w:t>投标人如存在下列情况之一的，将被拒绝在一年内参与招标人后续工程投标</w:t>
      </w:r>
      <w:r>
        <w:rPr>
          <w:rFonts w:hint="eastAsia" w:ascii="宋体" w:hAnsi="宋体" w:cs="仿宋"/>
          <w:bCs/>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u w:val="single"/>
        </w:rPr>
      </w:pPr>
      <w:r>
        <w:rPr>
          <w:rFonts w:hint="eastAsia" w:ascii="宋体" w:hAnsi="宋体" w:cs="仿宋"/>
          <w:bCs/>
          <w:color w:val="auto"/>
          <w:szCs w:val="21"/>
          <w:highlight w:val="none"/>
          <w:u w:val="single"/>
        </w:rPr>
        <w:t>16.5.1</w:t>
      </w:r>
      <w:r>
        <w:rPr>
          <w:rFonts w:hint="eastAsia" w:ascii="宋体" w:hAnsi="宋体" w:cs="宋体"/>
          <w:color w:val="auto"/>
          <w:szCs w:val="21"/>
          <w:highlight w:val="none"/>
          <w:u w:val="single"/>
        </w:rPr>
        <w:t>投标人存在投标人须知16.4条款所列情形且投标人提交的保函、担保或保证保险无法兑付的</w:t>
      </w:r>
      <w:r>
        <w:rPr>
          <w:rFonts w:hint="eastAsia" w:ascii="宋体" w:hAnsi="宋体" w:cs="仿宋"/>
          <w:bCs/>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宋体"/>
          <w:color w:val="auto"/>
          <w:szCs w:val="21"/>
          <w:highlight w:val="none"/>
          <w:u w:val="single"/>
        </w:rPr>
      </w:pPr>
      <w:r>
        <w:rPr>
          <w:rFonts w:hint="eastAsia" w:ascii="宋体" w:hAnsi="宋体" w:cs="仿宋"/>
          <w:bCs/>
          <w:color w:val="auto"/>
          <w:szCs w:val="21"/>
          <w:highlight w:val="none"/>
          <w:u w:val="single"/>
        </w:rPr>
        <w:t>16.5.2</w:t>
      </w:r>
      <w:r>
        <w:rPr>
          <w:rFonts w:hint="eastAsia" w:ascii="宋体" w:hAnsi="宋体" w:cs="宋体"/>
          <w:color w:val="auto"/>
          <w:szCs w:val="21"/>
          <w:highlight w:val="none"/>
          <w:u w:val="single"/>
        </w:rPr>
        <w:t>采用非电子形式提交投标保证金的投标人存在投标人须知16.4条款所列情形，且未按招标人要求补交银行保函、专业工程担保公司担保或保证保险原件的；</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仿宋"/>
          <w:bCs/>
          <w:color w:val="auto"/>
          <w:szCs w:val="21"/>
          <w:highlight w:val="none"/>
          <w:u w:val="single"/>
        </w:rPr>
      </w:pPr>
      <w:r>
        <w:rPr>
          <w:rFonts w:hint="eastAsia" w:ascii="宋体" w:hAnsi="宋体" w:cs="仿宋"/>
          <w:bCs/>
          <w:color w:val="auto"/>
          <w:szCs w:val="21"/>
          <w:highlight w:val="none"/>
          <w:u w:val="single"/>
        </w:rPr>
        <w:t>16.5.3</w:t>
      </w:r>
      <w:r>
        <w:rPr>
          <w:rFonts w:hint="eastAsia" w:ascii="宋体" w:hAnsi="宋体" w:cs="宋体"/>
          <w:color w:val="auto"/>
          <w:szCs w:val="21"/>
          <w:highlight w:val="none"/>
          <w:u w:val="single"/>
        </w:rPr>
        <w:t>按招标文件要求免予提供投标保证金的投标人存在投标人须知16.4条款所列情形的</w:t>
      </w:r>
      <w:r>
        <w:rPr>
          <w:rFonts w:hint="eastAsia" w:ascii="宋体" w:hAnsi="宋体" w:cs="仿宋"/>
          <w:bCs/>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联合体投标的，除联合体协议需联合体各方同时盖章外，其他投标文件由联合体主办方出具并签署，其中“单位”或“投标人”一栏可只填写联合体主办方名称。</w:t>
      </w:r>
      <w:r>
        <w:rPr>
          <w:rFonts w:hint="eastAsia" w:ascii="宋体" w:hAnsi="宋体" w:cs="宋体"/>
          <w:color w:val="auto"/>
          <w:szCs w:val="21"/>
          <w:highlight w:val="none"/>
        </w:rPr>
        <w:t>详见：</w:t>
      </w:r>
      <w:r>
        <w:rPr>
          <w:rFonts w:hint="eastAsia" w:ascii="宋体" w:hAnsi="宋体" w:cs="宋体"/>
          <w:bCs/>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bCs/>
          <w:color w:val="auto"/>
          <w:szCs w:val="21"/>
          <w:highlight w:val="none"/>
          <w:u w:val="single"/>
        </w:rPr>
        <w:t>广州公共资源交易中心网站发布的最新版操作指引</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交易平台递交电子投标文件。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19.2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交易平台即时向投标人发出递交回执通知。递交时间以递交回执通知载明的传输完成时间为准。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19.5</w:t>
      </w:r>
      <w:r>
        <w:rPr>
          <w:rFonts w:hint="eastAsia" w:ascii="宋体" w:hAnsi="宋体" w:cs="宋体"/>
          <w:color w:val="auto"/>
          <w:szCs w:val="21"/>
          <w:highlight w:val="none"/>
        </w:rPr>
        <w:t>如技术标和经济标先后分别开启，</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交易平台将按招标文件规定的时间分别开启技术标和经济标</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20.3 到投标截止时间止，招标人收到的投标文件少于3家的，招标人将重新组织招标（当N个标段同时招标且不允许兼中时，若有效投标人不足N+2家，则重新组织招标）。</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20.3 到投标截止时间止，招标人收到的投标文件少于3家的，招标人将重新组织招标。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21.1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交易平台将予以拒收。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条款号： 27.4            修改类型：修改</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27.4</w:t>
      </w:r>
      <w:r>
        <w:rPr>
          <w:rFonts w:hint="eastAsia" w:ascii="宋体" w:hAnsi="宋体" w:eastAsia="宋体" w:cs="宋体"/>
          <w:bCs/>
          <w:color w:val="auto"/>
          <w:kern w:val="0"/>
          <w:sz w:val="21"/>
          <w:szCs w:val="21"/>
          <w:highlight w:val="none"/>
        </w:rPr>
        <w:t>在产生中标候选人后，招标人将中标候选人的投标文件商务部分文件的所有内容（包括人员、业绩、奖项等资料）在</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交易平台和广东省招标投标监管网公开</w:t>
      </w:r>
      <w:r>
        <w:rPr>
          <w:rFonts w:hint="eastAsia" w:ascii="宋体" w:hAnsi="宋体" w:cs="宋体"/>
          <w:color w:val="auto"/>
          <w:sz w:val="21"/>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s="宋体"/>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27.4</w:t>
      </w:r>
      <w:r>
        <w:rPr>
          <w:rFonts w:hint="eastAsia" w:ascii="宋体" w:hAnsi="宋体" w:eastAsia="宋体" w:cs="宋体"/>
          <w:bCs/>
          <w:color w:val="auto"/>
          <w:kern w:val="0"/>
          <w:sz w:val="21"/>
          <w:szCs w:val="21"/>
          <w:highlight w:val="none"/>
        </w:rPr>
        <w:t>在产生中标候选人后，招标人将中标候选人的投标文件商务部分文件的所有内容（包括人员、业绩、奖项等资料）在</w:t>
      </w:r>
      <w:r>
        <w:rPr>
          <w:rFonts w:hint="eastAsia" w:ascii="宋体" w:hAnsi="宋体" w:eastAsia="宋体" w:cs="宋体"/>
          <w:bCs/>
          <w:color w:val="auto"/>
          <w:kern w:val="0"/>
          <w:sz w:val="21"/>
          <w:szCs w:val="21"/>
          <w:highlight w:val="none"/>
          <w:u w:val="single"/>
        </w:rPr>
        <w:t>广州公共资源交易中心</w:t>
      </w:r>
      <w:r>
        <w:rPr>
          <w:rFonts w:hint="eastAsia" w:ascii="宋体" w:hAnsi="宋体" w:eastAsia="宋体" w:cs="宋体"/>
          <w:bCs/>
          <w:color w:val="auto"/>
          <w:kern w:val="0"/>
          <w:sz w:val="21"/>
          <w:szCs w:val="21"/>
          <w:highlight w:val="none"/>
        </w:rPr>
        <w:t>交易平台和广东省招标投标监管网公开</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w:t>
      </w:r>
      <w:r>
        <w:rPr>
          <w:rFonts w:hint="eastAsia" w:ascii="宋体" w:hAnsi="宋体"/>
          <w:b/>
          <w:color w:val="auto"/>
          <w:szCs w:val="21"/>
          <w:highlight w:val="none"/>
        </w:rPr>
        <w:t>1        修改类型：增加</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7" w:firstLineChars="250"/>
        <w:textAlignment w:val="auto"/>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lang w:val="en-US" w:eastAsia="zh-CN"/>
        </w:rPr>
        <w:t>31.1</w:t>
      </w:r>
      <w:r>
        <w:rPr>
          <w:rFonts w:hint="eastAsia" w:ascii="宋体" w:hAnsi="宋体"/>
          <w:color w:val="auto"/>
          <w:szCs w:val="21"/>
          <w:highlight w:val="none"/>
          <w:u w:val="single"/>
        </w:rPr>
        <w:t>中标人代缴公共资源交易服务费，其费用包含在中标人投标报价中，交易中心向中标人开具增值税发票。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olor w:val="auto"/>
          <w:szCs w:val="21"/>
          <w:highlight w:val="none"/>
          <w:u w:val="single"/>
          <w:lang w:val="en-US" w:eastAsia="zh-CN"/>
        </w:rPr>
        <w:t>31.2</w:t>
      </w:r>
      <w:r>
        <w:rPr>
          <w:rFonts w:hint="eastAsia" w:ascii="宋体" w:hAnsi="宋体"/>
          <w:color w:val="auto"/>
          <w:szCs w:val="21"/>
          <w:highlight w:val="none"/>
          <w:u w:val="single"/>
        </w:rPr>
        <w:t>本项目招标代理服务费由中标人支付，</w:t>
      </w:r>
      <w:r>
        <w:rPr>
          <w:rFonts w:hint="eastAsia" w:ascii="宋体" w:hAnsi="宋体" w:cs="宋体"/>
          <w:color w:val="auto"/>
          <w:szCs w:val="21"/>
          <w:highlight w:val="none"/>
          <w:u w:val="single"/>
        </w:rPr>
        <w:t>金额以招标人与招标代理机构签订的招标代理合同为准</w:t>
      </w:r>
      <w:r>
        <w:rPr>
          <w:rFonts w:hint="eastAsia" w:ascii="宋体" w:hAnsi="宋体"/>
          <w:color w:val="auto"/>
          <w:szCs w:val="21"/>
          <w:highlight w:val="none"/>
          <w:u w:val="single"/>
        </w:rPr>
        <w:t>。</w:t>
      </w:r>
      <w:r>
        <w:rPr>
          <w:rFonts w:hint="eastAsia" w:ascii="宋体" w:hAnsi="宋体" w:cs="宋体"/>
          <w:color w:val="auto"/>
          <w:szCs w:val="21"/>
          <w:highlight w:val="none"/>
          <w:u w:val="single"/>
        </w:rPr>
        <w:t>在领取中标通知书之前一次性支付给招标代理机构。</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bCs w:val="0"/>
          <w:color w:val="auto"/>
          <w:szCs w:val="21"/>
          <w:highlight w:val="none"/>
        </w:rPr>
        <w:t>条款号：3</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 xml:space="preserve">  </w:t>
      </w:r>
      <w:r>
        <w:rPr>
          <w:rFonts w:hint="eastAsia" w:ascii="宋体" w:hAnsi="宋体" w:cs="宋体"/>
          <w:b/>
          <w:color w:val="auto"/>
          <w:szCs w:val="21"/>
          <w:highlight w:val="none"/>
        </w:rPr>
        <w:t xml:space="preserve">          修改类型：增加</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一套（包括经济标报价套价软件版、XML版和Microsoft Excel软件版及用Microsoft Word软件或广州公共资源交易中心提供的投标书制作软件制作的经济投标文件其他部分。电子文件介质使用CD-R光盘或U盘，所有电子文件不能采用压缩处理）</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（以下无正文）</w:t>
      </w:r>
    </w:p>
    <w:p>
      <w:pPr>
        <w:pStyle w:val="5"/>
        <w:rPr>
          <w:color w:val="auto"/>
          <w:highlight w:val="none"/>
        </w:rPr>
      </w:pPr>
      <w:r>
        <w:rPr>
          <w:color w:val="auto"/>
          <w:highlight w:val="none"/>
        </w:rPr>
        <w:br w:type="page"/>
      </w:r>
      <w:bookmarkStart w:id="7" w:name="_Toc2272548"/>
      <w:bookmarkStart w:id="8" w:name="_Toc29222"/>
      <w:r>
        <w:rPr>
          <w:rFonts w:hint="eastAsia"/>
          <w:color w:val="auto"/>
          <w:highlight w:val="none"/>
        </w:rPr>
        <w:t>三、投标须知通用条款</w:t>
      </w:r>
      <w:bookmarkEnd w:id="7"/>
      <w:bookmarkEnd w:id="8"/>
    </w:p>
    <w:p>
      <w:pPr>
        <w:pStyle w:val="6"/>
        <w:spacing w:before="156" w:after="156"/>
        <w:rPr>
          <w:color w:val="auto"/>
          <w:highlight w:val="none"/>
        </w:rPr>
      </w:pPr>
      <w:bookmarkStart w:id="9" w:name="_Toc3970"/>
      <w:bookmarkStart w:id="10" w:name="_Toc2272549"/>
      <w:r>
        <w:rPr>
          <w:rFonts w:hint="eastAsia"/>
          <w:color w:val="auto"/>
          <w:highlight w:val="none"/>
        </w:rPr>
        <w:t>（一）总则</w:t>
      </w:r>
      <w:bookmarkEnd w:id="9"/>
      <w:bookmarkEnd w:id="10"/>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3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3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bCs/>
          <w:color w:val="auto"/>
          <w:sz w:val="24"/>
          <w:highlight w:val="none"/>
          <w:u w:val="single"/>
        </w:rPr>
      </w:pPr>
      <w:r>
        <w:rPr>
          <w:rFonts w:hint="eastAsia" w:ascii="宋体" w:hAnsi="宋体"/>
          <w:bCs/>
          <w:color w:val="auto"/>
          <w:sz w:val="24"/>
          <w:highlight w:val="none"/>
          <w:u w:val="single"/>
          <w:lang w:val="en-US" w:eastAsia="zh-CN"/>
        </w:rPr>
        <w:t>2.5</w:t>
      </w:r>
      <w:r>
        <w:rPr>
          <w:rFonts w:hint="eastAsia" w:ascii="宋体" w:hAnsi="宋体"/>
          <w:bCs/>
          <w:color w:val="auto"/>
          <w:sz w:val="24"/>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cs="宋体"/>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r>
        <w:rPr>
          <w:rFonts w:hint="eastAsia" w:ascii="宋体" w:hAnsi="宋体"/>
          <w:color w:val="auto"/>
          <w:sz w:val="24"/>
          <w:szCs w:val="24"/>
          <w:highlight w:val="none"/>
        </w:rPr>
        <w:t>。</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6"/>
        <w:spacing w:before="156" w:after="156"/>
        <w:rPr>
          <w:color w:val="auto"/>
          <w:highlight w:val="none"/>
        </w:rPr>
      </w:pPr>
      <w:bookmarkStart w:id="11" w:name="_Toc29077"/>
      <w:bookmarkStart w:id="12" w:name="_Toc2272550"/>
      <w:r>
        <w:rPr>
          <w:rFonts w:hint="eastAsia"/>
          <w:color w:val="auto"/>
          <w:highlight w:val="none"/>
        </w:rPr>
        <w:t>（二）招标文件</w:t>
      </w:r>
      <w:bookmarkEnd w:id="11"/>
      <w:bookmarkEnd w:id="12"/>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3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35"/>
        <w:keepNext w:val="0"/>
        <w:keepLines w:val="0"/>
        <w:pageBreakBefore w:val="0"/>
        <w:widowControl w:val="0"/>
        <w:kinsoku/>
        <w:wordWrap/>
        <w:overflowPunct/>
        <w:topLinePunct w:val="0"/>
        <w:autoSpaceDE/>
        <w:autoSpaceDN/>
        <w:bidi w:val="0"/>
        <w:adjustRightInd/>
        <w:snapToGrid/>
        <w:spacing w:after="0" w:line="360" w:lineRule="auto"/>
        <w:ind w:left="-2"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第八章  最高投标限价</w:t>
      </w:r>
      <w:r>
        <w:rPr>
          <w:rFonts w:hint="eastAsia" w:ascii="宋体" w:hAnsi="宋体" w:cs="宋体"/>
          <w:color w:val="auto"/>
          <w:sz w:val="24"/>
          <w:szCs w:val="24"/>
          <w:highlight w:val="none"/>
          <w:u w:val="single"/>
        </w:rPr>
        <w:t>（另册）</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0" w:firstLineChars="200"/>
        <w:textAlignment w:val="auto"/>
        <w:rPr>
          <w:rFonts w:ascii="宋体" w:hAnsi="宋体" w:cs="宋体"/>
          <w:b/>
          <w:color w:val="auto"/>
          <w:sz w:val="24"/>
          <w:szCs w:val="24"/>
          <w:highlight w:val="none"/>
          <w:u w:val="none"/>
        </w:rPr>
      </w:pPr>
      <w:r>
        <w:rPr>
          <w:rFonts w:hint="eastAsia" w:ascii="宋体" w:hAnsi="宋体" w:cs="宋体"/>
          <w:color w:val="auto"/>
          <w:sz w:val="24"/>
          <w:szCs w:val="24"/>
          <w:highlight w:val="none"/>
          <w:u w:val="none"/>
        </w:rPr>
        <w:t>注：招标人应在技术条件（工程建设标准）中明确施工现场建筑垃圾源头减量的具体要求和建筑垃圾综合利用产品的使用要求。</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8.1 </w:t>
      </w:r>
      <w:r>
        <w:rPr>
          <w:rFonts w:hint="eastAsia" w:ascii="宋体" w:hAnsi="宋体" w:cs="宋体"/>
          <w:color w:val="auto"/>
          <w:sz w:val="24"/>
          <w:szCs w:val="24"/>
          <w:highlight w:val="none"/>
        </w:rPr>
        <w:t>投标人若对招标文件（包括招标图纸）中有疑问，</w:t>
      </w:r>
      <w:r>
        <w:rPr>
          <w:rFonts w:hint="eastAsia" w:ascii="宋体" w:hAnsi="宋体" w:cs="宋体"/>
          <w:color w:val="auto"/>
          <w:sz w:val="24"/>
          <w:szCs w:val="24"/>
          <w:highlight w:val="none"/>
          <w:u w:val="single"/>
        </w:rPr>
        <w:t>可在规定的时间内通过广州公共资源交易中心网站进入提问区域将问题提交给招标人或招标代理人，提交问题时一律不得署名</w:t>
      </w:r>
      <w:r>
        <w:rPr>
          <w:rFonts w:hint="eastAsia" w:ascii="宋体" w:hAnsi="宋体" w:cs="宋体"/>
          <w:color w:val="auto"/>
          <w:sz w:val="24"/>
          <w:szCs w:val="24"/>
          <w:highlight w:val="none"/>
        </w:rPr>
        <w:t>，提交形式见本须知前附表第16项</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8.2</w:t>
      </w:r>
      <w:r>
        <w:rPr>
          <w:rFonts w:hint="eastAsia" w:ascii="宋体" w:hAnsi="宋体" w:cs="宋体"/>
          <w:color w:val="auto"/>
          <w:sz w:val="24"/>
          <w:szCs w:val="24"/>
          <w:highlight w:val="none"/>
        </w:rPr>
        <w:t>招标答疑会会议纪要将在提交投标文件截止时间15日前在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交易平台发布，视作已发放给所有投标人</w:t>
      </w:r>
      <w:r>
        <w:rPr>
          <w:rFonts w:hint="eastAsia" w:asci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8.3</w:t>
      </w:r>
      <w:r>
        <w:rPr>
          <w:rFonts w:hint="eastAsia" w:ascii="宋体" w:hAnsi="宋体" w:cs="宋体"/>
          <w:bCs/>
          <w:color w:val="auto"/>
          <w:sz w:val="24"/>
          <w:szCs w:val="24"/>
          <w:highlight w:val="none"/>
          <w:u w:val="single"/>
        </w:rPr>
        <w:t>招标答疑纪要</w:t>
      </w:r>
      <w:r>
        <w:rPr>
          <w:rFonts w:hint="eastAsia" w:ascii="宋体" w:hAnsi="宋体" w:cs="宋体"/>
          <w:bCs/>
          <w:color w:val="auto"/>
          <w:sz w:val="24"/>
          <w:szCs w:val="24"/>
          <w:highlight w:val="none"/>
        </w:rPr>
        <w:t>为招标文件的一部分</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8.4</w:t>
      </w:r>
      <w:r>
        <w:rPr>
          <w:rFonts w:hint="eastAsia" w:ascii="宋体" w:hAnsi="宋体" w:cs="宋体"/>
          <w:color w:val="auto"/>
          <w:sz w:val="24"/>
          <w:szCs w:val="24"/>
          <w:highlight w:val="none"/>
        </w:rPr>
        <w:t>若</w:t>
      </w:r>
      <w:r>
        <w:rPr>
          <w:rFonts w:hint="eastAsia" w:ascii="宋体" w:hAnsi="宋体" w:cs="宋体"/>
          <w:color w:val="auto"/>
          <w:sz w:val="24"/>
          <w:szCs w:val="24"/>
          <w:highlight w:val="none"/>
          <w:u w:val="single"/>
        </w:rPr>
        <w:t>招标答疑纪要</w:t>
      </w:r>
      <w:r>
        <w:rPr>
          <w:rFonts w:hint="eastAsia" w:ascii="宋体" w:hAnsi="宋体" w:cs="宋体"/>
          <w:color w:val="auto"/>
          <w:sz w:val="24"/>
          <w:szCs w:val="24"/>
          <w:highlight w:val="none"/>
        </w:rPr>
        <w:t>与招标文件有矛盾时，以</w:t>
      </w:r>
      <w:r>
        <w:rPr>
          <w:rFonts w:hint="eastAsia" w:ascii="宋体" w:hAnsi="宋体" w:cs="宋体"/>
          <w:color w:val="auto"/>
          <w:sz w:val="24"/>
          <w:szCs w:val="24"/>
          <w:highlight w:val="none"/>
          <w:u w:val="single"/>
        </w:rPr>
        <w:t>广州公共资源交易中心交易平台</w:t>
      </w:r>
      <w:r>
        <w:rPr>
          <w:rFonts w:hint="eastAsia" w:ascii="宋体" w:hAnsi="宋体" w:cs="宋体"/>
          <w:color w:val="auto"/>
          <w:sz w:val="24"/>
          <w:szCs w:val="24"/>
          <w:highlight w:val="none"/>
        </w:rPr>
        <w:t>最后发布的答疑纪要为准</w:t>
      </w:r>
      <w:r>
        <w:rPr>
          <w:rFonts w:hint="eastAsia" w:ascii="宋体" w:hAnsi="宋体"/>
          <w:color w:val="auto"/>
          <w:sz w:val="24"/>
          <w:szCs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9.2</w:t>
      </w:r>
      <w:r>
        <w:rPr>
          <w:rFonts w:hint="eastAsia" w:ascii="宋体" w:hAnsi="宋体" w:cs="宋体"/>
          <w:color w:val="auto"/>
          <w:sz w:val="24"/>
          <w:szCs w:val="24"/>
          <w:highlight w:val="none"/>
        </w:rPr>
        <w:t>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广州公共资源交易中心</w:t>
      </w:r>
      <w:r>
        <w:rPr>
          <w:rFonts w:hint="eastAsia" w:ascii="宋体" w:hAnsi="宋体" w:cs="宋体"/>
          <w:color w:val="auto"/>
          <w:sz w:val="24"/>
          <w:szCs w:val="24"/>
          <w:highlight w:val="none"/>
        </w:rPr>
        <w:t>交易平台上网发布时间作为送达时间</w:t>
      </w:r>
      <w:r>
        <w:rPr>
          <w:rFonts w:hint="eastAsia" w:asci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color w:val="auto"/>
          <w:highlight w:val="none"/>
        </w:rPr>
      </w:pPr>
      <w:bookmarkStart w:id="13" w:name="_Toc2272551"/>
      <w:bookmarkStart w:id="14" w:name="_Toc31580"/>
      <w:r>
        <w:rPr>
          <w:rFonts w:hint="eastAsia"/>
          <w:color w:val="auto"/>
          <w:highlight w:val="none"/>
        </w:rPr>
        <w:t>（三）投标文件的编制</w:t>
      </w:r>
      <w:bookmarkEnd w:id="13"/>
      <w:bookmarkEnd w:id="14"/>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3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11.2.2 资格审查文件：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 xml:space="preserve">（1）投标人声明；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（2）法定代表人证明书、法定代表人签字或盖章的本投标文件授权委托证明书</w:t>
      </w:r>
      <w:r>
        <w:rPr>
          <w:rFonts w:hint="eastAsia" w:ascii="宋体" w:hAnsi="宋体" w:cs="宋体"/>
          <w:bCs/>
          <w:color w:val="auto"/>
          <w:sz w:val="24"/>
          <w:szCs w:val="24"/>
          <w:highlight w:val="none"/>
          <w:u w:val="single"/>
        </w:rPr>
        <w:t>（提交原件扫描件，格式见本招标文件第四章 “技术标投标文件格式”格式4）</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（3）企业营业执照（</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（4）企业资质证书（</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（5）建筑施工企业安全生产许可证（</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（6）项目负责人（</w:t>
      </w:r>
      <w:r>
        <w:rPr>
          <w:rFonts w:hint="eastAsia" w:ascii="宋体" w:hAnsi="宋体" w:cs="宋体"/>
          <w:bCs/>
          <w:color w:val="auto"/>
          <w:sz w:val="24"/>
          <w:szCs w:val="24"/>
          <w:highlight w:val="none"/>
        </w:rPr>
        <w:t>按网上投标登记时选择拟投标的项目负责人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（7）专职安全员（</w:t>
      </w:r>
      <w:r>
        <w:rPr>
          <w:rFonts w:hint="eastAsia" w:ascii="宋体" w:hAnsi="宋体" w:cs="宋体"/>
          <w:bCs/>
          <w:color w:val="auto"/>
          <w:sz w:val="24"/>
          <w:szCs w:val="24"/>
          <w:highlight w:val="none"/>
        </w:rPr>
        <w:t>按网上投标登记时选择拟投标的专职安全员</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bCs/>
          <w:color w:val="auto"/>
          <w:sz w:val="24"/>
          <w:szCs w:val="24"/>
          <w:highlight w:val="none"/>
        </w:rPr>
        <w:t>拟委托技术负责人的</w:t>
      </w:r>
      <w:r>
        <w:rPr>
          <w:rFonts w:hint="eastAsia" w:ascii="宋体" w:hAnsi="宋体" w:cs="宋体"/>
          <w:bCs/>
          <w:color w:val="auto"/>
          <w:sz w:val="24"/>
          <w:szCs w:val="24"/>
          <w:highlight w:val="none"/>
          <w:u w:val="single"/>
        </w:rPr>
        <w:t>职称证书（提交原件扫描件）</w:t>
      </w:r>
      <w:r>
        <w:rPr>
          <w:rFonts w:hint="eastAsia" w:ascii="宋体" w:hAnsi="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bCs/>
          <w:color w:val="auto"/>
          <w:sz w:val="24"/>
          <w:szCs w:val="24"/>
          <w:highlight w:val="none"/>
          <w:u w:val="single"/>
        </w:rPr>
        <w:t>拟委派项目负责人的建造师注册证书</w:t>
      </w:r>
      <w:r>
        <w:rPr>
          <w:rFonts w:hint="eastAsia" w:ascii="宋体" w:hAnsi="宋体" w:cs="宋体"/>
          <w:bCs/>
          <w:color w:val="auto"/>
          <w:sz w:val="24"/>
          <w:szCs w:val="24"/>
          <w:highlight w:val="none"/>
        </w:rPr>
        <w:t>（取自平台内上传件）</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bCs/>
          <w:color w:val="auto"/>
          <w:sz w:val="24"/>
          <w:szCs w:val="24"/>
          <w:highlight w:val="none"/>
        </w:rPr>
        <w:t>项目负责人安全培训考核合格证明或在有效期内的安全考核合格证书（B类）或建筑施工企业项目负责人安全生产考核合格证书（取自平台内上传件）</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bCs/>
          <w:color w:val="auto"/>
          <w:sz w:val="24"/>
          <w:szCs w:val="24"/>
          <w:highlight w:val="none"/>
        </w:rPr>
        <w:t>专职安全员须具有在有效期内的安全考核合格证书（C类）或建筑施工企业专职安全生产管理人员安全生产考核合格证书（取自平台内上传件）</w:t>
      </w:r>
      <w:r>
        <w:rPr>
          <w:rFonts w:hint="eastAsia" w:ascii="宋体" w:hAnsi="宋体" w:cs="宋体"/>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（12）资格审查前，投标人须在广州市住房和城乡建设局建立企业信用档案，拟担任本工程项目负责人、专职安全员须是本企业信用档案中的在册人员。</w:t>
      </w:r>
      <w:r>
        <w:rPr>
          <w:rFonts w:hint="eastAsia" w:ascii="宋体"/>
          <w:bCs/>
          <w:color w:val="auto"/>
          <w:sz w:val="24"/>
          <w:szCs w:val="24"/>
          <w:highlight w:val="none"/>
          <w:u w:val="single"/>
        </w:rPr>
        <w:t>企业信用档案取自投标截止时间投标人在平台内的信息，投标人无需提交相关资料，若招标人延长投标登记时间，信用档案信息的评审时点也相应延长</w:t>
      </w:r>
      <w:r>
        <w:rPr>
          <w:rFonts w:hint="eastAsia" w:ascii="宋体"/>
          <w:bCs/>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u w:val="single"/>
        </w:rPr>
        <w:t>投标人认为应提供的其他资料。</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11.2.3项目管理机构配备。</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（1）投标人应详细列出该施工组织机构中主要成员的名单、简历资料、职务职称和在本项目中拟担任的职务等资料，并附上有关证明材料扫描件</w:t>
      </w:r>
      <w:r>
        <w:rPr>
          <w:rFonts w:hint="eastAsia" w:ascii="宋体"/>
          <w:bCs/>
          <w:color w:val="auto"/>
          <w:sz w:val="24"/>
          <w:szCs w:val="24"/>
          <w:highlight w:val="none"/>
          <w:u w:val="single"/>
        </w:rPr>
        <w:t>（格式见招标公告附件《施工项目管理团队人员信息表》）</w:t>
      </w:r>
      <w:r>
        <w:rPr>
          <w:rFonts w:hint="eastAsia" w:ascii="宋体"/>
          <w:bCs/>
          <w:color w:val="auto"/>
          <w:sz w:val="24"/>
          <w:szCs w:val="24"/>
          <w:highlight w:val="none"/>
        </w:rPr>
        <w:t>；</w:t>
      </w:r>
    </w:p>
    <w:p>
      <w:pPr>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w:t>
      </w:r>
      <w:r>
        <w:rPr>
          <w:rFonts w:hint="eastAsia" w:ascii="宋体"/>
          <w:bCs/>
          <w:color w:val="auto"/>
          <w:sz w:val="24"/>
          <w:szCs w:val="24"/>
          <w:highlight w:val="none"/>
          <w:lang w:val="en-US" w:eastAsia="zh-CN"/>
        </w:rPr>
        <w:t>2</w:t>
      </w:r>
      <w:r>
        <w:rPr>
          <w:rFonts w:hint="eastAsia" w:ascii="宋体"/>
          <w:bCs/>
          <w:color w:val="auto"/>
          <w:sz w:val="24"/>
          <w:szCs w:val="24"/>
          <w:highlight w:val="none"/>
        </w:rPr>
        <w:t>）其他辅助说明资料。</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11.2.4 投标函(提交原件扫描件，格式见本招标文件第四章 “技术标投标文件格式”格式3)。</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11.2.5  《响应招标文件所附施工组织设计要点的承诺书》（格式见本招标文件第四章 “技术标投标文件格式”格式</w:t>
      </w:r>
      <w:r>
        <w:rPr>
          <w:rFonts w:hint="eastAsia" w:ascii="宋体"/>
          <w:bCs/>
          <w:color w:val="auto"/>
          <w:sz w:val="24"/>
          <w:szCs w:val="24"/>
          <w:highlight w:val="none"/>
          <w:u w:val="single"/>
          <w:lang w:val="en-US" w:eastAsia="zh-CN"/>
        </w:rPr>
        <w:t>5</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11.2.6危险性较大的分部分项工程清单及超过一定规模的危险性较大的分部分项工程清单（格式见本招标文件第四章 “技术标投标文件格式”格式</w:t>
      </w:r>
      <w:r>
        <w:rPr>
          <w:rFonts w:hint="eastAsia" w:ascii="宋体"/>
          <w:bCs/>
          <w:color w:val="auto"/>
          <w:sz w:val="24"/>
          <w:szCs w:val="24"/>
          <w:highlight w:val="none"/>
          <w:u w:val="single"/>
          <w:lang w:val="en-US" w:eastAsia="zh-CN"/>
        </w:rPr>
        <w:t>6</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11.2.7</w:t>
      </w:r>
      <w:r>
        <w:rPr>
          <w:rFonts w:hint="eastAsia" w:ascii="宋体"/>
          <w:bCs/>
          <w:color w:val="auto"/>
          <w:sz w:val="24"/>
          <w:szCs w:val="24"/>
          <w:highlight w:val="none"/>
          <w:u w:val="single"/>
          <w:lang w:eastAsia="zh-CN"/>
        </w:rPr>
        <w:t>企业类似工程业绩</w:t>
      </w:r>
      <w:r>
        <w:rPr>
          <w:rFonts w:hint="eastAsia" w:ascii="宋体"/>
          <w:bCs/>
          <w:color w:val="auto"/>
          <w:sz w:val="24"/>
          <w:szCs w:val="24"/>
          <w:highlight w:val="none"/>
          <w:u w:val="single"/>
        </w:rPr>
        <w:t>（格式见本招标文件第四章 “技术标投标文件格式”格式</w:t>
      </w:r>
      <w:r>
        <w:rPr>
          <w:rFonts w:hint="eastAsia" w:ascii="宋体"/>
          <w:bCs/>
          <w:color w:val="auto"/>
          <w:sz w:val="24"/>
          <w:szCs w:val="24"/>
          <w:highlight w:val="none"/>
          <w:u w:val="single"/>
          <w:lang w:val="en-US" w:eastAsia="zh-CN"/>
        </w:rPr>
        <w:t>7</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11.2.8 企业相关资料：奖项、第三方评价证明资料等（格式见本招标文件第四章 “技术标投标文件格式”格式</w:t>
      </w:r>
      <w:r>
        <w:rPr>
          <w:rFonts w:hint="eastAsia" w:ascii="宋体"/>
          <w:bCs/>
          <w:color w:val="auto"/>
          <w:sz w:val="24"/>
          <w:szCs w:val="24"/>
          <w:highlight w:val="none"/>
          <w:u w:val="single"/>
          <w:lang w:val="en-US" w:eastAsia="zh-CN"/>
        </w:rPr>
        <w:t>8</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w:t>
      </w:r>
      <w:r>
        <w:rPr>
          <w:rFonts w:hint="eastAsia" w:ascii="宋体"/>
          <w:bCs/>
          <w:color w:val="auto"/>
          <w:sz w:val="24"/>
          <w:szCs w:val="24"/>
          <w:highlight w:val="none"/>
          <w:u w:val="single"/>
          <w:lang w:val="en-US" w:eastAsia="zh-CN"/>
        </w:rPr>
        <w:t>9</w:t>
      </w:r>
      <w:r>
        <w:rPr>
          <w:rFonts w:hint="eastAsia" w:ascii="宋体"/>
          <w:bCs/>
          <w:color w:val="auto"/>
          <w:sz w:val="24"/>
          <w:szCs w:val="24"/>
          <w:highlight w:val="none"/>
          <w:u w:val="single"/>
        </w:rPr>
        <w:t>按照招标文件要求填写的《参与编制技术标投标文件人员名单》（格式见本招标文件第四章 “技术标投标文件格式”格式</w:t>
      </w:r>
      <w:r>
        <w:rPr>
          <w:rFonts w:hint="eastAsia" w:ascii="宋体"/>
          <w:bCs/>
          <w:color w:val="auto"/>
          <w:sz w:val="24"/>
          <w:szCs w:val="24"/>
          <w:highlight w:val="none"/>
          <w:u w:val="single"/>
          <w:lang w:val="en-US" w:eastAsia="zh-CN"/>
        </w:rPr>
        <w:t>9</w:t>
      </w:r>
      <w:r>
        <w:rPr>
          <w:rFonts w:hint="eastAsia" w:ascii="宋体"/>
          <w:bCs/>
          <w:color w:val="auto"/>
          <w:sz w:val="24"/>
          <w:szCs w:val="24"/>
          <w:highlight w:val="none"/>
          <w:u w:val="single"/>
        </w:rPr>
        <w:t>）。</w:t>
      </w:r>
    </w:p>
    <w:p>
      <w:pPr>
        <w:spacing w:line="360" w:lineRule="auto"/>
        <w:ind w:firstLine="480" w:firstLineChars="200"/>
        <w:rPr>
          <w:rFonts w:hint="eastAsia" w:ascii="宋体"/>
          <w:bCs/>
          <w:color w:val="auto"/>
          <w:sz w:val="24"/>
          <w:szCs w:val="24"/>
          <w:highlight w:val="none"/>
          <w:u w:val="single"/>
        </w:rPr>
      </w:pPr>
      <w:r>
        <w:rPr>
          <w:rFonts w:hint="eastAsia" w:ascii="宋体"/>
          <w:bCs/>
          <w:color w:val="auto"/>
          <w:sz w:val="24"/>
          <w:szCs w:val="24"/>
          <w:highlight w:val="none"/>
          <w:u w:val="single"/>
        </w:rPr>
        <w:t>11.2.</w:t>
      </w:r>
      <w:r>
        <w:rPr>
          <w:rFonts w:hint="eastAsia" w:ascii="宋体"/>
          <w:bCs/>
          <w:color w:val="auto"/>
          <w:sz w:val="24"/>
          <w:szCs w:val="24"/>
          <w:highlight w:val="none"/>
          <w:u w:val="single"/>
          <w:lang w:val="en-US" w:eastAsia="zh-CN"/>
        </w:rPr>
        <w:t>10</w:t>
      </w:r>
      <w:r>
        <w:rPr>
          <w:rFonts w:hint="eastAsia" w:ascii="宋体"/>
          <w:bCs/>
          <w:color w:val="auto"/>
          <w:sz w:val="24"/>
          <w:szCs w:val="24"/>
          <w:highlight w:val="none"/>
          <w:u w:val="single"/>
        </w:rPr>
        <w:t>投标人认为应该提供的其他资料。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strike/>
          <w:dstrike w:val="0"/>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w:t>
      </w:r>
      <w:r>
        <w:rPr>
          <w:rFonts w:hint="eastAsia" w:ascii="宋体" w:hAnsi="宋体"/>
          <w:color w:val="auto"/>
          <w:sz w:val="24"/>
          <w:szCs w:val="24"/>
          <w:highlight w:val="none"/>
        </w:rPr>
        <w:t>编制</w:t>
      </w:r>
      <w:r>
        <w:rPr>
          <w:rFonts w:hint="eastAsia" w:ascii="宋体" w:hAnsi="宋体"/>
          <w:color w:val="auto"/>
          <w:sz w:val="24"/>
          <w:szCs w:val="24"/>
          <w:highlight w:val="none"/>
          <w:u w:val="single"/>
        </w:rPr>
        <w:t>（</w:t>
      </w:r>
      <w:r>
        <w:rPr>
          <w:rFonts w:hint="eastAsia"/>
          <w:color w:val="auto"/>
          <w:sz w:val="24"/>
          <w:szCs w:val="24"/>
          <w:highlight w:val="none"/>
          <w:u w:val="single"/>
        </w:rPr>
        <w:t>投标报价的工程量清单的组成、格式等由广州公共资源交易中心的投标文件管理软件自动生成</w:t>
      </w:r>
      <w:r>
        <w:rPr>
          <w:rFonts w:hint="eastAsia" w:ascii="宋体"/>
          <w:color w:val="auto"/>
          <w:sz w:val="24"/>
          <w:szCs w:val="24"/>
          <w:highlight w:val="none"/>
          <w:u w:val="single"/>
        </w:rPr>
        <w:t>）</w:t>
      </w:r>
      <w:r>
        <w:rPr>
          <w:rFonts w:hint="eastAsia" w:ascii="宋体" w:hAnsi="宋体"/>
          <w:color w:val="auto"/>
          <w:sz w:val="24"/>
          <w:szCs w:val="24"/>
          <w:highlight w:val="none"/>
        </w:rPr>
        <w:t>。</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11.3.5</w:t>
      </w:r>
      <w:r>
        <w:rPr>
          <w:rFonts w:hint="eastAsia" w:ascii="宋体" w:hAnsi="宋体" w:cs="宋体"/>
          <w:bCs/>
          <w:color w:val="auto"/>
          <w:sz w:val="24"/>
          <w:szCs w:val="24"/>
          <w:highlight w:val="none"/>
          <w:u w:val="single"/>
        </w:rPr>
        <w:t>对投标文件编制的承诺</w:t>
      </w:r>
      <w:r>
        <w:rPr>
          <w:rFonts w:hint="eastAsia" w:ascii="宋体" w:hAnsi="宋体" w:cs="宋体"/>
          <w:color w:val="auto"/>
          <w:sz w:val="24"/>
          <w:szCs w:val="24"/>
          <w:highlight w:val="none"/>
          <w:u w:val="single"/>
        </w:rPr>
        <w:t>（格式见本招标文件第四章 “经济标投标文件格式”格式4）</w:t>
      </w:r>
      <w:r>
        <w:rPr>
          <w:rFonts w:hint="eastAsia" w:ascii="宋体" w:hAnsi="宋体" w:cs="宋体"/>
          <w:color w:val="auto"/>
          <w:sz w:val="24"/>
          <w:szCs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35"/>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s="宋体"/>
          <w:color w:val="auto"/>
          <w:sz w:val="24"/>
          <w:szCs w:val="24"/>
          <w:highlight w:val="none"/>
        </w:rPr>
        <w:t>投标文件包括本须知第11条中规定的内容，</w:t>
      </w:r>
      <w:r>
        <w:rPr>
          <w:rFonts w:hint="eastAsia" w:ascii="宋体" w:hAnsi="宋体" w:cs="宋体"/>
          <w:color w:val="auto"/>
          <w:sz w:val="24"/>
          <w:szCs w:val="24"/>
          <w:highlight w:val="none"/>
          <w:u w:val="single"/>
        </w:rPr>
        <w:t>投标文件格式按招标文件第四章《投标文件格式》。其中：技术标格式2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zh-CN"/>
        </w:rPr>
        <w:t>广州建设工程施工招标投标书</w:t>
      </w:r>
      <w:r>
        <w:rPr>
          <w:rFonts w:hint="eastAsia" w:ascii="宋体" w:hAnsi="宋体" w:cs="宋体"/>
          <w:color w:val="auto"/>
          <w:sz w:val="24"/>
          <w:szCs w:val="24"/>
          <w:highlight w:val="none"/>
          <w:u w:val="single"/>
        </w:rPr>
        <w:t>、格式3</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投标函和经济标格式2工程量清单计价表必须按招标文件规定的格式进行编制外，其余格式仅供参考</w:t>
      </w:r>
      <w:r>
        <w:rPr>
          <w:rFonts w:hint="eastAsia" w:ascii="宋体" w:hAnsi="宋体"/>
          <w:color w:val="auto"/>
          <w:sz w:val="24"/>
          <w:szCs w:val="24"/>
          <w:highlight w:val="none"/>
        </w:rPr>
        <w:t>。</w:t>
      </w:r>
    </w:p>
    <w:p>
      <w:pPr>
        <w:pStyle w:val="3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广州公共资源交易中心网站发布的最新版操作指引。</w:t>
      </w:r>
    </w:p>
    <w:p>
      <w:pPr>
        <w:pStyle w:val="3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rPr>
        <w:t>广州公共资源交易中心网站发布的最新版操作指引</w:t>
      </w:r>
      <w:r>
        <w:rPr>
          <w:rFonts w:hint="eastAsia" w:ascii="宋体" w:hAnsi="宋体"/>
          <w:color w:val="auto"/>
          <w:sz w:val="24"/>
          <w:highlight w:val="none"/>
        </w:rPr>
        <w:t xml:space="preserve">。               </w:t>
      </w:r>
    </w:p>
    <w:p>
      <w:pPr>
        <w:pStyle w:val="3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13.1 </w:t>
      </w:r>
      <w:r>
        <w:rPr>
          <w:rFonts w:hint="eastAsia" w:ascii="宋体" w:hAnsi="宋体" w:cs="宋体"/>
          <w:color w:val="auto"/>
          <w:sz w:val="24"/>
          <w:szCs w:val="24"/>
          <w:highlight w:val="none"/>
        </w:rPr>
        <w:t>本工程的投标报价采用投标须知前附表第12项所规定的方式。</w:t>
      </w:r>
      <w:r>
        <w:rPr>
          <w:rFonts w:hint="eastAsia" w:ascii="宋体" w:hAnsi="宋体" w:cs="宋体"/>
          <w:color w:val="auto"/>
          <w:sz w:val="24"/>
          <w:szCs w:val="24"/>
          <w:highlight w:val="none"/>
          <w:u w:val="single"/>
        </w:rPr>
        <w:t>投标文件中的大写金额和小写金额不一致的，以大写金额为准。</w:t>
      </w:r>
      <w:r>
        <w:rPr>
          <w:rFonts w:hint="eastAsia" w:ascii="宋体" w:hAnsi="宋体" w:cs="宋体"/>
          <w:color w:val="auto"/>
          <w:sz w:val="24"/>
          <w:szCs w:val="24"/>
          <w:highlight w:val="none"/>
        </w:rPr>
        <w:t>投标报价（含单价及总价）精确到“分”</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w:t>
      </w:r>
      <w:r>
        <w:rPr>
          <w:rFonts w:hint="eastAsia" w:ascii="宋体" w:hAnsi="宋体"/>
          <w:color w:val="auto"/>
          <w:sz w:val="24"/>
          <w:szCs w:val="24"/>
          <w:highlight w:val="none"/>
        </w:rPr>
        <w:t>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w:t>
      </w:r>
      <w:r>
        <w:rPr>
          <w:rFonts w:hint="eastAsia" w:ascii="宋体" w:hAnsi="宋体" w:cs="仿宋"/>
          <w:color w:val="auto"/>
          <w:sz w:val="24"/>
          <w:szCs w:val="24"/>
          <w:highlight w:val="none"/>
          <w:u w:val="single"/>
        </w:rPr>
        <w:t>提供的招标图纸（包括有关于本项目招标的相关资料）及</w:t>
      </w:r>
      <w:r>
        <w:rPr>
          <w:rFonts w:hint="eastAsia" w:ascii="宋体" w:hAnsi="宋体"/>
          <w:color w:val="auto"/>
          <w:sz w:val="24"/>
          <w:szCs w:val="24"/>
          <w:highlight w:val="none"/>
        </w:rPr>
        <w:t>制定的工程量清单</w:t>
      </w:r>
      <w:r>
        <w:rPr>
          <w:rFonts w:hint="eastAsia" w:ascii="宋体" w:hAnsi="宋体"/>
          <w:color w:val="auto"/>
          <w:sz w:val="24"/>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ascii="宋体"/>
          <w:color w:val="auto"/>
          <w:sz w:val="24"/>
          <w:highlight w:val="none"/>
          <w:u w:val="single"/>
        </w:rPr>
      </w:pPr>
      <w:r>
        <w:rPr>
          <w:rFonts w:ascii="宋体" w:hAnsi="宋体"/>
          <w:color w:val="auto"/>
          <w:sz w:val="24"/>
          <w:highlight w:val="none"/>
          <w:u w:val="single"/>
        </w:rPr>
        <w:t>13.4</w:t>
      </w:r>
      <w:r>
        <w:rPr>
          <w:rFonts w:hint="eastAsia" w:ascii="宋体" w:hAnsi="宋体"/>
          <w:color w:val="auto"/>
          <w:sz w:val="24"/>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p>
    <w:p>
      <w:pPr>
        <w:pStyle w:val="35"/>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13.5</w:t>
      </w:r>
      <w:r>
        <w:rPr>
          <w:rFonts w:hint="eastAsia" w:ascii="宋体" w:hAnsi="宋体" w:cs="宋体"/>
          <w:color w:val="auto"/>
          <w:kern w:val="0"/>
          <w:sz w:val="24"/>
          <w:szCs w:val="24"/>
          <w:highlight w:val="none"/>
          <w:u w:val="single"/>
        </w:rPr>
        <w:t>变更结算方式按招标文件及施工合同相关规定执行</w:t>
      </w:r>
      <w:r>
        <w:rPr>
          <w:rFonts w:hint="eastAsia" w:ascii="宋体" w:hAnsi="宋体"/>
          <w:color w:val="auto"/>
          <w:sz w:val="24"/>
          <w:szCs w:val="24"/>
          <w:highlight w:val="non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3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16.4如有下列情况之一的，招标人可以不予退还投标保证金</w:t>
      </w:r>
      <w:r>
        <w:rPr>
          <w:rFonts w:hint="eastAsia" w:ascii="宋体" w:hAnsi="宋体" w:cs="宋体"/>
          <w:strike/>
          <w:dstrike w:val="0"/>
          <w:color w:val="auto"/>
          <w:sz w:val="24"/>
          <w:szCs w:val="24"/>
          <w:highlight w:val="none"/>
        </w:rPr>
        <w:t>（是否退还投标保证金由招标人在招标文件中规定）</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16.4.1因投标人原因造成投标文件未解密的；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16.4.2投标人在投标有效期内撤销投标文件；</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16.4.3中标人未能在规定期限内按要求提交履约担保；</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16.4.4中标人未能在规定期限内签署合同协议。</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16.5投标人如存在下列情况之一的，将被拒绝在</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年内</w:t>
      </w:r>
      <w:r>
        <w:rPr>
          <w:rFonts w:hint="eastAsia" w:ascii="宋体" w:hAnsi="宋体" w:cs="宋体"/>
          <w:color w:val="auto"/>
          <w:sz w:val="24"/>
          <w:szCs w:val="24"/>
          <w:highlight w:val="none"/>
        </w:rPr>
        <w:t>参与招标人后续工程投标</w:t>
      </w:r>
      <w:r>
        <w:rPr>
          <w:rFonts w:hint="eastAsia" w:ascii="宋体" w:hAnsi="宋体" w:cs="宋体"/>
          <w:strike/>
          <w:dstrike w:val="0"/>
          <w:color w:val="auto"/>
          <w:sz w:val="24"/>
          <w:szCs w:val="24"/>
          <w:highlight w:val="none"/>
        </w:rPr>
        <w:t>（拒绝时限需在招标文件中明确）</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16.5.1投标人存在16.4条款所列情形且投标人提交的保函、担保或保证保险无法兑付的；</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400" w:lineRule="exact"/>
        <w:ind w:firstLine="480" w:firstLineChars="200"/>
        <w:rPr>
          <w:rFonts w:ascii="宋体" w:hAnsi="宋体" w:cs="宋体"/>
          <w:color w:val="auto"/>
          <w:sz w:val="24"/>
          <w:szCs w:val="24"/>
          <w:highlight w:val="none"/>
        </w:rPr>
      </w:pPr>
      <w:r>
        <w:rPr>
          <w:rFonts w:hint="eastAsia" w:ascii="宋体" w:hAnsi="宋体" w:cs="宋体"/>
          <w:strike/>
          <w:color w:val="auto"/>
          <w:sz w:val="24"/>
          <w:szCs w:val="24"/>
          <w:highlight w:val="none"/>
        </w:rPr>
        <w:t>16.5.3按招标文件要求免于提供投标保证金的投标人存在16.4条款所列情形，且未按招标人要求补交投标保证金的</w:t>
      </w:r>
      <w:r>
        <w:rPr>
          <w:rFonts w:hint="eastAsia" w:ascii="宋体" w:hAnsi="宋体" w:cs="宋体"/>
          <w:color w:val="auto"/>
          <w:sz w:val="24"/>
          <w:szCs w:val="24"/>
          <w:highlight w:val="none"/>
        </w:rPr>
        <w:t>；</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rPr>
      </w:pPr>
      <w:r>
        <w:rPr>
          <w:rFonts w:hint="eastAsia" w:ascii="宋体" w:hAnsi="宋体"/>
          <w:strike/>
          <w:dstrike w:val="0"/>
          <w:color w:val="auto"/>
          <w:sz w:val="24"/>
          <w:highlight w:val="none"/>
        </w:rPr>
        <w:t>注：16.5.3款由招标人二选一，需在招标文件中明确。</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olor w:val="auto"/>
          <w:sz w:val="24"/>
          <w:highlight w:val="none"/>
          <w:u w:val="single"/>
        </w:rPr>
        <w:t>联合体投标的，除联合体协议需联合体各方同时盖章外，其他投标文件由联合体主办方出具并签署，其中“单位”或“投标人”一栏可只填写联合体主办方名称。</w:t>
      </w:r>
      <w:r>
        <w:rPr>
          <w:rFonts w:hint="eastAsia" w:ascii="宋体" w:hAnsi="宋体"/>
          <w:color w:val="auto"/>
          <w:sz w:val="24"/>
          <w:highlight w:val="none"/>
        </w:rPr>
        <w:t>详见：</w:t>
      </w:r>
      <w:r>
        <w:rPr>
          <w:rFonts w:hint="eastAsia" w:ascii="宋体" w:hAnsi="宋体"/>
          <w:color w:val="auto"/>
          <w:sz w:val="24"/>
          <w:highlight w:val="none"/>
          <w:u w:val="single"/>
        </w:rPr>
        <w:t>广州公共资源交易中心网站发布的最新版操作指引</w:t>
      </w:r>
      <w:r>
        <w:rPr>
          <w:rFonts w:hint="eastAsia" w:ascii="宋体" w:hAnsi="宋体"/>
          <w:color w:val="auto"/>
          <w:sz w:val="24"/>
          <w:highlight w:val="none"/>
        </w:rPr>
        <w:t>。</w:t>
      </w:r>
    </w:p>
    <w:p>
      <w:pPr>
        <w:pStyle w:val="6"/>
        <w:spacing w:before="156" w:after="156"/>
        <w:rPr>
          <w:color w:val="auto"/>
          <w:highlight w:val="none"/>
        </w:rPr>
      </w:pPr>
      <w:bookmarkStart w:id="15" w:name="_Toc29362"/>
      <w:bookmarkStart w:id="16" w:name="_Toc2272552"/>
      <w:r>
        <w:rPr>
          <w:rFonts w:hint="eastAsia"/>
          <w:color w:val="auto"/>
          <w:highlight w:val="none"/>
        </w:rPr>
        <w:t>（四）投标文件的提交</w:t>
      </w:r>
      <w:bookmarkEnd w:id="15"/>
      <w:bookmarkEnd w:id="16"/>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广州公共资源交易中心网站发布的最新版操作指引</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color w:val="auto"/>
          <w:sz w:val="24"/>
          <w:szCs w:val="24"/>
          <w:highlight w:val="none"/>
          <w:u w:val="single"/>
        </w:rPr>
        <w:t xml:space="preserve"> 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strike/>
          <w:dstrike w:val="0"/>
          <w:color w:val="auto"/>
          <w:sz w:val="24"/>
          <w:highlight w:val="none"/>
        </w:rPr>
      </w:pPr>
      <w:r>
        <w:rPr>
          <w:rFonts w:ascii="宋体" w:hAnsi="宋体"/>
          <w:strike/>
          <w:dstrike w:val="0"/>
          <w:color w:val="auto"/>
          <w:sz w:val="24"/>
          <w:szCs w:val="24"/>
          <w:highlight w:val="none"/>
        </w:rPr>
        <w:t>19.6</w:t>
      </w:r>
      <w:r>
        <w:rPr>
          <w:rFonts w:hint="eastAsia" w:ascii="宋体" w:hAnsi="宋体"/>
          <w:strike/>
          <w:dstrike w:val="0"/>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strike/>
          <w:dstrike w:val="0"/>
          <w:color w:val="auto"/>
          <w:sz w:val="24"/>
          <w:highlight w:val="none"/>
        </w:rPr>
        <w:t>该投标文件将不能参与资格审查和评标</w:t>
      </w:r>
      <w:r>
        <w:rPr>
          <w:rFonts w:hint="eastAsia" w:ascii="宋体" w:hAnsi="宋体"/>
          <w:strike/>
          <w:dstrike w:val="0"/>
          <w:color w:val="auto"/>
          <w:sz w:val="24"/>
          <w:szCs w:val="24"/>
          <w:highlight w:val="none"/>
        </w:rPr>
        <w:t>（选择性条款）。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strike/>
          <w:dstrike w:val="0"/>
          <w:color w:val="auto"/>
          <w:sz w:val="24"/>
          <w:szCs w:val="24"/>
          <w:highlight w:val="none"/>
        </w:rPr>
        <w:t>（当</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个标段同时招标且不允许兼中时，若有效投标人不足</w:t>
      </w:r>
      <w:r>
        <w:rPr>
          <w:rFonts w:ascii="宋体" w:hAnsi="宋体"/>
          <w:strike/>
          <w:dstrike w:val="0"/>
          <w:color w:val="auto"/>
          <w:sz w:val="24"/>
          <w:szCs w:val="24"/>
          <w:highlight w:val="none"/>
        </w:rPr>
        <w:t>N+</w:t>
      </w:r>
      <w:r>
        <w:rPr>
          <w:rFonts w:hint="eastAsia" w:ascii="宋体" w:hAnsi="宋体"/>
          <w:strike/>
          <w:dstrike w:val="0"/>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6"/>
        <w:spacing w:before="156" w:after="156"/>
        <w:rPr>
          <w:color w:val="auto"/>
          <w:highlight w:val="none"/>
        </w:rPr>
      </w:pPr>
      <w:bookmarkStart w:id="17" w:name="_Toc2272553"/>
      <w:bookmarkStart w:id="18" w:name="_Toc8350"/>
      <w:r>
        <w:rPr>
          <w:rFonts w:hint="eastAsia"/>
          <w:color w:val="auto"/>
          <w:highlight w:val="none"/>
        </w:rPr>
        <w:t>（五）开标、评标、定标及合同签定</w:t>
      </w:r>
      <w:bookmarkEnd w:id="17"/>
      <w:bookmarkEnd w:id="18"/>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hint="eastAsia" w:ascii="宋体" w:eastAsia="宋体"/>
          <w:color w:val="auto"/>
          <w:sz w:val="24"/>
          <w:highlight w:val="none"/>
          <w:lang w:eastAsia="zh-CN"/>
        </w:rPr>
      </w:pPr>
      <w:r>
        <w:rPr>
          <w:rFonts w:ascii="宋体" w:hAnsi="宋体"/>
          <w:color w:val="auto"/>
          <w:sz w:val="24"/>
          <w:highlight w:val="none"/>
        </w:rPr>
        <w:t>27.1</w:t>
      </w:r>
      <w:r>
        <w:rPr>
          <w:rFonts w:hint="eastAsia" w:ascii="宋体" w:hAnsi="宋体"/>
          <w:color w:val="auto"/>
          <w:sz w:val="24"/>
          <w:highlight w:val="none"/>
        </w:rPr>
        <w:t>招标人将在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 w:val="24"/>
          <w:highlight w:val="none"/>
          <w:lang w:eastAsia="zh-CN"/>
        </w:rPr>
        <w:t>。</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w:t>
      </w:r>
      <w:r>
        <w:rPr>
          <w:rFonts w:hint="eastAsia" w:ascii="宋体" w:hAnsi="宋体" w:eastAsia="宋体" w:cs="宋体"/>
          <w:bCs/>
          <w:color w:val="auto"/>
          <w:kern w:val="0"/>
          <w:sz w:val="24"/>
          <w:szCs w:val="24"/>
          <w:highlight w:val="none"/>
        </w:rPr>
        <w:t>在产生中标候选人后，招标人将中标候选人的投标文件商务部分文件的所有内容（包括人员、业绩、奖项等资料）在</w:t>
      </w:r>
      <w:r>
        <w:rPr>
          <w:rFonts w:hint="eastAsia" w:ascii="宋体" w:hAnsi="宋体" w:eastAsia="宋体" w:cs="宋体"/>
          <w:bCs/>
          <w:color w:val="auto"/>
          <w:kern w:val="0"/>
          <w:sz w:val="24"/>
          <w:szCs w:val="24"/>
          <w:highlight w:val="none"/>
          <w:u w:val="single"/>
        </w:rPr>
        <w:t>广州公共资源交易中心</w:t>
      </w:r>
      <w:r>
        <w:rPr>
          <w:rFonts w:hint="eastAsia" w:ascii="宋体" w:hAnsi="宋体" w:eastAsia="宋体" w:cs="宋体"/>
          <w:bCs/>
          <w:color w:val="auto"/>
          <w:kern w:val="0"/>
          <w:sz w:val="24"/>
          <w:szCs w:val="24"/>
          <w:highlight w:val="none"/>
        </w:rPr>
        <w:t>交易平台和广东省招标投标监管网公开</w:t>
      </w:r>
      <w:r>
        <w:rPr>
          <w:rFonts w:hint="eastAsia" w:ascii="宋体" w:hAnsi="宋体" w:eastAsia="宋体" w:cs="宋体"/>
          <w:color w:val="auto"/>
          <w:sz w:val="24"/>
          <w:szCs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hint="eastAsia" w:ascii="宋体" w:hAns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lang w:val="en-US" w:eastAsia="zh-CN"/>
        </w:rPr>
        <w:t>1</w:t>
      </w:r>
      <w:r>
        <w:rPr>
          <w:rFonts w:ascii="宋体" w:hAnsi="宋体"/>
          <w:color w:val="auto"/>
          <w:sz w:val="24"/>
          <w:highlight w:val="none"/>
          <w:u w:val="single"/>
        </w:rPr>
        <w:t>.1</w:t>
      </w:r>
      <w:r>
        <w:rPr>
          <w:rFonts w:hint="eastAsia" w:ascii="宋体" w:hAnsi="宋体"/>
          <w:color w:val="auto"/>
          <w:sz w:val="24"/>
          <w:highlight w:val="none"/>
          <w:u w:val="single"/>
        </w:rPr>
        <w:t>中标人代缴公共资源交易服务费，其费用包含在中标人投标报价中，交易中心向中标人开具增值税发票。</w:t>
      </w:r>
    </w:p>
    <w:p>
      <w:pPr>
        <w:spacing w:line="360" w:lineRule="auto"/>
        <w:ind w:firstLine="480" w:firstLineChars="200"/>
        <w:rPr>
          <w:rFonts w:hint="default" w:ascii="宋体" w:eastAsia="宋体"/>
          <w:color w:val="auto"/>
          <w:sz w:val="24"/>
          <w:highlight w:val="none"/>
          <w:u w:val="single"/>
          <w:lang w:val="en-US" w:eastAsia="zh-CN"/>
        </w:rPr>
      </w:pPr>
      <w:r>
        <w:rPr>
          <w:rFonts w:hint="eastAsia" w:ascii="宋体" w:hAnsi="宋体"/>
          <w:color w:val="auto"/>
          <w:sz w:val="24"/>
          <w:highlight w:val="none"/>
          <w:u w:val="single"/>
          <w:lang w:val="en-US" w:eastAsia="zh-CN"/>
        </w:rPr>
        <w:t>31.2本项目招标代理服务费由中标人支付，金额以招标人与招标代理机构签订的招标代理合同为准。在领取中标通知书之前一次性支付给招标代理机构。</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3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highlight w:val="none"/>
          <w:lang w:val="en-US" w:eastAsia="zh-CN"/>
        </w:rPr>
      </w:pPr>
      <w:r>
        <w:rPr>
          <w:rFonts w:hint="eastAsia" w:ascii="宋体"/>
          <w:b/>
          <w:color w:val="auto"/>
          <w:sz w:val="24"/>
          <w:highlight w:val="none"/>
        </w:rPr>
        <w:t>3</w:t>
      </w:r>
      <w:r>
        <w:rPr>
          <w:rFonts w:hint="eastAsia" w:ascii="宋体"/>
          <w:b/>
          <w:color w:val="auto"/>
          <w:sz w:val="24"/>
          <w:highlight w:val="none"/>
          <w:lang w:val="en-US" w:eastAsia="zh-CN"/>
        </w:rPr>
        <w:t>3</w:t>
      </w:r>
      <w:r>
        <w:rPr>
          <w:rFonts w:hint="eastAsia" w:ascii="宋体"/>
          <w:b/>
          <w:color w:val="auto"/>
          <w:sz w:val="24"/>
          <w:highlight w:val="none"/>
        </w:rPr>
        <w:t>.</w:t>
      </w:r>
      <w:r>
        <w:rPr>
          <w:rFonts w:hint="eastAsia" w:ascii="宋体" w:hAnsi="宋体"/>
          <w:b/>
          <w:color w:val="auto"/>
          <w:sz w:val="24"/>
          <w:highlight w:val="none"/>
        </w:rPr>
        <w:t xml:space="preserve"> </w:t>
      </w:r>
      <w:r>
        <w:rPr>
          <w:rFonts w:hint="eastAsia" w:ascii="宋体" w:hAnsi="宋体"/>
          <w:color w:val="auto"/>
          <w:sz w:val="24"/>
          <w:szCs w:val="24"/>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一套（包括经济标报价套价软件版、XML版和Microsoft Excel软件版及用Microsoft Word软件或广州公共资源交易中心提供的投标书制作软件制作的经济投标文件其他部分。电子文件介质使用CD-R光盘或U盘，所有电子文件不能采用压缩处理）。</w:t>
      </w:r>
    </w:p>
    <w:p>
      <w:pPr>
        <w:pStyle w:val="35"/>
        <w:spacing w:after="0" w:line="360" w:lineRule="auto"/>
        <w:ind w:firstLine="480" w:firstLineChars="200"/>
        <w:rPr>
          <w:rFonts w:hint="eastAsia" w:ascii="宋体" w:eastAsia="宋体"/>
          <w:color w:val="auto"/>
          <w:sz w:val="24"/>
          <w:szCs w:val="24"/>
          <w:highlight w:val="none"/>
          <w:u w:val="single"/>
          <w:lang w:eastAsia="zh-CN"/>
        </w:rPr>
      </w:pPr>
    </w:p>
    <w:p>
      <w:pPr>
        <w:pStyle w:val="4"/>
        <w:jc w:val="center"/>
        <w:rPr>
          <w:color w:val="auto"/>
          <w:highlight w:val="none"/>
        </w:rPr>
      </w:pPr>
      <w:r>
        <w:rPr>
          <w:rFonts w:ascii="宋体"/>
          <w:color w:val="auto"/>
          <w:sz w:val="24"/>
          <w:highlight w:val="none"/>
        </w:rPr>
        <w:br w:type="page"/>
      </w:r>
      <w:bookmarkStart w:id="19" w:name="_Toc2272554"/>
      <w:bookmarkStart w:id="20" w:name="_Toc9540"/>
      <w:r>
        <w:rPr>
          <w:rFonts w:hint="eastAsia"/>
          <w:b/>
          <w:bCs/>
          <w:color w:val="auto"/>
          <w:highlight w:val="none"/>
        </w:rPr>
        <w:t>第二章  开标、评标及定标办法</w:t>
      </w:r>
      <w:bookmarkEnd w:id="19"/>
      <w:bookmarkEnd w:id="20"/>
    </w:p>
    <w:p>
      <w:pPr>
        <w:pStyle w:val="5"/>
        <w:rPr>
          <w:color w:val="auto"/>
          <w:highlight w:val="none"/>
        </w:rPr>
      </w:pPr>
      <w:bookmarkStart w:id="21" w:name="_Toc2272555"/>
      <w:bookmarkStart w:id="22" w:name="_Toc19846"/>
      <w:r>
        <w:rPr>
          <w:rFonts w:hint="eastAsia"/>
          <w:color w:val="auto"/>
          <w:sz w:val="28"/>
          <w:szCs w:val="28"/>
          <w:highlight w:val="none"/>
        </w:rPr>
        <w:t>一、</w:t>
      </w:r>
      <w:r>
        <w:rPr>
          <w:rFonts w:hint="eastAsia"/>
          <w:color w:val="auto"/>
          <w:highlight w:val="none"/>
        </w:rPr>
        <w:t>开标、评标及定标办法修改表</w:t>
      </w:r>
      <w:bookmarkEnd w:id="21"/>
      <w:bookmarkEnd w:id="22"/>
    </w:p>
    <w:p>
      <w:pPr>
        <w:pStyle w:val="3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hint="eastAsia"/>
          <w:b/>
          <w:color w:val="auto"/>
          <w:szCs w:val="21"/>
          <w:highlight w:val="none"/>
        </w:rPr>
        <w:t>http://zfcj.gz.gov.cn/）下载GZZB2018-3</w:t>
      </w:r>
      <w:r>
        <w:rPr>
          <w:rStyle w:val="43"/>
          <w:rFonts w:hint="eastAsia"/>
          <w:b/>
          <w:color w:val="auto"/>
          <w:szCs w:val="21"/>
          <w:highlight w:val="none"/>
        </w:rPr>
        <w:fldChar w:fldCharType="end"/>
      </w:r>
      <w:r>
        <w:rPr>
          <w:rFonts w:hint="eastAsia"/>
          <w:b/>
          <w:color w:val="auto"/>
          <w:szCs w:val="21"/>
          <w:highlight w:val="none"/>
        </w:rPr>
        <w:t>范本查阅。</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36.5.1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38</w:t>
      </w:r>
      <w:r>
        <w:rPr>
          <w:rFonts w:hint="eastAsia" w:ascii="宋体" w:hAnsi="宋体" w:eastAsia="宋体" w:cs="宋体"/>
          <w:b/>
          <w:color w:val="auto"/>
          <w:szCs w:val="21"/>
          <w:highlight w:val="none"/>
        </w:rPr>
        <w:t>.1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Cs w:val="24"/>
          <w:highlight w:val="none"/>
        </w:rPr>
        <w:t>内容作出澄清</w:t>
      </w:r>
      <w:r>
        <w:rPr>
          <w:rFonts w:hint="eastAsia" w:ascii="宋体" w:hAnsi="宋体" w:eastAsia="宋体" w:cs="宋体"/>
          <w:color w:val="auto"/>
          <w:szCs w:val="24"/>
          <w:highlight w:val="none"/>
          <w:lang w:eastAsia="zh-CN"/>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39.3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 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cs="宋体"/>
          <w:bCs/>
          <w:color w:val="auto"/>
          <w:szCs w:val="21"/>
          <w:highlight w:val="none"/>
          <w:u w:val="none"/>
        </w:rPr>
        <w:t>招标人可以确定排名第二的中标候选人为中标人</w:t>
      </w:r>
      <w:r>
        <w:rPr>
          <w:rFonts w:hint="eastAsia" w:ascii="宋体" w:hAnsi="宋体" w:cs="宋体"/>
          <w:bCs/>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（二）开标评标办法程序和细则        </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360" w:lineRule="auto"/>
        <w:ind w:firstLine="527" w:firstLineChars="250"/>
        <w:rPr>
          <w:rStyle w:val="43"/>
          <w:rFonts w:ascii="宋体" w:hAnsi="宋体" w:cs="宋体"/>
          <w:color w:val="auto"/>
          <w:highlight w:val="none"/>
        </w:rPr>
      </w:pPr>
      <w:r>
        <w:rPr>
          <w:rFonts w:hint="eastAsia" w:ascii="宋体" w:hAnsi="宋体" w:cs="宋体"/>
          <w:b/>
          <w:color w:val="auto"/>
          <w:szCs w:val="21"/>
          <w:highlight w:val="none"/>
        </w:rPr>
        <w:t>原文：</w:t>
      </w: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一（适合</w:t>
      </w:r>
      <w:r>
        <w:rPr>
          <w:rStyle w:val="43"/>
          <w:rFonts w:hint="eastAsia" w:ascii="宋体" w:hAnsi="宋体" w:cs="宋体"/>
          <w:color w:val="auto"/>
          <w:kern w:val="0"/>
          <w:highlight w:val="none"/>
        </w:rPr>
        <w:t>综合评分法一</w:t>
      </w:r>
      <w:r>
        <w:rPr>
          <w:rStyle w:val="43"/>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highlight w:val="none"/>
        </w:rPr>
        <w:t>可选办法八（适合经评审的最低投标价法，技术标与经济标同时开启）</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Style w:val="35"/>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pStyle w:val="35"/>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交易平台。有关投标文件提交的事项详见第一章投标须知。</w:t>
      </w:r>
    </w:p>
    <w:p>
      <w:pPr>
        <w:pBdr>
          <w:bottom w:val="single" w:color="auto" w:sz="6" w:space="1"/>
        </w:pBdr>
        <w:spacing w:line="40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41.2.2</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41.3</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41.3</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41.3</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w:t>
      </w:r>
      <w:r>
        <w:rPr>
          <w:rFonts w:hint="eastAsia" w:ascii="宋体" w:hAnsi="宋体" w:cs="宋体"/>
          <w:color w:val="auto"/>
          <w:szCs w:val="21"/>
          <w:highlight w:val="none"/>
        </w:rPr>
        <w:t>上签字。</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Style w:val="35"/>
        <w:tabs>
          <w:tab w:val="left" w:pos="7380"/>
        </w:tabs>
        <w:snapToGrid w:val="0"/>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35"/>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35"/>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条款号：45.1  45.2                        修改类型：修改</w:t>
      </w:r>
    </w:p>
    <w:p>
      <w:pPr>
        <w:spacing w:line="400" w:lineRule="exact"/>
        <w:ind w:firstLine="527" w:firstLineChars="250"/>
        <w:rPr>
          <w:rFonts w:ascii="宋体" w:hAnsi="宋体" w:cs="宋体"/>
          <w:color w:val="auto"/>
          <w:szCs w:val="21"/>
          <w:highlight w:val="none"/>
        </w:rPr>
      </w:pPr>
      <w:bookmarkStart w:id="23" w:name="_Hlk22115076"/>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方法二：区间抽取法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X:为等分点值，开标前，从[0,100]整数中随机抽取</w:t>
      </w:r>
    </w:p>
    <w:bookmarkEnd w:id="23"/>
    <w:p>
      <w:pP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45.1若通过技术标有效性审查的投标人中所有投标报价均大于等于</w:t>
      </w:r>
      <w:r>
        <w:rPr>
          <w:rFonts w:hint="eastAsia" w:ascii="宋体" w:hAnsi="宋体" w:cs="宋体"/>
          <w:color w:val="auto"/>
          <w:szCs w:val="21"/>
          <w:highlight w:val="none"/>
          <w:u w:val="single"/>
        </w:rPr>
        <w:t>最高投标限价*</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%的</w:t>
      </w:r>
      <w:r>
        <w:rPr>
          <w:rFonts w:hint="eastAsia" w:ascii="宋体" w:hAnsi="宋体" w:cs="宋体"/>
          <w:color w:val="auto"/>
          <w:szCs w:val="21"/>
          <w:highlight w:val="none"/>
        </w:rPr>
        <w:t>（具体金额为：</w:t>
      </w:r>
      <w:r>
        <w:rPr>
          <w:rFonts w:hint="eastAsia" w:ascii="宋体" w:hAnsi="宋体" w:cs="宋体"/>
          <w:color w:val="auto"/>
          <w:szCs w:val="21"/>
          <w:highlight w:val="none"/>
          <w:u w:val="single"/>
          <w:lang w:val="en-US" w:eastAsia="zh-CN"/>
        </w:rPr>
        <w:t xml:space="preserve"> 90181768.62</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pStyle w:val="16"/>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通过技术标有效性审查且经济报价在[工程成本警戒价（</w:t>
      </w:r>
      <w:r>
        <w:rPr>
          <w:rFonts w:hint="eastAsia" w:ascii="宋体" w:hAnsi="宋体" w:cs="宋体"/>
          <w:color w:val="auto"/>
          <w:szCs w:val="21"/>
          <w:highlight w:val="none"/>
          <w:u w:val="single"/>
          <w:lang w:val="en-US" w:eastAsia="zh-CN"/>
        </w:rPr>
        <w:t>95</w:t>
      </w:r>
      <w:r>
        <w:rPr>
          <w:rFonts w:hint="eastAsia" w:ascii="宋体" w:hAnsi="宋体" w:cs="宋体"/>
          <w:color w:val="auto"/>
          <w:szCs w:val="21"/>
          <w:highlight w:val="none"/>
          <w:u w:val="single"/>
        </w:rPr>
        <w:t>%最高投标限价）,最高投标限价]区间的投标人的技术标得分前5名（若满足前述条件的投标人大于等于5家时,N=5；若满足前述条件的投标人小于5家时,N=满足前述条件的投标人个数）的投标人经济报价加权平均，计算评标参考价。公式如下：</w:t>
      </w:r>
    </w:p>
    <w:p>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w:t>
      </w:r>
      <w:r>
        <w:rPr>
          <w:rFonts w:hint="eastAsia" w:ascii="宋体" w:hAnsi="宋体" w:cs="宋体"/>
          <w:color w:val="auto"/>
          <w:szCs w:val="21"/>
          <w:highlight w:val="none"/>
          <w:u w:val="single"/>
        </w:rPr>
        <w:t>按附表四《技术标详细审查评分表》得分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drawing>
          <wp:inline distT="0" distB="0" distL="114300" distR="114300">
            <wp:extent cx="240030" cy="285115"/>
            <wp:effectExtent l="0" t="0" r="3810" b="4445"/>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40030" cy="28511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drawing>
          <wp:inline distT="0" distB="0" distL="114300" distR="114300">
            <wp:extent cx="232410" cy="285115"/>
            <wp:effectExtent l="0" t="0" r="11430" b="444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drawing>
          <wp:inline distT="0" distB="0" distL="114300" distR="114300">
            <wp:extent cx="232410" cy="285115"/>
            <wp:effectExtent l="0" t="0" r="11430" b="4445"/>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w:t>
      </w:r>
    </w:p>
    <w:p>
      <w:pPr>
        <w:pStyle w:val="16"/>
        <w:pBdr>
          <w:bottom w:val="single" w:color="auto" w:sz="4" w:space="1"/>
        </w:pBdr>
        <w:spacing w:after="0"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注：技术标得分均相同的投标人，以投标报价较低的排前；如仍存在相同情况，则对具有相同情况的投标人，由评标委员会采用记名投票方式决定先后顺序，确定投标人的排序。</w:t>
      </w:r>
    </w:p>
    <w:p>
      <w:pPr>
        <w:pStyle w:val="35"/>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45.3</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45.3当标价等于评标参考价时得100分，标价每高于评标参考价1%，扣</w:t>
      </w:r>
      <w:r>
        <w:rPr>
          <w:rFonts w:hint="eastAsia" w:ascii="宋体" w:hAnsi="宋体" w:cs="宋体"/>
          <w:bCs/>
          <w:color w:val="auto"/>
          <w:szCs w:val="21"/>
          <w:highlight w:val="none"/>
          <w:u w:val="single"/>
          <w:lang w:val="en-US" w:eastAsia="zh-CN"/>
        </w:rPr>
        <w:t>0.2</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lang w:val="en-US" w:eastAsia="zh-CN"/>
        </w:rPr>
        <w:t>0.1</w:t>
      </w:r>
      <w:r>
        <w:rPr>
          <w:rFonts w:hint="eastAsia" w:ascii="宋体" w:hAnsi="宋体" w:cs="宋体"/>
          <w:bCs/>
          <w:color w:val="auto"/>
          <w:szCs w:val="21"/>
          <w:highlight w:val="none"/>
        </w:rPr>
        <w:t>分，扣至0分为止，得出经济分，精确到小数点后两位。</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45.4 </w:t>
      </w:r>
      <w:r>
        <w:rPr>
          <w:rFonts w:hint="eastAsia" w:ascii="宋体" w:hAnsi="宋体" w:cs="宋体"/>
          <w:b/>
          <w:color w:val="auto"/>
          <w:szCs w:val="21"/>
          <w:highlight w:val="none"/>
        </w:rPr>
        <w:t xml:space="preserve">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w:t>
      </w:r>
      <w:r>
        <w:rPr>
          <w:rFonts w:hint="eastAsia" w:ascii="宋体" w:hAnsi="宋体" w:cs="宋体"/>
          <w:color w:val="auto"/>
          <w:szCs w:val="21"/>
          <w:highlight w:val="none"/>
          <w:shd w:val="clear" w:color="auto" w:fill="FFFFFF"/>
        </w:rPr>
        <w:t>计算通过技术标有效性审查的投标人总得分。</w:t>
      </w:r>
      <w:r>
        <w:rPr>
          <w:rFonts w:hint="eastAsia" w:ascii="宋体" w:hAnsi="宋体" w:cs="宋体"/>
          <w:color w:val="auto"/>
          <w:szCs w:val="21"/>
          <w:highlight w:val="none"/>
          <w:u w:val="single"/>
          <w:shd w:val="clear" w:color="auto" w:fill="FFFFFF"/>
        </w:rPr>
        <w:t>投标人总得分=技术得分×技术得分权重（</w:t>
      </w:r>
      <w:r>
        <w:rPr>
          <w:rFonts w:hint="eastAsia" w:ascii="宋体" w:hAnsi="宋体" w:cs="宋体"/>
          <w:color w:val="auto"/>
          <w:szCs w:val="21"/>
          <w:highlight w:val="none"/>
          <w:u w:val="single"/>
          <w:shd w:val="clear" w:color="auto" w:fill="FFFFFF"/>
          <w:lang w:val="en-US" w:eastAsia="zh-CN"/>
        </w:rPr>
        <w:t>20</w:t>
      </w:r>
      <w:r>
        <w:rPr>
          <w:rFonts w:hint="eastAsia" w:ascii="宋体" w:hAnsi="宋体" w:cs="宋体"/>
          <w:color w:val="auto"/>
          <w:szCs w:val="21"/>
          <w:highlight w:val="none"/>
          <w:u w:val="single"/>
          <w:shd w:val="clear" w:color="auto" w:fill="FFFFFF"/>
        </w:rPr>
        <w:t>%）＋经济得分×经济得分权重（</w:t>
      </w:r>
      <w:r>
        <w:rPr>
          <w:rFonts w:hint="eastAsia" w:ascii="宋体" w:hAnsi="宋体" w:cs="宋体"/>
          <w:color w:val="auto"/>
          <w:szCs w:val="21"/>
          <w:highlight w:val="none"/>
          <w:u w:val="single"/>
          <w:shd w:val="clear" w:color="auto" w:fill="FFFFFF"/>
          <w:lang w:val="en-US" w:eastAsia="zh-CN"/>
        </w:rPr>
        <w:t>80</w:t>
      </w:r>
      <w:r>
        <w:rPr>
          <w:rFonts w:hint="eastAsia" w:ascii="宋体" w:hAnsi="宋体" w:cs="宋体"/>
          <w:color w:val="auto"/>
          <w:szCs w:val="21"/>
          <w:highlight w:val="none"/>
          <w:u w:val="single"/>
          <w:shd w:val="clear" w:color="auto" w:fill="FFFFFF"/>
        </w:rPr>
        <w:t>%）</w:t>
      </w:r>
      <w:r>
        <w:rPr>
          <w:rFonts w:hint="eastAsia" w:ascii="宋体" w:hAnsi="宋体" w:cs="宋体"/>
          <w:color w:val="auto"/>
          <w:szCs w:val="21"/>
          <w:highlight w:val="none"/>
          <w:shd w:val="clear" w:color="auto" w:fill="FFFFFF"/>
        </w:rPr>
        <w:t>。技术、经济得分权重按投标须知前附表的规定执行。总得分四舍五入保留两位小数。</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条款号：45.5             修改类型：增加</w:t>
      </w:r>
    </w:p>
    <w:p>
      <w:pPr>
        <w:pStyle w:val="35"/>
        <w:pBdr>
          <w:bottom w:val="single" w:color="auto" w:sz="4" w:space="1"/>
        </w:pBdr>
        <w:tabs>
          <w:tab w:val="left" w:pos="7380"/>
        </w:tabs>
        <w:snapToGrid w:val="0"/>
        <w:spacing w:after="0" w:line="400" w:lineRule="exact"/>
        <w:ind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总得分与报价均相同的投标文件，以技术标得分较高的排前；如仍存在相同情况，则对具有相同情况的投标人，由评标委员会采用投票方式，确定投标人的排序。</w:t>
      </w:r>
    </w:p>
    <w:p>
      <w:pPr>
        <w:pStyle w:val="35"/>
        <w:pBdr>
          <w:bottom w:val="single" w:color="auto" w:sz="4" w:space="1"/>
        </w:pBdr>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注：记名投票方式确定排序的具体操作步骤为：由评标委员会对出现该情况的投标人采取记名投票的方式确定，按得票数高低进行排序。</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 《资格审查表》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见后附：附表一 《资格审查表》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见后附：附表二《技术标有效性审查表》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见后附：附表三《经济标有效性审查表》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见后附：附表四《技术标详细审查评分表》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见后附：附表五《经济标评分表》</w:t>
      </w:r>
    </w:p>
    <w:p>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8"/>
        <w:spacing w:line="360" w:lineRule="auto"/>
        <w:rPr>
          <w:color w:val="auto"/>
          <w:highlight w:val="none"/>
        </w:rPr>
      </w:pPr>
      <w:r>
        <w:rPr>
          <w:color w:val="auto"/>
          <w:highlight w:val="none"/>
        </w:rPr>
        <w:br w:type="page"/>
      </w:r>
    </w:p>
    <w:p>
      <w:pPr>
        <w:pStyle w:val="5"/>
        <w:ind w:firstLine="525"/>
        <w:rPr>
          <w:color w:val="auto"/>
          <w:highlight w:val="none"/>
        </w:rPr>
      </w:pPr>
      <w:bookmarkStart w:id="24" w:name="_Toc19926"/>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6"/>
        <w:spacing w:before="156" w:after="156"/>
        <w:ind w:firstLine="540" w:firstLineChars="200"/>
        <w:rPr>
          <w:color w:val="auto"/>
          <w:highlight w:val="none"/>
        </w:rPr>
      </w:pPr>
      <w:bookmarkStart w:id="26" w:name="_Toc20113"/>
      <w:bookmarkStart w:id="27" w:name="_Toc2272557"/>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36.5.1在投标截止时间后半小时内，投标人通过</w:t>
      </w:r>
      <w:r>
        <w:rPr>
          <w:rFonts w:hint="eastAsia" w:ascii="宋体" w:hAnsi="宋体" w:eastAsia="宋体" w:cs="宋体"/>
          <w:color w:val="auto"/>
          <w:sz w:val="24"/>
          <w:szCs w:val="24"/>
          <w:highlight w:val="none"/>
          <w:u w:val="single"/>
        </w:rPr>
        <w:t xml:space="preserve"> 广州公共资源交易中心 </w:t>
      </w:r>
      <w:r>
        <w:rPr>
          <w:rFonts w:hint="eastAsia" w:ascii="宋体" w:hAnsi="宋体" w:eastAsia="宋体" w:cs="宋体"/>
          <w:color w:val="auto"/>
          <w:sz w:val="24"/>
          <w:szCs w:val="24"/>
          <w:highlight w:val="none"/>
        </w:rPr>
        <w:t>交易平台对已递交的电子投标文件进行解密。投标人完成解密后，再由</w:t>
      </w:r>
      <w:r>
        <w:rPr>
          <w:rFonts w:hint="eastAsia" w:ascii="宋体" w:hAnsi="宋体" w:eastAsia="宋体" w:cs="宋体"/>
          <w:color w:val="auto"/>
          <w:sz w:val="24"/>
          <w:szCs w:val="24"/>
          <w:highlight w:val="none"/>
          <w:u w:val="single"/>
        </w:rPr>
        <w:t>招标人或招标代理机构</w:t>
      </w:r>
      <w:r>
        <w:rPr>
          <w:rFonts w:hint="eastAsia" w:ascii="宋体" w:hAnsi="宋体" w:eastAsia="宋体" w:cs="宋体"/>
          <w:color w:val="auto"/>
          <w:sz w:val="24"/>
          <w:szCs w:val="24"/>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37.2.1根据评标细则，对投标文件进行认真评审，完成评审报告；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 评标结束后，评标委员会递交评标报告并依法推荐中标候选人。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r>
        <w:rPr>
          <w:rFonts w:hint="eastAsia" w:ascii="宋体" w:hAnsi="宋体" w:eastAsia="宋体" w:cs="宋体"/>
          <w:bCs/>
          <w:color w:val="auto"/>
          <w:sz w:val="24"/>
          <w:szCs w:val="24"/>
          <w:highlight w:val="none"/>
        </w:rPr>
        <w:t>排名第一的中标候选人放弃中标、</w:t>
      </w:r>
      <w:r>
        <w:rPr>
          <w:rFonts w:hint="eastAsia" w:ascii="宋体" w:hAnsi="宋体" w:eastAsia="宋体" w:cs="宋体"/>
          <w:bCs/>
          <w:color w:val="auto"/>
          <w:sz w:val="24"/>
          <w:szCs w:val="24"/>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eastAsia="宋体" w:cs="宋体"/>
          <w:bCs/>
          <w:color w:val="auto"/>
          <w:sz w:val="24"/>
          <w:szCs w:val="24"/>
          <w:highlight w:val="none"/>
          <w:u w:val="none"/>
        </w:rPr>
        <w:t>招标人可以确定排名第二的中标候选人为中标人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28" w:name="_Toc4621"/>
      <w:bookmarkStart w:id="29" w:name="_Toc7569"/>
      <w:bookmarkStart w:id="30" w:name="_Toc2272558"/>
      <w:bookmarkStart w:id="31" w:name="_Toc25128"/>
      <w:bookmarkStart w:id="32" w:name="_Toc1333"/>
      <w:bookmarkStart w:id="33" w:name="_Toc11825"/>
      <w:bookmarkStart w:id="34" w:name="_Toc16523"/>
      <w:r>
        <w:rPr>
          <w:rFonts w:hint="eastAsia" w:ascii="宋体" w:hAnsi="宋体" w:eastAsia="宋体" w:cs="宋体"/>
          <w:color w:val="auto"/>
          <w:sz w:val="24"/>
          <w:szCs w:val="24"/>
          <w:highlight w:val="none"/>
        </w:rPr>
        <w:t>（二）开标评标办法程序和细则</w:t>
      </w:r>
      <w:bookmarkEnd w:id="28"/>
      <w:bookmarkEnd w:id="29"/>
      <w:bookmarkEnd w:id="30"/>
      <w:bookmarkEnd w:id="31"/>
      <w:bookmarkEnd w:id="32"/>
      <w:bookmarkEnd w:id="33"/>
      <w:bookmarkEnd w:id="34"/>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注：以下七种评标办法所述企业综合诚信评价分数即投标截止当日广州市工程招标代理行业协会网站上公布的企业综合诚信评价60日诚信分。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rPr>
      </w:pPr>
      <w:bookmarkStart w:id="35" w:name="_Toc25231"/>
      <w:bookmarkStart w:id="36" w:name="_Toc25588"/>
      <w:bookmarkStart w:id="37" w:name="_Toc2885"/>
      <w:bookmarkStart w:id="38" w:name="_Toc22560"/>
      <w:bookmarkStart w:id="39" w:name="_Toc30562"/>
      <w:bookmarkStart w:id="40" w:name="_Toc20750"/>
      <w:bookmarkStart w:id="41" w:name="_Toc2272564"/>
      <w:r>
        <w:rPr>
          <w:rFonts w:hint="eastAsia" w:ascii="宋体" w:hAnsi="宋体" w:eastAsia="宋体" w:cs="宋体"/>
          <w:color w:val="auto"/>
          <w:sz w:val="24"/>
          <w:szCs w:val="24"/>
          <w:highlight w:val="none"/>
        </w:rPr>
        <w:t>可选办法七（适合综合评分法四，技术标与经济标同时开启）</w:t>
      </w:r>
      <w:bookmarkEnd w:id="35"/>
      <w:bookmarkEnd w:id="36"/>
      <w:bookmarkEnd w:id="37"/>
      <w:bookmarkEnd w:id="38"/>
      <w:bookmarkEnd w:id="39"/>
      <w:bookmarkEnd w:id="40"/>
      <w:bookmarkEnd w:id="41"/>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w:t>
      </w:r>
      <w:r>
        <w:rPr>
          <w:rFonts w:hint="eastAsia" w:ascii="宋体" w:hAnsi="宋体" w:eastAsia="宋体" w:cs="宋体"/>
          <w:color w:val="auto"/>
          <w:sz w:val="24"/>
          <w:szCs w:val="24"/>
          <w:highlight w:val="none"/>
          <w:u w:val="single"/>
        </w:rPr>
        <w:t>或招标代理</w:t>
      </w:r>
      <w:r>
        <w:rPr>
          <w:rFonts w:hint="eastAsia" w:ascii="宋体" w:hAnsi="宋体" w:eastAsia="宋体" w:cs="宋体"/>
          <w:color w:val="auto"/>
          <w:sz w:val="24"/>
          <w:szCs w:val="24"/>
          <w:highlight w:val="none"/>
        </w:rPr>
        <w:t>主持；</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 xml:space="preserve">交易平台。有关投标文件提交的事项详见第一章投标须知。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41.2.2开标前，首先由招标人随机抽取确定该工程计算评标参考价的等分点值X。</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对开标过程进行记录，并存档备查，投标人在</w:t>
      </w:r>
      <w:r>
        <w:rPr>
          <w:rFonts w:hint="eastAsia" w:ascii="宋体" w:hAnsi="宋体" w:eastAsia="宋体" w:cs="宋体"/>
          <w:color w:val="auto"/>
          <w:sz w:val="24"/>
          <w:szCs w:val="24"/>
          <w:highlight w:val="none"/>
          <w:u w:val="single"/>
        </w:rPr>
        <w:t>开标记录上</w:t>
      </w:r>
      <w:r>
        <w:rPr>
          <w:rFonts w:hint="eastAsia" w:ascii="宋体" w:hAnsi="宋体" w:eastAsia="宋体" w:cs="宋体"/>
          <w:color w:val="auto"/>
          <w:sz w:val="24"/>
          <w:szCs w:val="24"/>
          <w:highlight w:val="none"/>
        </w:rPr>
        <w:t>签字。</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s="宋体"/>
          <w:color w:val="auto"/>
          <w:sz w:val="24"/>
          <w:szCs w:val="24"/>
          <w:highlight w:val="none"/>
          <w:lang w:eastAsia="zh-CN"/>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评委发现投标文件中含义不明确、对同类问题表述不一致、有明显文字和计算错误的，应当要求投标人作必要的澄清、说明后再判定投标人是否通过有效性审查，不得直接否决投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w:t>
      </w:r>
      <w:r>
        <w:rPr>
          <w:rFonts w:hint="eastAsia" w:ascii="宋体" w:hAnsi="宋体" w:eastAsia="宋体" w:cs="宋体"/>
          <w:color w:val="auto"/>
          <w:sz w:val="24"/>
          <w:szCs w:val="24"/>
          <w:highlight w:val="none"/>
          <w:u w:val="single"/>
        </w:rPr>
        <w:t>最高投标限价*</w:t>
      </w:r>
      <w:r>
        <w:rPr>
          <w:rFonts w:hint="eastAsia" w:ascii="宋体" w:hAnsi="宋体" w:eastAsia="宋体" w:cs="宋体"/>
          <w:color w:val="auto"/>
          <w:sz w:val="24"/>
          <w:szCs w:val="24"/>
          <w:highlight w:val="none"/>
          <w:u w:val="single"/>
          <w:lang w:val="en-US" w:eastAsia="zh-CN"/>
        </w:rPr>
        <w:t xml:space="preserve">100 </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rPr>
        <w:t>（具体金额为：</w:t>
      </w:r>
      <w:r>
        <w:rPr>
          <w:rFonts w:hint="eastAsia" w:ascii="宋体" w:hAnsi="宋体" w:eastAsia="宋体" w:cs="宋体"/>
          <w:color w:val="auto"/>
          <w:sz w:val="24"/>
          <w:szCs w:val="24"/>
          <w:highlight w:val="none"/>
          <w:u w:val="single"/>
        </w:rPr>
        <w:t>90181768.62</w:t>
      </w:r>
      <w:r>
        <w:rPr>
          <w:rFonts w:hint="eastAsia" w:ascii="宋体" w:hAnsi="宋体" w:eastAsia="宋体" w:cs="宋体"/>
          <w:color w:val="auto"/>
          <w:sz w:val="24"/>
          <w:szCs w:val="24"/>
          <w:highlight w:val="none"/>
        </w:rPr>
        <w:t>元），则本项目招标失败，由招标人依法重新招标。</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计算评标参考价：</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通过技术标有效性审查且经济报价在[工程成本警戒价（</w:t>
      </w:r>
      <w:r>
        <w:rPr>
          <w:rFonts w:hint="eastAsia" w:ascii="宋体" w:hAnsi="宋体" w:eastAsia="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w:t>
      </w:r>
      <w:r>
        <w:rPr>
          <w:rFonts w:hint="eastAsia" w:ascii="宋体" w:hAnsi="宋体" w:eastAsia="宋体" w:cs="宋体"/>
          <w:color w:val="auto"/>
          <w:sz w:val="24"/>
          <w:szCs w:val="24"/>
          <w:highlight w:val="none"/>
          <w:u w:val="single"/>
        </w:rPr>
        <w:t>按附表四《技术标详细审查评分表》得分</w:t>
      </w:r>
      <w:r>
        <w:rPr>
          <w:rFonts w:hint="eastAsia" w:ascii="宋体" w:hAnsi="宋体" w:eastAsia="宋体" w:cs="宋体"/>
          <w:color w:val="auto"/>
          <w:sz w:val="24"/>
          <w:szCs w:val="24"/>
          <w:highlight w:val="none"/>
        </w:rPr>
        <w:t>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注：技术标得分均相同的投标人，以投标报价较低的排前；如仍存在相同情况，则对具有相同情况的投标人，由评标委员会采用记名投票方式决定先后顺序，确定投标人的排序。</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trike/>
          <w:dstrike w:val="0"/>
          <w:color w:val="auto"/>
          <w:kern w:val="0"/>
          <w:sz w:val="24"/>
          <w:szCs w:val="24"/>
          <w:highlight w:val="none"/>
        </w:rPr>
      </w:pPr>
      <w:r>
        <w:rPr>
          <w:rFonts w:hint="eastAsia" w:ascii="宋体" w:hAnsi="宋体" w:eastAsia="宋体" w:cs="宋体"/>
          <w:b/>
          <w:bCs/>
          <w:strike/>
          <w:dstrike w:val="0"/>
          <w:color w:val="auto"/>
          <w:kern w:val="0"/>
          <w:sz w:val="24"/>
          <w:szCs w:val="24"/>
          <w:highlight w:val="none"/>
        </w:rPr>
        <w:t>方法二：区间抽取法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vertAlign w:val="subscript"/>
        </w:rPr>
      </w:pPr>
      <w:r>
        <w:rPr>
          <w:rFonts w:hint="eastAsia" w:ascii="宋体" w:hAnsi="宋体" w:eastAsia="宋体" w:cs="宋体"/>
          <w:strike/>
          <w:dstrike w:val="0"/>
          <w:color w:val="auto"/>
          <w:kern w:val="0"/>
          <w:sz w:val="24"/>
          <w:szCs w:val="24"/>
          <w:highlight w:val="none"/>
        </w:rPr>
        <w:t>评标参考价=（Q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低</w:t>
      </w:r>
      <w:r>
        <w:rPr>
          <w:rFonts w:hint="eastAsia" w:ascii="宋体" w:hAnsi="宋体" w:eastAsia="宋体" w:cs="宋体"/>
          <w:strike/>
          <w:dstrike w:val="0"/>
          <w:color w:val="auto"/>
          <w:kern w:val="0"/>
          <w:sz w:val="24"/>
          <w:szCs w:val="24"/>
          <w:highlight w:val="none"/>
        </w:rPr>
        <w:t>）/100*Ｘ+Q</w:t>
      </w:r>
      <w:r>
        <w:rPr>
          <w:rFonts w:hint="eastAsia" w:ascii="宋体" w:hAnsi="宋体" w:eastAsia="宋体" w:cs="宋体"/>
          <w:strike/>
          <w:dstrike w:val="0"/>
          <w:color w:val="auto"/>
          <w:kern w:val="0"/>
          <w:sz w:val="24"/>
          <w:szCs w:val="24"/>
          <w:highlight w:val="none"/>
          <w:vertAlign w:val="subscript"/>
        </w:rPr>
        <w:t>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Q</w:t>
      </w:r>
      <w:r>
        <w:rPr>
          <w:rFonts w:hint="eastAsia" w:ascii="宋体" w:hAnsi="宋体" w:eastAsia="宋体" w:cs="宋体"/>
          <w:strike/>
          <w:dstrike w:val="0"/>
          <w:color w:val="auto"/>
          <w:sz w:val="24"/>
          <w:szCs w:val="24"/>
          <w:highlight w:val="none"/>
          <w:vertAlign w:val="subscript"/>
        </w:rPr>
        <w:t>低</w:t>
      </w:r>
      <w:r>
        <w:rPr>
          <w:rFonts w:hint="eastAsia" w:ascii="宋体" w:hAnsi="宋体" w:eastAsia="宋体" w:cs="宋体"/>
          <w:strike/>
          <w:dstrike w:val="0"/>
          <w:color w:val="auto"/>
          <w:sz w:val="24"/>
          <w:szCs w:val="24"/>
          <w:highlight w:val="none"/>
        </w:rPr>
        <w:t>：为达到或超过技术标及格分数线的投标人最低报价与工程成本警示价两者中的较高值；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sz w:val="24"/>
          <w:szCs w:val="24"/>
          <w:highlight w:val="none"/>
        </w:rPr>
        <w:t>：为（最高投标限价*D%）（D的取值范围为[94,100],由招标人自定）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X:为等分点值，在开标前从[0,100]整数中随机抽取</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bCs/>
          <w:color w:val="auto"/>
          <w:sz w:val="24"/>
          <w:szCs w:val="24"/>
          <w:highlight w:val="none"/>
        </w:rPr>
        <w:t>当标价等于评标参考价时得100分，标价每高于评标参考价1%，扣</w:t>
      </w:r>
      <w:r>
        <w:rPr>
          <w:rFonts w:hint="eastAsia" w:ascii="宋体" w:hAnsi="宋体" w:eastAsia="宋体" w:cs="宋体"/>
          <w:bCs/>
          <w:color w:val="auto"/>
          <w:sz w:val="24"/>
          <w:szCs w:val="24"/>
          <w:highlight w:val="none"/>
          <w:u w:val="single"/>
          <w:lang w:val="en-US" w:eastAsia="zh-CN"/>
        </w:rPr>
        <w:t>0.</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rPr>
        <w:t>分，每低于评标参考价1%，扣</w:t>
      </w:r>
      <w:r>
        <w:rPr>
          <w:rFonts w:hint="eastAsia" w:ascii="宋体" w:hAnsi="宋体" w:eastAsia="宋体" w:cs="宋体"/>
          <w:bCs/>
          <w:color w:val="auto"/>
          <w:sz w:val="24"/>
          <w:szCs w:val="24"/>
          <w:highlight w:val="none"/>
          <w:u w:val="single"/>
          <w:lang w:val="en-US" w:eastAsia="zh-CN"/>
        </w:rPr>
        <w:t>0.</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rPr>
        <w:t>分，扣至0分为止，得出经济分，精确到小数点后两位</w:t>
      </w:r>
      <w:r>
        <w:rPr>
          <w:rFonts w:hint="eastAsia" w:ascii="宋体" w:hAnsi="宋体" w:eastAsia="宋体" w:cs="宋体"/>
          <w:color w:val="auto"/>
          <w:sz w:val="24"/>
          <w:szCs w:val="24"/>
          <w:highlight w:val="none"/>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w:t>
      </w:r>
      <w:r>
        <w:rPr>
          <w:rFonts w:hint="eastAsia" w:ascii="宋体" w:hAnsi="宋体" w:eastAsia="宋体" w:cs="宋体"/>
          <w:color w:val="auto"/>
          <w:sz w:val="24"/>
          <w:szCs w:val="24"/>
          <w:highlight w:val="none"/>
          <w:shd w:val="clear" w:color="auto" w:fill="FFFFFF"/>
        </w:rPr>
        <w:t>计算通过技术标有效性审查的投标人总得分。</w:t>
      </w:r>
      <w:r>
        <w:rPr>
          <w:rFonts w:hint="eastAsia" w:ascii="宋体" w:hAnsi="宋体" w:eastAsia="宋体" w:cs="宋体"/>
          <w:color w:val="auto"/>
          <w:sz w:val="24"/>
          <w:szCs w:val="24"/>
          <w:highlight w:val="none"/>
          <w:u w:val="single"/>
          <w:shd w:val="clear" w:color="auto" w:fill="FFFFFF"/>
        </w:rPr>
        <w:t>投标人总得分=技术得分×技术得分权重（20%）＋经济得分×经济得分权重（80%）</w:t>
      </w:r>
      <w:r>
        <w:rPr>
          <w:rFonts w:hint="eastAsia" w:ascii="宋体" w:hAnsi="宋体" w:eastAsia="宋体" w:cs="宋体"/>
          <w:color w:val="auto"/>
          <w:sz w:val="24"/>
          <w:szCs w:val="24"/>
          <w:highlight w:val="none"/>
          <w:shd w:val="clear" w:color="auto" w:fill="FFFFFF"/>
        </w:rPr>
        <w:t>。技术、经济得分权重按投标须知前附表的规定执行。总得分四舍五入保留两位小数</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45.5总得分相同情况下的排序方法：总得分相同的投标文件，以报价较低的排前；总得分与报价均相同的投标文件，以技术标得分较高的排前；如仍存在相同情况，则对具有相同情况的投标人，由评标委员会采用投票方式，确定投标人的排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注：记名投票方式确定排序的具体操作步骤为：由评标委员会对出现该情况的投标人采取记名投票的方式确定，按得票数高低进行排序</w:t>
      </w:r>
      <w:r>
        <w:rPr>
          <w:rFonts w:hint="eastAsia" w:ascii="宋体" w:hAnsi="宋体" w:eastAsia="宋体" w:cs="宋体"/>
          <w:color w:val="auto"/>
          <w:sz w:val="24"/>
          <w:szCs w:val="24"/>
          <w:highlight w:val="none"/>
          <w:u w:val="single"/>
          <w:lang w:eastAsia="zh-CN"/>
        </w:rPr>
        <w:t>。</w:t>
      </w:r>
    </w:p>
    <w:p>
      <w:pPr>
        <w:pStyle w:val="35"/>
        <w:keepNext w:val="0"/>
        <w:keepLines w:val="0"/>
        <w:pageBreakBefore w:val="0"/>
        <w:tabs>
          <w:tab w:val="left" w:pos="7380"/>
        </w:tabs>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w:t>
      </w:r>
      <w:r>
        <w:rPr>
          <w:rFonts w:hint="eastAsia" w:ascii="宋体" w:hAnsi="宋体" w:eastAsia="宋体" w:cs="宋体"/>
          <w:color w:val="auto"/>
          <w:sz w:val="24"/>
          <w:szCs w:val="24"/>
          <w:highlight w:val="none"/>
          <w:u w:val="single"/>
        </w:rPr>
        <w:t>45.4、45.5</w:t>
      </w:r>
      <w:r>
        <w:rPr>
          <w:rFonts w:hint="eastAsia" w:ascii="宋体" w:hAnsi="宋体" w:eastAsia="宋体" w:cs="宋体"/>
          <w:color w:val="auto"/>
          <w:sz w:val="24"/>
          <w:szCs w:val="24"/>
          <w:highlight w:val="none"/>
        </w:rPr>
        <w:t>确定的投标人第二阶段排序，推荐前3名依次为第一中标候选人至第三中标候选人,并编制评标报告。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rPr>
        <w:t>49.若通过经济标有效性审查的投标人不足三家，应当依法重新招标</w:t>
      </w:r>
      <w:r>
        <w:rPr>
          <w:rFonts w:hint="eastAsia" w:ascii="宋体" w:hAnsi="宋体" w:eastAsia="宋体" w:cs="宋体"/>
          <w:color w:val="auto"/>
          <w:sz w:val="24"/>
          <w:szCs w:val="24"/>
          <w:highlight w:val="none"/>
          <w:lang w:eastAsia="zh-CN"/>
        </w:rPr>
        <w:t>。</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使用有效期内的注册建造师注册证书在广州市住建行业信用平台内上传件。</w:t>
            </w:r>
            <w:r>
              <w:rPr>
                <w:rFonts w:hint="eastAsia" w:ascii="Times New Roman" w:hAnsi="Times New Roman"/>
                <w:bCs/>
                <w:color w:val="auto"/>
                <w:szCs w:val="21"/>
                <w:highlight w:val="none"/>
                <w:u w:val="single"/>
              </w:rPr>
              <w:t>项目负责人和专职安全员不为同一人。</w:t>
            </w:r>
          </w:p>
          <w:p>
            <w:pPr>
              <w:spacing w:before="120" w:after="60"/>
              <w:jc w:val="center"/>
              <w:rPr>
                <w:rFonts w:ascii="宋体" w:hAnsi="宋体"/>
                <w:color w:val="auto"/>
                <w:szCs w:val="21"/>
                <w:highlight w:val="none"/>
              </w:rPr>
            </w:pPr>
            <w:r>
              <w:rPr>
                <w:rFonts w:hint="eastAsia" w:ascii="宋体" w:hAnsi="宋体" w:cs="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拟委托技术负责人的市政工程相关专业（包括道路与桥梁、给排水、结构、机电、燃气等专业）中级或以上技术职称证书（扫描件）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专职安全员须具有安全生产考核合格证（C类）或建筑施工企业专职安全生产管理人员安全生产考核合格证书</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专职安全员的安全生产考核合格证（C类）或建筑施工企业专职安全生产管理人员安全生产考核合格证书在广州市住建行业信用管理平台内上传件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lang w:val="en-US" w:eastAsia="zh-CN"/>
              </w:rPr>
              <w:t>如投标人为联合体，</w:t>
            </w:r>
            <w:r>
              <w:rPr>
                <w:rFonts w:hint="eastAsia" w:ascii="宋体" w:hAnsi="宋体"/>
                <w:color w:val="auto"/>
                <w:szCs w:val="21"/>
                <w:highlight w:val="none"/>
                <w:u w:val="single"/>
              </w:rPr>
              <w:t>提供联合体工作协议。</w:t>
            </w:r>
            <w:r>
              <w:rPr>
                <w:rFonts w:hint="eastAsia" w:ascii="宋体" w:hAnsi="宋体"/>
                <w:color w:val="auto"/>
                <w:szCs w:val="21"/>
                <w:highlight w:val="none"/>
              </w:rPr>
              <w:t>投标人拟任本工程项目负责人应为主办方正式员工。联合体工作协议应明确约定各方拟承担的工作和责任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spacing w:line="360" w:lineRule="auto"/>
        <w:jc w:val="center"/>
        <w:rPr>
          <w:b/>
          <w:color w:val="auto"/>
          <w:sz w:val="24"/>
          <w:szCs w:val="24"/>
          <w:highlight w:val="none"/>
        </w:rPr>
      </w:pPr>
      <w:r>
        <w:rPr>
          <w:rFonts w:hint="eastAsia"/>
          <w:b/>
          <w:color w:val="auto"/>
          <w:sz w:val="24"/>
          <w:szCs w:val="24"/>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640"/>
        <w:gridCol w:w="1015"/>
        <w:gridCol w:w="1071"/>
        <w:gridCol w:w="1098"/>
        <w:gridCol w:w="1071"/>
        <w:gridCol w:w="100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640"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《广州建设工程施工招标投标书》中工期不能满足完成投标项目工期的；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《广州建设工程施工招标投标书》中质量标准不符合招标文件的；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lang w:val="en-US" w:eastAsia="zh-CN"/>
              </w:rPr>
              <w:t>签字</w:t>
            </w:r>
            <w:r>
              <w:rPr>
                <w:rFonts w:hint="eastAsia" w:ascii="宋体" w:hAnsi="宋体" w:cs="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投标文件未按招标文件第四章规定的格式（指技术格式2：</w:t>
            </w:r>
            <w:r>
              <w:rPr>
                <w:rFonts w:hint="eastAsia" w:ascii="Times New Roman" w:hAnsi="Times New Roman"/>
                <w:color w:val="auto"/>
                <w:szCs w:val="21"/>
                <w:highlight w:val="none"/>
                <w:u w:val="single"/>
                <w:lang w:val="zh-CN"/>
              </w:rPr>
              <w:t>广州建设工程施工招标投标书</w:t>
            </w:r>
            <w:r>
              <w:rPr>
                <w:rFonts w:hint="eastAsia" w:ascii="Times New Roman" w:hAnsi="Times New Roman"/>
                <w:color w:val="auto"/>
                <w:szCs w:val="21"/>
                <w:highlight w:val="none"/>
                <w:u w:val="single"/>
              </w:rPr>
              <w:t>、格式3：投标函）填写，或关键字迹模糊、无法辨认的</w:t>
            </w:r>
            <w:r>
              <w:rPr>
                <w:rFonts w:hint="eastAsia" w:ascii="宋体" w:hAnsi="宋体"/>
                <w:color w:val="auto"/>
                <w:szCs w:val="21"/>
                <w:highlight w:val="none"/>
              </w:rPr>
              <w:t>；</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Times New Roman" w:hAnsi="Times New Roman"/>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p>
        </w:tc>
        <w:tc>
          <w:tcPr>
            <w:tcW w:w="764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color w:val="auto"/>
                <w:szCs w:val="21"/>
                <w:highlight w:val="none"/>
                <w:u w:val="single"/>
              </w:rPr>
            </w:pPr>
            <w:r>
              <w:rPr>
                <w:rFonts w:hint="eastAsia" w:ascii="宋体" w:hAnsi="宋体"/>
                <w:color w:val="auto"/>
                <w:szCs w:val="21"/>
                <w:highlight w:val="none"/>
                <w:u w:val="single"/>
              </w:rPr>
              <w:t>结论</w:t>
            </w: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9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olor w:val="auto"/>
          <w:szCs w:val="21"/>
          <w:highlight w:val="none"/>
        </w:rPr>
        <w:t>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olor w:val="auto"/>
          <w:szCs w:val="21"/>
          <w:highlight w:val="none"/>
          <w:lang w:eastAsia="zh-CN"/>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r>
        <w:rPr>
          <w:rFonts w:hint="eastAsia" w:ascii="宋体" w:hAnsi="宋体" w:cs="宋体"/>
          <w:color w:val="auto"/>
          <w:szCs w:val="21"/>
          <w:highlight w:val="none"/>
          <w:u w:val="single"/>
        </w:rPr>
        <w:t>以“×”表示“无效”，以“○”表示“有效”。结论填写“有效”或“无效”。）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                                                         日期：</w:t>
      </w:r>
    </w:p>
    <w:p>
      <w:pPr>
        <w:rPr>
          <w:color w:val="auto"/>
          <w:szCs w:val="21"/>
          <w:highlight w:val="none"/>
        </w:rPr>
      </w:pPr>
      <w:r>
        <w:rPr>
          <w:color w:val="auto"/>
          <w:highlight w:val="none"/>
        </w:rPr>
        <w:br w:type="page"/>
      </w:r>
      <w:r>
        <w:rPr>
          <w:rFonts w:hint="eastAsia"/>
          <w:color w:val="auto"/>
          <w:szCs w:val="21"/>
          <w:highlight w:val="none"/>
        </w:rPr>
        <w:t>附表三</w:t>
      </w:r>
    </w:p>
    <w:p>
      <w:pPr>
        <w:spacing w:line="360" w:lineRule="auto"/>
        <w:jc w:val="center"/>
        <w:rPr>
          <w:b/>
          <w:color w:val="auto"/>
          <w:sz w:val="24"/>
          <w:szCs w:val="24"/>
          <w:highlight w:val="none"/>
        </w:rPr>
      </w:pPr>
      <w:r>
        <w:rPr>
          <w:rFonts w:hint="eastAsia"/>
          <w:b/>
          <w:color w:val="auto"/>
          <w:sz w:val="24"/>
          <w:szCs w:val="24"/>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7200"/>
        <w:gridCol w:w="1198"/>
        <w:gridCol w:w="1198"/>
        <w:gridCol w:w="1198"/>
        <w:gridCol w:w="1198"/>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0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7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Times New Roman" w:hAnsi="Times New Roman"/>
                <w:color w:val="auto"/>
                <w:szCs w:val="21"/>
                <w:highlight w:val="none"/>
              </w:rPr>
              <w:t>投标报价低于成本的</w:t>
            </w:r>
            <w:r>
              <w:rPr>
                <w:rFonts w:hint="eastAsia"/>
                <w:color w:val="auto"/>
                <w:szCs w:val="21"/>
                <w:highlight w:val="none"/>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olor w:val="auto"/>
                <w:szCs w:val="21"/>
                <w:highlight w:val="none"/>
              </w:rPr>
              <w:t>；</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投标文件未按招标文件第四章规定的格式（指经济标格式2：</w:t>
            </w:r>
            <w:r>
              <w:rPr>
                <w:rFonts w:hint="eastAsia" w:ascii="宋体" w:hAnsi="宋体"/>
                <w:color w:val="auto"/>
                <w:spacing w:val="4"/>
                <w:kern w:val="0"/>
                <w:szCs w:val="21"/>
                <w:highlight w:val="none"/>
                <w:u w:val="single"/>
              </w:rPr>
              <w:t>工程量清单计价表</w:t>
            </w:r>
            <w:r>
              <w:rPr>
                <w:rFonts w:hint="eastAsia" w:ascii="Times New Roman" w:hAnsi="Times New Roman"/>
                <w:color w:val="auto"/>
                <w:szCs w:val="21"/>
                <w:highlight w:val="none"/>
                <w:u w:val="single"/>
              </w:rPr>
              <w:t>）填写，或关键字迹模糊、无法辨认的</w:t>
            </w:r>
            <w:r>
              <w:rPr>
                <w:rFonts w:hint="eastAsia" w:ascii="Times New Roman" w:hAnsi="Times New Roman"/>
                <w:color w:val="auto"/>
                <w:szCs w:val="21"/>
                <w:highlight w:val="none"/>
              </w:rPr>
              <w:t>；</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highlight w:val="none"/>
                <w:u w:val="single"/>
              </w:rPr>
              <w:t>广州公共资源交易中心</w:t>
            </w:r>
            <w:r>
              <w:rPr>
                <w:rFonts w:hint="eastAsia" w:ascii="宋体" w:hAnsi="宋体"/>
                <w:color w:val="auto"/>
                <w:szCs w:val="21"/>
                <w:highlight w:val="none"/>
              </w:rPr>
              <w:t>交易平台评标系统的检索信息为准)</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72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color w:val="auto"/>
                <w:highlight w:val="none"/>
                <w:u w:val="single"/>
              </w:rPr>
              <w:t>交易平台评标系统</w:t>
            </w:r>
            <w:r>
              <w:rPr>
                <w:rFonts w:hint="eastAsia"/>
                <w:color w:val="auto"/>
                <w:highlight w:val="none"/>
                <w:u w:val="single"/>
                <w:lang w:val="en-US" w:eastAsia="zh-CN"/>
              </w:rPr>
              <w:t>的</w:t>
            </w:r>
            <w:r>
              <w:rPr>
                <w:rFonts w:hint="eastAsia" w:ascii="宋体" w:hAnsi="宋体"/>
                <w:color w:val="auto"/>
                <w:szCs w:val="21"/>
                <w:highlight w:val="none"/>
                <w:u w:val="single"/>
              </w:rPr>
              <w:t>检索信息为准）</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Times New Roman" w:hAnsi="Times New Roman"/>
                <w:color w:val="auto"/>
                <w:szCs w:val="21"/>
                <w:highlight w:val="none"/>
                <w:u w:val="single"/>
              </w:rPr>
              <w:t>结论</w:t>
            </w: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olor w:val="auto"/>
          <w:szCs w:val="21"/>
          <w:highlight w:val="none"/>
        </w:rPr>
        <w:t>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r>
        <w:rPr>
          <w:rFonts w:hint="eastAsia" w:cs="宋体"/>
          <w:color w:val="auto"/>
          <w:szCs w:val="21"/>
          <w:highlight w:val="none"/>
        </w:rPr>
        <w:t>（</w:t>
      </w:r>
      <w:r>
        <w:rPr>
          <w:rFonts w:hint="eastAsia" w:ascii="宋体" w:hAnsi="宋体" w:cs="宋体"/>
          <w:color w:val="auto"/>
          <w:szCs w:val="21"/>
          <w:highlight w:val="none"/>
          <w:u w:val="single"/>
        </w:rPr>
        <w:t>以“×”表示“无效”，以“○”表示“有效”。结论填写“有效”或“无效”。）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35"/>
        <w:ind w:firstLine="458"/>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                                                 日期：</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6"/>
        <w:tblW w:w="1570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2"/>
        <w:gridCol w:w="1418"/>
        <w:gridCol w:w="1418"/>
        <w:gridCol w:w="850"/>
        <w:gridCol w:w="11287"/>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blHeader/>
          <w:jc w:val="center"/>
        </w:trPr>
        <w:tc>
          <w:tcPr>
            <w:tcW w:w="732"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18"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评分项目</w:t>
            </w:r>
          </w:p>
        </w:tc>
        <w:tc>
          <w:tcPr>
            <w:tcW w:w="1418"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850" w:type="dxa"/>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11287" w:type="dxa"/>
            <w:noWrap w:val="0"/>
            <w:vAlign w:val="center"/>
          </w:tcPr>
          <w:p>
            <w:pPr>
              <w:adjustRightInd w:val="0"/>
              <w:snapToGrid w:val="0"/>
              <w:spacing w:line="260" w:lineRule="exact"/>
              <w:jc w:val="center"/>
              <w:rPr>
                <w:rFonts w:hint="eastAsia" w:ascii="宋体" w:hAnsi="宋体" w:cs="宋体"/>
                <w:b/>
                <w:color w:val="auto"/>
                <w:szCs w:val="21"/>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732"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1418"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项目管理机构</w:t>
            </w:r>
          </w:p>
          <w:p>
            <w:pPr>
              <w:adjustRightInd w:val="0"/>
              <w:snapToGrid w:val="0"/>
              <w:spacing w:line="260" w:lineRule="exact"/>
              <w:ind w:left="-71" w:leftChars="-34" w:right="-48" w:rightChars="-23"/>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70</w:t>
            </w:r>
            <w:r>
              <w:rPr>
                <w:rFonts w:hint="eastAsia" w:ascii="宋体" w:hAnsi="宋体" w:cs="宋体"/>
                <w:b/>
                <w:color w:val="auto"/>
                <w:szCs w:val="21"/>
                <w:highlight w:val="none"/>
              </w:rPr>
              <w:t>分)</w:t>
            </w: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87" w:type="dxa"/>
            <w:noWrap w:val="0"/>
            <w:vAlign w:val="center"/>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（1）技术负责人具有5年或以上高级工程师或以上技术职称的（时间以职称证的发证时间为准），得20分；</w:t>
            </w:r>
          </w:p>
          <w:p>
            <w:pPr>
              <w:adjustRightInd w:val="0"/>
              <w:snapToGrid w:val="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（2）技术负责人具有高级工程师或以上技术职称，得10分；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（3）技术负责人具有中级工程师技术职称，得5分；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287" w:type="dxa"/>
            <w:noWrap w:val="0"/>
            <w:vAlign w:val="center"/>
          </w:tcPr>
          <w:p>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（1）质量负责人具有5年或以上高级工程师或以上技术职称的（时间以职称证的发证时间为准），得20分；</w:t>
            </w:r>
          </w:p>
          <w:p>
            <w:pPr>
              <w:adjustRightInd w:val="0"/>
              <w:snapToGrid w:val="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（2）质量负责人具有高级工程师或以上技术职称，得10分；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（3）质量负责人具有中级工程师技术职称，得5分；</w:t>
            </w:r>
          </w:p>
          <w:p>
            <w:pPr>
              <w:pStyle w:val="1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2"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287"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（1）安全负责人具有5年或以上安全工程</w:t>
            </w:r>
            <w:r>
              <w:rPr>
                <w:rFonts w:hint="eastAsia" w:cs="宋体"/>
                <w:i w:val="0"/>
                <w:iCs w:val="0"/>
                <w:caps w:val="0"/>
                <w:color w:val="auto"/>
                <w:spacing w:val="0"/>
                <w:sz w:val="21"/>
                <w:szCs w:val="21"/>
                <w:highlight w:val="none"/>
                <w:u w:val="none"/>
                <w:lang w:val="en-US" w:eastAsia="zh-CN"/>
              </w:rPr>
              <w:t>相关专业中级工程师</w:t>
            </w:r>
            <w:r>
              <w:rPr>
                <w:rFonts w:hint="eastAsia" w:ascii="宋体" w:hAnsi="宋体" w:eastAsia="宋体" w:cs="宋体"/>
                <w:i w:val="0"/>
                <w:iCs w:val="0"/>
                <w:caps w:val="0"/>
                <w:color w:val="auto"/>
                <w:spacing w:val="0"/>
                <w:sz w:val="21"/>
                <w:szCs w:val="21"/>
                <w:highlight w:val="none"/>
                <w:u w:val="none"/>
              </w:rPr>
              <w:t>或以上技术职称的（时间以职称证的发证时间为准），得15分；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（2）安全负责人具有中级工程师或以上技术职称的，得10分；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不满足上述情况的,不得分。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vMerge w:val="continue"/>
            <w:noWrap w:val="0"/>
            <w:vAlign w:val="center"/>
          </w:tcPr>
          <w:p>
            <w:pPr>
              <w:adjustRightInd w:val="0"/>
              <w:snapToGrid w:val="0"/>
              <w:spacing w:line="260" w:lineRule="exact"/>
              <w:jc w:val="center"/>
              <w:rPr>
                <w:rFonts w:hint="eastAsia" w:ascii="宋体" w:hAnsi="宋体" w:cs="宋体"/>
                <w:b/>
                <w:color w:val="auto"/>
                <w:szCs w:val="21"/>
                <w:highlight w:val="none"/>
              </w:rPr>
            </w:pPr>
          </w:p>
        </w:tc>
        <w:tc>
          <w:tcPr>
            <w:tcW w:w="1418"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造价负责人</w:t>
            </w:r>
          </w:p>
        </w:tc>
        <w:tc>
          <w:tcPr>
            <w:tcW w:w="850" w:type="dxa"/>
            <w:noWrap w:val="0"/>
            <w:vAlign w:val="center"/>
          </w:tcPr>
          <w:p>
            <w:pPr>
              <w:pStyle w:val="31"/>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287"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（1）造价负责人具有一级注册造价工程师（在有效期内）的，得15分；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（2）造价负责人具有二级注册造价工程师（在有效期内）的，得10分；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不满足上述情况的,不得分。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注：注册造价工程师是指具备注册造价工程师执业资格，未实行分级的注册造价工程师自动划分为一级注册造价工程师。注册造价工程师需同时提供“http://zaojiasys.jianshe99.com造价师注册信息查询”网页截图，不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2" w:type="dxa"/>
            <w:vMerge w:val="restart"/>
            <w:noWrap w:val="0"/>
            <w:vAlign w:val="center"/>
          </w:tcPr>
          <w:p>
            <w:pPr>
              <w:adjustRightInd w:val="0"/>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1418" w:type="dxa"/>
            <w:vMerge w:val="restart"/>
            <w:noWrap w:val="0"/>
            <w:vAlign w:val="center"/>
          </w:tcPr>
          <w:p>
            <w:pPr>
              <w:adjustRightInd w:val="0"/>
              <w:snapToGrid w:val="0"/>
              <w:spacing w:line="2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企业资信</w:t>
            </w:r>
          </w:p>
          <w:p>
            <w:pPr>
              <w:adjustRightInd w:val="0"/>
              <w:snapToGrid w:val="0"/>
              <w:spacing w:line="260" w:lineRule="exact"/>
              <w:ind w:left="-71" w:leftChars="-34" w:right="-48" w:rightChars="-23"/>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w:t>
            </w:r>
          </w:p>
        </w:tc>
        <w:tc>
          <w:tcPr>
            <w:tcW w:w="1418" w:type="dxa"/>
            <w:noWrap w:val="0"/>
            <w:vAlign w:val="center"/>
          </w:tcPr>
          <w:p>
            <w:pPr>
              <w:adjustRightInd w:val="0"/>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tc>
        <w:tc>
          <w:tcPr>
            <w:tcW w:w="850" w:type="dxa"/>
            <w:noWrap w:val="0"/>
            <w:vAlign w:val="center"/>
          </w:tcPr>
          <w:p>
            <w:pPr>
              <w:adjustRightInd w:val="0"/>
              <w:snapToGrid w:val="0"/>
              <w:spacing w:line="260" w:lineRule="exact"/>
              <w:ind w:left="-59" w:leftChars="-28" w:right="-50" w:rightChars="-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287" w:type="dxa"/>
            <w:noWrap w:val="0"/>
            <w:vAlign w:val="center"/>
          </w:tcPr>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投标人（投标人如为联合体，指联合体主办方）自2019年1月1日至今独立完成过质量合格的且中标金额在</w:t>
            </w:r>
            <w:r>
              <w:rPr>
                <w:rFonts w:hint="eastAsia" w:hAnsi="宋体" w:cs="宋体"/>
                <w:color w:val="auto"/>
                <w:sz w:val="21"/>
                <w:szCs w:val="21"/>
                <w:highlight w:val="none"/>
                <w:lang w:val="en-US" w:eastAsia="zh-CN"/>
              </w:rPr>
              <w:t>6000</w:t>
            </w:r>
            <w:r>
              <w:rPr>
                <w:rFonts w:hint="eastAsia" w:ascii="宋体" w:hAnsi="宋体" w:eastAsia="宋体" w:cs="宋体"/>
                <w:color w:val="auto"/>
                <w:sz w:val="21"/>
                <w:szCs w:val="21"/>
                <w:highlight w:val="none"/>
              </w:rPr>
              <w:t>万元或以上的市政工程施工业绩，每项得2分，最高不超过10分。</w:t>
            </w:r>
          </w:p>
          <w:p>
            <w:pPr>
              <w:pStyle w:val="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不符合上述条件的，得0分。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noWrap w:val="0"/>
            <w:vAlign w:val="center"/>
          </w:tcPr>
          <w:p>
            <w:pPr>
              <w:adjustRightInd w:val="0"/>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工程获奖</w:t>
            </w:r>
          </w:p>
        </w:tc>
        <w:tc>
          <w:tcPr>
            <w:tcW w:w="850" w:type="dxa"/>
            <w:noWrap w:val="0"/>
            <w:vAlign w:val="center"/>
          </w:tcPr>
          <w:p>
            <w:pPr>
              <w:adjustRightInd w:val="0"/>
              <w:snapToGrid w:val="0"/>
              <w:spacing w:line="260" w:lineRule="exact"/>
              <w:ind w:left="-59" w:leftChars="-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1287" w:type="dxa"/>
            <w:noWrap w:val="0"/>
            <w:vAlign w:val="center"/>
          </w:tcPr>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投标人（投标人如为联合体，指联合体主办方）自2019年1月1日至今承建的工程获得以下奖项</w:t>
            </w:r>
            <w:r>
              <w:rPr>
                <w:rFonts w:hint="eastAsia" w:ascii="宋体" w:hAnsi="宋体" w:cs="宋体"/>
                <w:color w:val="auto"/>
                <w:sz w:val="21"/>
                <w:szCs w:val="21"/>
                <w:highlight w:val="none"/>
                <w:lang w:eastAsia="zh-CN"/>
              </w:rPr>
              <w:t>：</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（1）国家级工程质量奖项的，每项得1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（2）省级工程质量奖项的，每项得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pPr>
              <w:tabs>
                <w:tab w:val="left" w:pos="1526"/>
              </w:tabs>
              <w:adjustRightInd w:val="0"/>
              <w:snapToGrid w:val="0"/>
              <w:spacing w:line="360" w:lineRule="exact"/>
              <w:ind w:right="-50" w:rightChars="-2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（3）市级工程质量奖项的，每项得0.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tabs>
                <w:tab w:val="left" w:pos="1526"/>
              </w:tabs>
              <w:adjustRightInd w:val="0"/>
              <w:snapToGrid w:val="0"/>
              <w:spacing w:line="360" w:lineRule="exact"/>
              <w:ind w:right="-50" w:rightChars="-2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注：本项最多计取</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个获奖项目，最多得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8" w:hRule="atLeast"/>
          <w:jc w:val="center"/>
        </w:trPr>
        <w:tc>
          <w:tcPr>
            <w:tcW w:w="732" w:type="dxa"/>
            <w:vMerge w:val="continue"/>
            <w:noWrap w:val="0"/>
            <w:vAlign w:val="center"/>
          </w:tcPr>
          <w:p>
            <w:pPr>
              <w:adjustRightInd w:val="0"/>
              <w:snapToGrid w:val="0"/>
              <w:spacing w:line="260" w:lineRule="exact"/>
              <w:jc w:val="center"/>
              <w:rPr>
                <w:rFonts w:hint="eastAsia" w:ascii="宋体" w:hAnsi="宋体" w:cs="宋体"/>
                <w:color w:val="auto"/>
                <w:szCs w:val="21"/>
                <w:highlight w:val="none"/>
              </w:rPr>
            </w:pPr>
          </w:p>
        </w:tc>
        <w:tc>
          <w:tcPr>
            <w:tcW w:w="1418" w:type="dxa"/>
            <w:vMerge w:val="continue"/>
            <w:noWrap w:val="0"/>
            <w:vAlign w:val="center"/>
          </w:tcPr>
          <w:p>
            <w:pPr>
              <w:adjustRightInd w:val="0"/>
              <w:snapToGrid w:val="0"/>
              <w:spacing w:line="260" w:lineRule="exact"/>
              <w:ind w:left="-65" w:leftChars="-31" w:right="-48" w:rightChars="-23"/>
              <w:jc w:val="center"/>
              <w:rPr>
                <w:rFonts w:hint="eastAsia" w:ascii="宋体" w:hAnsi="宋体" w:cs="宋体"/>
                <w:color w:val="auto"/>
                <w:szCs w:val="21"/>
                <w:highlight w:val="none"/>
              </w:rPr>
            </w:pPr>
          </w:p>
        </w:tc>
        <w:tc>
          <w:tcPr>
            <w:tcW w:w="1418" w:type="dxa"/>
            <w:noWrap w:val="0"/>
            <w:vAlign w:val="center"/>
          </w:tcPr>
          <w:p>
            <w:pPr>
              <w:tabs>
                <w:tab w:val="left" w:pos="1526"/>
              </w:tabs>
              <w:adjustRightInd w:val="0"/>
              <w:snapToGrid w:val="0"/>
              <w:spacing w:line="360" w:lineRule="exact"/>
              <w:ind w:right="-50" w:rightChars="-24"/>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企业信用</w:t>
            </w:r>
          </w:p>
        </w:tc>
        <w:tc>
          <w:tcPr>
            <w:tcW w:w="850" w:type="dxa"/>
            <w:noWrap w:val="0"/>
            <w:vAlign w:val="center"/>
          </w:tcPr>
          <w:p>
            <w:pPr>
              <w:tabs>
                <w:tab w:val="left" w:pos="1526"/>
              </w:tabs>
              <w:adjustRightInd w:val="0"/>
              <w:snapToGrid w:val="0"/>
              <w:spacing w:line="360" w:lineRule="exact"/>
              <w:ind w:left="-59" w:leftChars="-28" w:right="-50" w:rightChars="-24"/>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1287" w:type="dxa"/>
            <w:noWrap w:val="0"/>
            <w:vAlign w:val="center"/>
          </w:tcPr>
          <w:p>
            <w:pPr>
              <w:pStyle w:val="11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投标人（投标人如为联合体，指联合体主办方）</w:t>
            </w:r>
            <w:r>
              <w:rPr>
                <w:rFonts w:hint="eastAsia" w:ascii="宋体" w:hAnsi="宋体" w:eastAsia="宋体" w:cs="宋体"/>
                <w:color w:val="auto"/>
                <w:sz w:val="21"/>
                <w:szCs w:val="21"/>
                <w:highlight w:val="none"/>
                <w:lang w:eastAsia="zh-CN"/>
              </w:rPr>
              <w:t>：</w:t>
            </w:r>
          </w:p>
          <w:p>
            <w:pPr>
              <w:pStyle w:val="113"/>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获得省级或以上建设行政主管部门或工程行业相关协会颁发的“工程建设企业信用星级”证书</w:t>
            </w:r>
            <w:r>
              <w:rPr>
                <w:rFonts w:hint="eastAsia" w:ascii="宋体" w:hAnsi="宋体" w:cs="宋体"/>
                <w:color w:val="auto"/>
                <w:sz w:val="21"/>
                <w:szCs w:val="21"/>
                <w:highlight w:val="none"/>
                <w:lang w:val="en-US" w:eastAsia="zh-CN"/>
              </w:rPr>
              <w:t>，信用星级认定</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星（不含）以上的，得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星的，得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星的，得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11星及以下的，得1分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不满足以上情况不得分，本项最多得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3568" w:type="dxa"/>
            <w:gridSpan w:val="3"/>
            <w:noWrap w:val="0"/>
            <w:vAlign w:val="center"/>
          </w:tcPr>
          <w:p>
            <w:pPr>
              <w:adjustRightInd w:val="0"/>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850" w:type="dxa"/>
            <w:noWrap w:val="0"/>
            <w:vAlign w:val="center"/>
          </w:tcPr>
          <w:p>
            <w:pPr>
              <w:adjustRightInd w:val="0"/>
              <w:snapToGrid w:val="0"/>
              <w:spacing w:line="260" w:lineRule="exact"/>
              <w:ind w:left="-59" w:leftChars="-28"/>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w:t>
            </w:r>
          </w:p>
        </w:tc>
        <w:tc>
          <w:tcPr>
            <w:tcW w:w="11287" w:type="dxa"/>
            <w:noWrap w:val="0"/>
            <w:vAlign w:val="center"/>
          </w:tcPr>
          <w:p>
            <w:pPr>
              <w:spacing w:line="360" w:lineRule="exact"/>
              <w:rPr>
                <w:rFonts w:hint="eastAsia"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b/>
          <w:color w:val="auto"/>
          <w:szCs w:val="21"/>
          <w:highlight w:val="none"/>
        </w:rPr>
        <w:t>备注：</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cs="宋体"/>
          <w:color w:val="auto"/>
          <w:highlight w:val="none"/>
          <w:lang w:bidi="ar"/>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【项目管理机构】：</w:t>
      </w:r>
      <w:r>
        <w:rPr>
          <w:rFonts w:hint="eastAsia" w:ascii="宋体" w:hAnsi="宋体" w:cs="宋体"/>
          <w:color w:val="auto"/>
          <w:highlight w:val="none"/>
          <w:lang w:bidi="ar"/>
        </w:rPr>
        <w:t>上述人员均不得兼任，除须提供相关证明资料外，还须提供近一个月（即202</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5</w:t>
      </w:r>
      <w:r>
        <w:rPr>
          <w:rFonts w:hint="eastAsia" w:ascii="宋体" w:hAnsi="宋体" w:cs="宋体"/>
          <w:color w:val="auto"/>
          <w:highlight w:val="none"/>
          <w:lang w:bidi="ar"/>
        </w:rPr>
        <w:t>月）在投标人单位连续参保的社保缴纳记录证明扫描件，社保缴纳记录需能反映参保人员在相应单位（含分公司等分支机构）</w:t>
      </w:r>
      <w:r>
        <w:rPr>
          <w:rFonts w:hint="eastAsia" w:ascii="宋体" w:hAnsi="宋体" w:cs="宋体"/>
          <w:color w:val="auto"/>
          <w:highlight w:val="none"/>
          <w:lang w:eastAsia="zh-CN" w:bidi="ar"/>
        </w:rPr>
        <w:t>。</w:t>
      </w:r>
      <w:r>
        <w:rPr>
          <w:rFonts w:hint="eastAsia" w:ascii="宋体" w:hAnsi="宋体" w:cs="宋体"/>
          <w:color w:val="auto"/>
          <w:highlight w:val="none"/>
          <w:lang w:bidi="ar"/>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color w:val="auto"/>
          <w:highlight w:val="none"/>
        </w:rPr>
        <w:t>未提供或所提供的证明资料不符合要求的，则该评分节点不予得分。</w:t>
      </w:r>
      <w:r>
        <w:rPr>
          <w:rFonts w:hint="eastAsia" w:ascii="宋体" w:hAnsi="宋体" w:cs="宋体"/>
          <w:color w:val="auto"/>
          <w:highlight w:val="none"/>
          <w:lang w:bidi="ar"/>
        </w:rPr>
        <w:t>以上资料均需加盖投标人电子印章</w:t>
      </w:r>
      <w:r>
        <w:rPr>
          <w:rFonts w:hint="eastAsia" w:ascii="宋体" w:hAnsi="宋体" w:cs="宋体"/>
          <w:color w:val="auto"/>
          <w:szCs w:val="21"/>
          <w:highlight w:val="none"/>
        </w:rPr>
        <w:t>或在线下盖章完成后扫描上传</w:t>
      </w:r>
      <w:r>
        <w:rPr>
          <w:rFonts w:hint="eastAsia" w:ascii="宋体" w:hAnsi="宋体" w:cs="宋体"/>
          <w:color w:val="auto"/>
          <w:highlight w:val="none"/>
          <w:lang w:bidi="ar"/>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【类似业绩】：</w:t>
      </w:r>
      <w:r>
        <w:rPr>
          <w:rFonts w:hint="eastAsia" w:ascii="宋体" w:hAnsi="宋体"/>
          <w:color w:val="auto"/>
          <w:szCs w:val="21"/>
          <w:highlight w:val="none"/>
        </w:rPr>
        <w:t>业绩包含市政工程的施工总承包业绩或设计施工总承包业绩（或EPC项目业绩）。金额以中标通知书为准，中标通知书上没有金额或免招标的，以施工合同（不含补充合同）为准，提供施工合同关键页。完成时间以竣工验收文件为准。验收文件至少具有建设单位、设计、施工和监理单位盖章。以上资料须能体现主要指标，如不能体现，需提供业主证明复印件并加盖投标人公章</w:t>
      </w:r>
      <w:r>
        <w:rPr>
          <w:rFonts w:hint="eastAsia" w:ascii="宋体" w:hAnsi="宋体"/>
          <w:color w:val="auto"/>
          <w:szCs w:val="21"/>
          <w:highlight w:val="none"/>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
          <w:bCs/>
          <w:color w:val="auto"/>
          <w:szCs w:val="21"/>
          <w:highlight w:val="none"/>
        </w:rPr>
        <w:t>工程获奖】：</w:t>
      </w:r>
      <w:r>
        <w:rPr>
          <w:rFonts w:hint="eastAsia" w:ascii="宋体" w:hAnsi="宋体" w:cs="宋体"/>
          <w:b w:val="0"/>
          <w:bCs w:val="0"/>
          <w:color w:val="auto"/>
          <w:szCs w:val="21"/>
          <w:highlight w:val="none"/>
        </w:rPr>
        <w:t>①获奖时间以获奖证书或证明文件为准，提供获奖</w:t>
      </w:r>
      <w:bookmarkStart w:id="284" w:name="_GoBack"/>
      <w:bookmarkEnd w:id="284"/>
      <w:r>
        <w:rPr>
          <w:rFonts w:hint="eastAsia" w:ascii="宋体" w:hAnsi="宋体" w:cs="宋体"/>
          <w:b w:val="0"/>
          <w:bCs w:val="0"/>
          <w:color w:val="auto"/>
          <w:szCs w:val="21"/>
          <w:highlight w:val="none"/>
        </w:rPr>
        <w:t>证书或证明文件扫描件，不符合条件的不计分；②国家级工程质量奖指：鲁班奖、国家优质工程奖（含金质奖）、中国土木工程詹天佑奖等；省级工程质量奖是指:省建设工程优质奖或结构奖等质量奖等（不含安全类奖项）；市级工程质量奖是指：各类市级优质工程奖等</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③同一项目的获奖只计算一次，且只计算最高级别的获奖，奖项只计算承建单位，不含参建单位</w:t>
      </w:r>
      <w:r>
        <w:rPr>
          <w:rFonts w:hint="eastAsia" w:ascii="宋体" w:hAnsi="宋体" w:cs="宋体"/>
          <w:b w:val="0"/>
          <w:bCs w:val="0"/>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45" w:rightChars="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企业信用</w:t>
      </w:r>
      <w:r>
        <w:rPr>
          <w:rFonts w:hint="eastAsia" w:ascii="宋体" w:hAnsi="宋体" w:cs="宋体"/>
          <w:b/>
          <w:color w:val="auto"/>
          <w:szCs w:val="21"/>
          <w:highlight w:val="none"/>
        </w:rPr>
        <w:t>】：</w:t>
      </w:r>
      <w:r>
        <w:rPr>
          <w:rFonts w:hint="eastAsia" w:ascii="宋体" w:hAnsi="宋体" w:cs="宋体"/>
          <w:b w:val="0"/>
          <w:bCs/>
          <w:color w:val="auto"/>
          <w:szCs w:val="21"/>
          <w:highlight w:val="none"/>
          <w:lang w:val="en-US" w:eastAsia="zh-CN"/>
        </w:rPr>
        <w:t>投标人须提供证书扫描件以及查询网址网页截图并加盖电子印章。如颁发单位为协会的，还须提供该协会在“中国社会组织政务服务平台”有登记的网页查询截图（网址：https://chinanpo.mca.gov.cn/），证明其有登记备案，否则不得分。本项只计算投标人自身（不含投标人的子公司或分公司）。不符合上述条件或提供的证明材料不全的不得分</w:t>
      </w:r>
      <w:r>
        <w:rPr>
          <w:rFonts w:hint="eastAsia" w:ascii="宋体" w:hAnsi="宋体" w:cs="宋体"/>
          <w:b w:val="0"/>
          <w:bCs/>
          <w:color w:val="auto"/>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47" w:rightChars="0"/>
        <w:textAlignment w:val="auto"/>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、投标人如果同时满足多个评分档次的，按所满足的最高档得分。</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、投标人得分为各评委评分的算术平均值（若分数出现小数点时，保留小数点后二位，第三位小数四舍五入）。</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dstrike w:val="0"/>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dstrike w:val="0"/>
          <w:color w:val="auto"/>
          <w:szCs w:val="21"/>
          <w:highlight w:val="none"/>
        </w:rPr>
        <w:t>附表五（适用于区间抽取法）</w:t>
      </w:r>
    </w:p>
    <w:p>
      <w:pPr>
        <w:jc w:val="center"/>
        <w:rPr>
          <w:b/>
          <w:strike/>
          <w:dstrike w:val="0"/>
          <w:color w:val="auto"/>
          <w:sz w:val="36"/>
          <w:szCs w:val="36"/>
          <w:highlight w:val="none"/>
        </w:rPr>
      </w:pPr>
      <w:r>
        <w:rPr>
          <w:rFonts w:hint="eastAsia"/>
          <w:b/>
          <w:strike/>
          <w:dstrike w:val="0"/>
          <w:color w:val="auto"/>
          <w:sz w:val="36"/>
          <w:szCs w:val="36"/>
          <w:highlight w:val="none"/>
        </w:rPr>
        <w:t>经济标评分表</w:t>
      </w:r>
    </w:p>
    <w:p>
      <w:pPr>
        <w:rPr>
          <w:strike/>
          <w:dstrike w:val="0"/>
          <w:color w:val="auto"/>
          <w:szCs w:val="21"/>
          <w:highlight w:val="none"/>
        </w:rPr>
      </w:pPr>
      <w:r>
        <w:rPr>
          <w:rFonts w:hint="eastAsia"/>
          <w:strike/>
          <w:dstrike w:val="0"/>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投标报价</w:t>
            </w:r>
            <w:r>
              <w:rPr>
                <w:rFonts w:ascii="宋体" w:hAnsi="宋体"/>
                <w:strike/>
                <w:dstrike w:val="0"/>
                <w:color w:val="auto"/>
                <w:szCs w:val="21"/>
                <w:highlight w:val="none"/>
              </w:rPr>
              <w:t>PT</w:t>
            </w:r>
            <w:r>
              <w:rPr>
                <w:rFonts w:hint="eastAsia" w:ascii="宋体" w:hAnsi="宋体"/>
                <w:strike/>
                <w:dstrike w:val="0"/>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偏差（（</w:t>
            </w:r>
            <w:r>
              <w:rPr>
                <w:rFonts w:ascii="宋体" w:hAnsi="宋体"/>
                <w:strike/>
                <w:dstrike w:val="0"/>
                <w:color w:val="auto"/>
                <w:szCs w:val="21"/>
                <w:highlight w:val="none"/>
              </w:rPr>
              <w:t>PT-PC</w:t>
            </w:r>
            <w:r>
              <w:rPr>
                <w:rFonts w:hint="eastAsia" w:ascii="宋体" w:hAnsi="宋体"/>
                <w:strike/>
                <w:dstrike w:val="0"/>
                <w:color w:val="auto"/>
                <w:szCs w:val="21"/>
                <w:highlight w:val="none"/>
              </w:rPr>
              <w:t>）</w:t>
            </w:r>
            <w:r>
              <w:rPr>
                <w:rFonts w:ascii="宋体" w:hAnsi="宋体"/>
                <w:strike/>
                <w:dstrike w:val="0"/>
                <w:color w:val="auto"/>
                <w:szCs w:val="21"/>
                <w:highlight w:val="none"/>
              </w:rPr>
              <w:t>/PC</w:t>
            </w:r>
            <w:r>
              <w:rPr>
                <w:rFonts w:hint="eastAsia" w:ascii="宋体" w:hAnsi="宋体"/>
                <w:strike/>
                <w:dstrike w:val="0"/>
                <w:color w:val="auto"/>
                <w:szCs w:val="21"/>
                <w:highlight w:val="none"/>
              </w:rPr>
              <w:t>）（</w:t>
            </w:r>
            <w:r>
              <w:rPr>
                <w:rFonts w:ascii="宋体" w:hAnsi="宋体"/>
                <w:strike/>
                <w:dstrike w:val="0"/>
                <w:color w:val="auto"/>
                <w:szCs w:val="21"/>
                <w:highlight w:val="none"/>
              </w:rPr>
              <w:t>%</w:t>
            </w:r>
            <w:r>
              <w:rPr>
                <w:rFonts w:hint="eastAsia" w:ascii="宋体" w:hAnsi="宋体"/>
                <w:strike/>
                <w:d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减分（</w:t>
            </w:r>
            <w:r>
              <w:rPr>
                <w:rFonts w:ascii="宋体" w:hAnsi="宋体"/>
                <w:strike/>
                <w:dstrike w:val="0"/>
                <w:color w:val="auto"/>
                <w:szCs w:val="21"/>
                <w:highlight w:val="none"/>
              </w:rPr>
              <w:t>A</w:t>
            </w:r>
            <w:r>
              <w:rPr>
                <w:rFonts w:hint="eastAsia" w:ascii="宋体" w:hAnsi="宋体"/>
                <w:strike/>
                <w:d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得分</w:t>
            </w:r>
            <w:r>
              <w:rPr>
                <w:rFonts w:ascii="宋体" w:hAnsi="宋体"/>
                <w:strike/>
                <w:dstrike w:val="0"/>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r>
              <w:rPr>
                <w:rFonts w:hint="eastAsia" w:ascii="宋体" w:hAnsi="宋体"/>
                <w:strike/>
                <w:dstrike w:val="0"/>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dstrike w:val="0"/>
                <w:color w:val="auto"/>
                <w:szCs w:val="21"/>
                <w:highlight w:val="none"/>
              </w:rPr>
            </w:pPr>
          </w:p>
        </w:tc>
      </w:tr>
    </w:tbl>
    <w:p>
      <w:pPr>
        <w:rPr>
          <w:strike/>
          <w:dstrike w:val="0"/>
          <w:color w:val="auto"/>
          <w:szCs w:val="21"/>
          <w:highlight w:val="none"/>
        </w:rPr>
      </w:pPr>
      <w:r>
        <w:rPr>
          <w:rFonts w:hint="eastAsia"/>
          <w:strike/>
          <w:dstrike w:val="0"/>
          <w:color w:val="auto"/>
          <w:szCs w:val="21"/>
          <w:highlight w:val="none"/>
        </w:rPr>
        <w:t>评委签名：</w: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4"/>
        <w:jc w:val="center"/>
        <w:rPr>
          <w:b/>
          <w:bCs/>
          <w:color w:val="auto"/>
          <w:highlight w:val="none"/>
        </w:rPr>
      </w:pPr>
      <w:bookmarkStart w:id="42" w:name="_Toc2272566"/>
      <w:bookmarkStart w:id="43" w:name="_Toc22367"/>
      <w:r>
        <w:rPr>
          <w:rFonts w:hint="eastAsia"/>
          <w:b/>
          <w:bCs/>
          <w:color w:val="auto"/>
          <w:highlight w:val="none"/>
        </w:rPr>
        <w:t>第三章</w:t>
      </w:r>
      <w:r>
        <w:rPr>
          <w:b/>
          <w:bCs/>
          <w:color w:val="auto"/>
          <w:highlight w:val="none"/>
        </w:rPr>
        <w:t xml:space="preserve">  </w:t>
      </w:r>
      <w:r>
        <w:rPr>
          <w:rFonts w:hint="eastAsia"/>
          <w:b/>
          <w:bCs/>
          <w:color w:val="auto"/>
          <w:highlight w:val="none"/>
        </w:rPr>
        <w:t>合同条款</w:t>
      </w:r>
      <w:bookmarkEnd w:id="42"/>
      <w:bookmarkEnd w:id="43"/>
    </w:p>
    <w:p>
      <w:pPr>
        <w:jc w:val="center"/>
        <w:rPr>
          <w:color w:val="auto"/>
          <w:sz w:val="24"/>
          <w:szCs w:val="24"/>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另册</w:t>
      </w:r>
      <w:r>
        <w:rPr>
          <w:rFonts w:hint="eastAsia"/>
          <w:color w:val="auto"/>
          <w:sz w:val="21"/>
          <w:szCs w:val="21"/>
          <w:highlight w:val="none"/>
          <w:lang w:eastAsia="zh-CN"/>
        </w:rPr>
        <w:t>）</w:t>
      </w: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19"/>
        <w:spacing w:line="360" w:lineRule="auto"/>
        <w:rPr>
          <w:color w:val="auto"/>
          <w:sz w:val="24"/>
          <w:szCs w:val="24"/>
          <w:highlight w:val="none"/>
        </w:rPr>
      </w:pPr>
    </w:p>
    <w:p>
      <w:pPr>
        <w:pStyle w:val="19"/>
        <w:spacing w:line="360" w:lineRule="auto"/>
        <w:rPr>
          <w:color w:val="auto"/>
          <w:sz w:val="24"/>
          <w:szCs w:val="24"/>
          <w:highlight w:val="none"/>
        </w:rPr>
      </w:pPr>
      <w:r>
        <w:rPr>
          <w:color w:val="auto"/>
          <w:sz w:val="24"/>
          <w:szCs w:val="24"/>
          <w:highlight w:val="none"/>
        </w:rPr>
        <w:br w:type="page"/>
      </w:r>
    </w:p>
    <w:p>
      <w:pPr>
        <w:pStyle w:val="4"/>
        <w:jc w:val="center"/>
        <w:rPr>
          <w:b/>
          <w:bCs/>
          <w:color w:val="auto"/>
          <w:highlight w:val="none"/>
        </w:rPr>
      </w:pPr>
      <w:bookmarkStart w:id="44" w:name="_Toc24646"/>
      <w:bookmarkStart w:id="45" w:name="_Toc2272567"/>
      <w:r>
        <w:rPr>
          <w:rFonts w:hint="eastAsia"/>
          <w:b/>
          <w:bCs/>
          <w:color w:val="auto"/>
          <w:highlight w:val="none"/>
        </w:rPr>
        <w:t>第四章</w:t>
      </w:r>
      <w:r>
        <w:rPr>
          <w:b/>
          <w:bCs/>
          <w:color w:val="auto"/>
          <w:highlight w:val="none"/>
        </w:rPr>
        <w:t xml:space="preserve">  </w:t>
      </w:r>
      <w:r>
        <w:rPr>
          <w:rFonts w:hint="eastAsia"/>
          <w:b/>
          <w:bCs/>
          <w:color w:val="auto"/>
          <w:highlight w:val="none"/>
        </w:rPr>
        <w:t>投标文件格式</w:t>
      </w:r>
      <w:bookmarkEnd w:id="44"/>
      <w:bookmarkEnd w:id="45"/>
    </w:p>
    <w:p>
      <w:pPr>
        <w:pStyle w:val="114"/>
        <w:spacing w:beforeLines="0" w:afterLines="0" w:line="360" w:lineRule="auto"/>
        <w:outlineLvl w:val="0"/>
        <w:rPr>
          <w:rFonts w:hint="eastAsia" w:ascii="宋体" w:hAnsi="宋体" w:eastAsia="宋体"/>
          <w:color w:val="auto"/>
          <w:sz w:val="24"/>
          <w:szCs w:val="24"/>
          <w:highlight w:val="none"/>
        </w:rPr>
      </w:pPr>
      <w:bookmarkStart w:id="46" w:name="_Toc10738"/>
      <w:bookmarkStart w:id="47" w:name="_Toc31012"/>
      <w:bookmarkStart w:id="48" w:name="_Toc25816"/>
      <w:bookmarkStart w:id="49" w:name="_Toc19365"/>
      <w:bookmarkStart w:id="50" w:name="_Toc24631"/>
      <w:bookmarkStart w:id="51" w:name="_Toc19186"/>
      <w:bookmarkStart w:id="52" w:name="_Toc7553"/>
      <w:bookmarkStart w:id="53" w:name="_Toc29365"/>
      <w:bookmarkStart w:id="54" w:name="_Toc4878"/>
    </w:p>
    <w:p>
      <w:pPr>
        <w:pStyle w:val="114"/>
        <w:spacing w:beforeLines="0" w:afterLines="0" w:line="360" w:lineRule="auto"/>
        <w:outlineLvl w:val="0"/>
        <w:rPr>
          <w:rFonts w:hint="eastAsia" w:ascii="宋体" w:hAnsi="宋体" w:eastAsia="宋体"/>
          <w:color w:val="auto"/>
          <w:sz w:val="24"/>
          <w:szCs w:val="24"/>
          <w:highlight w:val="none"/>
        </w:rPr>
      </w:pPr>
    </w:p>
    <w:p>
      <w:pPr>
        <w:pStyle w:val="114"/>
        <w:spacing w:beforeLines="0" w:afterLines="0" w:line="360" w:lineRule="auto"/>
        <w:outlineLvl w:val="0"/>
        <w:rPr>
          <w:rFonts w:hint="eastAsia" w:ascii="宋体" w:hAnsi="宋体" w:eastAsia="宋体"/>
          <w:color w:val="auto"/>
          <w:sz w:val="24"/>
          <w:szCs w:val="24"/>
          <w:highlight w:val="none"/>
        </w:rPr>
      </w:pPr>
      <w:bookmarkStart w:id="55" w:name="_Toc26553"/>
      <w:r>
        <w:rPr>
          <w:rFonts w:hint="eastAsia" w:ascii="宋体" w:hAnsi="宋体" w:eastAsia="宋体"/>
          <w:color w:val="auto"/>
          <w:sz w:val="24"/>
          <w:szCs w:val="24"/>
          <w:highlight w:val="none"/>
        </w:rPr>
        <w:t>一、技术标投标文件格式</w:t>
      </w:r>
      <w:bookmarkEnd w:id="46"/>
      <w:bookmarkEnd w:id="47"/>
      <w:bookmarkEnd w:id="48"/>
      <w:bookmarkEnd w:id="49"/>
      <w:bookmarkEnd w:id="50"/>
      <w:bookmarkEnd w:id="51"/>
      <w:bookmarkEnd w:id="52"/>
      <w:bookmarkEnd w:id="53"/>
      <w:bookmarkEnd w:id="54"/>
      <w:bookmarkEnd w:id="55"/>
    </w:p>
    <w:p>
      <w:pPr>
        <w:autoSpaceDE w:val="0"/>
        <w:autoSpaceDN w:val="0"/>
        <w:adjustRightInd w:val="0"/>
        <w:rPr>
          <w:color w:val="auto"/>
          <w:highlight w:val="none"/>
        </w:rPr>
      </w:pPr>
      <w:r>
        <w:rPr>
          <w:color w:val="auto"/>
          <w:szCs w:val="21"/>
          <w:highlight w:val="none"/>
        </w:rPr>
        <w:br w:type="page"/>
      </w:r>
    </w:p>
    <w:p>
      <w:pPr>
        <w:pStyle w:val="115"/>
        <w:spacing w:beforeLines="0" w:after="156"/>
        <w:rPr>
          <w:rFonts w:ascii="宋体" w:eastAsia="宋体"/>
          <w:b w:val="0"/>
          <w:color w:val="auto"/>
          <w:sz w:val="21"/>
          <w:szCs w:val="21"/>
          <w:highlight w:val="none"/>
        </w:rPr>
      </w:pPr>
      <w:bookmarkStart w:id="56" w:name="_Toc239216029"/>
      <w:bookmarkStart w:id="57" w:name="_Toc318924493"/>
      <w:bookmarkStart w:id="58" w:name="_Toc18240"/>
      <w:bookmarkStart w:id="59" w:name="_Toc29818"/>
      <w:bookmarkStart w:id="60" w:name="_Toc2136"/>
      <w:bookmarkStart w:id="61" w:name="_Toc8795"/>
      <w:bookmarkStart w:id="62" w:name="_Toc239311744"/>
      <w:bookmarkStart w:id="63" w:name="_Toc20548"/>
      <w:bookmarkStart w:id="64" w:name="_Toc483563410"/>
      <w:bookmarkStart w:id="65" w:name="_Toc26691"/>
      <w:bookmarkStart w:id="66" w:name="_Toc439081237"/>
      <w:bookmarkStart w:id="67" w:name="_Toc423682019"/>
      <w:bookmarkStart w:id="68" w:name="_Toc505521757"/>
      <w:bookmarkStart w:id="69" w:name="_Toc30783"/>
      <w:bookmarkStart w:id="70" w:name="_Toc337720089"/>
      <w:bookmarkStart w:id="71" w:name="_Toc226209001"/>
      <w:bookmarkStart w:id="72" w:name="_Toc163337618"/>
      <w:r>
        <w:rPr>
          <w:rFonts w:hint="eastAsia" w:ascii="宋体" w:eastAsia="宋体"/>
          <w:b w:val="0"/>
          <w:color w:val="auto"/>
          <w:sz w:val="21"/>
          <w:szCs w:val="21"/>
          <w:highlight w:val="none"/>
        </w:rPr>
        <w:t>格式1：技术标封面</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7"/>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8"/>
        <w:rPr>
          <w:rFonts w:ascii="宋体" w:hAnsi="宋体" w:eastAsia="宋体"/>
          <w:b w:val="0"/>
          <w:color w:val="auto"/>
          <w:highlight w:val="none"/>
        </w:rPr>
      </w:pPr>
      <w:r>
        <w:rPr>
          <w:rFonts w:hint="eastAsia" w:ascii="宋体" w:hAnsi="宋体" w:eastAsia="宋体"/>
          <w:b w:val="0"/>
          <w:color w:val="auto"/>
          <w:highlight w:val="none"/>
        </w:rPr>
        <w:t>投标文件</w:t>
      </w:r>
    </w:p>
    <w:p>
      <w:pPr>
        <w:pStyle w:val="117"/>
        <w:rPr>
          <w:rFonts w:ascii="宋体" w:hAnsi="宋体" w:eastAsia="宋体"/>
          <w:b w:val="0"/>
          <w:color w:val="auto"/>
          <w:highlight w:val="none"/>
        </w:rPr>
      </w:pPr>
      <w:r>
        <w:rPr>
          <w:rFonts w:hint="eastAsia" w:ascii="宋体" w:hAnsi="宋体" w:eastAsia="宋体"/>
          <w:color w:val="auto"/>
          <w:highlight w:val="none"/>
        </w:rPr>
        <w:t>技术投标文件</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（盖章）</w:t>
      </w:r>
    </w:p>
    <w:p>
      <w:pPr>
        <w:pStyle w:val="119"/>
        <w:ind w:firstLine="616"/>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（签字或盖章）</w:t>
      </w:r>
    </w:p>
    <w:p>
      <w:pPr>
        <w:pStyle w:val="119"/>
        <w:ind w:firstLine="616"/>
        <w:rPr>
          <w:rFonts w:ascii="宋体" w:hAnsi="宋体"/>
          <w:color w:val="auto"/>
          <w:sz w:val="24"/>
          <w:szCs w:val="24"/>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pPr>
        <w:autoSpaceDE w:val="0"/>
        <w:autoSpaceDN w:val="0"/>
        <w:adjustRightInd w:val="0"/>
        <w:rPr>
          <w:color w:val="auto"/>
          <w:highlight w:val="none"/>
        </w:rPr>
      </w:pPr>
      <w:r>
        <w:rPr>
          <w:color w:val="auto"/>
          <w:szCs w:val="21"/>
          <w:highlight w:val="none"/>
        </w:rPr>
        <w:br w:type="page"/>
      </w:r>
    </w:p>
    <w:p>
      <w:pPr>
        <w:pStyle w:val="115"/>
        <w:spacing w:beforeLines="0" w:after="156"/>
        <w:rPr>
          <w:rFonts w:ascii="宋体" w:eastAsia="宋体"/>
          <w:b w:val="0"/>
          <w:color w:val="auto"/>
          <w:sz w:val="21"/>
          <w:szCs w:val="21"/>
          <w:highlight w:val="none"/>
        </w:rPr>
      </w:pPr>
      <w:bookmarkStart w:id="73" w:name="_Toc1194"/>
      <w:bookmarkStart w:id="74" w:name="_Toc18103"/>
      <w:bookmarkStart w:id="75" w:name="_Toc11458"/>
      <w:bookmarkStart w:id="76" w:name="_Toc6452"/>
      <w:bookmarkStart w:id="77" w:name="_Toc13594"/>
      <w:bookmarkStart w:id="78" w:name="_Toc19620"/>
      <w:r>
        <w:rPr>
          <w:rFonts w:hint="eastAsia" w:ascii="宋体" w:eastAsia="宋体"/>
          <w:b w:val="0"/>
          <w:color w:val="auto"/>
          <w:sz w:val="21"/>
          <w:szCs w:val="21"/>
          <w:highlight w:val="none"/>
        </w:rPr>
        <w:t>格式2：</w:t>
      </w:r>
      <w:r>
        <w:rPr>
          <w:rFonts w:hint="eastAsia" w:ascii="宋体" w:eastAsia="宋体"/>
          <w:b w:val="0"/>
          <w:color w:val="auto"/>
          <w:sz w:val="21"/>
          <w:szCs w:val="21"/>
          <w:highlight w:val="none"/>
          <w:lang w:val="zh-CN"/>
        </w:rPr>
        <w:t>广州建设工程施工招标投标书</w:t>
      </w:r>
      <w:bookmarkEnd w:id="73"/>
      <w:bookmarkEnd w:id="74"/>
      <w:bookmarkEnd w:id="75"/>
      <w:bookmarkEnd w:id="76"/>
      <w:bookmarkEnd w:id="77"/>
      <w:bookmarkEnd w:id="78"/>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pacing w:line="360" w:lineRule="auto"/>
        <w:ind w:left="-540" w:leftChars="-257" w:firstLine="619" w:firstLineChars="257"/>
        <w:jc w:val="center"/>
        <w:rPr>
          <w:rFonts w:ascii="宋体"/>
          <w:b/>
          <w:bCs/>
          <w:color w:val="auto"/>
          <w:sz w:val="24"/>
          <w:szCs w:val="24"/>
          <w:highlight w:val="none"/>
        </w:rPr>
      </w:pPr>
      <w:r>
        <w:rPr>
          <w:rFonts w:hint="eastAsia" w:ascii="宋体" w:hAnsi="宋体" w:cs="宋体"/>
          <w:b/>
          <w:bCs/>
          <w:color w:val="auto"/>
          <w:sz w:val="24"/>
          <w:szCs w:val="2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程</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名</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cs="宋体"/>
                <w:b/>
                <w:color w:val="auto"/>
                <w:szCs w:val="21"/>
                <w:highlight w:val="none"/>
                <w:lang w:val="zh-CN"/>
              </w:rPr>
            </w:pPr>
            <w:r>
              <w:rPr>
                <w:rFonts w:hint="eastAsia" w:ascii="宋体" w:hAnsi="宋体" w:cs="宋体"/>
                <w:b/>
                <w:color w:val="auto"/>
                <w:szCs w:val="21"/>
                <w:highlight w:val="none"/>
                <w:lang w:val="zh-CN"/>
              </w:rPr>
              <w:t>投</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标</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总工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b/>
                <w:color w:val="auto"/>
                <w:szCs w:val="21"/>
                <w:highlight w:val="none"/>
              </w:rPr>
            </w:pPr>
            <w:r>
              <w:rPr>
                <w:rFonts w:hint="eastAsia" w:ascii="宋体" w:hAnsi="宋体" w:cs="宋体"/>
                <w:b/>
                <w:color w:val="auto"/>
                <w:szCs w:val="21"/>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保</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修</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bl>
    <w:p>
      <w:pPr>
        <w:tabs>
          <w:tab w:val="left" w:pos="720"/>
        </w:tabs>
        <w:snapToGrid w:val="0"/>
        <w:spacing w:line="360" w:lineRule="auto"/>
        <w:rPr>
          <w:color w:val="auto"/>
          <w:sz w:val="24"/>
          <w:szCs w:val="24"/>
          <w:highlight w:val="none"/>
        </w:rPr>
      </w:pPr>
    </w:p>
    <w:p>
      <w:pPr>
        <w:pStyle w:val="115"/>
        <w:spacing w:beforeLines="0" w:afterLines="0" w:line="360" w:lineRule="auto"/>
        <w:rPr>
          <w:rFonts w:ascii="宋体" w:eastAsia="宋体"/>
          <w:b w:val="0"/>
          <w:color w:val="auto"/>
          <w:sz w:val="21"/>
          <w:szCs w:val="21"/>
          <w:highlight w:val="none"/>
        </w:rPr>
      </w:pPr>
      <w:r>
        <w:rPr>
          <w:color w:val="auto"/>
          <w:highlight w:val="none"/>
        </w:rPr>
        <w:br w:type="page"/>
      </w:r>
      <w:bookmarkStart w:id="79" w:name="_Toc147"/>
      <w:bookmarkStart w:id="80" w:name="_Toc15967"/>
      <w:bookmarkStart w:id="81" w:name="_Toc17150"/>
      <w:bookmarkStart w:id="82" w:name="_Toc24419"/>
      <w:bookmarkStart w:id="83" w:name="_Toc12725"/>
      <w:bookmarkStart w:id="84" w:name="_Toc13145"/>
      <w:r>
        <w:rPr>
          <w:rFonts w:hint="eastAsia" w:ascii="宋体" w:eastAsia="宋体"/>
          <w:b w:val="0"/>
          <w:color w:val="auto"/>
          <w:sz w:val="21"/>
          <w:szCs w:val="21"/>
          <w:highlight w:val="none"/>
        </w:rPr>
        <w:t>格式3：投标函</w:t>
      </w:r>
      <w:bookmarkEnd w:id="79"/>
      <w:bookmarkEnd w:id="80"/>
      <w:bookmarkEnd w:id="81"/>
      <w:bookmarkEnd w:id="82"/>
      <w:bookmarkEnd w:id="83"/>
      <w:bookmarkEnd w:id="84"/>
    </w:p>
    <w:p>
      <w:pPr>
        <w:pStyle w:val="120"/>
        <w:widowControl w:val="0"/>
        <w:rPr>
          <w:rFonts w:ascii="宋体" w:hAnsi="宋体" w:eastAsia="宋体"/>
          <w:color w:val="auto"/>
          <w:sz w:val="24"/>
          <w:szCs w:val="24"/>
          <w:highlight w:val="none"/>
        </w:rPr>
      </w:pPr>
      <w:r>
        <w:rPr>
          <w:rFonts w:hint="eastAsia" w:ascii="宋体" w:hAnsi="宋体" w:eastAsia="宋体"/>
          <w:color w:val="auto"/>
          <w:sz w:val="24"/>
          <w:szCs w:val="24"/>
          <w:highlight w:val="none"/>
        </w:rPr>
        <w:t>投 标 函</w:t>
      </w:r>
    </w:p>
    <w:p>
      <w:pPr>
        <w:pStyle w:val="116"/>
        <w:widowControl w:val="0"/>
        <w:spacing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（招标人名称） </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1.根据招标人</w:t>
      </w:r>
      <w:r>
        <w:rPr>
          <w:rFonts w:hint="eastAsia" w:ascii="宋体" w:hAnsi="宋体" w:cs="宋体"/>
          <w:color w:val="auto"/>
          <w:sz w:val="21"/>
          <w:szCs w:val="21"/>
          <w:highlight w:val="none"/>
          <w:u w:val="single"/>
        </w:rPr>
        <w:t xml:space="preserve"> （工程项目名称） </w:t>
      </w:r>
      <w:r>
        <w:rPr>
          <w:rFonts w:hint="eastAsia" w:ascii="宋体" w:hAnsi="宋体" w:cs="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2.我方已详细审核全部招标文件，包括修改文件（如有时）及有关附件。</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3.如果我方中标，我方保证按照合同文件中规定的开工日期开始施工，并按规定的预计竣工日期完成和交付全部工程。</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16"/>
        <w:widowControl w:val="0"/>
        <w:spacing w:after="0" w:line="360" w:lineRule="exact"/>
        <w:ind w:firstLine="436"/>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6.如果我方中标，我方将按照招标文件的规定，按时提交履约担保，以保障本项目优质、优价、按期、顺利完成。</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8.在合同协议书正式签署生效之前，本投标书连同你单位的中标通知书将构成我们双方之间共同遵守的文件，对双方具有约束力。</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9.随同本投标文件，我方已提交人民币</w:t>
      </w:r>
      <w:r>
        <w:rPr>
          <w:rFonts w:hint="eastAsia" w:ascii="宋体" w:hAnsi="宋体" w:cs="宋体"/>
          <w:color w:val="auto"/>
          <w:sz w:val="21"/>
          <w:szCs w:val="21"/>
          <w:highlight w:val="none"/>
          <w:u w:val="single"/>
        </w:rPr>
        <w:t xml:space="preserve">           元</w:t>
      </w:r>
      <w:r>
        <w:rPr>
          <w:rFonts w:hint="eastAsia" w:ascii="宋体" w:hAnsi="宋体" w:cs="宋体"/>
          <w:color w:val="auto"/>
          <w:sz w:val="21"/>
          <w:szCs w:val="21"/>
          <w:highlight w:val="none"/>
        </w:rPr>
        <w:t>的投标担保。如果我方在投标文件有效期内撤回投标文件；或在接到中标通知书后30天内未能或拒绝签订合同协议书；或未能按招标文件要求提交履约担保，你单位有权没收投标保证金，另选中标单位。</w:t>
      </w:r>
    </w:p>
    <w:p>
      <w:pPr>
        <w:pStyle w:val="116"/>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10.我方理解，你单位不一定接受最低标价的投标或你单位接到的其它任何投标。同时也理解，你单位不负担我方的任何投标费用。</w:t>
      </w:r>
    </w:p>
    <w:p>
      <w:pPr>
        <w:pStyle w:val="116"/>
        <w:widowControl w:val="0"/>
        <w:spacing w:line="360" w:lineRule="exact"/>
        <w:ind w:firstLine="436"/>
        <w:rPr>
          <w:rFonts w:ascii="宋体" w:hAnsi="宋体" w:cs="宋体"/>
          <w:color w:val="auto"/>
          <w:sz w:val="21"/>
          <w:szCs w:val="21"/>
          <w:highlight w:val="none"/>
        </w:rPr>
      </w:pPr>
    </w:p>
    <w:p>
      <w:pPr>
        <w:pStyle w:val="116"/>
        <w:widowControl w:val="0"/>
        <w:spacing w:line="360" w:lineRule="exact"/>
        <w:ind w:firstLine="436"/>
        <w:rPr>
          <w:rFonts w:ascii="宋体" w:hAnsi="宋体" w:cs="宋体"/>
          <w:color w:val="auto"/>
          <w:sz w:val="21"/>
          <w:szCs w:val="21"/>
          <w:highlight w:val="none"/>
        </w:rPr>
      </w:pP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投 标 人：（盖章）</w:t>
      </w: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6"/>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 xml:space="preserve">日    期：    年    月    日 </w:t>
      </w:r>
    </w:p>
    <w:p>
      <w:pPr>
        <w:pStyle w:val="115"/>
        <w:spacing w:beforeLines="0" w:after="156"/>
        <w:rPr>
          <w:rFonts w:ascii="宋体" w:eastAsia="宋体"/>
          <w:b w:val="0"/>
          <w:color w:val="auto"/>
          <w:sz w:val="21"/>
          <w:szCs w:val="21"/>
          <w:highlight w:val="none"/>
        </w:rPr>
      </w:pPr>
      <w:r>
        <w:rPr>
          <w:color w:val="auto"/>
          <w:sz w:val="21"/>
          <w:szCs w:val="21"/>
          <w:highlight w:val="none"/>
        </w:rPr>
        <w:br w:type="page"/>
      </w:r>
      <w:bookmarkStart w:id="85" w:name="_Toc21089"/>
      <w:bookmarkStart w:id="86" w:name="_Toc12155"/>
      <w:bookmarkStart w:id="87" w:name="_Toc4827"/>
      <w:bookmarkStart w:id="88" w:name="_Toc16116"/>
      <w:bookmarkStart w:id="89" w:name="_Toc20490"/>
      <w:bookmarkStart w:id="90" w:name="_Toc5556"/>
      <w:bookmarkStart w:id="91" w:name="_Toc6333"/>
      <w:r>
        <w:rPr>
          <w:rFonts w:hint="eastAsia" w:ascii="宋体" w:eastAsia="宋体"/>
          <w:b w:val="0"/>
          <w:color w:val="auto"/>
          <w:sz w:val="21"/>
          <w:szCs w:val="21"/>
          <w:highlight w:val="none"/>
        </w:rPr>
        <w:t>格式4：法定代表人资格证明书、授权委托证明书</w:t>
      </w:r>
      <w:bookmarkEnd w:id="85"/>
      <w:bookmarkEnd w:id="86"/>
      <w:bookmarkEnd w:id="87"/>
      <w:bookmarkEnd w:id="88"/>
      <w:bookmarkEnd w:id="89"/>
      <w:bookmarkEnd w:id="90"/>
      <w:bookmarkEnd w:id="91"/>
    </w:p>
    <w:p>
      <w:pPr>
        <w:tabs>
          <w:tab w:val="left" w:pos="720"/>
        </w:tabs>
        <w:snapToGrid w:val="0"/>
        <w:spacing w:line="360" w:lineRule="auto"/>
        <w:jc w:val="center"/>
        <w:rPr>
          <w:color w:val="auto"/>
          <w:szCs w:val="21"/>
          <w:highlight w:val="none"/>
        </w:rPr>
      </w:pPr>
    </w:p>
    <w:p>
      <w:pPr>
        <w:tabs>
          <w:tab w:val="left" w:pos="7120"/>
        </w:tabs>
        <w:spacing w:line="360" w:lineRule="exact"/>
        <w:jc w:val="center"/>
        <w:rPr>
          <w:b/>
          <w:bCs/>
          <w:color w:val="auto"/>
          <w:szCs w:val="21"/>
          <w:highlight w:val="none"/>
        </w:rPr>
      </w:pPr>
      <w:bookmarkStart w:id="92" w:name="_Toc14825"/>
      <w:bookmarkStart w:id="93" w:name="_Toc16142"/>
      <w:bookmarkStart w:id="94" w:name="_Toc6955"/>
      <w:r>
        <w:rPr>
          <w:rFonts w:hint="eastAsia"/>
          <w:b/>
          <w:bCs/>
          <w:color w:val="auto"/>
          <w:szCs w:val="21"/>
          <w:highlight w:val="none"/>
        </w:rPr>
        <w:t>法定代表人资格证明书</w:t>
      </w:r>
      <w:bookmarkEnd w:id="92"/>
      <w:bookmarkEnd w:id="93"/>
      <w:bookmarkEnd w:id="94"/>
    </w:p>
    <w:p>
      <w:pPr>
        <w:spacing w:line="360" w:lineRule="exact"/>
        <w:jc w:val="center"/>
        <w:rPr>
          <w:b/>
          <w:bCs/>
          <w:color w:val="auto"/>
          <w:szCs w:val="21"/>
          <w:highlight w:val="none"/>
        </w:rPr>
      </w:pP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（投标人单位名称）           </w:t>
      </w:r>
      <w:r>
        <w:rPr>
          <w:rFonts w:hint="eastAsia" w:ascii="宋体" w:hAnsi="宋体"/>
          <w:color w:val="auto"/>
          <w:szCs w:val="21"/>
          <w:highlight w:val="none"/>
        </w:rPr>
        <w:t xml:space="preserve"> 的法定代表人。</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（盖章）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ascii="宋体" w:hAnsi="宋体"/>
          <w:color w:val="auto"/>
          <w:highlight w:val="none"/>
        </w:rPr>
      </w:pPr>
    </w:p>
    <w:p>
      <w:pPr>
        <w:rPr>
          <w:rFonts w:ascii="宋体" w:hAnsi="宋体"/>
          <w:color w:val="auto"/>
          <w:highlight w:val="none"/>
        </w:rPr>
      </w:pPr>
      <w:r>
        <w:rPr>
          <w:rFonts w:ascii="宋体" w:hAnsi="宋体"/>
          <w:color w:val="auto"/>
          <w:highlight w:val="none"/>
        </w:rPr>
        <w:br w:type="page"/>
      </w:r>
    </w:p>
    <w:p>
      <w:pPr>
        <w:pStyle w:val="2"/>
        <w:rPr>
          <w:color w:val="auto"/>
          <w:highlight w:val="none"/>
        </w:rPr>
      </w:pPr>
    </w:p>
    <w:p>
      <w:pPr>
        <w:tabs>
          <w:tab w:val="left" w:pos="7120"/>
        </w:tabs>
        <w:spacing w:line="360" w:lineRule="exact"/>
        <w:jc w:val="center"/>
        <w:rPr>
          <w:b/>
          <w:bCs/>
          <w:color w:val="auto"/>
          <w:szCs w:val="21"/>
          <w:highlight w:val="none"/>
        </w:rPr>
      </w:pPr>
      <w:bookmarkStart w:id="95" w:name="_Toc7634"/>
      <w:bookmarkStart w:id="96" w:name="_Toc5451"/>
      <w:bookmarkStart w:id="97" w:name="_Toc11994"/>
      <w:r>
        <w:rPr>
          <w:b/>
          <w:bCs/>
          <w:color w:val="auto"/>
          <w:szCs w:val="21"/>
          <w:highlight w:val="none"/>
        </w:rPr>
        <w:t>授权委托</w:t>
      </w:r>
      <w:r>
        <w:rPr>
          <w:rFonts w:hint="eastAsia"/>
          <w:b/>
          <w:bCs/>
          <w:color w:val="auto"/>
          <w:szCs w:val="21"/>
          <w:highlight w:val="none"/>
        </w:rPr>
        <w:t>证明</w:t>
      </w:r>
      <w:r>
        <w:rPr>
          <w:b/>
          <w:bCs/>
          <w:color w:val="auto"/>
          <w:szCs w:val="21"/>
          <w:highlight w:val="none"/>
        </w:rPr>
        <w:t>书</w:t>
      </w:r>
      <w:bookmarkEnd w:id="95"/>
      <w:bookmarkEnd w:id="96"/>
      <w:bookmarkEnd w:id="97"/>
    </w:p>
    <w:p>
      <w:pPr>
        <w:spacing w:line="360" w:lineRule="exact"/>
        <w:rPr>
          <w:color w:val="auto"/>
          <w:szCs w:val="21"/>
          <w:highlight w:val="none"/>
        </w:rPr>
      </w:pPr>
    </w:p>
    <w:p>
      <w:pPr>
        <w:spacing w:line="360" w:lineRule="exact"/>
        <w:ind w:right="150"/>
        <w:rPr>
          <w:color w:val="auto"/>
          <w:szCs w:val="21"/>
          <w:highlight w:val="none"/>
        </w:rPr>
      </w:pPr>
      <w:r>
        <w:rPr>
          <w:color w:val="auto"/>
          <w:szCs w:val="21"/>
          <w:highlight w:val="none"/>
        </w:rPr>
        <w:t>本授权委托书声明：我</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（投标单位名称）的法定代表人，现授权委托</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（姓名）</w:t>
      </w:r>
      <w:r>
        <w:rPr>
          <w:rFonts w:hint="eastAsia"/>
          <w:color w:val="auto"/>
          <w:szCs w:val="21"/>
          <w:highlight w:val="none"/>
        </w:rPr>
        <w:t xml:space="preserve"> </w:t>
      </w:r>
      <w:r>
        <w:rPr>
          <w:color w:val="auto"/>
          <w:szCs w:val="21"/>
          <w:highlight w:val="none"/>
        </w:rPr>
        <w:t>为我公司唯一代理人，以</w:t>
      </w:r>
      <w:r>
        <w:rPr>
          <w:rFonts w:hint="eastAsia"/>
          <w:color w:val="auto"/>
          <w:szCs w:val="21"/>
          <w:highlight w:val="none"/>
        </w:rPr>
        <w:t>我</w:t>
      </w:r>
      <w:r>
        <w:rPr>
          <w:color w:val="auto"/>
          <w:szCs w:val="21"/>
          <w:highlight w:val="none"/>
        </w:rPr>
        <w:t>公司的名义参加</w:t>
      </w:r>
      <w:r>
        <w:rPr>
          <w:rFonts w:hint="eastAsia"/>
          <w:color w:val="auto"/>
          <w:szCs w:val="21"/>
          <w:highlight w:val="none"/>
          <w:u w:val="single"/>
        </w:rPr>
        <w:t xml:space="preserve">       </w:t>
      </w:r>
      <w:r>
        <w:rPr>
          <w:rFonts w:hint="eastAsia"/>
          <w:color w:val="auto"/>
          <w:szCs w:val="21"/>
          <w:highlight w:val="none"/>
        </w:rPr>
        <w:t>项目</w:t>
      </w:r>
      <w:r>
        <w:rPr>
          <w:color w:val="auto"/>
          <w:szCs w:val="21"/>
          <w:highlight w:val="none"/>
        </w:rPr>
        <w:t>的投标活动。代理人</w:t>
      </w:r>
      <w:r>
        <w:rPr>
          <w:rFonts w:hint="eastAsia"/>
          <w:color w:val="auto"/>
          <w:szCs w:val="21"/>
          <w:highlight w:val="none"/>
        </w:rPr>
        <w:t>代表我公司签署投标文件、</w:t>
      </w:r>
      <w:r>
        <w:rPr>
          <w:color w:val="auto"/>
          <w:szCs w:val="21"/>
          <w:highlight w:val="none"/>
        </w:rPr>
        <w:t>开标、评标、</w:t>
      </w:r>
      <w:r>
        <w:rPr>
          <w:rFonts w:hint="eastAsia"/>
          <w:color w:val="auto"/>
          <w:szCs w:val="21"/>
          <w:highlight w:val="none"/>
        </w:rPr>
        <w:t>进行</w:t>
      </w:r>
      <w:r>
        <w:rPr>
          <w:color w:val="auto"/>
          <w:szCs w:val="21"/>
          <w:highlight w:val="none"/>
        </w:rPr>
        <w:t>合同谈判</w:t>
      </w:r>
      <w:r>
        <w:rPr>
          <w:rFonts w:hint="eastAsia"/>
          <w:color w:val="auto"/>
          <w:szCs w:val="21"/>
          <w:highlight w:val="none"/>
        </w:rPr>
        <w:t>、签订合同和处理与之有关</w:t>
      </w:r>
      <w:r>
        <w:rPr>
          <w:color w:val="auto"/>
          <w:szCs w:val="21"/>
          <w:highlight w:val="none"/>
        </w:rPr>
        <w:t>的一切事务，我</w:t>
      </w:r>
      <w:r>
        <w:rPr>
          <w:rFonts w:hint="eastAsia"/>
          <w:color w:val="auto"/>
          <w:szCs w:val="21"/>
          <w:highlight w:val="none"/>
        </w:rPr>
        <w:t>公司</w:t>
      </w:r>
      <w:r>
        <w:rPr>
          <w:color w:val="auto"/>
          <w:szCs w:val="21"/>
          <w:highlight w:val="none"/>
        </w:rPr>
        <w:t>均予以承认。</w:t>
      </w:r>
      <w:r>
        <w:rPr>
          <w:rFonts w:hint="eastAsia"/>
          <w:color w:val="auto"/>
          <w:szCs w:val="21"/>
          <w:highlight w:val="none"/>
        </w:rPr>
        <w:t>代理人的签名真迹如本授权委托书末尾所示。</w:t>
      </w:r>
    </w:p>
    <w:p>
      <w:pPr>
        <w:pStyle w:val="21"/>
        <w:spacing w:line="360" w:lineRule="exact"/>
        <w:ind w:firstLine="420" w:firstLineChars="200"/>
        <w:rPr>
          <w:color w:val="auto"/>
          <w:sz w:val="21"/>
          <w:szCs w:val="21"/>
          <w:highlight w:val="none"/>
        </w:rPr>
      </w:pPr>
      <w:r>
        <w:rPr>
          <w:color w:val="auto"/>
          <w:sz w:val="21"/>
          <w:szCs w:val="21"/>
          <w:highlight w:val="none"/>
        </w:rPr>
        <w:t>代理人无</w:t>
      </w:r>
      <w:r>
        <w:rPr>
          <w:rFonts w:hint="eastAsia"/>
          <w:color w:val="auto"/>
          <w:sz w:val="21"/>
          <w:szCs w:val="21"/>
          <w:highlight w:val="none"/>
        </w:rPr>
        <w:t>权将代理权</w:t>
      </w:r>
      <w:r>
        <w:rPr>
          <w:color w:val="auto"/>
          <w:sz w:val="21"/>
          <w:szCs w:val="21"/>
          <w:highlight w:val="none"/>
        </w:rPr>
        <w:t>转委</w:t>
      </w:r>
      <w:r>
        <w:rPr>
          <w:rFonts w:hint="eastAsia"/>
          <w:color w:val="auto"/>
          <w:sz w:val="21"/>
          <w:szCs w:val="21"/>
          <w:highlight w:val="none"/>
        </w:rPr>
        <w:t>托</w:t>
      </w:r>
      <w:r>
        <w:rPr>
          <w:color w:val="auto"/>
          <w:sz w:val="21"/>
          <w:szCs w:val="21"/>
          <w:highlight w:val="none"/>
        </w:rPr>
        <w:t>。特此委托。</w:t>
      </w:r>
    </w:p>
    <w:p>
      <w:pPr>
        <w:pStyle w:val="16"/>
        <w:spacing w:line="360" w:lineRule="exact"/>
        <w:ind w:firstLine="1785" w:firstLineChars="850"/>
        <w:rPr>
          <w:color w:val="auto"/>
          <w:szCs w:val="21"/>
          <w:highlight w:val="none"/>
        </w:rPr>
      </w:pPr>
    </w:p>
    <w:p>
      <w:pPr>
        <w:pStyle w:val="16"/>
        <w:spacing w:line="440" w:lineRule="exact"/>
        <w:ind w:firstLine="1785" w:firstLineChars="850"/>
        <w:rPr>
          <w:rFonts w:hint="eastAsia"/>
          <w:color w:val="auto"/>
          <w:szCs w:val="21"/>
          <w:highlight w:val="none"/>
        </w:rPr>
      </w:pPr>
      <w:r>
        <w:rPr>
          <w:rFonts w:hint="eastAsia"/>
          <w:color w:val="auto"/>
          <w:szCs w:val="21"/>
          <w:highlight w:val="none"/>
        </w:rPr>
        <w:t>授权委托</w:t>
      </w:r>
      <w:r>
        <w:rPr>
          <w:color w:val="auto"/>
          <w:szCs w:val="21"/>
          <w:highlight w:val="none"/>
        </w:rPr>
        <w:t>单位（盖章）</w:t>
      </w:r>
      <w:r>
        <w:rPr>
          <w:rFonts w:hint="eastAsia"/>
          <w:color w:val="auto"/>
          <w:szCs w:val="21"/>
          <w:highlight w:val="none"/>
        </w:rPr>
        <w:t xml:space="preserve">：             </w:t>
      </w:r>
    </w:p>
    <w:p>
      <w:pPr>
        <w:pStyle w:val="16"/>
        <w:spacing w:line="440" w:lineRule="exact"/>
        <w:ind w:firstLine="1785" w:firstLineChars="850"/>
        <w:rPr>
          <w:rFonts w:hint="eastAsia"/>
          <w:color w:val="auto"/>
          <w:szCs w:val="21"/>
          <w:highlight w:val="none"/>
        </w:rPr>
      </w:pPr>
      <w:r>
        <w:rPr>
          <w:rFonts w:hint="eastAsia"/>
          <w:color w:val="auto"/>
          <w:szCs w:val="21"/>
          <w:highlight w:val="none"/>
        </w:rPr>
        <w:t>投标代理人（签名）：</w:t>
      </w:r>
    </w:p>
    <w:p>
      <w:pPr>
        <w:pStyle w:val="16"/>
        <w:spacing w:line="440" w:lineRule="exact"/>
        <w:ind w:firstLine="1785" w:firstLineChars="850"/>
        <w:rPr>
          <w:color w:val="auto"/>
          <w:szCs w:val="21"/>
          <w:highlight w:val="none"/>
        </w:rPr>
      </w:pPr>
      <w:r>
        <w:rPr>
          <w:rFonts w:hint="eastAsia"/>
          <w:color w:val="auto"/>
          <w:szCs w:val="21"/>
          <w:highlight w:val="none"/>
        </w:rPr>
        <w:t>身份证号码：</w:t>
      </w:r>
    </w:p>
    <w:p>
      <w:pPr>
        <w:pStyle w:val="16"/>
        <w:spacing w:line="440" w:lineRule="exact"/>
        <w:ind w:firstLine="1785" w:firstLineChars="850"/>
        <w:rPr>
          <w:rFonts w:hint="eastAsia"/>
          <w:color w:val="auto"/>
          <w:szCs w:val="21"/>
          <w:highlight w:val="none"/>
        </w:rPr>
      </w:pPr>
      <w:r>
        <w:rPr>
          <w:color w:val="auto"/>
          <w:szCs w:val="21"/>
          <w:highlight w:val="none"/>
        </w:rPr>
        <w:t>法定代表人：（签字</w:t>
      </w:r>
      <w:r>
        <w:rPr>
          <w:rFonts w:hint="eastAsia"/>
          <w:color w:val="auto"/>
          <w:szCs w:val="21"/>
          <w:highlight w:val="none"/>
        </w:rPr>
        <w:t>或盖章</w:t>
      </w:r>
      <w:r>
        <w:rPr>
          <w:color w:val="auto"/>
          <w:szCs w:val="21"/>
          <w:highlight w:val="none"/>
        </w:rPr>
        <w:t>）</w:t>
      </w:r>
      <w:r>
        <w:rPr>
          <w:rFonts w:hint="eastAsia"/>
          <w:color w:val="auto"/>
          <w:szCs w:val="21"/>
          <w:highlight w:val="none"/>
        </w:rPr>
        <w:t xml:space="preserve">            </w:t>
      </w:r>
    </w:p>
    <w:p>
      <w:pPr>
        <w:pStyle w:val="16"/>
        <w:spacing w:line="440" w:lineRule="exact"/>
        <w:ind w:firstLine="1785" w:firstLineChars="850"/>
        <w:rPr>
          <w:color w:val="auto"/>
          <w:szCs w:val="21"/>
          <w:highlight w:val="none"/>
        </w:rPr>
      </w:pPr>
      <w:r>
        <w:rPr>
          <w:rFonts w:hint="eastAsia"/>
          <w:color w:val="auto"/>
          <w:szCs w:val="21"/>
          <w:highlight w:val="none"/>
        </w:rPr>
        <w:t>身份证号码：</w:t>
      </w:r>
    </w:p>
    <w:p>
      <w:pPr>
        <w:pStyle w:val="16"/>
        <w:spacing w:line="440" w:lineRule="exact"/>
        <w:ind w:firstLine="1785" w:firstLineChars="850"/>
        <w:rPr>
          <w:rFonts w:hint="eastAsia"/>
          <w:color w:val="auto"/>
          <w:szCs w:val="21"/>
          <w:highlight w:val="none"/>
        </w:rPr>
      </w:pPr>
      <w:r>
        <w:rPr>
          <w:rFonts w:hint="eastAsia"/>
          <w:color w:val="auto"/>
          <w:szCs w:val="21"/>
          <w:highlight w:val="none"/>
        </w:rPr>
        <w:t xml:space="preserve">地址：                            </w:t>
      </w:r>
    </w:p>
    <w:p>
      <w:pPr>
        <w:pStyle w:val="16"/>
        <w:spacing w:line="440" w:lineRule="exact"/>
        <w:ind w:firstLine="1785" w:firstLineChars="850"/>
        <w:rPr>
          <w:color w:val="auto"/>
          <w:szCs w:val="21"/>
          <w:highlight w:val="none"/>
        </w:rPr>
      </w:pPr>
      <w:r>
        <w:rPr>
          <w:rFonts w:hint="eastAsia"/>
          <w:color w:val="auto"/>
          <w:szCs w:val="21"/>
          <w:highlight w:val="none"/>
        </w:rPr>
        <w:t>所在单位：</w:t>
      </w:r>
    </w:p>
    <w:p>
      <w:pPr>
        <w:pStyle w:val="16"/>
        <w:spacing w:line="440" w:lineRule="exact"/>
        <w:ind w:firstLine="1785" w:firstLineChars="850"/>
        <w:rPr>
          <w:rFonts w:hint="eastAsia"/>
          <w:color w:val="auto"/>
          <w:szCs w:val="21"/>
          <w:highlight w:val="none"/>
        </w:rPr>
      </w:pPr>
      <w:r>
        <w:rPr>
          <w:rFonts w:hint="eastAsia"/>
          <w:color w:val="auto"/>
          <w:szCs w:val="21"/>
          <w:highlight w:val="none"/>
        </w:rPr>
        <w:t xml:space="preserve">电话：                            </w:t>
      </w:r>
    </w:p>
    <w:p>
      <w:pPr>
        <w:pStyle w:val="16"/>
        <w:spacing w:line="440" w:lineRule="exact"/>
        <w:ind w:firstLine="1785" w:firstLineChars="850"/>
        <w:rPr>
          <w:color w:val="auto"/>
          <w:szCs w:val="21"/>
          <w:highlight w:val="none"/>
        </w:rPr>
      </w:pPr>
      <w:r>
        <w:rPr>
          <w:rFonts w:hint="eastAsia"/>
          <w:color w:val="auto"/>
          <w:szCs w:val="21"/>
          <w:highlight w:val="none"/>
        </w:rPr>
        <w:t>联系电话：</w:t>
      </w:r>
    </w:p>
    <w:p>
      <w:pPr>
        <w:pStyle w:val="16"/>
        <w:spacing w:line="360" w:lineRule="exact"/>
        <w:rPr>
          <w:color w:val="auto"/>
          <w:szCs w:val="21"/>
          <w:highlight w:val="none"/>
        </w:rPr>
      </w:pPr>
      <w:r>
        <w:rPr>
          <w:rFonts w:hint="eastAsia"/>
          <w:color w:val="auto"/>
          <w:szCs w:val="21"/>
          <w:highlight w:val="none"/>
        </w:rPr>
        <w:t xml:space="preserve">                                    </w:t>
      </w:r>
    </w:p>
    <w:p>
      <w:pPr>
        <w:pStyle w:val="16"/>
        <w:spacing w:line="360" w:lineRule="exact"/>
        <w:rPr>
          <w:color w:val="auto"/>
          <w:szCs w:val="21"/>
          <w:highlight w:val="none"/>
        </w:rPr>
      </w:pPr>
      <w:r>
        <w:rPr>
          <w:rFonts w:hint="eastAsia"/>
          <w:color w:val="auto"/>
          <w:szCs w:val="21"/>
          <w:highlight w:val="none"/>
        </w:rPr>
        <w:t xml:space="preserve">                                   日期：    年   月  日</w:t>
      </w:r>
      <w:r>
        <w:rPr>
          <w:color w:val="auto"/>
          <w:szCs w:val="21"/>
          <w:highlight w:val="none"/>
        </w:rPr>
        <w:br w:type="textWrapping"/>
      </w:r>
    </w:p>
    <w:p>
      <w:pPr>
        <w:pStyle w:val="16"/>
        <w:spacing w:line="360" w:lineRule="exact"/>
        <w:rPr>
          <w:color w:val="auto"/>
          <w:szCs w:val="21"/>
          <w:highlight w:val="none"/>
        </w:rPr>
      </w:pPr>
      <w:r>
        <w:rPr>
          <w:rFonts w:hint="eastAsia"/>
          <w:color w:val="auto"/>
          <w:szCs w:val="21"/>
          <w:highlight w:val="none"/>
        </w:rPr>
        <w:t>（若联合体投标的由联合体主办方提供）</w:t>
      </w:r>
    </w:p>
    <w:p>
      <w:pPr>
        <w:rPr>
          <w:color w:val="auto"/>
          <w:highlight w:val="none"/>
        </w:rPr>
      </w:pPr>
    </w:p>
    <w:p>
      <w:pPr>
        <w:rPr>
          <w:color w:val="auto"/>
          <w:highlight w:val="none"/>
        </w:rPr>
      </w:pPr>
      <w:r>
        <w:rPr>
          <w:color w:val="auto"/>
          <w:highlight w:val="none"/>
        </w:rPr>
        <w:br w:type="page"/>
      </w:r>
      <w:bookmarkStart w:id="98" w:name="_Toc32767"/>
      <w:bookmarkStart w:id="99" w:name="_Toc6431"/>
      <w:bookmarkStart w:id="100" w:name="_Toc16782"/>
    </w:p>
    <w:bookmarkEnd w:id="98"/>
    <w:bookmarkEnd w:id="99"/>
    <w:bookmarkEnd w:id="100"/>
    <w:p>
      <w:pPr>
        <w:pStyle w:val="115"/>
        <w:spacing w:before="156" w:after="156"/>
        <w:rPr>
          <w:rFonts w:ascii="宋体" w:eastAsia="宋体"/>
          <w:b w:val="0"/>
          <w:color w:val="auto"/>
          <w:sz w:val="21"/>
          <w:szCs w:val="21"/>
          <w:highlight w:val="none"/>
        </w:rPr>
      </w:pPr>
      <w:bookmarkStart w:id="101" w:name="_Toc21378"/>
      <w:bookmarkStart w:id="102" w:name="_Toc10176"/>
      <w:bookmarkStart w:id="103" w:name="_Toc23288"/>
      <w:bookmarkStart w:id="104" w:name="_Toc19004594"/>
      <w:bookmarkStart w:id="105" w:name="_Toc519524342"/>
      <w:bookmarkStart w:id="106" w:name="_Toc7544"/>
      <w:bookmarkStart w:id="107" w:name="_Toc26932"/>
      <w:bookmarkStart w:id="108" w:name="_Toc30819"/>
      <w:bookmarkStart w:id="109" w:name="_Toc10504"/>
      <w:bookmarkStart w:id="110" w:name="_Toc843"/>
      <w:bookmarkStart w:id="111" w:name="_Toc6760"/>
      <w:bookmarkStart w:id="112" w:name="_Toc12032"/>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5</w:t>
      </w:r>
      <w:r>
        <w:rPr>
          <w:rFonts w:hint="eastAsia" w:ascii="宋体" w:eastAsia="宋体"/>
          <w:b w:val="0"/>
          <w:color w:val="auto"/>
          <w:sz w:val="21"/>
          <w:szCs w:val="21"/>
          <w:highlight w:val="none"/>
        </w:rPr>
        <w:t>：《响应招标文件所附施工组织设计要点的承诺书》</w:t>
      </w:r>
      <w:bookmarkEnd w:id="101"/>
      <w:bookmarkEnd w:id="102"/>
      <w:bookmarkEnd w:id="103"/>
      <w:bookmarkEnd w:id="104"/>
      <w:bookmarkEnd w:id="105"/>
      <w:bookmarkEnd w:id="106"/>
      <w:bookmarkEnd w:id="107"/>
      <w:bookmarkEnd w:id="108"/>
      <w:bookmarkEnd w:id="109"/>
      <w:bookmarkEnd w:id="110"/>
      <w:bookmarkEnd w:id="111"/>
      <w:bookmarkEnd w:id="112"/>
    </w:p>
    <w:p>
      <w:pPr>
        <w:pStyle w:val="116"/>
        <w:ind w:firstLine="0" w:firstLineChars="0"/>
        <w:rPr>
          <w:rFonts w:ascii="宋体" w:hAnsi="宋体"/>
          <w:color w:val="auto"/>
          <w:highlight w:val="none"/>
        </w:rPr>
      </w:pPr>
    </w:p>
    <w:p>
      <w:pPr>
        <w:pStyle w:val="116"/>
        <w:widowControl w:val="0"/>
        <w:ind w:firstLine="0" w:firstLineChars="0"/>
        <w:jc w:val="center"/>
        <w:rPr>
          <w:rFonts w:ascii="宋体" w:hAnsi="宋体"/>
          <w:b/>
          <w:color w:val="auto"/>
          <w:highlight w:val="none"/>
        </w:rPr>
      </w:pPr>
      <w:bookmarkStart w:id="113" w:name="_Toc3076"/>
      <w:bookmarkStart w:id="114" w:name="_Toc4216"/>
      <w:r>
        <w:rPr>
          <w:rFonts w:hint="eastAsia" w:ascii="宋体" w:hAnsi="宋体"/>
          <w:b/>
          <w:color w:val="auto"/>
          <w:highlight w:val="none"/>
        </w:rPr>
        <w:t>响应招标文件所附施工组织设计要点的承诺书</w:t>
      </w:r>
      <w:bookmarkEnd w:id="113"/>
      <w:bookmarkEnd w:id="114"/>
    </w:p>
    <w:p>
      <w:pPr>
        <w:pStyle w:val="116"/>
        <w:ind w:firstLine="0" w:firstLineChars="0"/>
        <w:rPr>
          <w:rFonts w:ascii="宋体" w:hAnsi="宋体"/>
          <w:color w:val="auto"/>
          <w:highlight w:val="none"/>
          <w:u w:val="single"/>
        </w:rPr>
      </w:pPr>
    </w:p>
    <w:p>
      <w:pPr>
        <w:pStyle w:val="116"/>
        <w:widowControl w:val="0"/>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u w:val="single"/>
        </w:rPr>
        <w:t>（招标人）：</w:t>
      </w:r>
    </w:p>
    <w:p>
      <w:pPr>
        <w:pStyle w:val="116"/>
        <w:widowControl w:val="0"/>
        <w:spacing w:line="360" w:lineRule="exact"/>
        <w:ind w:firstLine="436"/>
        <w:rPr>
          <w:rFonts w:ascii="宋体" w:hAnsi="宋体"/>
          <w:color w:val="auto"/>
          <w:sz w:val="21"/>
          <w:szCs w:val="21"/>
          <w:highlight w:val="none"/>
        </w:rPr>
      </w:pPr>
      <w:r>
        <w:rPr>
          <w:rFonts w:hint="eastAsia" w:ascii="宋体" w:hAnsi="宋体"/>
          <w:color w:val="auto"/>
          <w:sz w:val="21"/>
          <w:szCs w:val="21"/>
          <w:highlight w:val="none"/>
        </w:rPr>
        <w:t>我方承诺，如中标承建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pPr>
        <w:pStyle w:val="116"/>
        <w:widowControl w:val="0"/>
        <w:spacing w:line="360" w:lineRule="exact"/>
        <w:ind w:firstLine="0" w:firstLineChars="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6"/>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w:t>
      </w:r>
      <w:r>
        <w:rPr>
          <w:rFonts w:hint="eastAsia" w:ascii="宋体" w:hAnsi="宋体"/>
          <w:color w:val="auto"/>
          <w:sz w:val="21"/>
          <w:szCs w:val="21"/>
          <w:highlight w:val="none"/>
        </w:rPr>
        <w:t>期：</w:t>
      </w:r>
      <w:r>
        <w:rPr>
          <w:rFonts w:ascii="宋体" w:hAnsi="宋体"/>
          <w:color w:val="auto"/>
          <w:sz w:val="21"/>
          <w:szCs w:val="21"/>
          <w:highlight w:val="non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r>
        <w:rPr>
          <w:rFonts w:ascii="宋体" w:hAnsi="宋体"/>
          <w:color w:val="auto"/>
          <w:sz w:val="21"/>
          <w:szCs w:val="21"/>
          <w:highlight w:val="none"/>
        </w:rPr>
        <w:t xml:space="preserve">  </w:t>
      </w:r>
    </w:p>
    <w:p>
      <w:pPr>
        <w:pStyle w:val="115"/>
        <w:spacing w:before="156" w:after="156"/>
        <w:rPr>
          <w:rFonts w:ascii="宋体" w:eastAsia="宋体"/>
          <w:b w:val="0"/>
          <w:color w:val="auto"/>
          <w:sz w:val="21"/>
          <w:szCs w:val="21"/>
          <w:highlight w:val="none"/>
        </w:rPr>
      </w:pPr>
      <w:r>
        <w:rPr>
          <w:color w:val="auto"/>
          <w:highlight w:val="none"/>
        </w:rPr>
        <w:br w:type="page"/>
      </w:r>
      <w:bookmarkStart w:id="115" w:name="_Toc25504"/>
      <w:bookmarkStart w:id="116" w:name="_Toc32630"/>
      <w:bookmarkStart w:id="117" w:name="_Toc15054"/>
      <w:bookmarkStart w:id="118" w:name="_Toc9982"/>
      <w:bookmarkStart w:id="119" w:name="_Toc16078"/>
      <w:bookmarkStart w:id="120" w:name="_Toc24280"/>
      <w:bookmarkStart w:id="121" w:name="_Toc13555"/>
      <w:bookmarkStart w:id="122" w:name="_Toc23904"/>
      <w:bookmarkStart w:id="123" w:name="_Toc20114"/>
      <w:bookmarkStart w:id="124" w:name="_Toc10607"/>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6</w:t>
      </w:r>
      <w:r>
        <w:rPr>
          <w:rFonts w:hint="eastAsia" w:ascii="宋体" w:eastAsia="宋体"/>
          <w:b w:val="0"/>
          <w:color w:val="auto"/>
          <w:sz w:val="21"/>
          <w:szCs w:val="21"/>
          <w:highlight w:val="none"/>
        </w:rPr>
        <w:t>：危险性较大的分部分项工程清单及超过一定规模的危险性较大的分部分项工程清单</w:t>
      </w:r>
      <w:bookmarkEnd w:id="115"/>
      <w:bookmarkEnd w:id="116"/>
      <w:bookmarkEnd w:id="117"/>
      <w:bookmarkEnd w:id="118"/>
      <w:bookmarkEnd w:id="119"/>
      <w:bookmarkEnd w:id="120"/>
      <w:bookmarkEnd w:id="121"/>
      <w:bookmarkEnd w:id="122"/>
      <w:bookmarkEnd w:id="123"/>
      <w:bookmarkEnd w:id="124"/>
    </w:p>
    <w:p>
      <w:pPr>
        <w:autoSpaceDE w:val="0"/>
        <w:autoSpaceDN w:val="0"/>
        <w:adjustRightInd w:val="0"/>
        <w:rPr>
          <w:b/>
          <w:snapToGrid w:val="0"/>
          <w:color w:val="auto"/>
          <w:sz w:val="24"/>
          <w:szCs w:val="24"/>
          <w:highlight w:val="none"/>
          <w:u w:val="single"/>
        </w:rPr>
      </w:pPr>
    </w:p>
    <w:p>
      <w:pPr>
        <w:spacing w:line="360" w:lineRule="auto"/>
        <w:jc w:val="center"/>
        <w:rPr>
          <w:rFonts w:ascii="宋体" w:hAnsi="宋体" w:cs="宋体"/>
          <w:color w:val="auto"/>
          <w:sz w:val="24"/>
          <w:szCs w:val="24"/>
          <w:highlight w:val="none"/>
        </w:rPr>
      </w:pPr>
      <w:bookmarkStart w:id="125" w:name="_Toc10767"/>
      <w:bookmarkStart w:id="126" w:name="_Toc16445"/>
      <w:r>
        <w:rPr>
          <w:rFonts w:hint="eastAsia" w:ascii="宋体" w:hAnsi="宋体" w:cs="宋体"/>
          <w:b/>
          <w:color w:val="auto"/>
          <w:sz w:val="24"/>
          <w:szCs w:val="24"/>
          <w:highlight w:val="none"/>
        </w:rPr>
        <w:t>危险性较大的分部分项工程清单及超过一定规模的危险性较大的分部分项工程清单</w:t>
      </w:r>
      <w:bookmarkEnd w:id="125"/>
      <w:bookmarkEnd w:id="126"/>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招标人根据设计文件的要求及37号文的规定列出“危险性较大的分部分项工程清单及超过一定规模的危险性较大的分部分项工程清单”中与本招标项目相关的清单项，具体详见第4点“打√”标识。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w:t>
      </w:r>
    </w:p>
    <w:p>
      <w:pPr>
        <w:pStyle w:val="110"/>
        <w:numPr>
          <w:ilvl w:val="0"/>
          <w:numId w:val="6"/>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0"/>
        <w:autoSpaceDE w:val="0"/>
        <w:autoSpaceDN w:val="0"/>
        <w:adjustRightInd w:val="0"/>
        <w:spacing w:line="360" w:lineRule="exact"/>
        <w:ind w:left="386" w:leftChars="57" w:hanging="266" w:hangingChars="127"/>
        <w:jc w:val="left"/>
        <w:rPr>
          <w:rFonts w:ascii="宋体" w:hAnsi="宋体"/>
          <w:color w:val="auto"/>
          <w:szCs w:val="21"/>
          <w:highlight w:val="none"/>
        </w:rPr>
      </w:pPr>
      <w:r>
        <w:rPr>
          <w:rFonts w:hint="eastAsia" w:ascii="宋体" w:hAnsi="宋体"/>
          <w:color w:val="auto"/>
          <w:szCs w:val="21"/>
          <w:highlight w:val="none"/>
        </w:rPr>
        <w:t>4、危险性较大的分部分项工程清单及超过一定规模的危险性较大的分部分项工程清单：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s="宋体"/>
                <w:color w:val="auto"/>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highlight w:val="none"/>
              </w:rPr>
            </w:pPr>
            <w:r>
              <w:rPr>
                <w:rFonts w:hint="eastAsia" w:ascii="宋体" w:hAnsi="宋体" w:cs="宋体"/>
                <w:color w:val="auto"/>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auto"/>
                <w:highlight w:val="none"/>
              </w:rPr>
            </w:pPr>
            <w:r>
              <w:rPr>
                <w:rFonts w:hint="eastAsia" w:ascii="宋体" w:hAnsi="宋体" w:cs="宋体"/>
                <w:b/>
                <w:bCs/>
                <w:color w:val="auto"/>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投标人名称（盖法人公章）：</w:t>
      </w: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法定代表人或被授权人（签字或盖章）：</w:t>
      </w:r>
    </w:p>
    <w:p>
      <w:pPr>
        <w:spacing w:line="360" w:lineRule="exact"/>
        <w:ind w:firstLine="2625" w:firstLineChars="1250"/>
        <w:rPr>
          <w:rFonts w:ascii="宋体" w:hAnsi="宋体"/>
          <w:color w:val="auto"/>
          <w:szCs w:val="21"/>
          <w:highlight w:val="none"/>
        </w:rPr>
      </w:pPr>
      <w:r>
        <w:rPr>
          <w:rFonts w:hint="eastAsia" w:ascii="宋体" w:hAnsi="宋体" w:cs="宋体"/>
          <w:color w:val="auto"/>
          <w:szCs w:val="21"/>
          <w:highlight w:val="none"/>
        </w:rPr>
        <w:t>日期：   年  月  日</w:t>
      </w:r>
    </w:p>
    <w:p>
      <w:pPr>
        <w:pStyle w:val="115"/>
        <w:spacing w:before="156" w:after="156"/>
        <w:rPr>
          <w:rFonts w:ascii="宋体" w:eastAsia="宋体"/>
          <w:b w:val="0"/>
          <w:color w:val="auto"/>
          <w:sz w:val="21"/>
          <w:szCs w:val="21"/>
          <w:highlight w:val="none"/>
        </w:rPr>
      </w:pPr>
      <w:r>
        <w:rPr>
          <w:color w:val="auto"/>
          <w:highlight w:val="none"/>
        </w:rPr>
        <w:br w:type="page"/>
      </w:r>
      <w:bookmarkStart w:id="127" w:name="_Toc13654"/>
      <w:bookmarkStart w:id="128" w:name="_Toc2708"/>
      <w:bookmarkStart w:id="129" w:name="_Toc19004592"/>
      <w:bookmarkStart w:id="130" w:name="_Toc6745"/>
      <w:bookmarkStart w:id="131" w:name="_Toc9898"/>
      <w:bookmarkStart w:id="132" w:name="_Toc23626"/>
      <w:bookmarkStart w:id="133" w:name="_Toc15362"/>
      <w:bookmarkStart w:id="134" w:name="_Toc5077"/>
      <w:bookmarkStart w:id="135" w:name="_Toc13257"/>
      <w:bookmarkStart w:id="136" w:name="_Toc22133"/>
      <w:bookmarkStart w:id="137" w:name="_Toc28814"/>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7</w:t>
      </w:r>
      <w:r>
        <w:rPr>
          <w:rFonts w:hint="eastAsia" w:ascii="宋体" w:eastAsia="宋体"/>
          <w:b w:val="0"/>
          <w:color w:val="auto"/>
          <w:sz w:val="21"/>
          <w:szCs w:val="21"/>
          <w:highlight w:val="none"/>
        </w:rPr>
        <w:t>：</w:t>
      </w:r>
      <w:bookmarkEnd w:id="127"/>
      <w:bookmarkEnd w:id="128"/>
      <w:bookmarkEnd w:id="129"/>
      <w:bookmarkEnd w:id="130"/>
      <w:bookmarkEnd w:id="131"/>
      <w:bookmarkEnd w:id="132"/>
      <w:bookmarkEnd w:id="133"/>
      <w:bookmarkEnd w:id="134"/>
      <w:bookmarkEnd w:id="135"/>
      <w:bookmarkEnd w:id="136"/>
      <w:bookmarkEnd w:id="137"/>
      <w:r>
        <w:rPr>
          <w:rFonts w:hint="eastAsia" w:ascii="宋体" w:eastAsia="宋体"/>
          <w:b w:val="0"/>
          <w:color w:val="auto"/>
          <w:sz w:val="21"/>
          <w:szCs w:val="21"/>
          <w:highlight w:val="none"/>
        </w:rPr>
        <w:t>企业类似工程业绩</w:t>
      </w:r>
    </w:p>
    <w:p>
      <w:pPr>
        <w:rPr>
          <w:color w:val="auto"/>
          <w:highlight w:val="none"/>
        </w:rPr>
      </w:pPr>
    </w:p>
    <w:p>
      <w:pPr>
        <w:rPr>
          <w:color w:val="auto"/>
          <w:highlight w:val="none"/>
        </w:rPr>
      </w:pPr>
    </w:p>
    <w:p>
      <w:pPr>
        <w:jc w:val="center"/>
        <w:rPr>
          <w:b/>
          <w:color w:val="auto"/>
          <w:sz w:val="24"/>
          <w:szCs w:val="24"/>
          <w:highlight w:val="none"/>
        </w:rPr>
      </w:pPr>
      <w:r>
        <w:rPr>
          <w:rFonts w:hint="eastAsia"/>
          <w:b/>
          <w:color w:val="auto"/>
          <w:sz w:val="24"/>
          <w:szCs w:val="24"/>
          <w:highlight w:val="none"/>
        </w:rPr>
        <w:t>（格式自拟，后附评审标准要求的相关材料）</w:t>
      </w:r>
    </w:p>
    <w:p>
      <w:pPr>
        <w:pStyle w:val="116"/>
        <w:widowControl w:val="0"/>
        <w:spacing w:line="360" w:lineRule="exact"/>
        <w:ind w:firstLine="3161" w:firstLineChars="1450"/>
        <w:jc w:val="both"/>
        <w:rPr>
          <w:rFonts w:ascii="宋体" w:hAnsi="宋体"/>
          <w:color w:val="auto"/>
          <w:sz w:val="21"/>
          <w:szCs w:val="21"/>
          <w:highlight w:val="none"/>
        </w:rPr>
      </w:pPr>
    </w:p>
    <w:p>
      <w:pPr>
        <w:pStyle w:val="116"/>
        <w:widowControl w:val="0"/>
        <w:spacing w:line="360" w:lineRule="exact"/>
        <w:ind w:firstLine="3161" w:firstLineChars="1450"/>
        <w:jc w:val="both"/>
        <w:rPr>
          <w:rFonts w:ascii="宋体" w:hAnsi="宋体"/>
          <w:color w:val="auto"/>
          <w:sz w:val="21"/>
          <w:szCs w:val="21"/>
          <w:highlight w:val="none"/>
        </w:rPr>
      </w:pPr>
    </w:p>
    <w:p>
      <w:pPr>
        <w:rPr>
          <w:color w:val="auto"/>
          <w:highlight w:val="none"/>
        </w:rPr>
      </w:pPr>
    </w:p>
    <w:p>
      <w:pPr>
        <w:rPr>
          <w:color w:val="auto"/>
          <w:highlight w:val="none"/>
        </w:rPr>
      </w:pPr>
    </w:p>
    <w:p>
      <w:pPr>
        <w:jc w:val="left"/>
        <w:rPr>
          <w:color w:val="auto"/>
          <w:highlight w:val="none"/>
        </w:rPr>
      </w:pPr>
    </w:p>
    <w:p>
      <w:pPr>
        <w:pStyle w:val="115"/>
        <w:spacing w:before="156" w:after="156"/>
        <w:rPr>
          <w:rFonts w:ascii="宋体" w:eastAsia="宋体"/>
          <w:b w:val="0"/>
          <w:color w:val="auto"/>
          <w:sz w:val="21"/>
          <w:szCs w:val="21"/>
          <w:highlight w:val="none"/>
        </w:rPr>
      </w:pPr>
      <w:r>
        <w:rPr>
          <w:color w:val="auto"/>
          <w:highlight w:val="none"/>
        </w:rPr>
        <w:br w:type="page"/>
      </w:r>
      <w:bookmarkStart w:id="138" w:name="_Toc14618"/>
      <w:bookmarkStart w:id="139" w:name="_Toc28190"/>
      <w:bookmarkStart w:id="140" w:name="_Toc8568"/>
      <w:bookmarkStart w:id="141" w:name="_Toc7576"/>
      <w:bookmarkStart w:id="142" w:name="_Toc4586"/>
      <w:bookmarkStart w:id="143" w:name="_Toc32570"/>
      <w:bookmarkStart w:id="144" w:name="_Toc32445"/>
      <w:bookmarkStart w:id="145" w:name="_Toc27068"/>
      <w:bookmarkStart w:id="146" w:name="_Toc18410"/>
      <w:bookmarkStart w:id="147" w:name="_Toc14652"/>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8</w:t>
      </w:r>
      <w:r>
        <w:rPr>
          <w:rFonts w:hint="eastAsia" w:ascii="宋体" w:eastAsia="宋体"/>
          <w:b w:val="0"/>
          <w:color w:val="auto"/>
          <w:sz w:val="21"/>
          <w:szCs w:val="21"/>
          <w:highlight w:val="none"/>
        </w:rPr>
        <w:t>：企业相关资料</w:t>
      </w:r>
      <w:bookmarkEnd w:id="138"/>
      <w:bookmarkEnd w:id="139"/>
      <w:bookmarkEnd w:id="140"/>
      <w:bookmarkEnd w:id="141"/>
      <w:bookmarkEnd w:id="142"/>
      <w:bookmarkEnd w:id="143"/>
      <w:bookmarkEnd w:id="144"/>
      <w:bookmarkEnd w:id="145"/>
      <w:bookmarkEnd w:id="146"/>
      <w:bookmarkEnd w:id="147"/>
    </w:p>
    <w:p>
      <w:pPr>
        <w:rPr>
          <w:color w:val="auto"/>
          <w:highlight w:val="none"/>
        </w:rPr>
      </w:pPr>
    </w:p>
    <w:p>
      <w:pPr>
        <w:rPr>
          <w:color w:val="auto"/>
          <w:highlight w:val="none"/>
        </w:rPr>
      </w:pPr>
    </w:p>
    <w:p>
      <w:pPr>
        <w:pStyle w:val="120"/>
        <w:rPr>
          <w:rFonts w:ascii="宋体" w:hAnsi="宋体" w:eastAsia="宋体"/>
          <w:color w:val="auto"/>
          <w:sz w:val="24"/>
          <w:szCs w:val="24"/>
          <w:highlight w:val="none"/>
        </w:rPr>
      </w:pPr>
      <w:bookmarkStart w:id="148" w:name="_Toc14259"/>
      <w:bookmarkStart w:id="149" w:name="_Toc19870"/>
      <w:r>
        <w:rPr>
          <w:rFonts w:hint="eastAsia" w:ascii="宋体" w:hAnsi="宋体" w:eastAsia="宋体"/>
          <w:color w:val="auto"/>
          <w:sz w:val="24"/>
          <w:szCs w:val="24"/>
          <w:highlight w:val="none"/>
        </w:rPr>
        <w:t>企业相关资料</w:t>
      </w:r>
      <w:bookmarkEnd w:id="148"/>
      <w:bookmarkEnd w:id="149"/>
    </w:p>
    <w:p>
      <w:pPr>
        <w:pStyle w:val="116"/>
        <w:spacing w:after="0"/>
        <w:ind w:firstLine="436"/>
        <w:rPr>
          <w:rFonts w:ascii="宋体" w:hAnsi="宋体" w:cs="宋体"/>
          <w:color w:val="auto"/>
          <w:sz w:val="21"/>
          <w:szCs w:val="21"/>
          <w:highlight w:val="none"/>
        </w:rPr>
      </w:pPr>
      <w:r>
        <w:rPr>
          <w:rFonts w:hint="eastAsia" w:ascii="宋体" w:hAnsi="宋体" w:cs="宋体"/>
          <w:color w:val="auto"/>
          <w:sz w:val="21"/>
          <w:szCs w:val="21"/>
          <w:highlight w:val="none"/>
        </w:rPr>
        <w:t>包括如下：</w:t>
      </w:r>
    </w:p>
    <w:p>
      <w:pPr>
        <w:pStyle w:val="116"/>
        <w:spacing w:after="0"/>
        <w:ind w:firstLine="436"/>
        <w:rPr>
          <w:rFonts w:hint="eastAsia" w:ascii="宋体" w:hAnsi="宋体" w:cs="宋体"/>
          <w:color w:val="auto"/>
          <w:sz w:val="21"/>
          <w:szCs w:val="21"/>
          <w:highlight w:val="none"/>
        </w:rPr>
      </w:pPr>
      <w:bookmarkStart w:id="150" w:name="_Toc28037"/>
      <w:bookmarkStart w:id="151" w:name="_Toc8431"/>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奖项资料；</w:t>
      </w:r>
    </w:p>
    <w:p>
      <w:pPr>
        <w:pStyle w:val="116"/>
        <w:spacing w:after="0"/>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企业第三方评价资料；</w:t>
      </w:r>
      <w:bookmarkEnd w:id="150"/>
      <w:bookmarkEnd w:id="151"/>
    </w:p>
    <w:p>
      <w:pPr>
        <w:pStyle w:val="116"/>
        <w:spacing w:after="0"/>
        <w:ind w:firstLine="436"/>
        <w:rPr>
          <w:rFonts w:hint="eastAsia" w:ascii="宋体" w:hAnsi="宋体" w:cs="宋体"/>
          <w:color w:val="auto"/>
          <w:sz w:val="21"/>
          <w:szCs w:val="21"/>
          <w:highlight w:val="none"/>
        </w:rPr>
      </w:pPr>
      <w:bookmarkStart w:id="152" w:name="_Toc10009"/>
      <w:bookmarkStart w:id="153" w:name="_Toc22612"/>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其他投标人认为须提交的资料。</w:t>
      </w:r>
      <w:bookmarkEnd w:id="152"/>
      <w:bookmarkEnd w:id="153"/>
    </w:p>
    <w:p>
      <w:pPr>
        <w:pStyle w:val="116"/>
        <w:widowControl w:val="0"/>
        <w:spacing w:after="0"/>
        <w:ind w:firstLine="3161" w:firstLineChars="1450"/>
        <w:jc w:val="both"/>
        <w:rPr>
          <w:rFonts w:ascii="宋体" w:hAnsi="宋体" w:cs="宋体"/>
          <w:color w:val="auto"/>
          <w:sz w:val="21"/>
          <w:szCs w:val="21"/>
          <w:highlight w:val="none"/>
        </w:rPr>
      </w:pPr>
    </w:p>
    <w:p>
      <w:pPr>
        <w:pStyle w:val="116"/>
        <w:widowControl w:val="0"/>
        <w:spacing w:after="0"/>
        <w:ind w:firstLine="3161" w:firstLineChars="1450"/>
        <w:jc w:val="both"/>
        <w:rPr>
          <w:rFonts w:ascii="宋体" w:hAnsi="宋体" w:cs="宋体"/>
          <w:color w:val="auto"/>
          <w:sz w:val="21"/>
          <w:szCs w:val="21"/>
          <w:highlight w:val="none"/>
        </w:rPr>
      </w:pPr>
    </w:p>
    <w:p>
      <w:pPr>
        <w:rPr>
          <w:color w:val="auto"/>
          <w:sz w:val="24"/>
          <w:szCs w:val="24"/>
          <w:highlight w:val="none"/>
        </w:rPr>
      </w:pPr>
    </w:p>
    <w:p>
      <w:pPr>
        <w:pStyle w:val="19"/>
        <w:rPr>
          <w:color w:val="auto"/>
          <w:highlight w:val="none"/>
        </w:rPr>
      </w:pPr>
    </w:p>
    <w:p>
      <w:pPr>
        <w:pStyle w:val="19"/>
        <w:rPr>
          <w:color w:val="auto"/>
          <w:highlight w:val="none"/>
        </w:rPr>
      </w:pPr>
    </w:p>
    <w:p>
      <w:pPr>
        <w:rPr>
          <w:color w:val="auto"/>
          <w:szCs w:val="21"/>
          <w:highlight w:val="none"/>
        </w:rPr>
      </w:pPr>
      <w:r>
        <w:rPr>
          <w:rFonts w:hint="eastAsia"/>
          <w:color w:val="auto"/>
          <w:szCs w:val="21"/>
          <w:highlight w:val="none"/>
        </w:rPr>
        <w:br w:type="page"/>
      </w:r>
    </w:p>
    <w:p>
      <w:pPr>
        <w:pStyle w:val="116"/>
        <w:widowControl w:val="0"/>
        <w:spacing w:after="0" w:line="240" w:lineRule="auto"/>
        <w:ind w:firstLine="0" w:firstLineChars="0"/>
        <w:jc w:val="both"/>
        <w:rPr>
          <w:rStyle w:val="122"/>
          <w:color w:val="auto"/>
          <w:sz w:val="21"/>
          <w:szCs w:val="21"/>
          <w:highlight w:val="none"/>
        </w:rPr>
      </w:pPr>
      <w:bookmarkStart w:id="154" w:name="_Toc19283"/>
      <w:bookmarkStart w:id="155" w:name="_Toc14793"/>
      <w:bookmarkStart w:id="156" w:name="_Toc17691"/>
      <w:bookmarkStart w:id="157" w:name="_Toc6253"/>
      <w:bookmarkStart w:id="158" w:name="_Toc21768"/>
      <w:r>
        <w:rPr>
          <w:rStyle w:val="122"/>
          <w:rFonts w:hint="eastAsia"/>
          <w:color w:val="auto"/>
          <w:sz w:val="21"/>
          <w:szCs w:val="21"/>
          <w:highlight w:val="none"/>
        </w:rPr>
        <w:t>格式</w:t>
      </w:r>
      <w:r>
        <w:rPr>
          <w:rStyle w:val="122"/>
          <w:rFonts w:hint="eastAsia"/>
          <w:color w:val="auto"/>
          <w:sz w:val="21"/>
          <w:szCs w:val="21"/>
          <w:highlight w:val="none"/>
          <w:lang w:val="en-US" w:eastAsia="zh-CN"/>
        </w:rPr>
        <w:t>9</w:t>
      </w:r>
      <w:r>
        <w:rPr>
          <w:rStyle w:val="122"/>
          <w:rFonts w:hint="eastAsia"/>
          <w:color w:val="auto"/>
          <w:sz w:val="21"/>
          <w:szCs w:val="21"/>
          <w:highlight w:val="none"/>
        </w:rPr>
        <w:t>：参与编制技术标投标文件人员名单</w:t>
      </w:r>
      <w:bookmarkEnd w:id="154"/>
      <w:bookmarkEnd w:id="155"/>
      <w:bookmarkEnd w:id="156"/>
    </w:p>
    <w:bookmarkEnd w:id="157"/>
    <w:bookmarkEnd w:id="158"/>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159" w:name="_Toc3638"/>
      <w:bookmarkStart w:id="160" w:name="_Toc12714"/>
      <w:r>
        <w:rPr>
          <w:rFonts w:hint="eastAsia"/>
          <w:color w:val="auto"/>
          <w:sz w:val="24"/>
          <w:szCs w:val="24"/>
          <w:highlight w:val="none"/>
        </w:rPr>
        <w:t>参与编制技术标投标文件人员名单</w:t>
      </w:r>
      <w:bookmarkEnd w:id="159"/>
      <w:bookmarkEnd w:id="160"/>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pStyle w:val="3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注：参与编制投标文件所有人员名单应包括如编制技术投标方案、负责清样校对、负责打印及复印等所有人员在内的人员名单。</w:t>
      </w:r>
      <w:r>
        <w:rPr>
          <w:color w:val="auto"/>
          <w:szCs w:val="21"/>
          <w:highlight w:val="none"/>
        </w:rPr>
        <w:br w:type="page"/>
      </w:r>
    </w:p>
    <w:p>
      <w:pPr>
        <w:tabs>
          <w:tab w:val="left" w:pos="720"/>
        </w:tabs>
        <w:snapToGrid w:val="0"/>
        <w:spacing w:line="360" w:lineRule="exact"/>
        <w:rPr>
          <w:color w:val="auto"/>
          <w:szCs w:val="21"/>
          <w:highlight w:val="none"/>
        </w:rPr>
      </w:pPr>
    </w:p>
    <w:p>
      <w:pPr>
        <w:pStyle w:val="116"/>
        <w:ind w:firstLine="198" w:firstLineChars="80"/>
        <w:rPr>
          <w:color w:val="auto"/>
          <w:szCs w:val="21"/>
          <w:highlight w:val="none"/>
        </w:rPr>
      </w:pPr>
    </w:p>
    <w:p>
      <w:pPr>
        <w:tabs>
          <w:tab w:val="left" w:pos="720"/>
        </w:tabs>
        <w:snapToGrid w:val="0"/>
        <w:spacing w:line="360" w:lineRule="auto"/>
        <w:ind w:firstLine="420"/>
        <w:rPr>
          <w:color w:val="auto"/>
          <w:szCs w:val="21"/>
          <w:highlight w:val="none"/>
        </w:rPr>
      </w:pPr>
    </w:p>
    <w:p>
      <w:pPr>
        <w:pStyle w:val="114"/>
        <w:spacing w:beforeLines="0" w:afterLines="0" w:line="360" w:lineRule="auto"/>
        <w:outlineLvl w:val="0"/>
        <w:rPr>
          <w:rFonts w:ascii="宋体" w:hAnsi="宋体" w:eastAsia="宋体"/>
          <w:color w:val="auto"/>
          <w:sz w:val="24"/>
          <w:szCs w:val="24"/>
          <w:highlight w:val="none"/>
        </w:rPr>
      </w:pPr>
      <w:bookmarkStart w:id="161" w:name="_Toc16389"/>
      <w:bookmarkStart w:id="162" w:name="_Toc16853"/>
      <w:bookmarkStart w:id="163" w:name="_Toc532475801"/>
      <w:bookmarkStart w:id="164" w:name="_Toc2772"/>
      <w:bookmarkStart w:id="165" w:name="_Toc17478"/>
      <w:bookmarkStart w:id="166" w:name="_Toc27948"/>
      <w:bookmarkStart w:id="167" w:name="_Toc18544"/>
      <w:bookmarkStart w:id="168" w:name="_Toc532475368"/>
      <w:bookmarkStart w:id="169" w:name="_Toc6235"/>
      <w:bookmarkStart w:id="170" w:name="_Toc510963900"/>
      <w:bookmarkStart w:id="171" w:name="_Toc26576"/>
      <w:bookmarkStart w:id="172" w:name="_Toc7408"/>
      <w:bookmarkStart w:id="173" w:name="_Toc2071"/>
      <w:bookmarkStart w:id="174" w:name="_Toc19004595"/>
      <w:r>
        <w:rPr>
          <w:rFonts w:hint="eastAsia" w:ascii="宋体" w:hAnsi="宋体" w:eastAsia="宋体"/>
          <w:color w:val="auto"/>
          <w:sz w:val="24"/>
          <w:szCs w:val="24"/>
          <w:highlight w:val="none"/>
        </w:rPr>
        <w:t>二、经济标投标文件格式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116"/>
        <w:ind w:firstLine="496"/>
        <w:rPr>
          <w:color w:val="auto"/>
          <w:highlight w:val="none"/>
        </w:rPr>
      </w:pPr>
    </w:p>
    <w:p>
      <w:pPr>
        <w:pStyle w:val="35"/>
        <w:spacing w:after="0" w:line="360" w:lineRule="auto"/>
        <w:ind w:left="-2" w:leftChars="-1" w:firstLine="367" w:firstLineChars="175"/>
        <w:jc w:val="center"/>
        <w:rPr>
          <w:color w:val="auto"/>
          <w:sz w:val="24"/>
          <w:szCs w:val="24"/>
          <w:highlight w:val="none"/>
        </w:rPr>
      </w:pPr>
      <w:r>
        <w:rPr>
          <w:color w:val="auto"/>
          <w:szCs w:val="21"/>
          <w:highlight w:val="none"/>
        </w:rPr>
        <w:br w:type="page"/>
      </w:r>
    </w:p>
    <w:p>
      <w:pPr>
        <w:pStyle w:val="115"/>
        <w:spacing w:beforeLines="0" w:afterLines="0" w:line="360" w:lineRule="auto"/>
        <w:rPr>
          <w:rFonts w:ascii="宋体" w:eastAsia="宋体"/>
          <w:b w:val="0"/>
          <w:color w:val="auto"/>
          <w:sz w:val="21"/>
          <w:szCs w:val="21"/>
          <w:highlight w:val="none"/>
        </w:rPr>
      </w:pPr>
      <w:bookmarkStart w:id="175" w:name="_Toc26968"/>
      <w:bookmarkStart w:id="176" w:name="_Toc10761"/>
      <w:bookmarkStart w:id="177" w:name="_Toc510963901"/>
      <w:bookmarkStart w:id="178" w:name="_Toc14877"/>
      <w:bookmarkStart w:id="179" w:name="_Toc19004596"/>
      <w:bookmarkStart w:id="180" w:name="_Toc532475802"/>
      <w:bookmarkStart w:id="181" w:name="_Toc532475369"/>
      <w:bookmarkStart w:id="182" w:name="_Toc21586"/>
      <w:bookmarkStart w:id="183" w:name="_Toc31385"/>
      <w:bookmarkStart w:id="184" w:name="_Toc3296"/>
      <w:bookmarkStart w:id="185" w:name="_Toc15455"/>
      <w:r>
        <w:rPr>
          <w:rFonts w:hint="eastAsia" w:ascii="宋体" w:eastAsia="宋体"/>
          <w:b w:val="0"/>
          <w:color w:val="auto"/>
          <w:sz w:val="21"/>
          <w:szCs w:val="21"/>
          <w:highlight w:val="none"/>
        </w:rPr>
        <w:t>格式1：经济标封面</w:t>
      </w:r>
      <w:bookmarkEnd w:id="175"/>
      <w:bookmarkEnd w:id="176"/>
      <w:bookmarkEnd w:id="177"/>
      <w:bookmarkEnd w:id="178"/>
      <w:bookmarkEnd w:id="179"/>
      <w:bookmarkEnd w:id="180"/>
      <w:bookmarkEnd w:id="181"/>
      <w:bookmarkEnd w:id="182"/>
      <w:bookmarkEnd w:id="183"/>
      <w:bookmarkEnd w:id="184"/>
      <w:bookmarkEnd w:id="185"/>
    </w:p>
    <w:p>
      <w:pPr>
        <w:pStyle w:val="116"/>
        <w:ind w:firstLine="496"/>
        <w:rPr>
          <w:rFonts w:ascii="宋体" w:hAnsi="宋体"/>
          <w:color w:val="auto"/>
          <w:highlight w:val="none"/>
        </w:rPr>
      </w:pPr>
    </w:p>
    <w:p>
      <w:pPr>
        <w:pStyle w:val="117"/>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8"/>
        <w:rPr>
          <w:rFonts w:ascii="宋体" w:hAnsi="宋体" w:eastAsia="宋体"/>
          <w:b w:val="0"/>
          <w:color w:val="auto"/>
          <w:highlight w:val="none"/>
        </w:rPr>
      </w:pPr>
      <w:r>
        <w:rPr>
          <w:rFonts w:hint="eastAsia" w:ascii="宋体" w:hAnsi="宋体" w:eastAsia="宋体"/>
          <w:b w:val="0"/>
          <w:color w:val="auto"/>
          <w:highlight w:val="none"/>
        </w:rPr>
        <w:t>投标文件</w:t>
      </w:r>
    </w:p>
    <w:p>
      <w:pPr>
        <w:pStyle w:val="117"/>
        <w:rPr>
          <w:rFonts w:ascii="宋体" w:hAnsi="宋体" w:eastAsia="宋体"/>
          <w:b w:val="0"/>
          <w:color w:val="auto"/>
          <w:highlight w:val="none"/>
        </w:rPr>
      </w:pPr>
      <w:r>
        <w:rPr>
          <w:rFonts w:hint="eastAsia" w:ascii="宋体" w:hAnsi="宋体" w:eastAsia="宋体"/>
          <w:b w:val="0"/>
          <w:color w:val="auto"/>
          <w:highlight w:val="none"/>
        </w:rPr>
        <w:t>经济投标文件</w:t>
      </w:r>
    </w:p>
    <w:p>
      <w:pPr>
        <w:pStyle w:val="116"/>
        <w:ind w:firstLine="496"/>
        <w:rPr>
          <w:rFonts w:ascii="宋体" w:hAnsi="宋体"/>
          <w:color w:val="auto"/>
          <w:highlight w:val="none"/>
        </w:rPr>
      </w:pPr>
      <w:r>
        <w:rPr>
          <w:rFonts w:hint="eastAsia" w:ascii="宋体" w:hAnsi="宋体"/>
          <w:color w:val="auto"/>
          <w:highlight w:val="none"/>
        </w:rPr>
        <w:t xml:space="preserve">   </w:t>
      </w:r>
    </w:p>
    <w:p>
      <w:pPr>
        <w:pStyle w:val="116"/>
        <w:ind w:firstLine="496"/>
        <w:rPr>
          <w:rFonts w:ascii="宋体" w:hAnsi="宋体"/>
          <w:color w:val="auto"/>
          <w:highlight w:val="none"/>
        </w:rPr>
      </w:pPr>
    </w:p>
    <w:p>
      <w:pPr>
        <w:pStyle w:val="116"/>
        <w:ind w:firstLine="49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（盖章）</w:t>
      </w:r>
    </w:p>
    <w:p>
      <w:pPr>
        <w:pStyle w:val="119"/>
        <w:ind w:firstLine="616"/>
        <w:rPr>
          <w:rFonts w:ascii="宋体" w:hAnsi="宋体"/>
          <w:color w:val="auto"/>
          <w:highlight w:val="none"/>
        </w:rPr>
      </w:pPr>
    </w:p>
    <w:p>
      <w:pPr>
        <w:pStyle w:val="119"/>
        <w:ind w:firstLine="616"/>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（签字或盖章）</w:t>
      </w:r>
    </w:p>
    <w:p>
      <w:pPr>
        <w:pStyle w:val="119"/>
        <w:ind w:firstLine="616"/>
        <w:rPr>
          <w:rFonts w:ascii="宋体" w:hAnsi="宋体"/>
          <w:color w:val="auto"/>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ascii="宋体" w:hAnsi="宋体"/>
          <w:color w:val="auto"/>
          <w:highlight w:val="none"/>
        </w:rPr>
        <w:t xml:space="preserve"> </w:t>
      </w:r>
    </w:p>
    <w:p>
      <w:pPr>
        <w:rPr>
          <w:color w:val="auto"/>
          <w:szCs w:val="21"/>
          <w:highlight w:val="none"/>
        </w:rPr>
      </w:pPr>
      <w:bookmarkStart w:id="186" w:name="_Toc19004597"/>
      <w:r>
        <w:rPr>
          <w:color w:val="auto"/>
          <w:szCs w:val="21"/>
          <w:highlight w:val="none"/>
        </w:rPr>
        <w:br w:type="page"/>
      </w:r>
      <w:bookmarkEnd w:id="186"/>
    </w:p>
    <w:p>
      <w:pPr>
        <w:pStyle w:val="115"/>
        <w:spacing w:beforeLines="0" w:afterLines="0" w:line="360" w:lineRule="auto"/>
        <w:rPr>
          <w:rFonts w:ascii="宋体" w:eastAsia="宋体"/>
          <w:b w:val="0"/>
          <w:color w:val="auto"/>
          <w:sz w:val="21"/>
          <w:szCs w:val="21"/>
          <w:highlight w:val="none"/>
        </w:rPr>
      </w:pPr>
      <w:bookmarkStart w:id="187" w:name="_Toc22325"/>
      <w:bookmarkStart w:id="188" w:name="_Toc13349"/>
      <w:bookmarkStart w:id="189" w:name="_Toc31510"/>
      <w:bookmarkStart w:id="190" w:name="_Toc18842"/>
      <w:bookmarkStart w:id="191" w:name="_Toc2727"/>
      <w:bookmarkStart w:id="192" w:name="_Toc4903"/>
      <w:bookmarkStart w:id="193" w:name="_Toc17834"/>
      <w:bookmarkStart w:id="194" w:name="_Toc26047"/>
      <w:bookmarkStart w:id="195" w:name="_Toc20854"/>
      <w:r>
        <w:rPr>
          <w:rFonts w:hint="eastAsia" w:ascii="宋体" w:eastAsia="宋体"/>
          <w:b w:val="0"/>
          <w:color w:val="auto"/>
          <w:sz w:val="21"/>
          <w:szCs w:val="21"/>
          <w:highlight w:val="none"/>
        </w:rPr>
        <w:t>格式2：工程量清单计价表</w:t>
      </w:r>
      <w:bookmarkEnd w:id="187"/>
      <w:bookmarkEnd w:id="188"/>
      <w:bookmarkEnd w:id="189"/>
      <w:bookmarkEnd w:id="190"/>
      <w:bookmarkEnd w:id="191"/>
      <w:bookmarkEnd w:id="192"/>
      <w:bookmarkEnd w:id="193"/>
      <w:bookmarkEnd w:id="194"/>
      <w:bookmarkEnd w:id="195"/>
    </w:p>
    <w:p>
      <w:pPr>
        <w:pStyle w:val="116"/>
        <w:ind w:firstLine="498"/>
        <w:rPr>
          <w:rFonts w:ascii="宋体" w:hAnsi="宋体"/>
          <w:b/>
          <w:color w:val="auto"/>
          <w:highlight w:val="none"/>
        </w:rPr>
      </w:pPr>
    </w:p>
    <w:p>
      <w:pPr>
        <w:pStyle w:val="120"/>
        <w:ind w:firstLine="617"/>
        <w:rPr>
          <w:rFonts w:ascii="宋体" w:hAnsi="宋体" w:eastAsia="宋体"/>
          <w:color w:val="auto"/>
          <w:highlight w:val="none"/>
        </w:rPr>
      </w:pPr>
      <w:bookmarkStart w:id="196" w:name="_Toc4382"/>
      <w:bookmarkStart w:id="197" w:name="_Toc461"/>
      <w:r>
        <w:rPr>
          <w:rFonts w:hint="eastAsia" w:ascii="宋体" w:hAnsi="宋体" w:eastAsia="宋体"/>
          <w:color w:val="auto"/>
          <w:highlight w:val="none"/>
        </w:rPr>
        <w:t>工程量清单计价表</w:t>
      </w:r>
      <w:bookmarkEnd w:id="196"/>
      <w:bookmarkEnd w:id="197"/>
    </w:p>
    <w:p>
      <w:pPr>
        <w:pStyle w:val="116"/>
        <w:ind w:firstLine="498"/>
        <w:rPr>
          <w:rFonts w:ascii="宋体" w:hAnsi="宋体"/>
          <w:b/>
          <w:color w:val="auto"/>
          <w:highlight w:val="none"/>
        </w:rPr>
      </w:pPr>
    </w:p>
    <w:p>
      <w:pPr>
        <w:pStyle w:val="116"/>
        <w:ind w:firstLine="496"/>
        <w:jc w:val="center"/>
        <w:rPr>
          <w:rFonts w:ascii="宋体" w:hAnsi="宋体"/>
          <w:bCs/>
          <w:color w:val="auto"/>
          <w:highlight w:val="none"/>
        </w:rPr>
      </w:pPr>
      <w:bookmarkStart w:id="198" w:name="_Toc20526"/>
      <w:bookmarkStart w:id="199" w:name="_Toc334"/>
      <w:r>
        <w:rPr>
          <w:rFonts w:hint="eastAsia" w:ascii="宋体" w:hAnsi="宋体"/>
          <w:bCs/>
          <w:color w:val="auto"/>
          <w:highlight w:val="none"/>
        </w:rPr>
        <w:t>本部分内容详见招标文件第七章工程量清单。</w:t>
      </w:r>
      <w:bookmarkEnd w:id="198"/>
      <w:bookmarkEnd w:id="199"/>
    </w:p>
    <w:p>
      <w:pPr>
        <w:tabs>
          <w:tab w:val="left" w:pos="720"/>
        </w:tabs>
        <w:snapToGrid w:val="0"/>
        <w:spacing w:line="360" w:lineRule="exact"/>
        <w:rPr>
          <w:color w:val="auto"/>
          <w:szCs w:val="21"/>
          <w:highlight w:val="none"/>
        </w:rPr>
      </w:pPr>
    </w:p>
    <w:p>
      <w:pPr>
        <w:rPr>
          <w:color w:val="auto"/>
          <w:highlight w:val="none"/>
        </w:rPr>
      </w:pPr>
      <w:r>
        <w:rPr>
          <w:rFonts w:hint="eastAsia"/>
          <w:color w:val="auto"/>
          <w:szCs w:val="21"/>
          <w:highlight w:val="none"/>
        </w:rPr>
        <w:br w:type="page"/>
      </w:r>
    </w:p>
    <w:p>
      <w:pPr>
        <w:pStyle w:val="115"/>
        <w:spacing w:beforeLines="0" w:afterLines="0" w:line="360" w:lineRule="auto"/>
        <w:rPr>
          <w:rFonts w:ascii="宋体" w:eastAsia="宋体"/>
          <w:b w:val="0"/>
          <w:color w:val="auto"/>
          <w:sz w:val="21"/>
          <w:szCs w:val="21"/>
          <w:highlight w:val="none"/>
        </w:rPr>
      </w:pPr>
      <w:bookmarkStart w:id="200" w:name="_Toc27427"/>
      <w:bookmarkStart w:id="201" w:name="_Toc30966"/>
      <w:bookmarkStart w:id="202" w:name="_Toc19301"/>
      <w:bookmarkStart w:id="203" w:name="_Toc14173"/>
      <w:bookmarkStart w:id="204" w:name="_Toc17335"/>
      <w:bookmarkStart w:id="205" w:name="_Toc13065"/>
      <w:bookmarkStart w:id="206" w:name="_Toc4888"/>
      <w:bookmarkStart w:id="207" w:name="_Toc4184"/>
      <w:bookmarkStart w:id="208" w:name="_Toc165"/>
      <w:r>
        <w:rPr>
          <w:rFonts w:hint="eastAsia" w:ascii="宋体" w:eastAsia="宋体"/>
          <w:b w:val="0"/>
          <w:color w:val="auto"/>
          <w:sz w:val="21"/>
          <w:szCs w:val="21"/>
          <w:highlight w:val="none"/>
        </w:rPr>
        <w:t>格式3：参与编制经济标投标文件人员名单</w:t>
      </w:r>
      <w:bookmarkEnd w:id="200"/>
      <w:bookmarkEnd w:id="201"/>
      <w:bookmarkEnd w:id="202"/>
      <w:bookmarkEnd w:id="203"/>
      <w:bookmarkEnd w:id="204"/>
      <w:bookmarkEnd w:id="205"/>
      <w:bookmarkEnd w:id="206"/>
      <w:bookmarkEnd w:id="207"/>
      <w:bookmarkEnd w:id="208"/>
    </w:p>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209" w:name="_Toc31935"/>
      <w:bookmarkStart w:id="210" w:name="_Toc8234"/>
      <w:r>
        <w:rPr>
          <w:rFonts w:hint="eastAsia"/>
          <w:color w:val="auto"/>
          <w:sz w:val="24"/>
          <w:szCs w:val="24"/>
          <w:highlight w:val="none"/>
        </w:rPr>
        <w:t>参与编制经济标投标文件人员名单</w:t>
      </w:r>
      <w:bookmarkEnd w:id="209"/>
      <w:bookmarkEnd w:id="210"/>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tabs>
          <w:tab w:val="left" w:pos="720"/>
        </w:tabs>
        <w:snapToGrid w:val="0"/>
        <w:spacing w:line="360" w:lineRule="exact"/>
        <w:rPr>
          <w:color w:val="auto"/>
          <w:szCs w:val="21"/>
          <w:highlight w:val="none"/>
        </w:rPr>
      </w:pPr>
    </w:p>
    <w:p>
      <w:pPr>
        <w:pStyle w:val="35"/>
        <w:spacing w:after="0" w:line="360" w:lineRule="exact"/>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pStyle w:val="35"/>
        <w:spacing w:after="0" w:line="360" w:lineRule="exact"/>
        <w:ind w:left="-2" w:leftChars="-1" w:firstLine="367" w:firstLineChars="175"/>
        <w:jc w:val="center"/>
        <w:rPr>
          <w:color w:val="auto"/>
          <w:szCs w:val="21"/>
          <w:highlight w:val="none"/>
        </w:rPr>
      </w:pPr>
    </w:p>
    <w:p>
      <w:pPr>
        <w:autoSpaceDE w:val="0"/>
        <w:autoSpaceDN w:val="0"/>
        <w:adjustRightInd w:val="0"/>
        <w:rPr>
          <w:rStyle w:val="122"/>
          <w:color w:val="auto"/>
          <w:sz w:val="21"/>
          <w:szCs w:val="21"/>
          <w:highlight w:val="none"/>
        </w:rPr>
      </w:pPr>
      <w:r>
        <w:rPr>
          <w:rFonts w:hint="eastAsia"/>
          <w:color w:val="auto"/>
          <w:szCs w:val="21"/>
          <w:highlight w:val="none"/>
        </w:rPr>
        <w:br w:type="page"/>
      </w:r>
      <w:bookmarkStart w:id="211" w:name="_Toc2761"/>
      <w:bookmarkStart w:id="212" w:name="_Toc23327"/>
      <w:bookmarkStart w:id="213" w:name="_Toc23283"/>
      <w:bookmarkStart w:id="214" w:name="_Toc9105"/>
      <w:r>
        <w:rPr>
          <w:rStyle w:val="122"/>
          <w:rFonts w:hint="eastAsia"/>
          <w:color w:val="auto"/>
          <w:sz w:val="21"/>
          <w:szCs w:val="21"/>
          <w:highlight w:val="none"/>
        </w:rPr>
        <w:t>格式4：对投标文件编制的承诺</w:t>
      </w:r>
      <w:bookmarkEnd w:id="211"/>
      <w:bookmarkEnd w:id="212"/>
    </w:p>
    <w:bookmarkEnd w:id="213"/>
    <w:bookmarkEnd w:id="214"/>
    <w:p>
      <w:pPr>
        <w:autoSpaceDE w:val="0"/>
        <w:autoSpaceDN w:val="0"/>
        <w:adjustRightInd w:val="0"/>
        <w:rPr>
          <w:color w:val="auto"/>
          <w:szCs w:val="21"/>
          <w:highlight w:val="none"/>
        </w:rPr>
      </w:pPr>
    </w:p>
    <w:p>
      <w:pPr>
        <w:pStyle w:val="35"/>
        <w:spacing w:after="0" w:line="360" w:lineRule="auto"/>
        <w:ind w:firstLine="0"/>
        <w:jc w:val="center"/>
        <w:rPr>
          <w:color w:val="auto"/>
          <w:sz w:val="24"/>
          <w:szCs w:val="24"/>
          <w:highlight w:val="none"/>
        </w:rPr>
      </w:pPr>
      <w:r>
        <w:rPr>
          <w:rFonts w:hint="eastAsia"/>
          <w:b/>
          <w:color w:val="auto"/>
          <w:sz w:val="24"/>
          <w:szCs w:val="24"/>
          <w:highlight w:val="none"/>
        </w:rPr>
        <w:t>对投标文件编制的承诺</w:t>
      </w:r>
    </w:p>
    <w:p>
      <w:pPr>
        <w:pStyle w:val="35"/>
        <w:spacing w:after="0" w:line="360" w:lineRule="auto"/>
        <w:ind w:left="-2" w:leftChars="-1" w:firstLine="540" w:firstLineChars="225"/>
        <w:rPr>
          <w:rFonts w:ascii="宋体" w:hAnsi="宋体"/>
          <w:color w:val="auto"/>
          <w:sz w:val="24"/>
          <w:szCs w:val="24"/>
          <w:highlight w:val="none"/>
        </w:rPr>
      </w:pP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本公司授权</w:t>
      </w:r>
      <w:r>
        <w:rPr>
          <w:rFonts w:hint="eastAsia" w:ascii="宋体" w:hAnsi="宋体"/>
          <w:color w:val="auto"/>
          <w:szCs w:val="21"/>
          <w:highlight w:val="none"/>
          <w:u w:val="single"/>
        </w:rPr>
        <w:t xml:space="preserve">         （身份证号：               ）</w:t>
      </w:r>
      <w:r>
        <w:rPr>
          <w:rFonts w:hint="eastAsia" w:ascii="宋体" w:hAnsi="宋体"/>
          <w:color w:val="auto"/>
          <w:szCs w:val="21"/>
          <w:highlight w:val="none"/>
        </w:rPr>
        <w:t>负责对投标文件的编制及内容进行解释、说明，并承诺以下事项：</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1.被授权人清楚投标文件编制的具体情况，包括技术方案文件、工程量清单、以及投标文件的加密打包的理解；</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2.在本项目开标至评标结束前，努力确保被授权人在项目评标所在地附近；</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3.从评标委员会要求澄清起二小时内，被授权人应如实地书面澄清。</w:t>
      </w:r>
    </w:p>
    <w:p>
      <w:pPr>
        <w:pStyle w:val="35"/>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 xml:space="preserve">如由于未遵守上述承诺内容之一导致无法进行澄清的，我公司认可和接受评标委员会作出的评审结论。                                 </w:t>
      </w:r>
    </w:p>
    <w:p>
      <w:pPr>
        <w:pStyle w:val="35"/>
        <w:spacing w:after="0"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pPr>
        <w:pStyle w:val="35"/>
        <w:spacing w:after="0" w:line="400" w:lineRule="exact"/>
        <w:ind w:firstLineChars="200"/>
        <w:rPr>
          <w:rFonts w:ascii="宋体" w:hAnsi="宋体"/>
          <w:color w:val="auto"/>
          <w:szCs w:val="21"/>
          <w:highlight w:val="none"/>
        </w:rPr>
      </w:pPr>
      <w:r>
        <w:rPr>
          <w:rFonts w:hint="eastAsia" w:ascii="宋体" w:hAnsi="宋体"/>
          <w:color w:val="auto"/>
          <w:szCs w:val="21"/>
          <w:highlight w:val="none"/>
        </w:rPr>
        <w:t>附件：《投标文件编制情况》</w:t>
      </w:r>
    </w:p>
    <w:p>
      <w:pPr>
        <w:spacing w:line="400" w:lineRule="exact"/>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400" w:lineRule="exact"/>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400" w:lineRule="exact"/>
        <w:ind w:firstLine="3885" w:firstLineChars="1850"/>
        <w:jc w:val="center"/>
        <w:rPr>
          <w:color w:val="auto"/>
          <w:szCs w:val="21"/>
          <w:highlight w:val="none"/>
        </w:rPr>
      </w:pPr>
      <w:r>
        <w:rPr>
          <w:rFonts w:hint="eastAsia"/>
          <w:color w:val="auto"/>
          <w:szCs w:val="21"/>
          <w:highlight w:val="none"/>
        </w:rPr>
        <w:t xml:space="preserve"> 日期：      年   月   日      </w:t>
      </w:r>
    </w:p>
    <w:p>
      <w:pPr>
        <w:pStyle w:val="35"/>
        <w:spacing w:after="0" w:line="360" w:lineRule="auto"/>
        <w:ind w:firstLine="0"/>
        <w:rPr>
          <w:b/>
          <w:color w:val="auto"/>
          <w:sz w:val="32"/>
          <w:szCs w:val="32"/>
          <w:highlight w:val="none"/>
        </w:rPr>
      </w:pPr>
    </w:p>
    <w:p>
      <w:pPr>
        <w:pStyle w:val="35"/>
        <w:spacing w:after="0" w:line="360" w:lineRule="auto"/>
        <w:ind w:firstLine="482" w:firstLineChars="200"/>
        <w:jc w:val="center"/>
        <w:rPr>
          <w:color w:val="auto"/>
          <w:sz w:val="24"/>
          <w:szCs w:val="24"/>
          <w:highlight w:val="none"/>
        </w:rPr>
      </w:pPr>
      <w:r>
        <w:rPr>
          <w:rFonts w:hint="eastAsia"/>
          <w:b/>
          <w:color w:val="auto"/>
          <w:sz w:val="24"/>
          <w:szCs w:val="24"/>
          <w:highlight w:val="none"/>
        </w:rPr>
        <w:t>投标文件编制情况</w:t>
      </w:r>
    </w:p>
    <w:p>
      <w:pPr>
        <w:pStyle w:val="35"/>
        <w:spacing w:after="0" w:line="400" w:lineRule="exact"/>
        <w:ind w:firstLineChars="200"/>
        <w:rPr>
          <w:rFonts w:ascii="宋体" w:hAnsi="宋体"/>
          <w:color w:val="auto"/>
          <w:szCs w:val="21"/>
          <w:highlight w:val="none"/>
          <w:u w:val="single"/>
        </w:rPr>
      </w:pPr>
      <w:r>
        <w:rPr>
          <w:rFonts w:hint="eastAsia" w:ascii="宋体" w:hAnsi="宋体"/>
          <w:color w:val="auto"/>
          <w:szCs w:val="21"/>
          <w:highlight w:val="none"/>
        </w:rPr>
        <w:t>1.投标文件报价编制方式: □自行编制的，编制的负责人：</w:t>
      </w:r>
      <w:r>
        <w:rPr>
          <w:rFonts w:hint="eastAsia" w:ascii="宋体" w:hAnsi="宋体"/>
          <w:color w:val="auto"/>
          <w:szCs w:val="21"/>
          <w:highlight w:val="none"/>
          <w:u w:val="single"/>
        </w:rPr>
        <w:t xml:space="preserve"> （盖造价工程师执业专用章或全国建设工程造价员章，执业单位应与投标人一致） </w:t>
      </w:r>
      <w:r>
        <w:rPr>
          <w:rFonts w:hint="eastAsia" w:ascii="宋体" w:hAnsi="宋体"/>
          <w:color w:val="auto"/>
          <w:szCs w:val="21"/>
          <w:highlight w:val="none"/>
        </w:rPr>
        <w:t>。□委托编制的，受委托单位</w:t>
      </w:r>
      <w:r>
        <w:rPr>
          <w:rFonts w:hint="eastAsia" w:ascii="宋体" w:hAnsi="宋体"/>
          <w:color w:val="auto"/>
          <w:szCs w:val="21"/>
          <w:highlight w:val="none"/>
          <w:u w:val="single"/>
        </w:rPr>
        <w:t xml:space="preserve">                    </w:t>
      </w:r>
      <w:r>
        <w:rPr>
          <w:rFonts w:hint="eastAsia" w:ascii="宋体" w:hAnsi="宋体"/>
          <w:color w:val="auto"/>
          <w:szCs w:val="21"/>
          <w:highlight w:val="none"/>
        </w:rPr>
        <w:t>，编制的负责人：</w:t>
      </w:r>
      <w:r>
        <w:rPr>
          <w:rFonts w:hint="eastAsia" w:ascii="宋体" w:hAnsi="宋体"/>
          <w:color w:val="auto"/>
          <w:szCs w:val="21"/>
          <w:highlight w:val="none"/>
          <w:u w:val="single"/>
        </w:rPr>
        <w:t xml:space="preserve"> （盖造价工程师执业专用章或全国建设工程造价员章，执业单位应与受委托单位一致） </w:t>
      </w:r>
      <w:r>
        <w:rPr>
          <w:rFonts w:hint="eastAsia" w:ascii="宋体" w:hAnsi="宋体"/>
          <w:color w:val="auto"/>
          <w:szCs w:val="21"/>
          <w:highlight w:val="none"/>
        </w:rPr>
        <w:t>。</w:t>
      </w:r>
    </w:p>
    <w:p>
      <w:pPr>
        <w:pStyle w:val="35"/>
        <w:spacing w:after="0" w:line="400" w:lineRule="exact"/>
        <w:ind w:firstLineChars="200"/>
        <w:rPr>
          <w:rFonts w:ascii="宋体" w:hAnsi="宋体"/>
          <w:color w:val="auto"/>
          <w:szCs w:val="21"/>
          <w:highlight w:val="none"/>
        </w:rPr>
      </w:pPr>
      <w:r>
        <w:rPr>
          <w:rFonts w:hint="eastAsia" w:ascii="宋体" w:hAnsi="宋体"/>
          <w:color w:val="auto"/>
          <w:szCs w:val="21"/>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投标文件加密打包的电脑     自有    □      外包    □     其他    □</w:t>
            </w:r>
          </w:p>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电脑类型</w:t>
            </w:r>
          </w:p>
          <w:p>
            <w:pPr>
              <w:pStyle w:val="35"/>
              <w:spacing w:after="0" w:line="360" w:lineRule="auto"/>
              <w:ind w:firstLine="0"/>
              <w:rPr>
                <w:rFonts w:ascii="宋体" w:hAnsi="宋体"/>
                <w:color w:val="auto"/>
                <w:szCs w:val="21"/>
                <w:highlight w:val="none"/>
              </w:rPr>
            </w:pPr>
            <w:r>
              <w:rPr>
                <w:rFonts w:hint="eastAsia" w:ascii="宋体" w:hAnsi="宋体"/>
                <w:color w:val="auto"/>
                <w:szCs w:val="21"/>
                <w:highlight w:val="none"/>
              </w:rPr>
              <w:t>电脑所属单位</w:t>
            </w:r>
          </w:p>
          <w:p>
            <w:pPr>
              <w:pStyle w:val="35"/>
              <w:spacing w:after="0" w:line="360" w:lineRule="auto"/>
              <w:ind w:firstLine="0"/>
              <w:rPr>
                <w:rFonts w:ascii="宋体" w:hAnsi="宋体"/>
                <w:color w:val="auto"/>
                <w:sz w:val="24"/>
                <w:szCs w:val="24"/>
                <w:highlight w:val="none"/>
              </w:rPr>
            </w:pPr>
            <w:r>
              <w:rPr>
                <w:rFonts w:hint="eastAsia" w:ascii="宋体" w:hAnsi="宋体"/>
                <w:color w:val="auto"/>
                <w:szCs w:val="21"/>
                <w:highlight w:val="none"/>
              </w:rPr>
              <w:t>电脑所在地址        （如××市××区(县) ××街（路）××号××大厦××房）</w:t>
            </w:r>
          </w:p>
        </w:tc>
      </w:tr>
    </w:tbl>
    <w:p>
      <w:pPr>
        <w:spacing w:line="360" w:lineRule="auto"/>
        <w:rPr>
          <w:rFonts w:ascii="宋体" w:hAnsi="宋体"/>
          <w:color w:val="auto"/>
          <w:sz w:val="24"/>
          <w:szCs w:val="24"/>
          <w:highlight w:val="none"/>
        </w:rPr>
      </w:pPr>
    </w:p>
    <w:p>
      <w:pPr>
        <w:rPr>
          <w:color w:val="auto"/>
          <w:highlight w:val="none"/>
        </w:rPr>
        <w:sectPr>
          <w:pgSz w:w="11906" w:h="16838"/>
          <w:pgMar w:top="1440" w:right="1800" w:bottom="1440" w:left="1800" w:header="851" w:footer="992" w:gutter="0"/>
          <w:cols w:space="425" w:num="1"/>
          <w:docGrid w:type="lines" w:linePitch="312" w:charSpace="0"/>
        </w:sectPr>
      </w:pPr>
    </w:p>
    <w:p>
      <w:pPr>
        <w:pStyle w:val="4"/>
        <w:jc w:val="center"/>
        <w:rPr>
          <w:rFonts w:hint="eastAsia"/>
          <w:b/>
          <w:bCs/>
          <w:color w:val="auto"/>
          <w:highlight w:val="none"/>
        </w:rPr>
      </w:pPr>
      <w:bookmarkStart w:id="215" w:name="_Toc10071"/>
      <w:bookmarkStart w:id="216" w:name="_Toc15800"/>
      <w:bookmarkStart w:id="217" w:name="_Toc276"/>
      <w:bookmarkStart w:id="218" w:name="_Toc19955"/>
      <w:bookmarkStart w:id="219" w:name="_Toc29147"/>
      <w:bookmarkStart w:id="220" w:name="_Toc62134868"/>
      <w:bookmarkStart w:id="221" w:name="_Toc19178"/>
      <w:bookmarkStart w:id="222" w:name="_Toc3170"/>
      <w:bookmarkStart w:id="223" w:name="_Toc2272569"/>
      <w:r>
        <w:rPr>
          <w:rFonts w:hint="eastAsia"/>
          <w:b/>
          <w:bCs/>
          <w:color w:val="auto"/>
          <w:highlight w:val="none"/>
        </w:rPr>
        <w:t>第五章  技术条件（工程建设标准）</w:t>
      </w:r>
      <w:bookmarkEnd w:id="215"/>
      <w:bookmarkEnd w:id="216"/>
      <w:bookmarkEnd w:id="217"/>
      <w:bookmarkEnd w:id="218"/>
      <w:bookmarkEnd w:id="219"/>
      <w:bookmarkEnd w:id="220"/>
      <w:bookmarkEnd w:id="221"/>
      <w:bookmarkEnd w:id="222"/>
    </w:p>
    <w:p>
      <w:pPr>
        <w:pStyle w:val="4"/>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一、下列文件应被认为是组成本章内容的一部分，并互为补充和解释，如各文件存在冲突之处，以如下排列次序在前者优先适用：</w:t>
      </w:r>
    </w:p>
    <w:p>
      <w:pPr>
        <w:spacing w:line="360" w:lineRule="auto"/>
        <w:ind w:firstLine="359" w:firstLineChars="171"/>
        <w:rPr>
          <w:rFonts w:ascii="宋体" w:hAnsi="宋体"/>
          <w:color w:val="auto"/>
          <w:szCs w:val="21"/>
          <w:highlight w:val="none"/>
        </w:rPr>
      </w:pPr>
      <w:bookmarkStart w:id="224" w:name="_Toc13694"/>
      <w:bookmarkStart w:id="225" w:name="_Toc14473"/>
      <w:bookmarkStart w:id="226" w:name="_Toc17550"/>
      <w:r>
        <w:rPr>
          <w:rFonts w:hint="eastAsia" w:ascii="宋体" w:hAnsi="宋体"/>
          <w:color w:val="auto"/>
          <w:szCs w:val="21"/>
          <w:highlight w:val="none"/>
        </w:rPr>
        <w:t>1、遵照本章相关规定要求；</w:t>
      </w:r>
      <w:bookmarkEnd w:id="224"/>
      <w:bookmarkEnd w:id="225"/>
      <w:bookmarkEnd w:id="226"/>
    </w:p>
    <w:p>
      <w:pPr>
        <w:spacing w:line="360" w:lineRule="auto"/>
        <w:ind w:firstLine="359" w:firstLineChars="171"/>
        <w:rPr>
          <w:rFonts w:ascii="宋体" w:hAnsi="宋体"/>
          <w:color w:val="auto"/>
          <w:szCs w:val="21"/>
          <w:highlight w:val="none"/>
        </w:rPr>
      </w:pPr>
      <w:bookmarkStart w:id="227" w:name="_Toc14455"/>
      <w:bookmarkStart w:id="228" w:name="_Toc15615"/>
      <w:bookmarkStart w:id="229" w:name="_Toc21092"/>
      <w:r>
        <w:rPr>
          <w:rFonts w:hint="eastAsia" w:ascii="宋体" w:hAnsi="宋体"/>
          <w:color w:val="auto"/>
          <w:szCs w:val="21"/>
          <w:highlight w:val="none"/>
        </w:rPr>
        <w:t>2、采用图纸中规定的其它技术和验收标准；</w:t>
      </w:r>
      <w:bookmarkEnd w:id="227"/>
      <w:bookmarkEnd w:id="228"/>
      <w:bookmarkEnd w:id="229"/>
    </w:p>
    <w:p>
      <w:pPr>
        <w:spacing w:line="360" w:lineRule="auto"/>
        <w:ind w:firstLine="359" w:firstLineChars="171"/>
        <w:rPr>
          <w:rFonts w:ascii="宋体" w:hAnsi="宋体"/>
          <w:color w:val="auto"/>
          <w:szCs w:val="21"/>
          <w:highlight w:val="none"/>
        </w:rPr>
      </w:pPr>
      <w:bookmarkStart w:id="230" w:name="_Toc24561"/>
      <w:bookmarkStart w:id="231" w:name="_Toc32202"/>
      <w:bookmarkStart w:id="232" w:name="_Toc7927"/>
      <w:r>
        <w:rPr>
          <w:rFonts w:hint="eastAsia" w:ascii="宋体" w:hAnsi="宋体"/>
          <w:color w:val="auto"/>
          <w:szCs w:val="21"/>
          <w:highlight w:val="none"/>
        </w:rPr>
        <w:t>3、采用中华人民共和国现行技术和验收规范。</w:t>
      </w:r>
      <w:bookmarkEnd w:id="230"/>
      <w:bookmarkEnd w:id="231"/>
      <w:bookmarkEnd w:id="232"/>
    </w:p>
    <w:p>
      <w:pPr>
        <w:pStyle w:val="4"/>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二、施工组织设计要点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投标人应按纲要要求，编制详细的施工组织设计，作为工程施工的指导性文件．向建设单位提交《施工组织设计方案》，内容包括（不限于）以下：</w:t>
      </w:r>
    </w:p>
    <w:p>
      <w:pPr>
        <w:spacing w:line="360" w:lineRule="exact"/>
        <w:ind w:firstLine="420" w:firstLineChars="200"/>
        <w:rPr>
          <w:rFonts w:ascii="宋体" w:hAnsi="宋体"/>
          <w:color w:val="auto"/>
          <w:szCs w:val="21"/>
          <w:highlight w:val="none"/>
        </w:rPr>
      </w:pPr>
      <w:bookmarkStart w:id="233" w:name="_Toc9354"/>
      <w:bookmarkStart w:id="234" w:name="_Toc9968"/>
      <w:bookmarkStart w:id="235" w:name="_Toc6985"/>
      <w:r>
        <w:rPr>
          <w:rFonts w:hint="eastAsia" w:ascii="宋体" w:hAnsi="宋体"/>
          <w:color w:val="auto"/>
          <w:szCs w:val="21"/>
          <w:highlight w:val="none"/>
        </w:rPr>
        <w:t>（一）工程概况及特点</w:t>
      </w:r>
      <w:bookmarkEnd w:id="233"/>
      <w:bookmarkEnd w:id="234"/>
      <w:bookmarkEnd w:id="235"/>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l.l工程概况</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工程简述，工程规模，工程承包范围，地质及地貌状况，自然环境．交通情况等。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l.2工程特点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设计特点、工程特点、影响施工的主要和特殊环节分析等。</w:t>
      </w:r>
    </w:p>
    <w:p>
      <w:pPr>
        <w:spacing w:line="360" w:lineRule="exact"/>
        <w:ind w:firstLine="420" w:firstLineChars="200"/>
        <w:rPr>
          <w:rFonts w:ascii="宋体" w:hAnsi="宋体"/>
          <w:color w:val="auto"/>
          <w:szCs w:val="21"/>
          <w:highlight w:val="none"/>
        </w:rPr>
      </w:pPr>
      <w:bookmarkStart w:id="236" w:name="_Toc25806"/>
      <w:bookmarkStart w:id="237" w:name="_Toc21656"/>
      <w:bookmarkStart w:id="238" w:name="_Toc25014"/>
      <w:r>
        <w:rPr>
          <w:rFonts w:hint="eastAsia" w:ascii="宋体" w:hAnsi="宋体"/>
          <w:color w:val="auto"/>
          <w:szCs w:val="21"/>
          <w:highlight w:val="none"/>
        </w:rPr>
        <w:t>（二）施王现场组织机构</w:t>
      </w:r>
      <w:bookmarkEnd w:id="236"/>
      <w:bookmarkEnd w:id="237"/>
      <w:bookmarkEnd w:id="238"/>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2.1组织机构关系图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2.2工程主要人员简介。</w:t>
      </w:r>
    </w:p>
    <w:p>
      <w:pPr>
        <w:spacing w:line="360" w:lineRule="exact"/>
        <w:ind w:firstLine="420" w:firstLineChars="200"/>
        <w:rPr>
          <w:rFonts w:ascii="宋体" w:hAnsi="宋体"/>
          <w:color w:val="auto"/>
          <w:szCs w:val="21"/>
          <w:highlight w:val="none"/>
        </w:rPr>
      </w:pPr>
      <w:bookmarkStart w:id="239" w:name="_Toc30656"/>
      <w:bookmarkStart w:id="240" w:name="_Toc31868"/>
      <w:bookmarkStart w:id="241" w:name="_Toc19777"/>
      <w:r>
        <w:rPr>
          <w:rFonts w:hint="eastAsia" w:ascii="宋体" w:hAnsi="宋体"/>
          <w:color w:val="auto"/>
          <w:szCs w:val="21"/>
          <w:highlight w:val="none"/>
        </w:rPr>
        <w:t>（三）施工现场总平面布置图</w:t>
      </w:r>
      <w:bookmarkEnd w:id="239"/>
      <w:bookmarkEnd w:id="240"/>
      <w:bookmarkEnd w:id="241"/>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3.1施工现场平面布置图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平面布置要求内容全面．充分利用场条件，合理布置施工队、材料站、指挥部等。确定现场指挥部（工程处）和工区的驻地，材料站的设置，施工工区与施工班驻地，主要交道道路和通讯设施。平面布置图采用A3纸，图面要求线条清晰、标志明确。</w:t>
      </w:r>
    </w:p>
    <w:p>
      <w:pPr>
        <w:spacing w:line="360" w:lineRule="exact"/>
        <w:ind w:firstLine="420" w:firstLineChars="200"/>
        <w:rPr>
          <w:rFonts w:ascii="宋体" w:hAnsi="宋体"/>
          <w:color w:val="auto"/>
          <w:szCs w:val="21"/>
          <w:highlight w:val="none"/>
        </w:rPr>
      </w:pPr>
      <w:bookmarkStart w:id="242" w:name="_Toc2480"/>
      <w:bookmarkStart w:id="243" w:name="_Toc16800"/>
      <w:bookmarkStart w:id="244" w:name="_Toc10133"/>
      <w:r>
        <w:rPr>
          <w:rFonts w:hint="eastAsia" w:ascii="宋体" w:hAnsi="宋体"/>
          <w:color w:val="auto"/>
          <w:szCs w:val="21"/>
          <w:highlight w:val="none"/>
        </w:rPr>
        <w:t>（四）施工方案</w:t>
      </w:r>
      <w:bookmarkEnd w:id="242"/>
      <w:bookmarkEnd w:id="243"/>
      <w:bookmarkEnd w:id="24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4.1施工准备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简要叙述施工技术资料、材料、通讯、施工场地的准备，施工机械、施工力量的配置，以及生活设施等的准备情况。主要施工机械设备。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4.2施工工序总体安排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4.3 主要工序和特殊工序的施工方法和施工效率估计，潜在问题的分析。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4.4工程成本的控制措施为控制成本，提高效益，拟采取的措施。</w:t>
      </w:r>
    </w:p>
    <w:p>
      <w:pPr>
        <w:spacing w:line="360" w:lineRule="exact"/>
        <w:ind w:firstLine="420" w:firstLineChars="200"/>
        <w:rPr>
          <w:rFonts w:ascii="宋体" w:hAnsi="宋体"/>
          <w:color w:val="auto"/>
          <w:szCs w:val="21"/>
          <w:highlight w:val="none"/>
        </w:rPr>
      </w:pPr>
      <w:bookmarkStart w:id="245" w:name="_Toc10298"/>
      <w:bookmarkStart w:id="246" w:name="_Toc3148"/>
      <w:bookmarkStart w:id="247" w:name="_Toc12317"/>
      <w:r>
        <w:rPr>
          <w:rFonts w:hint="eastAsia" w:ascii="宋体" w:hAnsi="宋体"/>
          <w:color w:val="auto"/>
          <w:szCs w:val="21"/>
          <w:highlight w:val="none"/>
        </w:rPr>
        <w:t>（五）工期及施工造度计划</w:t>
      </w:r>
      <w:bookmarkEnd w:id="245"/>
      <w:bookmarkEnd w:id="246"/>
      <w:bookmarkEnd w:id="247"/>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5.l工期规划及要求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用横道图反映各主要施工过程的计划进度。深度达到全面、准确、清楚的描述工程实施过程，从中可衍生出各种工资源计划及其过程管理信息。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5.2施工进度计划网络图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施工网络图应明确工程开工、竣工日期，工程施工的关键路线，并针对关键工序，提出确保工期拟采取的措施。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5.3施工资源（人力、材料、机其、场地及遣场道路、公共关系）计划。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5.4施工进度计划分析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计划潜在问题，计划中的潜力及其开发途径等。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5.5计划控制程序、方法及制度等。</w:t>
      </w:r>
    </w:p>
    <w:p>
      <w:pPr>
        <w:spacing w:line="360" w:lineRule="exact"/>
        <w:ind w:firstLine="420" w:firstLineChars="200"/>
        <w:rPr>
          <w:rFonts w:ascii="宋体" w:hAnsi="宋体"/>
          <w:color w:val="auto"/>
          <w:szCs w:val="21"/>
          <w:highlight w:val="none"/>
        </w:rPr>
      </w:pPr>
      <w:bookmarkStart w:id="248" w:name="_Toc20732"/>
      <w:bookmarkStart w:id="249" w:name="_Toc12074"/>
      <w:bookmarkStart w:id="250" w:name="_Toc25255"/>
      <w:r>
        <w:rPr>
          <w:rFonts w:hint="eastAsia" w:ascii="宋体" w:hAnsi="宋体"/>
          <w:color w:val="auto"/>
          <w:szCs w:val="21"/>
          <w:highlight w:val="none"/>
        </w:rPr>
        <w:t>（六）质量目标、质量保证体系及技术组织措施</w:t>
      </w:r>
      <w:bookmarkEnd w:id="248"/>
      <w:bookmarkEnd w:id="249"/>
      <w:bookmarkEnd w:id="250"/>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6.1质量目标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本工程要求的质量目标：达到合格标准。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用单位工程和分项工程合格率、优良品率表示，欲达到的工程质量等级。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6.2质量管理组织机构及主要职责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用框图表示质量管理组织机构，并简要叙述各质量管理部门的主要职责。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6.3质量管理的措施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简要叙述质量管理的措施和关键工序的质量控制。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6.4质量管理及检验的标准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执行的主要质量称准、规范。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6.5质量保证技术措施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针对本工程特点，分析质量薄弱环节，拟将采取的技术措施。</w:t>
      </w:r>
    </w:p>
    <w:p>
      <w:pPr>
        <w:spacing w:line="360" w:lineRule="exact"/>
        <w:ind w:firstLine="420" w:firstLineChars="200"/>
        <w:rPr>
          <w:rFonts w:ascii="宋体" w:hAnsi="宋体"/>
          <w:color w:val="auto"/>
          <w:szCs w:val="21"/>
          <w:highlight w:val="none"/>
        </w:rPr>
      </w:pPr>
      <w:bookmarkStart w:id="251" w:name="_Toc5071"/>
      <w:bookmarkStart w:id="252" w:name="_Toc28309"/>
      <w:bookmarkStart w:id="253" w:name="_Toc31694"/>
      <w:r>
        <w:rPr>
          <w:rFonts w:hint="eastAsia" w:ascii="宋体" w:hAnsi="宋体"/>
          <w:color w:val="auto"/>
          <w:szCs w:val="21"/>
          <w:highlight w:val="none"/>
        </w:rPr>
        <w:t>（七）安全目标、安全保证体系及技术组织措施</w:t>
      </w:r>
      <w:bookmarkEnd w:id="251"/>
      <w:bookmarkEnd w:id="252"/>
      <w:bookmarkEnd w:id="253"/>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7.l安全管理目标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7.2安全管理组织机构及主要职责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用框图表示安全管理组织机构，并简要叙述各安全管理部门及人员的主要职责。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7.3安全管理制度及办法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7.4安全组织技术措施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针对本工程特点，分析安全薄弱环节，拟将采取的技术措施。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7.5重要施工方案和特殊施工工序的安全过程控制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7.6严格执行省、市建设主管部门有关文明施工的规定。并按照甲方要求安排工作时间，需连续不间断作业时，按有关规定申报夜间施工许可证。</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安全生产目标：杜绝本项目施工人员重大伤亡事故，轻伤频率控制在2‰以内。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文明施工目标：标准化管理。</w:t>
      </w:r>
    </w:p>
    <w:p>
      <w:pPr>
        <w:spacing w:line="360" w:lineRule="exact"/>
        <w:ind w:firstLine="420" w:firstLineChars="200"/>
        <w:rPr>
          <w:rFonts w:ascii="宋体" w:hAnsi="宋体"/>
          <w:color w:val="auto"/>
          <w:szCs w:val="21"/>
          <w:highlight w:val="none"/>
        </w:rPr>
      </w:pPr>
      <w:bookmarkStart w:id="254" w:name="_Toc13670"/>
      <w:bookmarkStart w:id="255" w:name="_Toc15475"/>
      <w:bookmarkStart w:id="256" w:name="_Toc2134"/>
      <w:r>
        <w:rPr>
          <w:rFonts w:hint="eastAsia" w:ascii="宋体" w:hAnsi="宋体"/>
          <w:color w:val="auto"/>
          <w:szCs w:val="21"/>
          <w:highlight w:val="none"/>
        </w:rPr>
        <w:t>（八）环境保护及文明施工</w:t>
      </w:r>
      <w:bookmarkEnd w:id="254"/>
      <w:bookmarkEnd w:id="255"/>
      <w:bookmarkEnd w:id="25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8.l环境深护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分析因施工可能引起的环境保护方面的溺题。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8.2加强施工管理、严格保护环境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提出环境保护的目标及采取的具体措施。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8.3文明施工的目标、组织机构和绿色文明施工方案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8.4文明施工考核、管理办法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8.5水土保持措施及水土保持方案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8.6保持土方平衡措施及土方回土方案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8.7施工现场建筑垃圾源头处理方案，须满足国家、省、市相关规定</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8.8建筑垃圾进行综合利用方案，须满足国家、省、市相关规定</w:t>
      </w:r>
    </w:p>
    <w:p>
      <w:pPr>
        <w:spacing w:line="360" w:lineRule="exact"/>
        <w:ind w:firstLine="420" w:firstLineChars="200"/>
        <w:rPr>
          <w:rFonts w:ascii="宋体" w:hAnsi="宋体"/>
          <w:color w:val="auto"/>
          <w:szCs w:val="21"/>
          <w:highlight w:val="none"/>
        </w:rPr>
      </w:pPr>
      <w:bookmarkStart w:id="257" w:name="_Toc11370"/>
      <w:bookmarkStart w:id="258" w:name="_Toc18916"/>
      <w:bookmarkStart w:id="259" w:name="_Toc13821"/>
      <w:r>
        <w:rPr>
          <w:rFonts w:hint="eastAsia" w:ascii="宋体" w:hAnsi="宋体"/>
          <w:color w:val="auto"/>
          <w:szCs w:val="21"/>
          <w:highlight w:val="none"/>
        </w:rPr>
        <w:t>（九）计划、统计和信息管理</w:t>
      </w:r>
      <w:bookmarkEnd w:id="257"/>
      <w:bookmarkEnd w:id="258"/>
      <w:bookmarkEnd w:id="259"/>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9.1计划、统计报表的编制与传递：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9.2信息管理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提出信息管理的目标及拟将采取的措施</w:t>
      </w:r>
    </w:p>
    <w:p>
      <w:pPr>
        <w:keepNext/>
        <w:keepLines/>
        <w:spacing w:before="120" w:after="120" w:line="360" w:lineRule="auto"/>
        <w:jc w:val="center"/>
        <w:rPr>
          <w:rFonts w:ascii="Times New Roman" w:hAnsi="Times New Roman"/>
          <w:b/>
          <w:color w:val="auto"/>
          <w:kern w:val="44"/>
          <w:sz w:val="28"/>
          <w:szCs w:val="28"/>
          <w:highlight w:val="none"/>
        </w:rPr>
      </w:pPr>
    </w:p>
    <w:p>
      <w:pPr>
        <w:rPr>
          <w:color w:val="auto"/>
          <w:highlight w:val="none"/>
        </w:rPr>
      </w:pPr>
      <w:r>
        <w:rPr>
          <w:rFonts w:hint="eastAsia"/>
          <w:color w:val="auto"/>
          <w:highlight w:val="none"/>
        </w:rPr>
        <w:br w:type="page"/>
      </w:r>
    </w:p>
    <w:bookmarkEnd w:id="223"/>
    <w:p>
      <w:pPr>
        <w:pStyle w:val="4"/>
        <w:jc w:val="center"/>
        <w:rPr>
          <w:rFonts w:hint="eastAsia"/>
          <w:b/>
          <w:bCs/>
          <w:color w:val="auto"/>
          <w:highlight w:val="none"/>
        </w:rPr>
      </w:pPr>
      <w:bookmarkStart w:id="260" w:name="_Toc10043"/>
      <w:bookmarkStart w:id="261" w:name="_Toc6934"/>
      <w:bookmarkStart w:id="262" w:name="_Toc27354"/>
      <w:bookmarkStart w:id="263" w:name="_Toc6837"/>
      <w:bookmarkStart w:id="264" w:name="_Toc100"/>
      <w:bookmarkStart w:id="265" w:name="_Toc13639"/>
      <w:bookmarkStart w:id="266" w:name="_Toc27524"/>
      <w:r>
        <w:rPr>
          <w:rFonts w:hint="eastAsia"/>
          <w:b/>
          <w:bCs/>
          <w:color w:val="auto"/>
          <w:highlight w:val="none"/>
          <w:lang w:val="en-US" w:eastAsia="zh-CN"/>
        </w:rPr>
        <w:t>第六章</w:t>
      </w:r>
      <w:r>
        <w:rPr>
          <w:rFonts w:hint="eastAsia"/>
          <w:b/>
          <w:bCs/>
          <w:color w:val="auto"/>
          <w:highlight w:val="none"/>
        </w:rPr>
        <w:t xml:space="preserve"> 图纸及勘察资料</w:t>
      </w:r>
      <w:bookmarkEnd w:id="260"/>
      <w:bookmarkEnd w:id="261"/>
    </w:p>
    <w:p>
      <w:pPr>
        <w:pStyle w:val="35"/>
        <w:spacing w:after="0" w:line="360" w:lineRule="exact"/>
        <w:ind w:left="0" w:leftChars="0" w:firstLine="0" w:firstLineChars="0"/>
        <w:jc w:val="center"/>
        <w:rPr>
          <w:rFonts w:ascii="宋体"/>
          <w:color w:val="auto"/>
          <w:szCs w:val="21"/>
          <w:highlight w:val="none"/>
        </w:rPr>
      </w:pPr>
      <w:r>
        <w:rPr>
          <w:rFonts w:hint="eastAsia" w:ascii="宋体" w:hAnsi="宋体"/>
          <w:color w:val="auto"/>
          <w:szCs w:val="21"/>
          <w:highlight w:val="none"/>
        </w:rPr>
        <w:t>（另册）</w:t>
      </w:r>
    </w:p>
    <w:p>
      <w:pPr>
        <w:keepNext/>
        <w:keepLines/>
        <w:numPr>
          <w:ilvl w:val="0"/>
          <w:numId w:val="7"/>
        </w:numPr>
        <w:spacing w:before="120" w:after="120" w:line="360" w:lineRule="auto"/>
        <w:jc w:val="center"/>
        <w:outlineLvl w:val="0"/>
        <w:rPr>
          <w:color w:val="auto"/>
          <w:sz w:val="24"/>
          <w:szCs w:val="24"/>
          <w:highlight w:val="none"/>
        </w:rPr>
      </w:pPr>
      <w:r>
        <w:rPr>
          <w:color w:val="auto"/>
          <w:sz w:val="24"/>
          <w:szCs w:val="24"/>
          <w:highlight w:val="none"/>
        </w:rPr>
        <w:br w:type="page"/>
      </w:r>
      <w:bookmarkEnd w:id="262"/>
      <w:bookmarkEnd w:id="263"/>
      <w:bookmarkEnd w:id="264"/>
      <w:bookmarkEnd w:id="265"/>
      <w:bookmarkStart w:id="267" w:name="_Toc13387"/>
      <w:bookmarkEnd w:id="267"/>
      <w:bookmarkStart w:id="268" w:name="_Toc2513"/>
    </w:p>
    <w:p>
      <w:pPr>
        <w:keepNext/>
        <w:keepLines/>
        <w:spacing w:before="120" w:after="120" w:line="360" w:lineRule="auto"/>
        <w:jc w:val="center"/>
        <w:rPr>
          <w:rFonts w:ascii="Times New Roman" w:hAnsi="Times New Roman"/>
          <w:b/>
          <w:color w:val="auto"/>
          <w:kern w:val="44"/>
          <w:sz w:val="28"/>
          <w:szCs w:val="28"/>
          <w:highlight w:val="none"/>
        </w:rPr>
      </w:pPr>
    </w:p>
    <w:p>
      <w:pPr>
        <w:pStyle w:val="4"/>
        <w:jc w:val="center"/>
        <w:rPr>
          <w:rFonts w:hint="eastAsia"/>
          <w:b/>
          <w:bCs/>
          <w:color w:val="auto"/>
          <w:highlight w:val="none"/>
        </w:rPr>
      </w:pPr>
      <w:bookmarkStart w:id="269" w:name="_Toc21892"/>
      <w:bookmarkStart w:id="270" w:name="_Toc31823"/>
      <w:bookmarkStart w:id="271" w:name="_Toc22140"/>
      <w:bookmarkStart w:id="272" w:name="_Toc19885"/>
      <w:bookmarkStart w:id="273" w:name="_Toc22225"/>
      <w:r>
        <w:rPr>
          <w:rFonts w:hint="eastAsia"/>
          <w:b/>
          <w:bCs/>
          <w:color w:val="auto"/>
          <w:highlight w:val="none"/>
        </w:rPr>
        <w:t>第七章  工程量清单</w:t>
      </w:r>
      <w:bookmarkEnd w:id="266"/>
      <w:bookmarkEnd w:id="268"/>
      <w:bookmarkEnd w:id="269"/>
      <w:bookmarkEnd w:id="270"/>
      <w:bookmarkEnd w:id="271"/>
      <w:bookmarkEnd w:id="272"/>
      <w:bookmarkEnd w:id="273"/>
    </w:p>
    <w:p>
      <w:pPr>
        <w:pStyle w:val="35"/>
        <w:spacing w:after="0" w:line="360" w:lineRule="exact"/>
        <w:ind w:left="-2" w:leftChars="-1" w:firstLine="840" w:firstLineChars="400"/>
        <w:jc w:val="center"/>
        <w:rPr>
          <w:rFonts w:ascii="宋体"/>
          <w:color w:val="auto"/>
          <w:szCs w:val="21"/>
          <w:highlight w:val="none"/>
        </w:rPr>
      </w:pPr>
      <w:bookmarkStart w:id="274" w:name="_Toc31713"/>
      <w:bookmarkStart w:id="275" w:name="_Toc11048"/>
      <w:bookmarkStart w:id="276" w:name="_Toc22911"/>
      <w:r>
        <w:rPr>
          <w:rFonts w:hint="eastAsia" w:ascii="宋体" w:hAnsi="宋体"/>
          <w:color w:val="auto"/>
          <w:szCs w:val="21"/>
          <w:highlight w:val="none"/>
        </w:rPr>
        <w:t>（另册）</w:t>
      </w:r>
      <w:bookmarkEnd w:id="274"/>
      <w:bookmarkEnd w:id="275"/>
      <w:bookmarkEnd w:id="276"/>
    </w:p>
    <w:p>
      <w:pPr>
        <w:rPr>
          <w:rFonts w:ascii="Times New Roman" w:hAnsi="Times New Roman"/>
          <w:color w:val="auto"/>
          <w:sz w:val="24"/>
          <w:szCs w:val="24"/>
          <w:highlight w:val="none"/>
        </w:rPr>
      </w:pPr>
    </w:p>
    <w:p>
      <w:pPr>
        <w:pStyle w:val="4"/>
        <w:rPr>
          <w:color w:val="auto"/>
          <w:highlight w:val="none"/>
        </w:rPr>
      </w:pPr>
    </w:p>
    <w:p>
      <w:pPr>
        <w:keepNext/>
        <w:keepLines/>
        <w:spacing w:before="120" w:after="120" w:line="360" w:lineRule="auto"/>
        <w:jc w:val="center"/>
        <w:outlineLvl w:val="0"/>
        <w:rPr>
          <w:rFonts w:ascii="Times New Roman" w:hAnsi="Times New Roman"/>
          <w:b/>
          <w:color w:val="auto"/>
          <w:kern w:val="44"/>
          <w:sz w:val="28"/>
          <w:szCs w:val="28"/>
          <w:highlight w:val="none"/>
        </w:rPr>
      </w:pPr>
      <w:r>
        <w:rPr>
          <w:color w:val="auto"/>
          <w:sz w:val="24"/>
          <w:szCs w:val="24"/>
          <w:highlight w:val="none"/>
        </w:rPr>
        <w:br w:type="page"/>
      </w:r>
      <w:bookmarkStart w:id="277" w:name="_Toc27314"/>
      <w:bookmarkStart w:id="278" w:name="_Toc3065"/>
      <w:bookmarkStart w:id="279" w:name="_Toc16818"/>
      <w:bookmarkStart w:id="280" w:name="_Toc23880"/>
      <w:bookmarkStart w:id="281" w:name="_Toc26787"/>
      <w:bookmarkStart w:id="282" w:name="_Toc5832"/>
      <w:bookmarkStart w:id="283" w:name="_Toc12067"/>
      <w:r>
        <w:rPr>
          <w:rStyle w:val="60"/>
          <w:rFonts w:hint="eastAsia"/>
          <w:color w:val="auto"/>
          <w:highlight w:val="none"/>
          <w:lang w:val="en-US" w:eastAsia="zh-CN"/>
        </w:rPr>
        <w:t>第八章  最高投标限价</w:t>
      </w:r>
      <w:bookmarkEnd w:id="277"/>
      <w:bookmarkEnd w:id="278"/>
      <w:bookmarkEnd w:id="279"/>
      <w:bookmarkEnd w:id="280"/>
      <w:bookmarkEnd w:id="281"/>
      <w:bookmarkEnd w:id="282"/>
      <w:bookmarkEnd w:id="283"/>
    </w:p>
    <w:p>
      <w:pPr>
        <w:spacing w:line="360" w:lineRule="exact"/>
        <w:ind w:firstLine="480"/>
        <w:rPr>
          <w:rFonts w:ascii="Times New Roman" w:hAnsi="Times New Roman"/>
          <w:color w:val="auto"/>
          <w:szCs w:val="21"/>
          <w:highlight w:val="none"/>
        </w:rPr>
      </w:pPr>
      <w:r>
        <w:rPr>
          <w:rFonts w:hint="eastAsia" w:ascii="Times New Roman" w:hAnsi="Times New Roman"/>
          <w:color w:val="auto"/>
          <w:szCs w:val="21"/>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具体见本项目《最高投标限价公布函》。</w:t>
      </w:r>
    </w:p>
    <w:p>
      <w:pPr>
        <w:rPr>
          <w:color w:val="auto"/>
          <w:highlight w:val="none"/>
        </w:rPr>
      </w:pPr>
    </w:p>
    <w:p>
      <w:pPr>
        <w:rPr>
          <w:color w:val="auto"/>
          <w:highlight w:val="none"/>
        </w:rPr>
      </w:pPr>
    </w:p>
    <w:p>
      <w:pPr>
        <w:pStyle w:val="19"/>
        <w:rPr>
          <w:color w:val="auto"/>
          <w:highlight w:val="none"/>
        </w:rPr>
      </w:pPr>
    </w:p>
    <w:sectPr>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20</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1"/>
      </w:rPr>
      <w:fldChar w:fldCharType="begin"/>
    </w:r>
    <w:r>
      <w:rPr>
        <w:rStyle w:val="41"/>
      </w:rPr>
      <w:instrText xml:space="preserve"> PAGE </w:instrText>
    </w:r>
    <w:r>
      <w:rPr>
        <w:rStyle w:val="41"/>
      </w:rPr>
      <w:fldChar w:fldCharType="separate"/>
    </w:r>
    <w:r>
      <w:rPr>
        <w:rStyle w:val="41"/>
      </w:rPr>
      <w:t>14</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90</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84</w:t>
    </w:r>
    <w:r>
      <w:rPr>
        <w:rStyle w:val="4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183</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AFEC7"/>
    <w:multiLevelType w:val="singleLevel"/>
    <w:tmpl w:val="822AFEC7"/>
    <w:lvl w:ilvl="0" w:tentative="0">
      <w:start w:val="2"/>
      <w:numFmt w:val="decimal"/>
      <w:suff w:val="nothing"/>
      <w:lvlText w:val="%1、"/>
      <w:lvlJc w:val="left"/>
    </w:lvl>
  </w:abstractNum>
  <w:abstractNum w:abstractNumId="1">
    <w:nsid w:val="CAF67B48"/>
    <w:multiLevelType w:val="singleLevel"/>
    <w:tmpl w:val="CAF67B48"/>
    <w:lvl w:ilvl="0" w:tentative="0">
      <w:start w:val="1"/>
      <w:numFmt w:val="decimal"/>
      <w:suff w:val="nothing"/>
      <w:lvlText w:val="%1、"/>
      <w:lvlJc w:val="left"/>
    </w:lvl>
  </w:abstractNum>
  <w:abstractNum w:abstractNumId="2">
    <w:nsid w:val="1C7E7179"/>
    <w:multiLevelType w:val="singleLevel"/>
    <w:tmpl w:val="1C7E7179"/>
    <w:lvl w:ilvl="0" w:tentative="0">
      <w:start w:val="6"/>
      <w:numFmt w:val="chineseCounting"/>
      <w:suff w:val="space"/>
      <w:lvlText w:val="第%1章"/>
      <w:lvlJc w:val="left"/>
      <w:rPr>
        <w:rFonts w:hint="eastAsia"/>
      </w:r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mMzgwMTQ3ZGUxYzJhNDcwZDJiZjVlMDA1ZDk2ZDIifQ=="/>
  </w:docVars>
  <w:rsids>
    <w:rsidRoot w:val="007B41BE"/>
    <w:rsid w:val="000200EE"/>
    <w:rsid w:val="000575F8"/>
    <w:rsid w:val="000C1007"/>
    <w:rsid w:val="000C11E0"/>
    <w:rsid w:val="000C1FF9"/>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2222B2B"/>
    <w:rsid w:val="04730808"/>
    <w:rsid w:val="0488238D"/>
    <w:rsid w:val="05935ABA"/>
    <w:rsid w:val="05B0324A"/>
    <w:rsid w:val="06470AC5"/>
    <w:rsid w:val="065E2E82"/>
    <w:rsid w:val="06CE1DB6"/>
    <w:rsid w:val="072F44E3"/>
    <w:rsid w:val="07C91C0A"/>
    <w:rsid w:val="08242955"/>
    <w:rsid w:val="082E40E3"/>
    <w:rsid w:val="08B246E9"/>
    <w:rsid w:val="096855F0"/>
    <w:rsid w:val="09F33618"/>
    <w:rsid w:val="0A3232CB"/>
    <w:rsid w:val="0AD96704"/>
    <w:rsid w:val="0B3C19E4"/>
    <w:rsid w:val="0C436DA2"/>
    <w:rsid w:val="0CAA0BCF"/>
    <w:rsid w:val="0D2C1B78"/>
    <w:rsid w:val="0E1F1149"/>
    <w:rsid w:val="0E3E6113"/>
    <w:rsid w:val="0E9C6A1D"/>
    <w:rsid w:val="0F52015A"/>
    <w:rsid w:val="0F7E4AB5"/>
    <w:rsid w:val="0FB844AA"/>
    <w:rsid w:val="0FC542C7"/>
    <w:rsid w:val="0FEF45D8"/>
    <w:rsid w:val="10277F5C"/>
    <w:rsid w:val="10DC1AB7"/>
    <w:rsid w:val="11E8746F"/>
    <w:rsid w:val="128A65A2"/>
    <w:rsid w:val="129E51FA"/>
    <w:rsid w:val="13C02E9B"/>
    <w:rsid w:val="146C32DD"/>
    <w:rsid w:val="14A95AB7"/>
    <w:rsid w:val="14D34591"/>
    <w:rsid w:val="14ED01F3"/>
    <w:rsid w:val="150644F6"/>
    <w:rsid w:val="15183760"/>
    <w:rsid w:val="17532B94"/>
    <w:rsid w:val="17C97A33"/>
    <w:rsid w:val="18151F96"/>
    <w:rsid w:val="181C07FE"/>
    <w:rsid w:val="188345B4"/>
    <w:rsid w:val="18846B1B"/>
    <w:rsid w:val="18D404A9"/>
    <w:rsid w:val="19135EDA"/>
    <w:rsid w:val="19BE657D"/>
    <w:rsid w:val="1A2F4635"/>
    <w:rsid w:val="1AD03189"/>
    <w:rsid w:val="1B635996"/>
    <w:rsid w:val="1C3879FB"/>
    <w:rsid w:val="1C656191"/>
    <w:rsid w:val="1D766D45"/>
    <w:rsid w:val="1DA769B6"/>
    <w:rsid w:val="1E486D96"/>
    <w:rsid w:val="1EBA5A37"/>
    <w:rsid w:val="1F5E69A3"/>
    <w:rsid w:val="208960A7"/>
    <w:rsid w:val="222F379C"/>
    <w:rsid w:val="230B6D30"/>
    <w:rsid w:val="23AA7CAC"/>
    <w:rsid w:val="240734F7"/>
    <w:rsid w:val="24A972CC"/>
    <w:rsid w:val="261755EF"/>
    <w:rsid w:val="28040C42"/>
    <w:rsid w:val="28790229"/>
    <w:rsid w:val="28F8008D"/>
    <w:rsid w:val="295B0D1C"/>
    <w:rsid w:val="2A5B11FF"/>
    <w:rsid w:val="2A880A7B"/>
    <w:rsid w:val="2AB34EBF"/>
    <w:rsid w:val="2ADC3CF6"/>
    <w:rsid w:val="2B1E01E1"/>
    <w:rsid w:val="2C463752"/>
    <w:rsid w:val="2C8B4122"/>
    <w:rsid w:val="2D5D7B29"/>
    <w:rsid w:val="2DBD6C39"/>
    <w:rsid w:val="2DC4660F"/>
    <w:rsid w:val="2DED7742"/>
    <w:rsid w:val="2EA55E71"/>
    <w:rsid w:val="30997F39"/>
    <w:rsid w:val="31316B1D"/>
    <w:rsid w:val="31603DCF"/>
    <w:rsid w:val="325A3E25"/>
    <w:rsid w:val="328E3BC4"/>
    <w:rsid w:val="32BF3509"/>
    <w:rsid w:val="36491DDF"/>
    <w:rsid w:val="3667028F"/>
    <w:rsid w:val="36AE0FE6"/>
    <w:rsid w:val="375D203C"/>
    <w:rsid w:val="376306CE"/>
    <w:rsid w:val="37697731"/>
    <w:rsid w:val="37726E00"/>
    <w:rsid w:val="37AD2D0C"/>
    <w:rsid w:val="38026A6F"/>
    <w:rsid w:val="38526CB0"/>
    <w:rsid w:val="390A0C13"/>
    <w:rsid w:val="39941C76"/>
    <w:rsid w:val="39BB2E8F"/>
    <w:rsid w:val="39C15447"/>
    <w:rsid w:val="39E60218"/>
    <w:rsid w:val="3B1456BA"/>
    <w:rsid w:val="3B882358"/>
    <w:rsid w:val="3BEE2CE0"/>
    <w:rsid w:val="3C8E25CB"/>
    <w:rsid w:val="3CD52101"/>
    <w:rsid w:val="3D60411F"/>
    <w:rsid w:val="3D6940D9"/>
    <w:rsid w:val="3DDC3152"/>
    <w:rsid w:val="40445CE2"/>
    <w:rsid w:val="410F4ECA"/>
    <w:rsid w:val="41E657FF"/>
    <w:rsid w:val="43343334"/>
    <w:rsid w:val="43577BBB"/>
    <w:rsid w:val="43C422F5"/>
    <w:rsid w:val="467354C8"/>
    <w:rsid w:val="472E3BD0"/>
    <w:rsid w:val="47A74400"/>
    <w:rsid w:val="48523C0A"/>
    <w:rsid w:val="48C87955"/>
    <w:rsid w:val="49461866"/>
    <w:rsid w:val="494E52FD"/>
    <w:rsid w:val="49765399"/>
    <w:rsid w:val="49B4092D"/>
    <w:rsid w:val="49E366AE"/>
    <w:rsid w:val="4AD67605"/>
    <w:rsid w:val="4B3D6DC7"/>
    <w:rsid w:val="4B3F6B82"/>
    <w:rsid w:val="4B6B7860"/>
    <w:rsid w:val="4D862070"/>
    <w:rsid w:val="4D935BBD"/>
    <w:rsid w:val="4D9964EA"/>
    <w:rsid w:val="4E6C325B"/>
    <w:rsid w:val="4ED162B3"/>
    <w:rsid w:val="50262CD9"/>
    <w:rsid w:val="50F81490"/>
    <w:rsid w:val="51167BAE"/>
    <w:rsid w:val="52417145"/>
    <w:rsid w:val="533D221E"/>
    <w:rsid w:val="53F92C98"/>
    <w:rsid w:val="54761A0D"/>
    <w:rsid w:val="54D1518C"/>
    <w:rsid w:val="54DE7DCA"/>
    <w:rsid w:val="551F7538"/>
    <w:rsid w:val="55647CF6"/>
    <w:rsid w:val="56F12281"/>
    <w:rsid w:val="57E15B41"/>
    <w:rsid w:val="586678B1"/>
    <w:rsid w:val="58D02D39"/>
    <w:rsid w:val="59113277"/>
    <w:rsid w:val="592965AC"/>
    <w:rsid w:val="59362507"/>
    <w:rsid w:val="59C9560C"/>
    <w:rsid w:val="5A103441"/>
    <w:rsid w:val="5A511C57"/>
    <w:rsid w:val="5B224AB4"/>
    <w:rsid w:val="5B4243C5"/>
    <w:rsid w:val="5C6156D1"/>
    <w:rsid w:val="5CA011CD"/>
    <w:rsid w:val="5CDD6249"/>
    <w:rsid w:val="5CDF456F"/>
    <w:rsid w:val="5CE457E1"/>
    <w:rsid w:val="5CF90E52"/>
    <w:rsid w:val="5D4806FF"/>
    <w:rsid w:val="5D572C78"/>
    <w:rsid w:val="5F4B72E8"/>
    <w:rsid w:val="5F635895"/>
    <w:rsid w:val="62DB0C9D"/>
    <w:rsid w:val="630A5A6D"/>
    <w:rsid w:val="63822E81"/>
    <w:rsid w:val="638C1100"/>
    <w:rsid w:val="63E32CFD"/>
    <w:rsid w:val="63ED1592"/>
    <w:rsid w:val="643D35B0"/>
    <w:rsid w:val="64B804D2"/>
    <w:rsid w:val="653505E7"/>
    <w:rsid w:val="67DC079F"/>
    <w:rsid w:val="687757CE"/>
    <w:rsid w:val="68C8394A"/>
    <w:rsid w:val="69051C61"/>
    <w:rsid w:val="69E26AA4"/>
    <w:rsid w:val="6A0760DD"/>
    <w:rsid w:val="6C5008E1"/>
    <w:rsid w:val="6C7621DF"/>
    <w:rsid w:val="6C787452"/>
    <w:rsid w:val="6CC26054"/>
    <w:rsid w:val="6CEF4F0F"/>
    <w:rsid w:val="6DAB59DE"/>
    <w:rsid w:val="6E2F79D0"/>
    <w:rsid w:val="6F9F1B75"/>
    <w:rsid w:val="6FF743BE"/>
    <w:rsid w:val="70E540E8"/>
    <w:rsid w:val="713F65C7"/>
    <w:rsid w:val="73410663"/>
    <w:rsid w:val="73753308"/>
    <w:rsid w:val="73CC483B"/>
    <w:rsid w:val="747A3987"/>
    <w:rsid w:val="74C838E9"/>
    <w:rsid w:val="763F2D49"/>
    <w:rsid w:val="764E3D8F"/>
    <w:rsid w:val="76EB3D27"/>
    <w:rsid w:val="783B5319"/>
    <w:rsid w:val="783E407E"/>
    <w:rsid w:val="786561BE"/>
    <w:rsid w:val="78E658FA"/>
    <w:rsid w:val="791D122B"/>
    <w:rsid w:val="7ADC31A8"/>
    <w:rsid w:val="7B282E61"/>
    <w:rsid w:val="7B6404E0"/>
    <w:rsid w:val="7C346BE9"/>
    <w:rsid w:val="7C507B69"/>
    <w:rsid w:val="7DA07688"/>
    <w:rsid w:val="7E281DEE"/>
    <w:rsid w:val="7EBB576E"/>
    <w:rsid w:val="7EC3036F"/>
    <w:rsid w:val="7F92383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after="120" w:line="360" w:lineRule="auto"/>
      <w:outlineLvl w:val="0"/>
    </w:pPr>
    <w:rPr>
      <w:kern w:val="44"/>
      <w:sz w:val="28"/>
      <w:szCs w:val="28"/>
    </w:rPr>
  </w:style>
  <w:style w:type="paragraph" w:styleId="5">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12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8"/>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9">
    <w:name w:val="heading 5"/>
    <w:basedOn w:val="7"/>
    <w:next w:val="8"/>
    <w:link w:val="63"/>
    <w:qFormat/>
    <w:uiPriority w:val="0"/>
    <w:pPr>
      <w:numPr>
        <w:ilvl w:val="4"/>
      </w:numPr>
      <w:spacing w:line="240" w:lineRule="exact"/>
      <w:outlineLvl w:val="4"/>
    </w:pPr>
  </w:style>
  <w:style w:type="paragraph" w:styleId="10">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3"/>
    <w:qFormat/>
    <w:uiPriority w:val="0"/>
    <w:pPr>
      <w:ind w:firstLine="200" w:firstLineChars="200"/>
    </w:pPr>
    <w:rPr>
      <w:kern w:val="2"/>
    </w:rPr>
  </w:style>
  <w:style w:type="paragraph" w:customStyle="1" w:styleId="3">
    <w:name w:val="正文1"/>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8">
    <w:name w:val="Normal Indent"/>
    <w:basedOn w:val="1"/>
    <w:qFormat/>
    <w:uiPriority w:val="0"/>
    <w:pPr>
      <w:ind w:firstLine="420"/>
    </w:pPr>
    <w:rPr>
      <w:rFonts w:ascii="Times New Roman" w:hAnsi="Times New Roman"/>
      <w:szCs w:val="20"/>
    </w:rPr>
  </w:style>
  <w:style w:type="paragraph" w:styleId="14">
    <w:name w:val="Document Map"/>
    <w:basedOn w:val="1"/>
    <w:link w:val="79"/>
    <w:qFormat/>
    <w:uiPriority w:val="0"/>
    <w:pPr>
      <w:shd w:val="clear" w:color="auto" w:fill="000080"/>
    </w:pPr>
    <w:rPr>
      <w:rFonts w:ascii="Times New Roman" w:hAnsi="Times New Roman"/>
      <w:szCs w:val="20"/>
    </w:rPr>
  </w:style>
  <w:style w:type="paragraph" w:styleId="15">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6">
    <w:name w:val="Body Text"/>
    <w:basedOn w:val="1"/>
    <w:next w:val="1"/>
    <w:link w:val="71"/>
    <w:qFormat/>
    <w:uiPriority w:val="0"/>
    <w:pPr>
      <w:spacing w:after="120"/>
    </w:pPr>
    <w:rPr>
      <w:rFonts w:ascii="Times New Roman" w:hAnsi="Times New Roman"/>
      <w:szCs w:val="20"/>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1"/>
    <w:qFormat/>
    <w:uiPriority w:val="0"/>
    <w:rPr>
      <w:rFonts w:ascii="宋体" w:hAnsi="Courier New"/>
      <w:szCs w:val="20"/>
    </w:rPr>
  </w:style>
  <w:style w:type="paragraph" w:styleId="20">
    <w:name w:val="Date"/>
    <w:basedOn w:val="1"/>
    <w:next w:val="1"/>
    <w:link w:val="75"/>
    <w:qFormat/>
    <w:uiPriority w:val="0"/>
    <w:rPr>
      <w:rFonts w:ascii="Times New Roman" w:hAnsi="Times New Roman"/>
      <w:szCs w:val="20"/>
    </w:rPr>
  </w:style>
  <w:style w:type="paragraph" w:styleId="21">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2">
    <w:name w:val="endnote text"/>
    <w:basedOn w:val="1"/>
    <w:link w:val="92"/>
    <w:qFormat/>
    <w:uiPriority w:val="0"/>
    <w:pPr>
      <w:snapToGrid w:val="0"/>
      <w:jc w:val="left"/>
    </w:pPr>
    <w:rPr>
      <w:rFonts w:ascii="Times New Roman" w:hAnsi="Times New Roman"/>
      <w:szCs w:val="20"/>
    </w:rPr>
  </w:style>
  <w:style w:type="paragraph" w:styleId="23">
    <w:name w:val="Balloon Text"/>
    <w:basedOn w:val="1"/>
    <w:link w:val="102"/>
    <w:qFormat/>
    <w:uiPriority w:val="0"/>
    <w:rPr>
      <w:rFonts w:ascii="Times New Roman" w:hAnsi="Times New Roman"/>
      <w:sz w:val="18"/>
      <w:szCs w:val="18"/>
    </w:rPr>
  </w:style>
  <w:style w:type="paragraph" w:styleId="24">
    <w:name w:val="footer"/>
    <w:basedOn w:val="1"/>
    <w:link w:val="59"/>
    <w:unhideWhenUsed/>
    <w:qFormat/>
    <w:uiPriority w:val="0"/>
    <w:pPr>
      <w:tabs>
        <w:tab w:val="center" w:pos="4153"/>
        <w:tab w:val="right" w:pos="8306"/>
      </w:tabs>
      <w:snapToGrid w:val="0"/>
      <w:jc w:val="left"/>
    </w:pPr>
    <w:rPr>
      <w:sz w:val="18"/>
      <w:szCs w:val="18"/>
    </w:rPr>
  </w:style>
  <w:style w:type="paragraph" w:styleId="25">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9"/>
    <w:qFormat/>
    <w:uiPriority w:val="0"/>
    <w:rPr>
      <w:rFonts w:ascii="宋体" w:hAnsi="宋体"/>
      <w:szCs w:val="24"/>
      <w:u w:val="single"/>
    </w:rPr>
  </w:style>
  <w:style w:type="paragraph" w:styleId="31">
    <w:name w:val="Normal (Web)"/>
    <w:basedOn w:val="1"/>
    <w:next w:val="1"/>
    <w:qFormat/>
    <w:uiPriority w:val="0"/>
    <w:pPr>
      <w:widowControl/>
      <w:spacing w:before="100" w:beforeAutospacing="1" w:after="100" w:afterAutospacing="1"/>
      <w:jc w:val="left"/>
    </w:pPr>
    <w:rPr>
      <w:rFonts w:ascii="宋体" w:hAnsi="宋体"/>
      <w:kern w:val="0"/>
      <w:sz w:val="24"/>
      <w:szCs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69"/>
    <w:qFormat/>
    <w:uiPriority w:val="0"/>
    <w:pPr>
      <w:spacing w:before="120" w:after="60"/>
      <w:jc w:val="center"/>
    </w:pPr>
    <w:rPr>
      <w:rFonts w:ascii="Arial" w:hAnsi="Arial"/>
      <w:b/>
      <w:sz w:val="44"/>
      <w:szCs w:val="20"/>
    </w:rPr>
  </w:style>
  <w:style w:type="paragraph" w:styleId="34">
    <w:name w:val="annotation subject"/>
    <w:basedOn w:val="15"/>
    <w:next w:val="15"/>
    <w:link w:val="109"/>
    <w:qFormat/>
    <w:uiPriority w:val="0"/>
    <w:rPr>
      <w:b/>
      <w:bCs/>
    </w:rPr>
  </w:style>
  <w:style w:type="paragraph" w:styleId="35">
    <w:name w:val="Body Text First Indent"/>
    <w:basedOn w:val="16"/>
    <w:next w:val="1"/>
    <w:link w:val="73"/>
    <w:qFormat/>
    <w:uiPriority w:val="0"/>
    <w:pPr>
      <w:ind w:firstLine="420"/>
    </w:p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6"/>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5"/>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4"/>
    <w:qFormat/>
    <w:uiPriority w:val="0"/>
    <w:rPr>
      <w:rFonts w:ascii="Calibri" w:hAnsi="Calibri" w:eastAsia="宋体" w:cs="Times New Roman"/>
      <w:sz w:val="18"/>
      <w:szCs w:val="18"/>
    </w:rPr>
  </w:style>
  <w:style w:type="character" w:customStyle="1" w:styleId="60">
    <w:name w:val="标题 1 字符1"/>
    <w:link w:val="4"/>
    <w:qFormat/>
    <w:uiPriority w:val="0"/>
    <w:rPr>
      <w:rFonts w:ascii="Arial" w:hAnsi="Arial" w:eastAsia="宋体"/>
      <w:b/>
      <w:kern w:val="44"/>
      <w:sz w:val="28"/>
      <w:szCs w:val="28"/>
    </w:rPr>
  </w:style>
  <w:style w:type="character" w:customStyle="1" w:styleId="61">
    <w:name w:val="标题 2 字符1"/>
    <w:link w:val="5"/>
    <w:qFormat/>
    <w:uiPriority w:val="0"/>
    <w:rPr>
      <w:rFonts w:ascii="Arial" w:hAnsi="Arial" w:eastAsia="宋体" w:cs="Times New Roman"/>
      <w:b/>
      <w:color w:val="000000"/>
      <w:sz w:val="24"/>
      <w:szCs w:val="24"/>
    </w:rPr>
  </w:style>
  <w:style w:type="character" w:customStyle="1" w:styleId="62">
    <w:name w:val="标题 4 字符1"/>
    <w:link w:val="7"/>
    <w:qFormat/>
    <w:uiPriority w:val="0"/>
    <w:rPr>
      <w:rFonts w:ascii="Arial" w:hAnsi="Arial" w:eastAsia="宋体" w:cs="Times New Roman"/>
      <w:color w:val="000000"/>
      <w:szCs w:val="21"/>
    </w:rPr>
  </w:style>
  <w:style w:type="character" w:customStyle="1" w:styleId="63">
    <w:name w:val="标题 5 字符1"/>
    <w:link w:val="9"/>
    <w:qFormat/>
    <w:uiPriority w:val="0"/>
    <w:rPr>
      <w:rFonts w:ascii="Arial" w:hAnsi="Arial" w:eastAsia="宋体" w:cs="Times New Roman"/>
      <w:color w:val="000000"/>
      <w:szCs w:val="21"/>
    </w:rPr>
  </w:style>
  <w:style w:type="character" w:customStyle="1" w:styleId="64">
    <w:name w:val="标题 6 字符1"/>
    <w:link w:val="10"/>
    <w:qFormat/>
    <w:uiPriority w:val="0"/>
    <w:rPr>
      <w:rFonts w:ascii="Arial" w:hAnsi="Arial" w:eastAsia="黑体" w:cs="Times New Roman"/>
      <w:b/>
      <w:bCs/>
      <w:sz w:val="24"/>
      <w:szCs w:val="24"/>
    </w:rPr>
  </w:style>
  <w:style w:type="character" w:customStyle="1" w:styleId="65">
    <w:name w:val="标题 7 字符1"/>
    <w:link w:val="11"/>
    <w:qFormat/>
    <w:uiPriority w:val="0"/>
    <w:rPr>
      <w:rFonts w:ascii="Times New Roman" w:hAnsi="Times New Roman" w:eastAsia="宋体" w:cs="Times New Roman"/>
      <w:b/>
      <w:sz w:val="24"/>
      <w:szCs w:val="20"/>
    </w:rPr>
  </w:style>
  <w:style w:type="character" w:customStyle="1" w:styleId="66">
    <w:name w:val="标题 8 字符1"/>
    <w:link w:val="12"/>
    <w:qFormat/>
    <w:uiPriority w:val="0"/>
    <w:rPr>
      <w:rFonts w:ascii="Arial" w:hAnsi="Arial" w:eastAsia="黑体" w:cs="Times New Roman"/>
      <w:sz w:val="24"/>
      <w:szCs w:val="20"/>
    </w:rPr>
  </w:style>
  <w:style w:type="character" w:customStyle="1" w:styleId="67">
    <w:name w:val="标题 9 字符1"/>
    <w:link w:val="13"/>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33"/>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1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3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0"/>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4"/>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19"/>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1"/>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8"/>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0"/>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2"/>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8"/>
    <w:qFormat/>
    <w:uiPriority w:val="0"/>
    <w:pPr>
      <w:ind w:firstLine="0"/>
    </w:pPr>
    <w:rPr>
      <w:rFonts w:ascii="仿宋_GB2312" w:eastAsia="仿宋_GB2312"/>
      <w:sz w:val="30"/>
      <w:szCs w:val="24"/>
    </w:rPr>
  </w:style>
  <w:style w:type="paragraph" w:customStyle="1" w:styleId="96">
    <w:name w:val="Char Char Char1 Char"/>
    <w:basedOn w:val="14"/>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3"/>
    <w:qFormat/>
    <w:uiPriority w:val="0"/>
    <w:rPr>
      <w:rFonts w:ascii="Times New Roman" w:hAnsi="Times New Roman" w:eastAsia="宋体" w:cs="Times New Roman"/>
      <w:sz w:val="18"/>
      <w:szCs w:val="18"/>
    </w:rPr>
  </w:style>
  <w:style w:type="paragraph" w:customStyle="1" w:styleId="103">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5"/>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7"/>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style>
  <w:style w:type="paragraph" w:customStyle="1" w:styleId="113">
    <w:name w:val="Default"/>
    <w:next w:val="1"/>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4">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5">
    <w:name w:val="章节三"/>
    <w:basedOn w:val="116"/>
    <w:next w:val="1"/>
    <w:qFormat/>
    <w:uiPriority w:val="0"/>
    <w:pPr>
      <w:spacing w:beforeLines="50" w:afterLines="50" w:line="240" w:lineRule="auto"/>
      <w:ind w:firstLine="0" w:firstLineChars="0"/>
      <w:outlineLvl w:val="2"/>
    </w:pPr>
    <w:rPr>
      <w:rFonts w:ascii="黑体" w:hAnsi="宋体" w:eastAsia="黑体"/>
      <w:b/>
    </w:rPr>
  </w:style>
  <w:style w:type="paragraph" w:customStyle="1" w:styleId="116">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7">
    <w:name w:val="封二"/>
    <w:basedOn w:val="116"/>
    <w:next w:val="116"/>
    <w:qFormat/>
    <w:uiPriority w:val="0"/>
    <w:pPr>
      <w:ind w:firstLine="0" w:firstLineChars="0"/>
      <w:jc w:val="center"/>
    </w:pPr>
    <w:rPr>
      <w:rFonts w:eastAsia="黑体"/>
      <w:b/>
      <w:sz w:val="36"/>
      <w:szCs w:val="36"/>
    </w:rPr>
  </w:style>
  <w:style w:type="paragraph" w:customStyle="1" w:styleId="118">
    <w:name w:val="封一"/>
    <w:basedOn w:val="116"/>
    <w:next w:val="116"/>
    <w:qFormat/>
    <w:uiPriority w:val="0"/>
    <w:pPr>
      <w:ind w:firstLine="0" w:firstLineChars="0"/>
      <w:jc w:val="center"/>
    </w:pPr>
    <w:rPr>
      <w:rFonts w:eastAsia="黑体"/>
      <w:b/>
      <w:sz w:val="84"/>
      <w:szCs w:val="84"/>
    </w:rPr>
  </w:style>
  <w:style w:type="paragraph" w:customStyle="1" w:styleId="119">
    <w:name w:val="封四"/>
    <w:basedOn w:val="116"/>
    <w:next w:val="116"/>
    <w:qFormat/>
    <w:uiPriority w:val="0"/>
    <w:rPr>
      <w:sz w:val="30"/>
      <w:szCs w:val="30"/>
    </w:rPr>
  </w:style>
  <w:style w:type="paragraph" w:customStyle="1" w:styleId="120">
    <w:name w:val="正题"/>
    <w:basedOn w:val="116"/>
    <w:next w:val="116"/>
    <w:qFormat/>
    <w:uiPriority w:val="0"/>
    <w:pPr>
      <w:ind w:firstLine="0" w:firstLineChars="0"/>
      <w:jc w:val="center"/>
    </w:pPr>
    <w:rPr>
      <w:rFonts w:eastAsia="黑体"/>
      <w:b/>
      <w:sz w:val="36"/>
      <w:szCs w:val="36"/>
    </w:rPr>
  </w:style>
  <w:style w:type="paragraph" w:customStyle="1" w:styleId="121">
    <w:name w:val="文二"/>
    <w:basedOn w:val="1"/>
    <w:next w:val="1"/>
    <w:qFormat/>
    <w:uiPriority w:val="0"/>
    <w:pPr>
      <w:widowControl/>
      <w:spacing w:after="200" w:line="276" w:lineRule="auto"/>
      <w:jc w:val="left"/>
    </w:pPr>
    <w:rPr>
      <w:rFonts w:ascii="宋体" w:hAnsi="宋体"/>
      <w:kern w:val="0"/>
      <w:sz w:val="22"/>
      <w:szCs w:val="21"/>
      <w:lang w:eastAsia="en-US" w:bidi="en-US"/>
    </w:rPr>
  </w:style>
  <w:style w:type="character" w:customStyle="1" w:styleId="122">
    <w:name w:val="标题 3 Char"/>
    <w:link w:val="6"/>
    <w:qFormat/>
    <w:uiPriority w:val="0"/>
    <w:rPr>
      <w:rFonts w:ascii="宋体" w:hAnsi="宋体" w:eastAsia="宋体" w:cs="宋体"/>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80</Pages>
  <Words>44496</Words>
  <Characters>46875</Characters>
  <Lines>520</Lines>
  <Paragraphs>146</Paragraphs>
  <TotalTime>2</TotalTime>
  <ScaleCrop>false</ScaleCrop>
  <LinksUpToDate>false</LinksUpToDate>
  <CharactersWithSpaces>49727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杨文哲</cp:lastModifiedBy>
  <cp:lastPrinted>2023-06-27T06:49:00Z</cp:lastPrinted>
  <dcterms:modified xsi:type="dcterms:W3CDTF">2023-08-14T06:35:30Z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